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10月22日、23日对求索路、得胜路、岳阳大道等路段进行检查，发现存在以下主要问题,请按照《岳阳市城市标准化管理实施方案》要求迅速整改落实，并将整改情况及时反馈城管局考评办。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得胜北路COCO前垃圾车旁垃圾清理不及时、满溢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得胜南路所得车行前油污污染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求索西路九味酱板鸭前垃圾桶周边不洁、满溢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金鹗中路高速警察前垃圾清理不及时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得胜南路姥姥鸡爪前污水横流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建湘南路30号路灯旁违规占道、宣传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步行街中国电信旁流动摊贩3处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步行街武商旁1处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求索东路流浪鱼前出店经营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冷水铺路柴火大院前人行道旁破损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五里牌路北侧30号路灯杆上的编号破损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求索西路12号路灯杆路灯不洁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求索西路16号路灯杆尾盖门螺丝掉落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望岳路211号路灯检修门损坏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五里牌路南侧31号路灯杆编号破损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火车北站中铁酒店前游商4处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巴陵广场岗亭出店经营、游商多处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云梦北路汇缘茶前沿线车上人行道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10月23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8E71754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9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2021-01-26T03:12:33Z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