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岳阳市退役军人事务局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405001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46"/>
        <w:gridCol w:w="94"/>
        <w:gridCol w:w="1062"/>
        <w:gridCol w:w="1088"/>
        <w:gridCol w:w="1384"/>
        <w:gridCol w:w="1335"/>
        <w:gridCol w:w="257"/>
        <w:gridCol w:w="943"/>
        <w:gridCol w:w="306"/>
        <w:gridCol w:w="551"/>
        <w:gridCol w:w="139"/>
        <w:gridCol w:w="39"/>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32"/>
                <w:szCs w:val="32"/>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7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吴加勇</w:t>
            </w:r>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63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0730-8878139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74"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w:t>
            </w:r>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63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贯彻执行党和国家、省委和省政府关于退役军人思想政治、管理保障和安置优抚等工作政策法规，组织实施退役军人事务发展规划和政策，褒扬彰显退役军人为党、国家和人民牺牲奉献的精神风范和价值导向。</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负责全市退役军队转业干部、离休退休干部、退役士兵和无军籍退休退职职工的移交安置工作和自主择业、就业退役军人服务管理工作。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组织指导全市退役军人教育培训工作，协调扶持退役军人和随军随调家属就业创业。</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贯彻落实国家、省关于退役军人的特殊保障政策，会同有关部门制定相关政策，并组织实施。</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组织协调落实全市移交地方的离休退休军人、符合条件的其他退役军人和无军籍退休退职职工的住房保障工作，以及退役军人医疗保障工作，社会保险等待遇保障工作。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组织指导全市伤病残退役军人服务管理工作和抚恤工作，贯彻落实退役军人医疗、疗养、养老机构的规划政策并指导实施。承担全市不适宜继续服役的伤病残军人相关工作。组织指导全市军供服务保障工作。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组织和指导全市拥军优属工作。负责全市现役军人、退役军人、军队文职人员和军属优待、抚恤等工作；贯彻执行国家关于国民党抗战老兵等有关人员优待政策并指导实施。</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负责全市烈士及退役军人荣誉奖励、军人公墓管理维护、纪念活动等工作，依法承担英雄烈士保护相关工作，审核拟列入全市重点保护单位的烈士纪念建筑物名录，总结和宣扬退役军人、退役军人工作单位和个人先进典型事迹。</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指导并监督检查关于退役军人相关法律和政策实施的落实，开展全市退役军人权益维护和有关人员的帮扶援助工作。</w:t>
            </w:r>
          </w:p>
          <w:p>
            <w:pPr>
              <w:keepNext w:val="0"/>
              <w:keepLines w:val="0"/>
              <w:pageBreakBefore w:val="0"/>
              <w:kinsoku/>
              <w:wordWrap/>
              <w:overflowPunct/>
              <w:topLinePunct w:val="0"/>
              <w:autoSpaceDE/>
              <w:autoSpaceDN w:val="0"/>
              <w:bidi w:val="0"/>
              <w:adjustRightInd/>
              <w:snapToGrid/>
              <w:spacing w:line="300" w:lineRule="exact"/>
              <w:ind w:firstLine="480" w:firstLineChars="200"/>
              <w:jc w:val="left"/>
              <w:textAlignment w:val="center"/>
              <w:rPr>
                <w:rFonts w:ascii="仿宋_GB2312" w:hAnsi="仿宋_GB2312" w:eastAsia="仿宋_GB2312" w:cs="仿宋_GB2312"/>
                <w:color w:val="000000"/>
                <w:sz w:val="24"/>
              </w:rPr>
            </w:pP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完成市委、市政府交办的其他事项。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任务1：</w:t>
            </w:r>
            <w:r>
              <w:rPr>
                <w:rFonts w:hint="eastAsia" w:ascii="仿宋" w:hAnsi="仿宋" w:eastAsia="仿宋" w:cs="仿宋"/>
                <w:kern w:val="0"/>
                <w:sz w:val="24"/>
                <w:szCs w:val="24"/>
                <w:lang w:val="en-US" w:eastAsia="zh-CN"/>
              </w:rPr>
              <w:t>以习近平新时代中国特色社会主义思想为指导，全面贯彻党的十九大和十九届二中、三中、四中全会精神，认真落实市和省部有关会议和文件精神。</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任务2：</w:t>
            </w:r>
            <w:r>
              <w:rPr>
                <w:rFonts w:hint="eastAsia" w:ascii="仿宋" w:hAnsi="仿宋" w:eastAsia="仿宋" w:cs="仿宋"/>
                <w:kern w:val="0"/>
                <w:sz w:val="24"/>
                <w:szCs w:val="24"/>
                <w:lang w:val="en-US" w:eastAsia="zh-CN"/>
              </w:rPr>
              <w:t>坚持稳中求进工作总基调，以职业使命感、工作紧迫感为驱动，以“四个聚焦”为重点，坚持落实政策与创新方法齐抓，健全机构与发挥作用并重，破解难题与防控风险结合。</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ascii="仿宋_GB2312" w:hAnsi="仿宋_GB2312" w:eastAsia="仿宋_GB2312" w:cs="仿宋_GB2312"/>
                <w:color w:val="000000"/>
                <w:sz w:val="24"/>
              </w:rPr>
            </w:pPr>
            <w:r>
              <w:rPr>
                <w:rFonts w:hint="eastAsia" w:ascii="仿宋" w:hAnsi="仿宋" w:eastAsia="仿宋" w:cs="仿宋"/>
                <w:kern w:val="0"/>
                <w:sz w:val="24"/>
                <w:szCs w:val="24"/>
              </w:rPr>
              <w:t>任务3：</w:t>
            </w:r>
            <w:r>
              <w:rPr>
                <w:rFonts w:hint="eastAsia" w:ascii="仿宋" w:hAnsi="仿宋" w:eastAsia="仿宋" w:cs="仿宋"/>
                <w:kern w:val="0"/>
                <w:sz w:val="24"/>
                <w:szCs w:val="24"/>
                <w:lang w:val="en-US" w:eastAsia="zh-CN"/>
              </w:rPr>
              <w:t>着力建立健全“三个体系”，深入开展“思想政治工作年”“基层基础基本建设年”“信访攻坚年”活动，融合聚力、综合施策，真抓实干、久久为功，不断提升治理水平，推动全市退役军人工作迈上新台阶。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服务保障体系建设稳步推进，服务保障能力大幅提升</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思想政治引导逐步加强，荣誉激励作用有效发挥；</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权益维护精准发力，涉军群体基本稳控；</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4.移交安置规范有序，退役军人获得感不断增强；</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5.就业创业工作守正创新，扶持效果初步显现；</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ascii="仿宋_GB2312" w:hAnsi="仿宋_GB2312" w:eastAsia="仿宋_GB2312" w:cs="仿宋_GB2312"/>
                <w:color w:val="000000"/>
                <w:sz w:val="24"/>
              </w:rPr>
            </w:pPr>
            <w:r>
              <w:rPr>
                <w:rFonts w:hint="eastAsia" w:ascii="仿宋" w:hAnsi="仿宋" w:eastAsia="仿宋" w:cs="仿宋"/>
                <w:kern w:val="0"/>
                <w:sz w:val="24"/>
                <w:szCs w:val="24"/>
                <w:lang w:val="en-US" w:eastAsia="zh-CN"/>
              </w:rPr>
              <w:t>6.拥军优抚有序开展</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政策待遇依规落实。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32"/>
                <w:szCs w:val="32"/>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44" w:type="dxa"/>
            <w:gridSpan w:val="10"/>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3776.42</w:t>
            </w:r>
          </w:p>
        </w:tc>
        <w:tc>
          <w:tcPr>
            <w:tcW w:w="1088" w:type="dxa"/>
            <w:tcBorders>
              <w:lef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838.98</w:t>
            </w:r>
          </w:p>
        </w:tc>
        <w:tc>
          <w:tcPr>
            <w:tcW w:w="1384"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2355.61</w:t>
            </w:r>
          </w:p>
        </w:tc>
        <w:tc>
          <w:tcPr>
            <w:tcW w:w="1592" w:type="dxa"/>
            <w:gridSpan w:val="2"/>
            <w:vAlign w:val="center"/>
          </w:tcPr>
          <w:p>
            <w:pPr>
              <w:jc w:val="center"/>
              <w:rPr>
                <w:rFonts w:hint="eastAsia" w:ascii="仿宋_GB2312" w:hAnsi="仿宋_GB2312" w:eastAsia="仿宋_GB2312" w:cs="仿宋_GB2312"/>
                <w:color w:val="000000"/>
                <w:sz w:val="24"/>
                <w:szCs w:val="24"/>
                <w:lang w:val="en-US" w:eastAsia="zh-CN"/>
              </w:rPr>
            </w:pPr>
          </w:p>
        </w:tc>
        <w:tc>
          <w:tcPr>
            <w:tcW w:w="1800" w:type="dxa"/>
            <w:gridSpan w:val="3"/>
            <w:vAlign w:val="center"/>
          </w:tcPr>
          <w:p>
            <w:pPr>
              <w:jc w:val="center"/>
              <w:rPr>
                <w:rFonts w:hint="eastAsia" w:ascii="仿宋_GB2312" w:hAnsi="仿宋_GB2312" w:eastAsia="仿宋_GB2312" w:cs="仿宋_GB2312"/>
                <w:color w:val="000000"/>
                <w:sz w:val="24"/>
                <w:szCs w:val="24"/>
                <w:lang w:val="en-US" w:eastAsia="zh-CN"/>
              </w:rPr>
            </w:pPr>
          </w:p>
        </w:tc>
        <w:tc>
          <w:tcPr>
            <w:tcW w:w="1080"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581.83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2058.03</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150.23</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1417.57</w:t>
            </w:r>
          </w:p>
        </w:tc>
        <w:tc>
          <w:tcPr>
            <w:tcW w:w="159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490.23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942.27</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491.41</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439.83</w:t>
            </w:r>
          </w:p>
        </w:tc>
        <w:tc>
          <w:tcPr>
            <w:tcW w:w="1592"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11.03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324.19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260.71</w:t>
            </w:r>
          </w:p>
        </w:tc>
        <w:tc>
          <w:tcPr>
            <w:tcW w:w="1592"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451.93</w:t>
            </w:r>
          </w:p>
        </w:tc>
        <w:tc>
          <w:tcPr>
            <w:tcW w:w="1088"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140.34</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237.5</w:t>
            </w:r>
          </w:p>
        </w:tc>
        <w:tc>
          <w:tcPr>
            <w:tcW w:w="1592"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4"/>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32"/>
                <w:szCs w:val="32"/>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07" w:type="dxa"/>
            <w:gridSpan w:val="5"/>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37"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19" w:type="dxa"/>
            <w:gridSpan w:val="2"/>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0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35" w:type="dxa"/>
            <w:gridSpan w:val="4"/>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0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3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0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5" w:type="dxa"/>
            <w:gridSpan w:val="4"/>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0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3341.83</w:t>
            </w:r>
          </w:p>
        </w:tc>
        <w:tc>
          <w:tcPr>
            <w:tcW w:w="1088" w:type="dxa"/>
            <w:tcBorders>
              <w:lef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1968.11</w:t>
            </w:r>
          </w:p>
        </w:tc>
        <w:tc>
          <w:tcPr>
            <w:tcW w:w="1384"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1574.8</w:t>
            </w:r>
          </w:p>
        </w:tc>
        <w:tc>
          <w:tcPr>
            <w:tcW w:w="1335"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393.31</w:t>
            </w:r>
          </w:p>
        </w:tc>
        <w:tc>
          <w:tcPr>
            <w:tcW w:w="1200" w:type="dxa"/>
            <w:gridSpan w:val="2"/>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1372.01</w:t>
            </w:r>
          </w:p>
        </w:tc>
        <w:tc>
          <w:tcPr>
            <w:tcW w:w="1035" w:type="dxa"/>
            <w:gridSpan w:val="4"/>
            <w:tcBorders>
              <w:righ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-55.11</w:t>
            </w:r>
          </w:p>
        </w:tc>
        <w:tc>
          <w:tcPr>
            <w:tcW w:w="902" w:type="dxa"/>
            <w:tcBorders>
              <w:lef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753.68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1900.79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691.67</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510.49</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181.18</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1209.12</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157.24</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725.54</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725.54</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623.27</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102.27</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-274.68</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753.68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324.19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268.59</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207.65</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60.94</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53.89</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1.71</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391.31</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282.31</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233.39</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48.92</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109</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60.62</w:t>
            </w:r>
          </w:p>
        </w:tc>
        <w:tc>
          <w:tcPr>
            <w:tcW w:w="90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4" w:hRule="atLeast"/>
          <w:jc w:val="center"/>
        </w:trPr>
        <w:tc>
          <w:tcPr>
            <w:tcW w:w="1700"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44" w:type="dxa"/>
            <w:gridSpan w:val="10"/>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5"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3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3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11.4</w:t>
            </w:r>
          </w:p>
        </w:tc>
        <w:tc>
          <w:tcPr>
            <w:tcW w:w="1088" w:type="dxa"/>
            <w:tcBorders>
              <w:lef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3.7</w:t>
            </w:r>
          </w:p>
        </w:tc>
        <w:tc>
          <w:tcPr>
            <w:tcW w:w="1384"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8.7</w:t>
            </w:r>
          </w:p>
        </w:tc>
        <w:tc>
          <w:tcPr>
            <w:tcW w:w="1335"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313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3.06</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2.94</w:t>
            </w:r>
          </w:p>
        </w:tc>
        <w:tc>
          <w:tcPr>
            <w:tcW w:w="1335"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313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4.76</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4.76</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tabs>
                <w:tab w:val="left" w:pos="470"/>
              </w:tabs>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val="en-US" w:eastAsia="zh-CN"/>
              </w:rPr>
              <w:t>1</w:t>
            </w:r>
          </w:p>
        </w:tc>
        <w:tc>
          <w:tcPr>
            <w:tcW w:w="1088" w:type="dxa"/>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0.64</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0.64</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9" w:hRule="atLeast"/>
          <w:jc w:val="center"/>
        </w:trPr>
        <w:tc>
          <w:tcPr>
            <w:tcW w:w="1700"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03" w:type="dxa"/>
            <w:gridSpan w:val="8"/>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9"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72"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31"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645.07</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645.07</w:t>
            </w:r>
          </w:p>
        </w:tc>
        <w:tc>
          <w:tcPr>
            <w:tcW w:w="35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40.21</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40.21</w:t>
            </w:r>
          </w:p>
        </w:tc>
        <w:tc>
          <w:tcPr>
            <w:tcW w:w="35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259.</w:t>
            </w:r>
            <w:r>
              <w:rPr>
                <w:rFonts w:hint="default" w:ascii="仿宋_GB2312" w:hAnsi="仿宋_GB2312" w:eastAsia="仿宋_GB2312" w:cs="仿宋_GB2312"/>
                <w:color w:val="000000"/>
                <w:sz w:val="24"/>
                <w:lang w:val="en-US" w:eastAsia="zh-CN"/>
              </w:rPr>
              <w:t>87</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259.</w:t>
            </w:r>
            <w:r>
              <w:rPr>
                <w:rFonts w:hint="default" w:ascii="仿宋_GB2312" w:hAnsi="仿宋_GB2312" w:eastAsia="仿宋_GB2312" w:cs="仿宋_GB2312"/>
                <w:color w:val="000000"/>
                <w:sz w:val="24"/>
                <w:lang w:val="en-US" w:eastAsia="zh-CN"/>
              </w:rPr>
              <w:t>87</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281.03</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281.03</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63.96</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63.96</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hint="eastAsia" w:ascii="黑体" w:hAnsi="黑体" w:eastAsia="黑体" w:cs="黑体"/>
                <w:color w:val="000000"/>
                <w:sz w:val="28"/>
                <w:szCs w:val="28"/>
                <w:lang w:val="en-US" w:eastAsia="zh-CN"/>
              </w:rPr>
            </w:pPr>
          </w:p>
          <w:p>
            <w:pPr>
              <w:pStyle w:val="3"/>
              <w:jc w:val="center"/>
              <w:rPr>
                <w:rFonts w:hint="eastAsia"/>
                <w:lang w:val="en-US" w:eastAsia="zh-CN"/>
              </w:rPr>
            </w:pPr>
          </w:p>
          <w:p>
            <w:pPr>
              <w:tabs>
                <w:tab w:val="left" w:pos="2346"/>
                <w:tab w:val="center" w:pos="4945"/>
              </w:tabs>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94" w:type="dxa"/>
            <w:gridSpan w:val="3"/>
            <w:vMerge w:val="restart"/>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整体支出绩效定性目标及实施计划完成情况</w:t>
            </w:r>
          </w:p>
        </w:tc>
        <w:tc>
          <w:tcPr>
            <w:tcW w:w="3534" w:type="dxa"/>
            <w:gridSpan w:val="3"/>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预期目标</w:t>
            </w:r>
          </w:p>
        </w:tc>
        <w:tc>
          <w:tcPr>
            <w:tcW w:w="4472" w:type="dxa"/>
            <w:gridSpan w:val="8"/>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5"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3534" w:type="dxa"/>
            <w:gridSpan w:val="3"/>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1：</w:t>
            </w:r>
            <w:r>
              <w:rPr>
                <w:rFonts w:hint="eastAsia" w:ascii="仿宋_GB2312" w:hAnsi="仿宋_GB2312" w:eastAsia="仿宋_GB2312" w:cs="仿宋_GB2312"/>
                <w:kern w:val="0"/>
                <w:sz w:val="18"/>
                <w:szCs w:val="18"/>
              </w:rPr>
              <w:t>推进服务保障体系建设</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2</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kern w:val="0"/>
                <w:sz w:val="18"/>
                <w:szCs w:val="18"/>
                <w:lang w:eastAsia="zh-CN"/>
              </w:rPr>
              <w:t>逐步加强思想政治引导</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3</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kern w:val="0"/>
                <w:sz w:val="18"/>
                <w:szCs w:val="18"/>
                <w:lang w:eastAsia="zh-CN"/>
              </w:rPr>
              <w:t>权益维护精准发力</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4</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kern w:val="0"/>
                <w:sz w:val="18"/>
                <w:szCs w:val="18"/>
                <w:lang w:val="en-US" w:eastAsia="zh-CN"/>
              </w:rPr>
              <w:t>移交安置规范有序</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5</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kern w:val="0"/>
                <w:sz w:val="18"/>
                <w:szCs w:val="18"/>
                <w:lang w:val="en-US" w:eastAsia="zh-CN"/>
              </w:rPr>
              <w:t xml:space="preserve">就业创业工作守正创新  </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kern w:val="0"/>
                <w:sz w:val="18"/>
                <w:szCs w:val="18"/>
                <w:lang w:val="en-US" w:eastAsia="zh-CN"/>
              </w:rPr>
              <w:t>6：拥军优抚有序开展</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1.服务保障体系建设稳步推进，服务保障能力大幅提升;</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2.思想政治引导逐步加强，荣誉激励作用有效发挥;</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3.权益维护精准发力，涉军群体基本稳控;</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4.移交安置规范有序，退役军人获得感不断增强;</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5.就业创业工作守正创新，扶持效果初步显现;</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lang w:val="en-US" w:eastAsia="zh-CN"/>
              </w:rPr>
              <w:t>6.拥军优抚有序开展，政策待遇依规落实。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794" w:type="dxa"/>
            <w:gridSpan w:val="3"/>
            <w:vMerge w:val="restart"/>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整体支出</w:t>
            </w:r>
          </w:p>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绩效定量目标及实施计划完成情况</w:t>
            </w:r>
          </w:p>
        </w:tc>
        <w:tc>
          <w:tcPr>
            <w:tcW w:w="2150" w:type="dxa"/>
            <w:gridSpan w:val="2"/>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评价内容</w:t>
            </w:r>
          </w:p>
        </w:tc>
        <w:tc>
          <w:tcPr>
            <w:tcW w:w="1384" w:type="dxa"/>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绩效目标</w:t>
            </w:r>
          </w:p>
        </w:tc>
        <w:tc>
          <w:tcPr>
            <w:tcW w:w="4472" w:type="dxa"/>
            <w:gridSpan w:val="8"/>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80"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restart"/>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产出目标</w:t>
            </w:r>
          </w:p>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（部门工作实绩，包含上级部门和市委市政府布置的重点工作、实事任务等，根据部门实际进行调整细化）</w:t>
            </w:r>
          </w:p>
        </w:tc>
        <w:tc>
          <w:tcPr>
            <w:tcW w:w="1088" w:type="dxa"/>
            <w:vMerge w:val="restart"/>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社会效益</w:t>
            </w: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促进就业</w:t>
            </w:r>
            <w:r>
              <w:rPr>
                <w:rFonts w:hint="eastAsia" w:ascii="仿宋_GB2312" w:hAnsi="仿宋_GB2312" w:eastAsia="仿宋_GB2312" w:cs="仿宋_GB2312"/>
                <w:color w:val="000000"/>
                <w:sz w:val="18"/>
                <w:szCs w:val="18"/>
                <w:lang w:eastAsia="zh-CN"/>
              </w:rPr>
              <w:t>有力</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守正创新开展就业创业。建立就业创业动态台账，加大教育培训力度，全面推进就业招聘。共举办招聘会35场，累计参会企业1700余家，700余名退役军人达成就业意向；高标准举办创业创新大赛，3个项目入围省复赛。组建了我市19人的退役军人就业创业导师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70"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continue"/>
            <w:vAlign w:val="center"/>
          </w:tcPr>
          <w:p>
            <w:pPr>
              <w:spacing w:line="320" w:lineRule="exact"/>
              <w:rPr>
                <w:rFonts w:hint="eastAsia" w:ascii="宋体" w:hAnsi="宋体" w:eastAsia="宋体" w:cs="宋体"/>
                <w:sz w:val="18"/>
                <w:szCs w:val="18"/>
              </w:rPr>
            </w:pP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移交安置到位</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正规有序推进移交安置。阳光安置退役士兵251人，军队转业干部39人。为跨军地改革集体转制的408名退役军人及其随迁配偶子女办理落户手续。务实推进社保接续。全市累计受理申请资料16396件，养老保险个人完成缴费6898人，个人和单位补缴金额3674万元。人已缴费6525人，缴费率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30"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continue"/>
            <w:vAlign w:val="center"/>
          </w:tcPr>
          <w:p>
            <w:pPr>
              <w:spacing w:line="320" w:lineRule="exact"/>
              <w:rPr>
                <w:rFonts w:hint="eastAsia" w:ascii="宋体" w:hAnsi="宋体" w:eastAsia="宋体" w:cs="宋体"/>
                <w:sz w:val="18"/>
                <w:szCs w:val="18"/>
              </w:rPr>
            </w:pP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r>
              <w:rPr>
                <w:rFonts w:hint="eastAsia" w:ascii="仿宋_GB2312" w:hAnsi="仿宋_GB2312" w:eastAsia="仿宋_GB2312" w:cs="仿宋_GB2312"/>
                <w:color w:val="000000"/>
                <w:sz w:val="18"/>
                <w:szCs w:val="18"/>
                <w:lang w:val="en-US" w:eastAsia="zh-CN"/>
              </w:rPr>
              <w:t>3</w:t>
            </w:r>
            <w:r>
              <w:rPr>
                <w:rFonts w:hint="eastAsia" w:ascii="仿宋_GB2312" w:hAnsi="仿宋_GB2312" w:eastAsia="仿宋_GB2312" w:cs="仿宋_GB2312"/>
                <w:color w:val="000000"/>
                <w:sz w:val="18"/>
                <w:szCs w:val="18"/>
              </w:rPr>
              <w:t>：</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拥军优属</w:t>
            </w:r>
            <w:r>
              <w:rPr>
                <w:rFonts w:hint="eastAsia" w:ascii="仿宋_GB2312" w:hAnsi="仿宋_GB2312" w:eastAsia="仿宋_GB2312" w:cs="仿宋_GB2312"/>
                <w:color w:val="000000"/>
                <w:sz w:val="18"/>
                <w:szCs w:val="18"/>
                <w:lang w:eastAsia="zh-CN"/>
              </w:rPr>
              <w:t>暖心</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严格落实优抚政策。走访慰问重点优抚对象570人，召开座谈会12次，慰问驻岳官兵1040人，发放39万元慰问物资。慰问海军岳阳舰，赠送16万元慰问物资；为96名六级以上军残优抚对象落实了医保缴费和定额资金；为2678名伤残军人更换了新版的伤残证件。稳慎开展“两参”人员内部核查。截止目前，两参人员总数为11553人，其中仍应享受待遇的有9419人，占已享受待遇人员的81.5%。积极推进双拥工作。出台我市《关于进一步做好新时代拥军优属工作的意见》，积极推进“六个一”的双拥工作亮点。推荐安置军人家属就业15人，移防部队家属7名。86名军人子女享受教育优待。举办欢送新兵入伍和迎接退役军人回乡活动26场次，为327名立功军人家庭送喜报，在《岳阳日报》开设立功军人光荣榜专版。</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95"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continue"/>
            <w:vAlign w:val="center"/>
          </w:tcPr>
          <w:p>
            <w:pPr>
              <w:spacing w:line="320" w:lineRule="exact"/>
              <w:rPr>
                <w:rFonts w:hint="eastAsia" w:ascii="宋体" w:hAnsi="宋体" w:eastAsia="宋体" w:cs="宋体"/>
                <w:sz w:val="18"/>
                <w:szCs w:val="18"/>
              </w:rPr>
            </w:pP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r>
              <w:rPr>
                <w:rFonts w:hint="eastAsia" w:ascii="仿宋_GB2312" w:hAnsi="仿宋_GB2312" w:eastAsia="仿宋_GB2312" w:cs="仿宋_GB2312"/>
                <w:color w:val="000000"/>
                <w:sz w:val="18"/>
                <w:szCs w:val="18"/>
                <w:lang w:val="en-US" w:eastAsia="zh-CN"/>
              </w:rPr>
              <w:t>4</w:t>
            </w:r>
            <w:r>
              <w:rPr>
                <w:rFonts w:hint="eastAsia" w:ascii="仿宋_GB2312" w:hAnsi="仿宋_GB2312" w:eastAsia="仿宋_GB2312" w:cs="仿宋_GB2312"/>
                <w:color w:val="000000"/>
                <w:sz w:val="18"/>
                <w:szCs w:val="18"/>
              </w:rPr>
              <w:t>：</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权益维护</w:t>
            </w:r>
            <w:r>
              <w:rPr>
                <w:rFonts w:hint="eastAsia" w:ascii="仿宋_GB2312" w:hAnsi="仿宋_GB2312" w:eastAsia="仿宋_GB2312" w:cs="仿宋_GB2312"/>
                <w:color w:val="000000"/>
                <w:sz w:val="18"/>
                <w:szCs w:val="18"/>
                <w:lang w:eastAsia="zh-CN"/>
              </w:rPr>
              <w:t>有效</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加大信访问题督办力度。持续开展“信访积案化解年”活动，截止目前，市局共接待来访人员500多批次，1100多人。妥善处置公安要情65起、信息预警9起，处理信访件96件、来电270人次，回复12345热线和市长信箱问题25件。高位高效推动矛盾问题“百日攻坚”。咬住“北京不去、省内不聚、跨省不串、网上不吵”的目标，市县两级退役军人事务局领导带头深入一线解决疑难信访案件，带动各级人员进村入户开展大走访，化解一批信访积案、解决一批遗留问题。目前，已完成包案人员走访，事务部挂账督办13件已有8件签订息访息诉协议。抓实帮扶解困。对34名家庭困难的退役军人和烈士遗属，20名康养慰藉、助学助医对象进行分类帮扶。发放春节慰问金122万余元、市直单位在职企业军转干部工资补差295万余元，住院（死亡）补助104万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25"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continue"/>
            <w:vAlign w:val="center"/>
          </w:tcPr>
          <w:p>
            <w:pPr>
              <w:spacing w:line="320" w:lineRule="exact"/>
              <w:rPr>
                <w:rFonts w:hint="eastAsia" w:ascii="宋体" w:hAnsi="宋体" w:eastAsia="宋体" w:cs="宋体"/>
                <w:sz w:val="18"/>
                <w:szCs w:val="18"/>
              </w:rPr>
            </w:pP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r>
              <w:rPr>
                <w:rFonts w:hint="eastAsia" w:ascii="仿宋_GB2312" w:hAnsi="仿宋_GB2312" w:eastAsia="仿宋_GB2312" w:cs="仿宋_GB2312"/>
                <w:color w:val="000000"/>
                <w:sz w:val="18"/>
                <w:szCs w:val="18"/>
                <w:lang w:val="en-US" w:eastAsia="zh-CN"/>
              </w:rPr>
              <w:t>5</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val="en-US" w:eastAsia="zh-CN"/>
              </w:rPr>
              <w:t>服务体系建设稳步推进</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 xml:space="preserve"> 开展“基层基础建设完善年”活动，推进退役军人服务站建设。加强组织领导。3月份召开全市退役军人服务中心主任会议，明确全年目标、提出具体创建标准；5月份召开服务保障体系建设推进会，查找不足推动工作。7月份市人大对全市服务保障体系建设进行评议调研，巩固深化“五有”、“全覆盖”成果。创建示范站点。12个县（区）级服务中心、138个乡镇级服务站已达到示范型标准。8家服务站被评为“湖南省百家红色退役军人服务站”。发挥退役军人作用。积极发挥退役军人志愿队伍在文明城市创建、农村人居环境整治、防汛抗旱、脱贫攻坚中的作用。全市共成立退役军人志愿服务组织368个，实名志愿者总人数5237人。</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restart"/>
            <w:vAlign w:val="center"/>
          </w:tcPr>
          <w:p>
            <w:pPr>
              <w:autoSpaceDN w:val="0"/>
              <w:spacing w:line="320" w:lineRule="exact"/>
              <w:jc w:val="center"/>
              <w:textAlignment w:val="center"/>
              <w:rPr>
                <w:rFonts w:hint="eastAsia" w:ascii="宋体" w:hAnsi="宋体" w:eastAsia="宋体" w:cs="宋体"/>
                <w:sz w:val="18"/>
                <w:szCs w:val="18"/>
              </w:rPr>
            </w:pPr>
            <w:r>
              <w:rPr>
                <w:rFonts w:hint="eastAsia" w:ascii="宋体" w:hAnsi="宋体" w:eastAsia="宋体" w:cs="宋体"/>
                <w:color w:val="000000"/>
                <w:sz w:val="18"/>
                <w:szCs w:val="18"/>
              </w:rPr>
              <w:t>成本指标</w:t>
            </w: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val="en-US" w:eastAsia="zh-CN"/>
              </w:rPr>
              <w:t>:</w:t>
            </w:r>
            <w:r>
              <w:rPr>
                <w:rFonts w:hint="eastAsia" w:ascii="仿宋_GB2312" w:hAnsi="仿宋_GB2312" w:eastAsia="仿宋_GB2312" w:cs="仿宋_GB2312"/>
                <w:color w:val="000000"/>
                <w:sz w:val="18"/>
                <w:szCs w:val="18"/>
                <w:lang w:eastAsia="zh-CN"/>
              </w:rPr>
              <w:t>专项</w:t>
            </w:r>
            <w:r>
              <w:rPr>
                <w:rFonts w:hint="eastAsia" w:ascii="仿宋_GB2312" w:hAnsi="仿宋_GB2312" w:eastAsia="仿宋_GB2312" w:cs="仿宋_GB2312"/>
                <w:color w:val="000000"/>
                <w:sz w:val="18"/>
                <w:szCs w:val="18"/>
              </w:rPr>
              <w:t>经费</w:t>
            </w:r>
            <w:r>
              <w:rPr>
                <w:rFonts w:hint="eastAsia" w:ascii="仿宋_GB2312" w:hAnsi="仿宋_GB2312" w:eastAsia="仿宋_GB2312" w:cs="仿宋_GB2312"/>
                <w:color w:val="000000"/>
                <w:sz w:val="18"/>
                <w:szCs w:val="18"/>
                <w:lang w:eastAsia="zh-CN"/>
              </w:rPr>
              <w:t>管理规范</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各项资金管理规范，无违规使用资金现象。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8"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Merge w:val="continue"/>
            <w:vAlign w:val="center"/>
          </w:tcPr>
          <w:p>
            <w:pPr>
              <w:autoSpaceDN w:val="0"/>
              <w:spacing w:line="320" w:lineRule="exact"/>
              <w:jc w:val="center"/>
              <w:textAlignment w:val="center"/>
              <w:rPr>
                <w:rFonts w:hint="eastAsia" w:ascii="宋体" w:hAnsi="宋体" w:eastAsia="宋体" w:cs="宋体"/>
                <w:color w:val="000000"/>
                <w:sz w:val="18"/>
                <w:szCs w:val="18"/>
              </w:rPr>
            </w:pP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指标2：“三公”经费</w:t>
            </w:r>
            <w:r>
              <w:rPr>
                <w:rFonts w:hint="eastAsia" w:ascii="仿宋_GB2312" w:hAnsi="仿宋_GB2312" w:eastAsia="仿宋_GB2312" w:cs="仿宋_GB2312"/>
                <w:color w:val="000000"/>
                <w:sz w:val="18"/>
                <w:szCs w:val="18"/>
                <w:lang w:eastAsia="zh-CN"/>
              </w:rPr>
              <w:t>支出合理，管理精细</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年度“三公”经费支出规范、厉行节约效果明显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0" w:hRule="atLeast"/>
          <w:jc w:val="center"/>
        </w:trPr>
        <w:tc>
          <w:tcPr>
            <w:tcW w:w="1794" w:type="dxa"/>
            <w:gridSpan w:val="3"/>
            <w:vMerge w:val="continue"/>
            <w:vAlign w:val="center"/>
          </w:tcPr>
          <w:p>
            <w:pPr>
              <w:spacing w:line="320" w:lineRule="exact"/>
              <w:rPr>
                <w:rFonts w:hint="eastAsia" w:ascii="宋体" w:hAnsi="宋体" w:eastAsia="宋体" w:cs="宋体"/>
                <w:sz w:val="18"/>
                <w:szCs w:val="18"/>
              </w:rPr>
            </w:pPr>
          </w:p>
        </w:tc>
        <w:tc>
          <w:tcPr>
            <w:tcW w:w="1062" w:type="dxa"/>
            <w:vMerge w:val="continue"/>
            <w:vAlign w:val="center"/>
          </w:tcPr>
          <w:p>
            <w:pPr>
              <w:autoSpaceDN w:val="0"/>
              <w:spacing w:line="320" w:lineRule="exact"/>
              <w:rPr>
                <w:rFonts w:hint="eastAsia" w:ascii="宋体" w:hAnsi="宋体" w:eastAsia="宋体" w:cs="宋体"/>
                <w:sz w:val="18"/>
                <w:szCs w:val="18"/>
              </w:rPr>
            </w:pPr>
          </w:p>
        </w:tc>
        <w:tc>
          <w:tcPr>
            <w:tcW w:w="1088" w:type="dxa"/>
            <w:vAlign w:val="center"/>
          </w:tcPr>
          <w:p>
            <w:pPr>
              <w:autoSpaceDN w:val="0"/>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社会公众或服务对象满意度</w:t>
            </w:r>
          </w:p>
        </w:tc>
        <w:tc>
          <w:tcPr>
            <w:tcW w:w="1384" w:type="dxa"/>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平安创建</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指标2：</w:t>
            </w:r>
            <w:r>
              <w:rPr>
                <w:rFonts w:hint="eastAsia" w:ascii="仿宋_GB2312" w:hAnsi="仿宋_GB2312" w:eastAsia="仿宋_GB2312" w:cs="仿宋_GB2312"/>
                <w:color w:val="000000"/>
                <w:sz w:val="18"/>
                <w:szCs w:val="18"/>
                <w:lang w:eastAsia="zh-CN"/>
              </w:rPr>
              <w:t>信访维稳</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r>
              <w:rPr>
                <w:rFonts w:hint="eastAsia" w:ascii="仿宋_GB2312" w:hAnsi="仿宋_GB2312" w:eastAsia="仿宋_GB2312" w:cs="仿宋_GB2312"/>
                <w:color w:val="000000"/>
                <w:sz w:val="18"/>
                <w:szCs w:val="18"/>
                <w:lang w:val="en-US" w:eastAsia="zh-CN"/>
              </w:rPr>
              <w:t>3</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移交安置</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2021年我局各项建设更上一层楼；赴省进京信访总量排全省前列；我市服务保障体系建设、走访慰问、“双带双促”等工作，也获得退役军人事务厅重点推介，得到省、部调研组充分肯定；军转干部安置满意度高，符合政府安排工作条件的退役士兵安置质量明显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2" w:hRule="atLeast"/>
          <w:jc w:val="center"/>
        </w:trPr>
        <w:tc>
          <w:tcPr>
            <w:tcW w:w="285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4"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2" w:hRule="atLeast"/>
          <w:jc w:val="center"/>
        </w:trPr>
        <w:tc>
          <w:tcPr>
            <w:tcW w:w="285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4"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0"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邹望春</w:t>
            </w:r>
          </w:p>
        </w:tc>
        <w:tc>
          <w:tcPr>
            <w:tcW w:w="3674" w:type="dxa"/>
            <w:gridSpan w:val="5"/>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副</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刘淑平</w:t>
            </w:r>
          </w:p>
        </w:tc>
        <w:tc>
          <w:tcPr>
            <w:tcW w:w="3674" w:type="dxa"/>
            <w:gridSpan w:val="5"/>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规财科科长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吴加勇</w:t>
            </w:r>
          </w:p>
        </w:tc>
        <w:tc>
          <w:tcPr>
            <w:tcW w:w="3674" w:type="dxa"/>
            <w:gridSpan w:val="5"/>
            <w:vAlign w:val="center"/>
          </w:tcPr>
          <w:p>
            <w:pPr>
              <w:autoSpaceDN w:val="0"/>
              <w:spacing w:line="320" w:lineRule="exact"/>
              <w:jc w:val="center"/>
              <w:textAlignment w:val="center"/>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规财科副科长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39" w:hRule="atLeast"/>
          <w:jc w:val="center"/>
        </w:trPr>
        <w:tc>
          <w:tcPr>
            <w:tcW w:w="9800"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62" w:hRule="atLeast"/>
          <w:jc w:val="center"/>
        </w:trPr>
        <w:tc>
          <w:tcPr>
            <w:tcW w:w="9800"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4" w:hRule="atLeast"/>
          <w:jc w:val="center"/>
        </w:trPr>
        <w:tc>
          <w:tcPr>
            <w:tcW w:w="9800" w:type="dxa"/>
            <w:gridSpan w:val="14"/>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吴加勇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8878139</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keepNext w:val="0"/>
              <w:keepLines w:val="0"/>
              <w:pageBreakBefore w:val="0"/>
              <w:kinsoku/>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岳阳市退役军人事务局</w:t>
            </w:r>
          </w:p>
          <w:p>
            <w:pPr>
              <w:keepNext w:val="0"/>
              <w:keepLines w:val="0"/>
              <w:pageBreakBefore w:val="0"/>
              <w:widowControl w:val="0"/>
              <w:kinsoku/>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b w:val="0"/>
                <w:bCs w:val="0"/>
                <w:sz w:val="40"/>
                <w:szCs w:val="40"/>
                <w:lang w:val="en-US" w:eastAsia="zh-CN"/>
              </w:rPr>
              <w:t>2021年整体支出绩效自评报告</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val="0"/>
                <w:bCs w:val="0"/>
                <w:sz w:val="30"/>
                <w:szCs w:val="30"/>
                <w:lang w:val="en-US" w:eastAsia="zh-CN"/>
              </w:rPr>
            </w:pPr>
            <w:r>
              <w:rPr>
                <w:rFonts w:hint="eastAsia" w:ascii="楷体_GB2312" w:hAnsi="楷体_GB2312" w:eastAsia="楷体_GB2312" w:cs="楷体_GB2312"/>
                <w:b/>
                <w:bCs/>
                <w:sz w:val="30"/>
                <w:szCs w:val="30"/>
                <w:lang w:val="en-US" w:eastAsia="zh-CN"/>
              </w:rPr>
              <w:t>（一）部门职能职责</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岳阳市退役军人事务局为市政府工作部门，成立于2018年12月，主要职能职责为：贯彻执行党和国家关于退役军人思想政治、管理保障和安置优抚等工作政策法规，组织实施退役军人事务发展规划和政策；褒扬彰显退役军人为党、国家和人民牺牲奉献的精神风范和价值导向，负责军队转业干部、复员干部、离休退休干部、退役士兵和无军籍退休退职职工的移交安置工作和自主择业、就业退役军人服务管理工作，组织指导退役军人教育培训、优抚抚恤等，组织指导全市拥军优属工作，组织实施烈士及退役军人荣誉奖励、纪念活动等工作。</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（二）部门机构设置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我局机关核定编制数20个，现有工作人员20人，机关内设8个科室：办公室、规划财务科、政策法规科（权益维护科）、移交安置科、就业创业科、军休服务管理科、拥军优抚科、双拥工作科。</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机关党委、机关纪委按章程设置，机关党委加挂人事教育科牌子。</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下辖局属二级单位四个，分别是市军队干部离休退休干部休养所、市军队离休退休干部管理服务中心 、市军用供应站、市退役军人服务中心。</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二、2020年整体支出管理及使用情况</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我局2021年收入为3776.42万元，其中上年结转838.98万元，财政拨款收入2355.61万元，其他收入581.83万元。本年支出3341.83万元（含基本支出和项目支出）。基本支出为1968.11万元，其中人员支出为1574.8万元，公用支出为393.31万元，项目支出为1372.01万元。年末结转和结余-55.11万元。事业费分类为抚恤、退役安置、退役军人事务管理共支出1138.21万元。</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（一）抚恤经费。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2021年我局抚恤专项资金支出144.83万元，其中局机关优抚对象慰问经费90.94万元，军供站单位经费53.89万元。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退役安置经费。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2021年我局退役安置专项资金支出746.87万元，其中退役士兵安置费88.10万元，离退休人员安置费507.26万元，其他151.51万元。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退役军人管理事务经费。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2021年我局退役军人管理事务专项资金支出246.51万元，其中行政管理事务费223.51万元，其他事务费23万元。</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三、整体支出绩效自评结论</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我局围绕“三个主题年”活动（基层基础建设完善年、法律政策落实年、信访积案化解年）推进各项工作，在维护退役军人合法权益，保持涉军群体稳定方面做出了贡献，得到了全市各界的一致好评，取得了较好的社会效益，根据绩效目标评价标准，我局2021年整体支出绩效自评为优秀。</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四、存在的问题及工作计划</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一是思想政治引领还需强化。退役军人思想政治工作实体化意识还不强、品牌化还不够，不善于抢抓重要节点、巧借热点事件，针对性地策划开展活动。</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二是涉军问题还需持续关注。部分退役军人或群体对解决历史遗留问题、政策问题有很高的期望值，易因配套措施出台滞后、期望与现实落差较大，造成上访情况。</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三是服务体系建设亟待完善。县市区退役军人体系建设发展不平衡。乡镇（街道）、村（社区）服务站“五有”落实不到位，建设标准不高、功能作用发挥不明显。</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四是融入国防和现代化建设还需加强。退役军人工作服务于国防和军队现代化建设，向备战打仗聚焦不够，围绕后路、后院、后代发力还显不足，在编制保障、随军家属就业、军人子女教育优待等方面还需加强。</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（二）2022年工作思路。</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一是在强化思想引领上下功夫。</w:t>
            </w:r>
            <w:r>
              <w:rPr>
                <w:rFonts w:hint="eastAsia" w:ascii="仿宋_GB2312" w:hAnsi="仿宋_GB2312" w:eastAsia="仿宋_GB2312" w:cs="仿宋_GB2312"/>
                <w:sz w:val="30"/>
                <w:szCs w:val="30"/>
                <w:lang w:val="en-US" w:eastAsia="zh-CN"/>
              </w:rPr>
              <w:t>常态化做好我市退役军人思想政治工作，推动退役军人增强“四个意识”，坚定“四个”自信，做到“两个维护”。大力宣传退役军人先进典型、模范事迹，进一步拓展“尊崇”内容、丰富“尊崇”形式浓厚氛围。</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二是在矛盾风险防范上下功夫。</w:t>
            </w:r>
            <w:r>
              <w:rPr>
                <w:rFonts w:hint="eastAsia" w:ascii="仿宋_GB2312" w:hAnsi="仿宋_GB2312" w:eastAsia="仿宋_GB2312" w:cs="仿宋_GB2312"/>
                <w:sz w:val="30"/>
                <w:szCs w:val="30"/>
                <w:lang w:val="en-US" w:eastAsia="zh-CN"/>
              </w:rPr>
              <w:t>压紧压实涉军维稳工作属地责任，织紧织密防范化解重大风险安全防护网。以退役军人矛盾问题“百日攻坚”活动为抓手，加大重复访、规模访、越级访化解力度。完善舆情信息联动机制，加强舆情监测研判，对苗头性倾向性问题早发现、早预警、早处置，保持社会大局和谐稳定。</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三是在夯实基层基础上下功夫</w:t>
            </w:r>
            <w:r>
              <w:rPr>
                <w:rFonts w:hint="eastAsia" w:ascii="仿宋_GB2312" w:hAnsi="仿宋_GB2312" w:eastAsia="仿宋_GB2312" w:cs="仿宋_GB2312"/>
                <w:sz w:val="30"/>
                <w:szCs w:val="30"/>
                <w:lang w:val="en-US" w:eastAsia="zh-CN"/>
              </w:rPr>
              <w:t>。积极争取退役军人事务部、省退役军人事务厅以及市财政对我市退役军人工作的支持力度，以乡镇（街道）、村（社区）为主阵地实施示范创建。推进“退役军人服务+互联网”建设，完善退役军人综合信息数据库，推动退役军人事务领域治理能力现代化。</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四是在不断优化服务上下功夫。</w:t>
            </w:r>
            <w:r>
              <w:rPr>
                <w:rFonts w:hint="eastAsia" w:ascii="仿宋_GB2312" w:hAnsi="仿宋_GB2312" w:eastAsia="仿宋_GB2312" w:cs="仿宋_GB2312"/>
                <w:sz w:val="30"/>
                <w:szCs w:val="30"/>
                <w:lang w:val="en-US" w:eastAsia="zh-CN"/>
              </w:rPr>
              <w:t>健全“阳光安置”工作机制，高标准完成退役军人安置任务。研究制定促进退役军人就业创业工作措施，拓宽就业创业渠道。积极创建“双拥”模范城，着力解决“三后”（后路、后院、后代）问题，妥善解决火箭军移防部队实际困难。积极落实军休干部“两项”待遇，不断提高军休服务管理水平。大力实施“优抚对象关怀计划”，持续做好退役军人困难帮扶援助工作。</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仿宋_GB2312" w:eastAsia="仿宋_GB2312" w:cs="Times New Roman"/>
                <w:sz w:val="32"/>
                <w:szCs w:val="28"/>
                <w:lang w:val="en-US" w:eastAsia="zh-CN"/>
              </w:rPr>
            </w:pPr>
            <w:r>
              <w:rPr>
                <w:rFonts w:hint="eastAsia" w:ascii="仿宋_GB2312" w:hAnsi="仿宋_GB2312" w:eastAsia="仿宋_GB2312" w:cs="仿宋_GB2312"/>
                <w:b/>
                <w:bCs/>
                <w:sz w:val="30"/>
                <w:szCs w:val="30"/>
                <w:lang w:val="en-US" w:eastAsia="zh-CN"/>
              </w:rPr>
              <w:t>五是在推动队伍建设上下功夫。</w:t>
            </w:r>
            <w:bookmarkStart w:id="0" w:name="_GoBack"/>
            <w:bookmarkEnd w:id="0"/>
            <w:r>
              <w:rPr>
                <w:rFonts w:hint="eastAsia" w:ascii="仿宋_GB2312" w:hAnsi="仿宋_GB2312" w:eastAsia="仿宋_GB2312" w:cs="仿宋_GB2312"/>
                <w:sz w:val="30"/>
                <w:szCs w:val="30"/>
                <w:lang w:val="en-US" w:eastAsia="zh-CN"/>
              </w:rPr>
              <w:t>开展好政策业务培训，培养更多退役军人工作“行家里手”。增强应急处突能力，努力把问题解决在基层、把矛盾消除在萌芽状态。着力强化宗旨意识，多到矛盾集中、问题复杂的地方去了解实情、化解难题。</w:t>
            </w:r>
            <w:r>
              <w:rPr>
                <w:rFonts w:hint="eastAsia" w:ascii="仿宋_GB2312" w:hAnsi="仿宋_GB2312" w:eastAsia="仿宋_GB2312" w:cs="Times New Roman"/>
                <w:sz w:val="32"/>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100" w:firstLineChars="17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100" w:firstLineChars="17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100" w:firstLineChars="17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100" w:firstLineChars="17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岳阳市退役军人事务局      </w:t>
            </w:r>
          </w:p>
          <w:p>
            <w:pPr>
              <w:keepNext w:val="0"/>
              <w:keepLines w:val="0"/>
              <w:pageBreakBefore w:val="0"/>
              <w:widowControl w:val="0"/>
              <w:kinsoku/>
              <w:wordWrap/>
              <w:overflowPunct/>
              <w:topLinePunct w:val="0"/>
              <w:autoSpaceDE/>
              <w:autoSpaceDN/>
              <w:bidi w:val="0"/>
              <w:adjustRightInd/>
              <w:snapToGrid/>
              <w:spacing w:line="400" w:lineRule="exact"/>
              <w:ind w:firstLine="5400" w:firstLineChars="1800"/>
              <w:textAlignment w:val="auto"/>
              <w:rPr>
                <w:rFonts w:eastAsia="楷体_GB2312"/>
                <w:bCs/>
                <w:sz w:val="28"/>
                <w:szCs w:val="28"/>
              </w:rPr>
            </w:pPr>
            <w:r>
              <w:rPr>
                <w:rFonts w:hint="eastAsia" w:ascii="仿宋_GB2312" w:hAnsi="仿宋_GB2312" w:eastAsia="仿宋_GB2312" w:cs="仿宋_GB2312"/>
                <w:sz w:val="30"/>
                <w:szCs w:val="30"/>
                <w:lang w:val="en-US" w:eastAsia="zh-CN"/>
              </w:rPr>
              <w:t xml:space="preserve">2021年6月14日 </w:t>
            </w:r>
            <w:r>
              <w:rPr>
                <w:rFonts w:hint="eastAsia" w:ascii="仿宋_GB2312" w:hAnsi="仿宋_GB2312" w:eastAsia="仿宋_GB2312" w:cs="仿宋_GB2312"/>
                <w:sz w:val="32"/>
                <w:szCs w:val="32"/>
                <w:lang w:val="en-US" w:eastAsia="zh-CN"/>
              </w:rPr>
              <w:t xml:space="preserve"> </w:t>
            </w: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53F2CB2E"/>
    <w:multiLevelType w:val="singleLevel"/>
    <w:tmpl w:val="53F2CB2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VjZDc5YjMxMWU0ZTk5NDM5YjMxZTY4N2E3MDU0MjE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6456"/>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393A"/>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47EFA"/>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0D69"/>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4425FE9"/>
    <w:rsid w:val="04C331C3"/>
    <w:rsid w:val="05FF6281"/>
    <w:rsid w:val="06E17D3B"/>
    <w:rsid w:val="0B163B2B"/>
    <w:rsid w:val="0B4507BC"/>
    <w:rsid w:val="0B580592"/>
    <w:rsid w:val="0C5672A5"/>
    <w:rsid w:val="0CEE6048"/>
    <w:rsid w:val="0F803E6A"/>
    <w:rsid w:val="11751FF3"/>
    <w:rsid w:val="15AF4DD5"/>
    <w:rsid w:val="1604125D"/>
    <w:rsid w:val="178F1A2B"/>
    <w:rsid w:val="17D34280"/>
    <w:rsid w:val="1AD475A4"/>
    <w:rsid w:val="1B6948E9"/>
    <w:rsid w:val="1CB533A4"/>
    <w:rsid w:val="1D12485B"/>
    <w:rsid w:val="1FDE2C12"/>
    <w:rsid w:val="212200A6"/>
    <w:rsid w:val="21383517"/>
    <w:rsid w:val="26510A01"/>
    <w:rsid w:val="27005F66"/>
    <w:rsid w:val="27D7337A"/>
    <w:rsid w:val="28FC776E"/>
    <w:rsid w:val="2AF23E85"/>
    <w:rsid w:val="2CC9190C"/>
    <w:rsid w:val="308549EA"/>
    <w:rsid w:val="364E2F94"/>
    <w:rsid w:val="37202641"/>
    <w:rsid w:val="39ED5374"/>
    <w:rsid w:val="3C157E3D"/>
    <w:rsid w:val="3D52139E"/>
    <w:rsid w:val="3D7043B0"/>
    <w:rsid w:val="3E9C3F6D"/>
    <w:rsid w:val="40EE5649"/>
    <w:rsid w:val="4678383F"/>
    <w:rsid w:val="4B3412CF"/>
    <w:rsid w:val="4BD57F1D"/>
    <w:rsid w:val="5130585B"/>
    <w:rsid w:val="529E6357"/>
    <w:rsid w:val="52D5693E"/>
    <w:rsid w:val="582A300A"/>
    <w:rsid w:val="5A1218AC"/>
    <w:rsid w:val="631637CD"/>
    <w:rsid w:val="637757B2"/>
    <w:rsid w:val="63E36C5E"/>
    <w:rsid w:val="64172CDF"/>
    <w:rsid w:val="70AE4870"/>
    <w:rsid w:val="76535E72"/>
    <w:rsid w:val="7BCF19FE"/>
    <w:rsid w:val="7C7176A0"/>
    <w:rsid w:val="7E93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3">
    <w:name w:val="Body Text"/>
    <w:basedOn w:val="1"/>
    <w:qFormat/>
    <w:uiPriority w:val="0"/>
    <w:pPr>
      <w:spacing w:after="120" w:afterLines="0" w:afterAutospacing="0"/>
    </w:pPr>
  </w:style>
  <w:style w:type="paragraph" w:styleId="4">
    <w:name w:val="Body Text Indent 2"/>
    <w:basedOn w:val="1"/>
    <w:link w:val="15"/>
    <w:unhideWhenUsed/>
    <w:qFormat/>
    <w:uiPriority w:val="99"/>
    <w:pPr>
      <w:ind w:firstLine="588" w:firstLineChars="200"/>
    </w:pPr>
    <w:rPr>
      <w:rFonts w:ascii="仿宋_GB2312" w:hAnsi="Calibri" w:eastAsia="仿宋_GB2312"/>
      <w:sz w:val="32"/>
    </w:rPr>
  </w:style>
  <w:style w:type="paragraph" w:styleId="5">
    <w:name w:val="Balloon Text"/>
    <w:basedOn w:val="1"/>
    <w:link w:val="18"/>
    <w:semiHidden/>
    <w:qFormat/>
    <w:uiPriority w:val="0"/>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4"/>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5"/>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20</Pages>
  <Words>9383</Words>
  <Characters>10187</Characters>
  <Lines>78</Lines>
  <Paragraphs>21</Paragraphs>
  <TotalTime>27</TotalTime>
  <ScaleCrop>false</ScaleCrop>
  <LinksUpToDate>false</LinksUpToDate>
  <CharactersWithSpaces>11365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Ⅴ＋勇</cp:lastModifiedBy>
  <dcterms:modified xsi:type="dcterms:W3CDTF">2022-09-28T06:04:51Z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1FB8B3420081464B984CC5558BC300DF</vt:lpwstr>
  </property>
</Properties>
</file>