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各位评标专家：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自“评标专家劳务报酬智能支付系统”正式上线运行以来，有部分评标专家对代扣、代缴税款标准存在疑惑，时常有专家电话咨询，鉴于上述情况，现将系统设定代扣、代缴税款标准所依据的现行法律、法规和规范性文件摘要如下，供各位专家学习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中华人民共和国个人所得税法》（1980年9月10日第五届全国人民代表大会第三次会议通过根据1993年10月31日第八届全国人民代表大会常务委员会第四次会议《关于修改〈中华人民共和国个人所得税法〉的决定》第一次修正根据1999年8月30日第九届全国人民代表大会常务委员会第十一次会议《关于修改〈中华人民共和国个人所得税法〉的决定》第二次修正根据2005年10月27日第十届全国人民代表大会常务委员会第十八次会议《关于修改〈中华人民共和国个人所得税法〉的决定》第三次修正根据2007年6月29日第十届全国人民代表大会常务委员会第二十八次会议《关于修改〈中华人民共和国个人所得税法〉的决定》第四次修正根据2007年12月29日第十届全国人民代表大会常务委员会第三十一次会议《关于修改〈中华人民共和国个人所得税法〉的决定》第五次修正根据2011年6月30日第十一届全国人民代表大会常务委员会第二十一次会议《关于修改〈中华人民共和国个人所得税法〉的决定》第六次修正根据2018年8月31日第十三届全国人民代表大会常务委员会第五次会议《关于修改〈中华人民共和国个人所得税法〉的决定》第七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第十一条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居民个人向扣缴义务人提供专项附加扣除信息的，扣缴义务人按月预扣预缴税款时应当按照规定予以扣除，不得拒绝。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非居民个人取得工资、薪金所得，劳务报酬所得，稿酬所得和特许权使用费所得，有扣缴义务人的，由扣缴义务人按月或者按次代扣代缴税款，不办理汇算清缴。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第十四条  扣缴义务人每月或者每次预扣、代扣的税款，应当在次月十五日内缴入国库，并向税务机关报送扣缴个人所得税申报表。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纳税人办理汇算清缴退税或者扣缴义务人为纳税人办理汇算清缴退税的，税务机关审核后，按照国库管理的有关规定办理退税。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二、《中华人民共和国城市维护建设税法》（2020年8月11日第十三届全国人民代表大会常务委员会第二十一次会议通过）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第二条 城市维护建设税以纳税人依法实际缴纳的增值税、消费税税额为计税依据。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城市维护建设税的计税依据应当按照规定扣除期末留抵退税退还的增值税税额。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第四条 城市维护建设税税率如下：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（一）纳税人所在地在市区的，税率为百分之七；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（二）纳税人所在地在县城、镇的，税率为百分之五；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（三）纳税人所在地不在市区、县城或者镇的，税率为百分之一。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前款所称纳税人所在地，是指纳税人住所地或者与纳税人生产经营活动相关的其他地点，具体地点由省、自治区、直辖市确定。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第五条 城市维护建设税的应纳税额按照计税依据乘以具体适用税率计算。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第七条 城市维护建设税的纳税义务发生时间与增值税、消费税的纳税义务发生时间一致，分别与增值税、消费税同时缴纳。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第八条 城市维护建设税的扣缴义务人为负有增值税、消费税扣缴义务的单位和个人，在扣缴增值税、消费税的同时扣缴城市维护建设税。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三、《中华人民共和国增值税暂行条例》(1993年12月13日中华人民共和国国务院令第134号公布　2008年11月5日国务院第34次常务会议修订通过　根据2016年2月6日《国务院关于修改部分行政法规的决定》第一次修订　根据2017年11月19日《国务院关于废止〈中华人民共和国营业税暂行条例〉和修改〈中华人民共和国增值税暂行条例〉的决定》第二次修订)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第一条　在中华人民共和国境内销售货物或者加工、修理修配劳务(以下简称劳务)，销售服务、无形资产、不动产以及进口货物的单位和个人，为增值税的纳税人，应当依照本条例缴纳增值税。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第二条　增值税税率：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(一)纳税人销售货物、劳务、有形动产租赁服务或者进口货物，除本条第二项、第四项、第五项另有规定外，税率为17%。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(三)纳税人销售服务、无形资产，除本条第一项、第二项、第五项另有规定外，税率为6%。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第四条　除本条例第十一条规定外，纳税人销售货物、劳务、服务、无形资产、不动产(以下统称应税销售行为)，应纳税额为当期销项税额抵扣当期进项税额后的余额。应纳税额计算公式：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应纳税额＝当期销项税额－当期进项税额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当期销项税额小于当期进项税额不足抵扣时，其不足部分可以结转下期继续抵扣。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第八条　纳税人购进货物、劳务、服务、无形资产、不动产支付或者负担的增值税额，为进项税额。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下列进项税额准予从销项税额中抵扣：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(一)从销售方取得的增值税专用发票上注明的增值税额。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(二)从海关取得的海关进口增值税专用缴款书上注明的增值税额。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(四)自境外单位或者个人购进劳务、服务、无形资产或者境内的不动产，从税务机关或者扣缴义务人取得的代扣代缴税款的完税凭证上注明的增值税额。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第九条　纳税人购进货物、劳务、服务、无形资产、不动产，取得的增值税扣税凭证不符合法律、行政法规或者国务院税务主管部门有关规定的，其进项税额不得从销项税额中抵扣。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第十八条　中华人民共和国境外的单位或者个人在境内销售劳务，在境内未设有经营机构的，以其境内代理人为扣缴义务人；在境内没有代理人的，以购买方为扣缴义务人。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第十九条　增值税纳税义务发生时间：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(一)发生应税销售行为，为收讫销售款项或者取得索取销售款项凭据的当天；先开具发票的，为开具发票的当天。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(二)进口货物，为报关进口的当天。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增值税扣缴义务发生时间为纳税人增值税纳税义务发生的当天。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第二十三条　增值税的纳税期限分别为1日、3日、5日、10日、15日、1个月或者1个季度。纳税人的具体纳税期限，由主管税务机关根据纳税人应纳税额的大小分别核定；不能按照固定期限纳税的，可以按次纳税。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纳税人以1个月或者1个季度为1个纳税期的，自期满之日起15日内申报纳税；以1日、3日、5日、10日或者15日为1个纳税期的，自期满之日起5日内预缴税款，于次月1日起15日内申报纳税并结清上月应纳税款。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扣缴义务人解缴税款的期限，依照前两款规定执行。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四、《中华人民共和国个人所得税法实施条例》（自2019年1月1日起施行）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1994年1月28日中华人民共和国国务院令第142号发布根据2005年12月19日《国务院关于修改〈中华人民共和国个人所得税法实施条例〉的决定》第一次修订根据2008年2月18日《国务院关于修改〈中华人民共和国个人所得税法实施条例〉的决定》第二次修订根据2011年7月19日《国务院关于修改〈中华人民共和国个人所得税法实施条例〉的决定》第三次修订2018年12月18日中华人民共和国国务院令第707号第四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第十四条个人所得税法第六条第一款第二项、第四项、第六项所称每次，分别按照下列方法确定：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（一）劳务报酬所得、稿酬所得、特许权使用费所得，属于一次性收入的，以取得该项收入为一次；属于同一项目连续性收入的，以一个月内取得的收入为一次。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五、财政部《关于统一地方教育附加政策有关问题的通知》财综〔2010〕98号（2010年11月7日发布）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统一开征地方教育附加。尚未开征地方教育附加的省份，省级财政部门应按照《教育法》的规定，根据本地区实际情况尽快研究制订开征地方教育附加的方案，报省级人民政府同意后，由省级人民政府于2010年12月31日前报财政部审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统一地方教育附加征收标准。地方教育附加征收标准统一为单位和个人（包括外商投资企业、外国企业及外籍个人）实际缴纳的增值税、营业税和消费税税额的2%。已经财政部审批且征收标准低于2%的省份，应将地方教育附加的征收标准调整为2%，调整征收标准的方案由省级人民政府于2010年12月31日前报财政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六、税务总局《个人所得税扣缴申报管理办法（试行）》（自2019年1月1日起施行）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第八条　扣缴义务人向居民个人支付劳务报酬所得、稿酬所得、特许权使用费所得时，应当按照以下方法按次或者按月预扣预缴税款：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劳务报酬所得、稿酬所得、特许权使用费所得以收入减除费用后的余额为收入额；其中，稿酬所得的收入额减按百分之七十计算。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减除费用：预扣预缴税款时，劳务报酬所得、稿酬所得、特许权使用费所得每次收入不超过四千元的，减除费用按八百元计算；每次收入四千元以上的，减除费用按收入的百分之二十计算。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七、国家税务总局《关于纳税人申请代开增值税发票办理流程的公告》国家税务总局公告2016年第59号（自2016年11月15日起施行）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（一）在地税局委托国税局代征税费的办税服务厅，纳税人按照以下次序办理：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1.在国税局办税服务厅指定窗口：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（1）提交《代开增值税发票缴纳税款申报单》（见附件）；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（2）自然人申请代开发票，提交身份证件及复印件；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其他纳税人申请代开发票，提交加载统一社会信用代码的营业执照（或税务登记证或组织机构代码证）、经办人身份证件及复印件。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2.在同一窗口申报缴纳增值税等有关税费。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3.在同一窗口领取发票。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（二）在国税地税合作、共建的办税服务厅，纳税人按照以下次序办理：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1.在办税服务厅国税指定窗口：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（1）提交《代开增值税发票缴纳税款申报单》；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（2）自然人申请代开发票，提交身份证件及复印件；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其他纳税人申请代开发票，提交加载统一社会信用代码的营业执照（或税务登记证或组织机构代码证）、经办人身份证件及复印件。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2.在同一窗口缴纳增值税。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3.到地税指定窗口申报缴纳有关税费。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4.到国税指定窗口凭相关缴纳税费证明领取发票。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二、各省税务机关应在本公告规定的基础上，结合本地实际，制定更为细化、更有明确指向和可操作的纳税人申请代开发票办理流程公告，切实将简化优化办税流程落到实处。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八、国家税务总局《关于全面实施新个人所得税法若干征管衔接问题的公告》2018年第56号（自2019年1月1日起施行）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一、居民个人预扣预缴方法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扣缴义务人向居民个人支付工资、薪金所得，劳务报酬所得，稿酬所得，特许权使用费所得时，按以下方法预扣预缴个人所得税，并向主管税务机关报送《个人所得税扣缴申报表》（见附件1）。年度预扣预缴税额与年度应纳税额不一致的，由居民个人于次年3月1日至6月30日向主管税务机关办理综合所得年度汇算清缴，税款多退少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（一）扣缴义务人向居民个人支付工资、薪金所得时，应当按照累计预扣法计算预扣税款，并按月办理全员全额扣缴申报。具体计算公式如下：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本期应预扣预缴税额=（累计预扣预缴应纳税所得额×预扣率-速算扣除数)-累计减免税额-累计已预扣预缴税额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累计预扣预缴应纳税所得额=累计收入-累计免税收入-累计减除费用-累计专项扣除-累计专项附加扣除-累计依法确定的其他扣除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其中：累计减除费用，按照5000元/月乘以纳税人当年截至本月在本单位的任职受雇月份数计算。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上述公式中，计算居民个人工资、薪金所得预扣预缴税额的预扣率、速算扣除数，按《个人所得税预扣率表一》(见附件2）执行。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（二）扣缴义务人向居民个人支付劳务报酬所得、稿酬所得、特许权使用费所得，按次或者按月预扣预缴个人所得税。具体预扣预缴方法如下：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劳务报酬所得、稿酬所得、特许权使用费所得以收入减除费用后的余额为收入额。其中，稿酬所得的收入额减按百分之七十计算。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减除费用：劳务报酬所得、稿酬所得、特许权使用费所得每次收入不超过四千元的，减除费用按八百元计算；每次收入四千元以上的，减除费用按百分之二十计算。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应纳税所得额：劳务报酬所得、稿酬所得、特许权使用费所得，以每次收入额为预扣预缴应纳税所得额。劳务报酬所得适用百分之二十至百分之四十的超额累进预扣率（见附件2《个人所得税预扣率表二》），稿酬所得、特许权使用费所得适用百分之二十的比例预扣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劳务报酬所得应预扣预缴税额=预扣预缴应纳税所得额×预扣率-速算扣除数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九、税务总局《个人所得税扣缴申报管理办法（试行）》（自2019年1月1日起施行）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第二条　扣缴义务人，是指向个人支付所得的单位或者个人。扣缴义务人应当依法办理全员全额扣缴申报。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全员全额扣缴申报，是指扣缴义务人应当在代扣税款的次月十五日内，向主管税务机关报送其支付所得的所有个人的有关信息、支付所得数额、扣除事项和数额、扣缴税款的具体数额和总额以及其他相关涉税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第三条　扣缴义务人每月或者每次预扣、代扣的税款，应当在次月十五日内缴入国库，并向税务机关报送《个人所得税扣缴申报表》。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第四条　实行个人所得税全员全额扣缴申报的应税所得包括：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（二）劳务报酬所得；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第五条　扣缴义务人首次向纳税人支付所得时，应当按照纳税人提供的纳税人识别号等基础信息，填写《个人所得税基础信息表（A表）》，并于次月扣缴申报时向税务机关报送。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扣缴义务人对纳税人向其报告的相关基础信息变化情况，应当于次月扣缴申报时向税务机关报送。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第八条　扣缴义务人向居民个人支付劳务报酬所得、稿酬所得、特许权使用费所得时，应当按照以下方法按次或者按月预扣预缴税款：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劳务报酬所得、稿酬所得、特许权使用费所得以收入减除费用后的余额为收入额；其中，稿酬所得的收入额减按百分之七十计算。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减除费用：预扣预缴税款时，劳务报酬所得、稿酬所得、特许权使用费所得每次收入不超过四千元的，减除费用按八百元</w:t>
      </w:r>
      <w:bookmarkStart w:id="0" w:name="_GoBack"/>
      <w:bookmarkEnd w:id="0"/>
      <w:r>
        <w:rPr>
          <w:rFonts w:hint="eastAsia" w:ascii="宋体" w:hAnsi="宋体" w:eastAsia="宋体" w:cs="宋体"/>
          <w:i w:val="0"/>
          <w:iCs w:val="0"/>
          <w:caps w:val="0"/>
          <w:color w:val="555555"/>
          <w:spacing w:val="0"/>
          <w:sz w:val="24"/>
          <w:szCs w:val="24"/>
          <w:bdr w:val="none" w:color="auto" w:sz="0" w:space="0"/>
          <w:shd w:val="clear" w:fill="FFFFFF"/>
        </w:rPr>
        <w:t>计算；每次收入四千元以上的，减除费用按收入的百分之二十计算。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应纳税所得额：劳务报酬所得、稿酬所得、特许权使用费所得，以每次收入额为预扣预缴应纳税所得额，计算应预扣预缴税额。劳务报酬所得适用个人所得税预扣率表二（见附件），稿酬所得、特许权使用费所得适用百分之二十的比例预扣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居民个人办理年度综合所得汇算清缴时，应当依法计算劳务报酬所得、稿酬所得、特许权使用费所得的收入额，并入年度综合所得计算应纳税款，税款多退少补。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第十一条　劳务报酬所得、稿酬所得、特许权使用费所得，属于一次性收入的，以取得该项收入为一次；属于同一项目连续性收入的，以一个月内取得的收入为一次。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第十二条　纳税人需要享受税收协定待遇的，应当在取得应税所得时主动向扣缴义务人提出，并提交相关信息、资料，扣缴义务人代扣代缴税款时按照享受税收协定待遇有关办法办理。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第十三条　支付工资、薪金所得的扣缴义务人应当于年度终了后两个月内，向纳税人提供其个人所得和已扣缴税款等信息。纳税人年度中间需要提供上述信息的，扣缴义务人应当提供。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纳税人取得除工资、薪金所得以外的其他所得，扣缴义务人应当在扣缴税款后，及时向纳税人提供其个人所得和已扣缴税款等信息。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第十四条　扣缴义务人应当按照纳税人提供的信息计算税款、办理扣缴申报，不得擅自更改纳税人提供的信息。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个人所得税预扣率表二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宋体" w:cs="宋体"/>
          <w:i w:val="0"/>
          <w:iCs w:val="0"/>
          <w:caps w:val="0"/>
          <w:color w:val="555555"/>
          <w:spacing w:val="0"/>
          <w:sz w:val="24"/>
          <w:szCs w:val="24"/>
        </w:rPr>
      </w:pPr>
      <w:r>
        <w:rPr>
          <w:rFonts w:hint="eastAsia" w:ascii="宋体" w:hAnsi="宋体" w:eastAsia="宋体" w:cs="宋体"/>
          <w:i w:val="0"/>
          <w:iCs w:val="0"/>
          <w:caps w:val="0"/>
          <w:color w:val="555555"/>
          <w:spacing w:val="0"/>
          <w:sz w:val="24"/>
          <w:szCs w:val="24"/>
          <w:bdr w:val="none" w:color="auto" w:sz="0" w:space="0"/>
          <w:shd w:val="clear" w:fill="FFFFFF"/>
        </w:rPr>
        <w:t>（居民个人劳务报酬所得预扣预缴适用）</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60"/>
        <w:gridCol w:w="3885"/>
        <w:gridCol w:w="1545"/>
        <w:gridCol w:w="15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级数</w:t>
            </w:r>
          </w:p>
        </w:tc>
        <w:tc>
          <w:tcPr>
            <w:tcW w:w="3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预扣预缴应纳税所得额</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预扣率（%）</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速算扣除数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3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不超过20000元</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3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超过20000元至50000元的部分</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30</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388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超过50000元的部分</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40</w:t>
            </w:r>
          </w:p>
        </w:tc>
        <w:tc>
          <w:tcPr>
            <w:tcW w:w="15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NGUwZmRlYmRiYjVjZGJjZDFkYTQyNTI0MGRiMTYifQ=="/>
  </w:docVars>
  <w:rsids>
    <w:rsidRoot w:val="00000000"/>
    <w:rsid w:val="08DD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2023-05-06T07:30:20Z</dcterms:created>
  <dc:creator>Administrator</dc:creator>
  <cp:lastModifiedBy>Administrator</cp:lastModifiedBy>
  <dcterms:modified xsi:type="dcterms:W3CDTF">2023-05-06T07:30:41Z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98AE0138C8D64C26A389243154440B0C_12</vt:lpwstr>
  </property>
</Properties>
</file>