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caps w:val="0"/>
          <w:color w:val="auto"/>
          <w:spacing w:val="0"/>
          <w:sz w:val="39"/>
          <w:szCs w:val="39"/>
        </w:rPr>
      </w:pPr>
      <w:bookmarkStart w:id="0" w:name="_GoBack"/>
      <w:r>
        <w:rPr>
          <w:rFonts w:hint="eastAsia" w:ascii="宋体" w:hAnsi="宋体" w:eastAsia="宋体" w:cs="宋体"/>
          <w:caps w:val="0"/>
          <w:color w:val="auto"/>
          <w:spacing w:val="0"/>
          <w:sz w:val="39"/>
          <w:szCs w:val="39"/>
          <w:bdr w:val="none" w:color="auto" w:sz="0" w:space="0"/>
          <w:shd w:val="clear" w:fill="FFFFFF"/>
        </w:rPr>
        <w:t>2022年度岳阳市公共资源交易中心整体支出绩效自评报告</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jc w:val="center"/>
        <w:rPr>
          <w:rFonts w:hint="eastAsia" w:ascii="宋体" w:hAnsi="宋体" w:eastAsia="宋体" w:cs="宋体"/>
          <w:i w:val="0"/>
          <w:iCs w:val="0"/>
          <w:caps w:val="0"/>
          <w:color w:val="878787"/>
          <w:spacing w:val="0"/>
          <w:sz w:val="19"/>
          <w:szCs w:val="19"/>
        </w:rPr>
      </w:pPr>
      <w:r>
        <w:rPr>
          <w:rFonts w:hint="eastAsia" w:ascii="宋体" w:hAnsi="宋体" w:eastAsia="宋体" w:cs="宋体"/>
          <w:i w:val="0"/>
          <w:iCs w:val="0"/>
          <w:caps w:val="0"/>
          <w:color w:val="333333"/>
          <w:spacing w:val="0"/>
          <w:kern w:val="0"/>
          <w:sz w:val="19"/>
          <w:szCs w:val="19"/>
          <w:u w:val="none"/>
          <w:bdr w:val="none" w:color="auto" w:sz="0" w:space="0"/>
          <w:shd w:val="clear" w:fill="FFFFFF"/>
          <w:lang w:val="en-US" w:eastAsia="zh-CN" w:bidi="ar"/>
        </w:rPr>
        <w:fldChar w:fldCharType="begin"/>
      </w:r>
      <w:r>
        <w:rPr>
          <w:rFonts w:hint="eastAsia" w:ascii="宋体" w:hAnsi="宋体" w:eastAsia="宋体" w:cs="宋体"/>
          <w:i w:val="0"/>
          <w:iCs w:val="0"/>
          <w:caps w:val="0"/>
          <w:color w:val="333333"/>
          <w:spacing w:val="0"/>
          <w:kern w:val="0"/>
          <w:sz w:val="19"/>
          <w:szCs w:val="19"/>
          <w:u w:val="none"/>
          <w:bdr w:val="none" w:color="auto" w:sz="0" w:space="0"/>
          <w:shd w:val="clear" w:fill="FFFFFF"/>
          <w:lang w:val="en-US" w:eastAsia="zh-CN" w:bidi="ar"/>
        </w:rPr>
        <w:instrText xml:space="preserve"> HYPERLINK "javascript:void(0);" \o "分享到微信" </w:instrText>
      </w:r>
      <w:r>
        <w:rPr>
          <w:rFonts w:hint="eastAsia" w:ascii="宋体" w:hAnsi="宋体" w:eastAsia="宋体" w:cs="宋体"/>
          <w:i w:val="0"/>
          <w:iCs w:val="0"/>
          <w:caps w:val="0"/>
          <w:color w:val="333333"/>
          <w:spacing w:val="0"/>
          <w:kern w:val="0"/>
          <w:sz w:val="19"/>
          <w:szCs w:val="19"/>
          <w:u w:val="none"/>
          <w:bdr w:val="none" w:color="auto" w:sz="0" w:space="0"/>
          <w:shd w:val="clear" w:fill="FFFFFF"/>
          <w:lang w:val="en-US" w:eastAsia="zh-CN" w:bidi="ar"/>
        </w:rPr>
        <w:fldChar w:fldCharType="separate"/>
      </w:r>
      <w:r>
        <w:rPr>
          <w:rFonts w:hint="eastAsia" w:ascii="宋体" w:hAnsi="宋体" w:eastAsia="宋体" w:cs="宋体"/>
          <w:i w:val="0"/>
          <w:iCs w:val="0"/>
          <w:caps w:val="0"/>
          <w:color w:val="333333"/>
          <w:spacing w:val="0"/>
          <w:kern w:val="0"/>
          <w:sz w:val="19"/>
          <w:szCs w:val="19"/>
          <w:u w:val="none"/>
          <w:bdr w:val="none" w:color="auto" w:sz="0" w:space="0"/>
          <w:shd w:val="clear" w:fill="FFFFFF"/>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iCs w:val="0"/>
          <w:caps w:val="0"/>
          <w:color w:val="555555"/>
          <w:spacing w:val="0"/>
          <w:sz w:val="24"/>
          <w:szCs w:val="24"/>
          <w:bdr w:val="none" w:color="auto" w:sz="0" w:space="0"/>
          <w:shd w:val="clear" w:fill="FFFFFF"/>
        </w:rPr>
        <w:t>　　一、基本情况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iCs w:val="0"/>
          <w:caps w:val="0"/>
          <w:color w:val="555555"/>
          <w:spacing w:val="0"/>
          <w:sz w:val="24"/>
          <w:szCs w:val="24"/>
          <w:bdr w:val="none" w:color="auto" w:sz="0" w:space="0"/>
          <w:shd w:val="clear" w:fill="FFFFFF"/>
        </w:rPr>
        <w:t>　　（一）部门（单位）基本情况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iCs w:val="0"/>
          <w:caps w:val="0"/>
          <w:color w:val="555555"/>
          <w:spacing w:val="0"/>
          <w:sz w:val="24"/>
          <w:szCs w:val="24"/>
          <w:bdr w:val="none" w:color="auto" w:sz="0" w:space="0"/>
          <w:shd w:val="clear" w:fill="FFFFFF"/>
        </w:rPr>
        <w:t>　　1、职能职责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iCs w:val="0"/>
          <w:caps w:val="0"/>
          <w:color w:val="555555"/>
          <w:spacing w:val="0"/>
          <w:sz w:val="24"/>
          <w:szCs w:val="24"/>
          <w:bdr w:val="none" w:color="auto" w:sz="0" w:space="0"/>
          <w:shd w:val="clear" w:fill="FFFFFF"/>
        </w:rPr>
        <w:t>　　（1）负责市级公共资源交易平台及信息网络系统建设、运行、管理，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iCs w:val="0"/>
          <w:caps w:val="0"/>
          <w:color w:val="555555"/>
          <w:spacing w:val="0"/>
          <w:sz w:val="24"/>
          <w:szCs w:val="24"/>
          <w:bdr w:val="none" w:color="auto" w:sz="0" w:space="0"/>
          <w:shd w:val="clear" w:fill="FFFFFF"/>
        </w:rPr>
        <w:t>　　（2）配合有关部门研究制定平台内交易活动的技术标准、交易流程、操作规程和现场管理制度。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iCs w:val="0"/>
          <w:caps w:val="0"/>
          <w:color w:val="555555"/>
          <w:spacing w:val="0"/>
          <w:sz w:val="24"/>
          <w:szCs w:val="24"/>
          <w:bdr w:val="none" w:color="auto" w:sz="0" w:space="0"/>
          <w:shd w:val="clear" w:fill="FFFFFF"/>
        </w:rPr>
        <w:t>　　（3）依法受理各类公共资源交易申请，依法收集、储存、发布各类公共资源交易的相关信息。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iCs w:val="0"/>
          <w:caps w:val="0"/>
          <w:color w:val="555555"/>
          <w:spacing w:val="0"/>
          <w:sz w:val="24"/>
          <w:szCs w:val="24"/>
          <w:bdr w:val="none" w:color="auto" w:sz="0" w:space="0"/>
          <w:shd w:val="clear" w:fill="FFFFFF"/>
        </w:rPr>
        <w:t>　　（4）负责全市公共资源交易保证金的收退，负责核实评审资料，办理交易确认书。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iCs w:val="0"/>
          <w:caps w:val="0"/>
          <w:color w:val="555555"/>
          <w:spacing w:val="0"/>
          <w:sz w:val="24"/>
          <w:szCs w:val="24"/>
          <w:bdr w:val="none" w:color="auto" w:sz="0" w:space="0"/>
          <w:shd w:val="clear" w:fill="FFFFFF"/>
        </w:rPr>
        <w:t>　　（5）负责全市公共资源交易监管网的运行和维护，为行业监管、行政监察提供平台服务，及时报告交易活动中的违规、违纪行为。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iCs w:val="0"/>
          <w:caps w:val="0"/>
          <w:color w:val="555555"/>
          <w:spacing w:val="0"/>
          <w:sz w:val="24"/>
          <w:szCs w:val="24"/>
          <w:bdr w:val="none" w:color="auto" w:sz="0" w:space="0"/>
          <w:shd w:val="clear" w:fill="FFFFFF"/>
        </w:rPr>
        <w:t>　　（6）承担市委、市政府和公共资源交易管理委员会交办的其它工作。中心现在交易服务场所位于岳阳市岳阳大道狮子山路丘山大厦1-6楼，总面积3862平方米，拥有1个监督室，6个开标室、13个评标室、1个专家抽取室，1个专用评委候评室，1个评委用餐室，并配备了较为完备的监控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iCs w:val="0"/>
          <w:caps w:val="0"/>
          <w:color w:val="555555"/>
          <w:spacing w:val="0"/>
          <w:sz w:val="24"/>
          <w:szCs w:val="24"/>
          <w:bdr w:val="none" w:color="auto" w:sz="0" w:space="0"/>
          <w:shd w:val="clear" w:fill="FFFFFF"/>
        </w:rPr>
        <w:t>　　2、机构设置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iCs w:val="0"/>
          <w:caps w:val="0"/>
          <w:color w:val="555555"/>
          <w:spacing w:val="0"/>
          <w:sz w:val="24"/>
          <w:szCs w:val="24"/>
          <w:bdr w:val="none" w:color="auto" w:sz="0" w:space="0"/>
          <w:shd w:val="clear" w:fill="FFFFFF"/>
        </w:rPr>
        <w:t>　　我中心设综合部、人事部、财务部、信息技术部、交易服务部、现场管理部、政府采购交易部、工程建设交易部、国有产权交易部、自然资源交易部10个内设机构。目前，中心共有编制51人，实有干部职工51人，退休人员8人。全部纳入2022年部门预算编制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iCs w:val="0"/>
          <w:caps w:val="0"/>
          <w:color w:val="555555"/>
          <w:spacing w:val="0"/>
          <w:sz w:val="24"/>
          <w:szCs w:val="24"/>
          <w:bdr w:val="none" w:color="auto" w:sz="0" w:space="0"/>
          <w:shd w:val="clear" w:fill="FFFFFF"/>
        </w:rPr>
        <w:t>　　（二）部门（单位）年度整体支出绩效目标，市级专项资金绩效目标、其他项目支出（除市级专项资金以外）绩效目标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iCs w:val="0"/>
          <w:caps w:val="0"/>
          <w:color w:val="555555"/>
          <w:spacing w:val="0"/>
          <w:sz w:val="24"/>
          <w:szCs w:val="24"/>
          <w:bdr w:val="none" w:color="auto" w:sz="0" w:space="0"/>
          <w:shd w:val="clear" w:fill="FFFFFF"/>
        </w:rPr>
        <w:t>　　2022年度中心预算绩效目标为：1.健全党建组织，发挥模范作用。各支部委员会要在贯彻落实中发挥带领作用，强化政治引领，发挥党的群众工作优势和党员先锋模范作用。要把加强党的组织体系建设摆到更加重要的位置，全面推行《党员综合管理考核》，采取更加有力的措施，不断推动各支部党的建设全面进步、全面过硬。2.深化政治学习，加大业务培训。坚持党建与业务“两不误、双促进”，认真组织开展业务知识培训，加强对政策、法律法规的系统化学习，切实将学习成果有效转化为实际操作能力，以党建推动业务发展。3.落实主体责任，防控廉洁风险。加强对科室服务流程的严格执行，优化交易管理程序，及时纠正、制止违反政治纪律和政治规矩的行为。健全党风廉政建设工作体系，加强风险防控，确保令行禁止，杜绝违法违纪行为发生。4.加强人员对接，推进电子交易。一是主动对接行业监督部门，争取行业监督部门尽快下发EPC和政府采购类项目招标文件标准范本，持续深化交易全流程电子化。二是加大对代理公司、投标人、专家的电子化交易培训。三是强化科室人员业务学习、培训，熟练掌握全流程电子化操作应用。5.优化财务系统，加大推广力度。要进一步提升保证金管理水平，由事后监督前置为事前监督。不断优化保证金智能化系统，完善使用功能，进一步加强资金安全，提升保密层级，降低线下及人工干预，减轻财务人员风险，提高工作效率。要加速推广“中标贷”平台，加强与银行的平台对接，解决中小微企业融资难，银行放款难的问题。6.精简服务程序，提高办理时效。深化落实“放管服”和“一件事一次办”改革，不断优化服务流程，提高服务水平，用技术手段来弥补人工的不足。今年中心要朝着“一件事零跑腿”的目标，继续推进全流程电子化交易，完善保证金管理系统，实现交易服务费线上收退，不断研发出能为市场主体排忧解难，提高市场满意度，提升办理时效的系统。7.加强现场见证，实现智能监督。提升大数据、人工智能的数据采样分析精准度，开发投标文件雷同性分析、评标人员异常行为捕捉等围标串标线索检测工具。推进省综合评标专家库、政府采购专家库和交易平台楼宇智能系统的数据对接，实现专家考勤管理全过程自动化。8.加大信用评估，推进诚信建设。加强对投标企业、代理机构、专家评委的场内行为的评估管理，加强与发改、市场监管等部门的沟通，推进信用信息数据共享互认，推进全市统一的信用信息数据库建设，逐步完善守信激励、失信惩戒工作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iCs w:val="0"/>
          <w:caps w:val="0"/>
          <w:color w:val="555555"/>
          <w:spacing w:val="0"/>
          <w:sz w:val="24"/>
          <w:szCs w:val="24"/>
          <w:bdr w:val="none" w:color="auto" w:sz="0" w:space="0"/>
          <w:shd w:val="clear" w:fill="FFFFFF"/>
        </w:rPr>
        <w:t>　　具体完成情况：1、一是认真组织学习培训。认真开展十九届六中全会精神、全国两会精神、习近平法治思想重要论述的学习，组织对习近平总书记在建团100周年大会上的重要讲话、习近平总书记在中央党校（国家行政学院）中青年干部培训班开班式上的重要讲话进行了专题学习，全面贯彻落实市委、市政府重要会议精神。2、优化电子化交易系统。开发IT监测平台，实现24小时对交易系统服务器进行监控。加强专家场内管理。完成了中心门禁系统与省综合评标专家库抽取系统对接，实现了专家名单无纸化流转，完成了专家评审劳务费线上发放平台建设方案研究；推进楼宇智能系统。加强楼宇智能系统维保，确保中心开评标设备的正常运转。3、拓展服务范围，优化营商环境。积极推广“中标贷”应用。升级完善保证金管理系统。推进远程异地评标常态化。4、强化监督支持，防控廉政风险。对接住建、水利、交通部门等行政主管部门，在中心门户网站发布相关招投标政策法规文件，在曝光台发布了相关企业及个人违纪违规信息。向市公管办及项目行政监督部门上报涉嫌围标串标问题线索4条，配合公安部门提供工程建设交易相关资料及问题线索4次，其中涉及项目20个，涉及投标人16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iCs w:val="0"/>
          <w:caps w:val="0"/>
          <w:color w:val="555555"/>
          <w:spacing w:val="0"/>
          <w:sz w:val="24"/>
          <w:szCs w:val="24"/>
          <w:bdr w:val="none" w:color="auto" w:sz="0" w:space="0"/>
          <w:shd w:val="clear" w:fill="FFFFFF"/>
        </w:rPr>
        <w:t>　　二、一般公共预算支出情况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iCs w:val="0"/>
          <w:caps w:val="0"/>
          <w:color w:val="555555"/>
          <w:spacing w:val="0"/>
          <w:sz w:val="24"/>
          <w:szCs w:val="24"/>
          <w:bdr w:val="none" w:color="auto" w:sz="0" w:space="0"/>
          <w:shd w:val="clear" w:fill="FFFFFF"/>
        </w:rPr>
        <w:t>　　（一）基本支出情况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iCs w:val="0"/>
          <w:caps w:val="0"/>
          <w:color w:val="555555"/>
          <w:spacing w:val="0"/>
          <w:sz w:val="24"/>
          <w:szCs w:val="24"/>
          <w:bdr w:val="none" w:color="auto" w:sz="0" w:space="0"/>
          <w:shd w:val="clear" w:fill="FFFFFF"/>
        </w:rPr>
        <w:t>　　2022年度基本支出为804.03万元，其中：工资福利支出658.62万元，商品服务支出124.44万元，对个人和家庭的补助支出20.22万元。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iCs w:val="0"/>
          <w:caps w:val="0"/>
          <w:color w:val="555555"/>
          <w:spacing w:val="0"/>
          <w:sz w:val="24"/>
          <w:szCs w:val="24"/>
          <w:bdr w:val="none" w:color="auto" w:sz="0" w:space="0"/>
          <w:shd w:val="clear" w:fill="FFFFFF"/>
        </w:rPr>
        <w:t>　　（二）项目支出情况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iCs w:val="0"/>
          <w:caps w:val="0"/>
          <w:color w:val="555555"/>
          <w:spacing w:val="0"/>
          <w:sz w:val="24"/>
          <w:szCs w:val="24"/>
          <w:bdr w:val="none" w:color="auto" w:sz="0" w:space="0"/>
          <w:shd w:val="clear" w:fill="FFFFFF"/>
        </w:rPr>
        <w:t>　　2022年度项目支出为1517.72万元，全部为纳入专户管理的非税收入拨款。其中：工资福利支出53.48万元，商品服务支出869.49万元，对个人和家庭的补助支出144.49万元，资本性支出480.26万元。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iCs w:val="0"/>
          <w:caps w:val="0"/>
          <w:color w:val="555555"/>
          <w:spacing w:val="0"/>
          <w:sz w:val="24"/>
          <w:szCs w:val="24"/>
          <w:bdr w:val="none" w:color="auto" w:sz="0" w:space="0"/>
          <w:shd w:val="clear" w:fill="FFFFFF"/>
        </w:rPr>
        <w:t>　　三、政府性基金预算支出情况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iCs w:val="0"/>
          <w:caps w:val="0"/>
          <w:color w:val="555555"/>
          <w:spacing w:val="0"/>
          <w:sz w:val="24"/>
          <w:szCs w:val="24"/>
          <w:bdr w:val="none" w:color="auto" w:sz="0" w:space="0"/>
          <w:shd w:val="clear" w:fill="FFFFFF"/>
        </w:rPr>
        <w:t>　　我中心无政府性基金预算。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iCs w:val="0"/>
          <w:caps w:val="0"/>
          <w:color w:val="555555"/>
          <w:spacing w:val="0"/>
          <w:sz w:val="24"/>
          <w:szCs w:val="24"/>
          <w:bdr w:val="none" w:color="auto" w:sz="0" w:space="0"/>
          <w:shd w:val="clear" w:fill="FFFFFF"/>
        </w:rPr>
        <w:t>　　四、国有资本经营预算支出情况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iCs w:val="0"/>
          <w:caps w:val="0"/>
          <w:color w:val="555555"/>
          <w:spacing w:val="0"/>
          <w:sz w:val="24"/>
          <w:szCs w:val="24"/>
          <w:bdr w:val="none" w:color="auto" w:sz="0" w:space="0"/>
          <w:shd w:val="clear" w:fill="FFFFFF"/>
        </w:rPr>
        <w:t>　　我中心无国有资本经营预算。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iCs w:val="0"/>
          <w:caps w:val="0"/>
          <w:color w:val="555555"/>
          <w:spacing w:val="0"/>
          <w:sz w:val="24"/>
          <w:szCs w:val="24"/>
          <w:bdr w:val="none" w:color="auto" w:sz="0" w:space="0"/>
          <w:shd w:val="clear" w:fill="FFFFFF"/>
        </w:rPr>
        <w:t>　　五、社会保险基金预算支出情况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iCs w:val="0"/>
          <w:caps w:val="0"/>
          <w:color w:val="555555"/>
          <w:spacing w:val="0"/>
          <w:sz w:val="24"/>
          <w:szCs w:val="24"/>
          <w:bdr w:val="none" w:color="auto" w:sz="0" w:space="0"/>
          <w:shd w:val="clear" w:fill="FFFFFF"/>
        </w:rPr>
        <w:t>　　我中心无社会保险基金预算。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iCs w:val="0"/>
          <w:caps w:val="0"/>
          <w:color w:val="555555"/>
          <w:spacing w:val="0"/>
          <w:sz w:val="24"/>
          <w:szCs w:val="24"/>
          <w:bdr w:val="none" w:color="auto" w:sz="0" w:space="0"/>
          <w:shd w:val="clear" w:fill="FFFFFF"/>
        </w:rPr>
        <w:t>　　六、部门整体支出绩效情况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iCs w:val="0"/>
          <w:caps w:val="0"/>
          <w:color w:val="555555"/>
          <w:spacing w:val="0"/>
          <w:sz w:val="24"/>
          <w:szCs w:val="24"/>
          <w:bdr w:val="none" w:color="auto" w:sz="0" w:space="0"/>
          <w:shd w:val="clear" w:fill="FFFFFF"/>
        </w:rPr>
        <w:t>　　总结归纳本部门“四本预算”支出的绩效目标完成情况，实现产出和取得效益的情况。围绕部门职责、行业发展规划，以预算资金管理为主线，总结部门资产管理和开展业务情况，从运行成本、管理效率、履职效能、社会效应、可持续发展能力和服务对象满意度等方面，衡量部门整体及核心业务实施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iCs w:val="0"/>
          <w:caps w:val="0"/>
          <w:color w:val="555555"/>
          <w:spacing w:val="0"/>
          <w:sz w:val="24"/>
          <w:szCs w:val="24"/>
          <w:bdr w:val="none" w:color="auto" w:sz="0" w:space="0"/>
          <w:shd w:val="clear" w:fill="FFFFFF"/>
        </w:rPr>
        <w:t>　　七、存在的问题及原因分析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iCs w:val="0"/>
          <w:caps w:val="0"/>
          <w:color w:val="555555"/>
          <w:spacing w:val="0"/>
          <w:sz w:val="24"/>
          <w:szCs w:val="24"/>
          <w:bdr w:val="none" w:color="auto" w:sz="0" w:space="0"/>
          <w:shd w:val="clear" w:fill="FFFFFF"/>
        </w:rPr>
        <w:t>　　2022年本单位整体支出绩效目标监控任务达成，不存在未完成原因分析。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iCs w:val="0"/>
          <w:caps w:val="0"/>
          <w:color w:val="555555"/>
          <w:spacing w:val="0"/>
          <w:sz w:val="24"/>
          <w:szCs w:val="24"/>
          <w:bdr w:val="none" w:color="auto" w:sz="0" w:space="0"/>
          <w:shd w:val="clear" w:fill="FFFFFF"/>
        </w:rPr>
        <w:t>　　八、下一步改进措施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iCs w:val="0"/>
          <w:caps w:val="0"/>
          <w:color w:val="555555"/>
          <w:spacing w:val="0"/>
          <w:sz w:val="24"/>
          <w:szCs w:val="24"/>
          <w:bdr w:val="none" w:color="auto" w:sz="0" w:space="0"/>
          <w:shd w:val="clear" w:fill="FFFFFF"/>
        </w:rPr>
        <w:t>　　加强监管，做到监管机制环环相扣，不出现断层；单位预算是财政总预算的基础，它是党和国家方针政策和社会发展战略在部门单位预算中的体现，是单位正常开展业务活动的重要经济保证。因此，为保证预算编制的质量，在编制预算中，本单位遵循下列原则：合法性原则、完整性原则、真实性原则、稳妥性原则、合作性原则、绩效性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iCs w:val="0"/>
          <w:caps w:val="0"/>
          <w:color w:val="555555"/>
          <w:spacing w:val="0"/>
          <w:sz w:val="24"/>
          <w:szCs w:val="24"/>
          <w:bdr w:val="none" w:color="auto" w:sz="0" w:space="0"/>
          <w:shd w:val="clear" w:fill="FFFFFF"/>
        </w:rPr>
        <w:t>　　建立健全财政绩效评价指标体系，加强工作人员的业务培训和财政绩效管理信息化建设，加大绩效评价结果的运用。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iCs w:val="0"/>
          <w:caps w:val="0"/>
          <w:color w:val="555555"/>
          <w:spacing w:val="0"/>
          <w:sz w:val="24"/>
          <w:szCs w:val="24"/>
          <w:bdr w:val="none" w:color="auto" w:sz="0" w:space="0"/>
          <w:shd w:val="clear" w:fill="FFFFFF"/>
        </w:rPr>
        <w:t>　　九、绩效自评结果拟应用和公开情况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iCs w:val="0"/>
          <w:caps w:val="0"/>
          <w:color w:val="555555"/>
          <w:spacing w:val="0"/>
          <w:sz w:val="24"/>
          <w:szCs w:val="24"/>
          <w:bdr w:val="none" w:color="auto" w:sz="0" w:space="0"/>
          <w:shd w:val="clear" w:fill="FFFFFF"/>
        </w:rPr>
        <w:t>　　绩效自评结果已在各项工作中运用且在政府门户网站及中心网站公示。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iCs w:val="0"/>
          <w:caps w:val="0"/>
          <w:color w:val="555555"/>
          <w:spacing w:val="0"/>
          <w:sz w:val="24"/>
          <w:szCs w:val="24"/>
          <w:bdr w:val="none" w:color="auto" w:sz="0" w:space="0"/>
          <w:shd w:val="clear" w:fill="FFFFFF"/>
        </w:rPr>
        <w:t>　　十、其他需要说明的情况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iCs w:val="0"/>
          <w:caps w:val="0"/>
          <w:color w:val="555555"/>
          <w:spacing w:val="0"/>
          <w:sz w:val="24"/>
          <w:szCs w:val="24"/>
          <w:bdr w:val="none" w:color="auto" w:sz="0" w:space="0"/>
          <w:shd w:val="clear" w:fill="FFFFFF"/>
        </w:rPr>
        <w:t>　　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iCs w:val="0"/>
          <w:caps w:val="0"/>
          <w:color w:val="555555"/>
          <w:spacing w:val="0"/>
          <w:sz w:val="24"/>
          <w:szCs w:val="24"/>
          <w:bdr w:val="none" w:color="auto" w:sz="0" w:space="0"/>
          <w:shd w:val="clear" w:fill="FFFFFF"/>
        </w:rPr>
        <w:t>　　报告需要以下附件：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iCs w:val="0"/>
          <w:caps w:val="0"/>
          <w:color w:val="555555"/>
          <w:spacing w:val="0"/>
          <w:sz w:val="24"/>
          <w:szCs w:val="24"/>
          <w:bdr w:val="none" w:color="auto" w:sz="0" w:space="0"/>
          <w:shd w:val="clear" w:fill="FFFFFF"/>
        </w:rPr>
        <w:t>　　1.部门整体支出绩效评价基础数据表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iCs w:val="0"/>
          <w:caps w:val="0"/>
          <w:color w:val="555555"/>
          <w:spacing w:val="0"/>
          <w:sz w:val="24"/>
          <w:szCs w:val="24"/>
          <w:bdr w:val="none" w:color="auto" w:sz="0" w:space="0"/>
          <w:shd w:val="clear" w:fill="FFFFFF"/>
        </w:rPr>
        <w:t>　　2.部门整体支出绩效自评表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iCs w:val="0"/>
          <w:caps w:val="0"/>
          <w:color w:val="555555"/>
          <w:spacing w:val="0"/>
          <w:sz w:val="24"/>
          <w:szCs w:val="24"/>
          <w:bdr w:val="none" w:color="auto" w:sz="0" w:space="0"/>
          <w:shd w:val="clear" w:fill="FFFFFF"/>
        </w:rPr>
        <w:t>　　3.项目支出绩效自评表（每个一级项目支出一张表）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iCs w:val="0"/>
          <w:caps w:val="0"/>
          <w:color w:val="555555"/>
          <w:spacing w:val="0"/>
          <w:sz w:val="24"/>
          <w:szCs w:val="24"/>
          <w:bdr w:val="none" w:color="auto" w:sz="0" w:space="0"/>
          <w:shd w:val="clear" w:fill="FFFFFF"/>
        </w:rPr>
        <w:t>　　4.政府性基金预算支出情况表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iCs w:val="0"/>
          <w:caps w:val="0"/>
          <w:color w:val="555555"/>
          <w:spacing w:val="0"/>
          <w:sz w:val="24"/>
          <w:szCs w:val="24"/>
          <w:bdr w:val="none" w:color="auto" w:sz="0" w:space="0"/>
          <w:shd w:val="clear" w:fill="FFFFFF"/>
        </w:rPr>
        <w:t>　　5.国有资本经营预算支出情况表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iCs w:val="0"/>
          <w:caps w:val="0"/>
          <w:color w:val="555555"/>
          <w:spacing w:val="0"/>
          <w:sz w:val="24"/>
          <w:szCs w:val="24"/>
          <w:bdr w:val="none" w:color="auto" w:sz="0" w:space="0"/>
          <w:shd w:val="clear" w:fill="FFFFFF"/>
        </w:rPr>
        <w:t>　　6.社会保险基金预算支出情况表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宋体" w:hAnsi="宋体" w:eastAsia="宋体" w:cs="宋体"/>
          <w:i w:val="0"/>
          <w:iCs w:val="0"/>
          <w:caps w:val="0"/>
          <w:color w:val="555555"/>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Calibri" w:hAnsi="Calibri" w:cs="Calibri"/>
          <w:i w:val="0"/>
          <w:iCs w:val="0"/>
          <w:caps w:val="0"/>
          <w:color w:val="555555"/>
          <w:spacing w:val="0"/>
          <w:sz w:val="21"/>
          <w:szCs w:val="21"/>
        </w:rPr>
      </w:pPr>
      <w:r>
        <w:rPr>
          <w:rFonts w:ascii="黑体" w:hAnsi="宋体" w:eastAsia="黑体" w:cs="黑体"/>
          <w:i w:val="0"/>
          <w:iCs w:val="0"/>
          <w:caps w:val="0"/>
          <w:color w:val="555555"/>
          <w:spacing w:val="0"/>
          <w:sz w:val="32"/>
          <w:szCs w:val="32"/>
          <w:bdr w:val="none" w:color="auto" w:sz="0" w:space="0"/>
          <w:shd w:val="clear" w:fill="FFFFFF"/>
        </w:rPr>
        <w:t>附件</w:t>
      </w:r>
      <w:r>
        <w:rPr>
          <w:rFonts w:hint="eastAsia" w:ascii="黑体" w:hAnsi="宋体" w:eastAsia="黑体" w:cs="黑体"/>
          <w:i w:val="0"/>
          <w:iCs w:val="0"/>
          <w:caps w:val="0"/>
          <w:color w:val="555555"/>
          <w:spacing w:val="0"/>
          <w:sz w:val="32"/>
          <w:szCs w:val="32"/>
          <w:bdr w:val="none" w:color="auto" w:sz="0" w:space="0"/>
          <w:shd w:val="clear" w:fill="FFFFFF"/>
        </w:rPr>
        <w:t>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Calibri" w:hAnsi="Calibri" w:cs="Calibri"/>
          <w:i w:val="0"/>
          <w:iCs w:val="0"/>
          <w:caps w:val="0"/>
          <w:color w:val="555555"/>
          <w:spacing w:val="0"/>
          <w:sz w:val="21"/>
          <w:szCs w:val="21"/>
        </w:rPr>
      </w:pPr>
      <w:r>
        <w:rPr>
          <w:rFonts w:ascii="仿_GB2312" w:hAnsi="仿_GB2312" w:eastAsia="仿_GB2312" w:cs="仿_GB2312"/>
          <w:b/>
          <w:bCs/>
          <w:i w:val="0"/>
          <w:iCs w:val="0"/>
          <w:caps w:val="0"/>
          <w:color w:val="555555"/>
          <w:spacing w:val="0"/>
          <w:sz w:val="36"/>
          <w:szCs w:val="36"/>
          <w:bdr w:val="none" w:color="auto" w:sz="0" w:space="0"/>
          <w:shd w:val="clear" w:fill="FFFFFF"/>
        </w:rPr>
        <w:t>2022年度</w:t>
      </w:r>
      <w:r>
        <w:rPr>
          <w:rFonts w:hint="default" w:ascii="仿_GB2312" w:hAnsi="仿_GB2312" w:eastAsia="仿_GB2312" w:cs="仿_GB2312"/>
          <w:b/>
          <w:bCs/>
          <w:i w:val="0"/>
          <w:iCs w:val="0"/>
          <w:caps w:val="0"/>
          <w:color w:val="555555"/>
          <w:spacing w:val="0"/>
          <w:sz w:val="36"/>
          <w:szCs w:val="36"/>
          <w:bdr w:val="none" w:color="auto" w:sz="0" w:space="0"/>
          <w:shd w:val="clear" w:fill="FFFFFF"/>
        </w:rPr>
        <w:t>部门整体支出绩效评价基础数据表</w:t>
      </w:r>
    </w:p>
    <w:tbl>
      <w:tblPr>
        <w:tblW w:w="946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3355"/>
        <w:gridCol w:w="1189"/>
        <w:gridCol w:w="849"/>
        <w:gridCol w:w="1129"/>
        <w:gridCol w:w="1111"/>
        <w:gridCol w:w="969"/>
        <w:gridCol w:w="86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397" w:hRule="atLeast"/>
          <w:jc w:val="center"/>
        </w:trPr>
        <w:tc>
          <w:tcPr>
            <w:tcW w:w="3355" w:type="dxa"/>
            <w:vMerge w:val="restart"/>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仿宋" w:hAnsi="仿宋" w:eastAsia="仿宋" w:cs="仿宋"/>
                <w:sz w:val="21"/>
                <w:szCs w:val="21"/>
                <w:bdr w:val="none" w:color="auto" w:sz="0" w:space="0"/>
              </w:rPr>
              <w:t>财政供养人员情况</w:t>
            </w:r>
            <w:r>
              <w:rPr>
                <w:rFonts w:hint="eastAsia" w:ascii="仿宋" w:hAnsi="仿宋" w:eastAsia="仿宋" w:cs="仿宋"/>
                <w:sz w:val="21"/>
                <w:szCs w:val="21"/>
                <w:bdr w:val="none" w:color="auto" w:sz="0" w:space="0"/>
              </w:rPr>
              <w:t>（人）</w:t>
            </w:r>
          </w:p>
        </w:tc>
        <w:tc>
          <w:tcPr>
            <w:tcW w:w="2038" w:type="dxa"/>
            <w:gridSpan w:val="2"/>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_GB2312" w:hAnsi="仿_GB2312" w:eastAsia="仿_GB2312" w:cs="仿_GB2312"/>
                <w:b/>
                <w:bCs/>
                <w:sz w:val="21"/>
                <w:szCs w:val="21"/>
                <w:bdr w:val="none" w:color="auto" w:sz="0" w:space="0"/>
              </w:rPr>
              <w:t>编制数</w:t>
            </w:r>
          </w:p>
        </w:tc>
        <w:tc>
          <w:tcPr>
            <w:tcW w:w="2240" w:type="dxa"/>
            <w:gridSpan w:val="2"/>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_GB2312" w:hAnsi="仿_GB2312" w:eastAsia="仿_GB2312" w:cs="仿_GB2312"/>
                <w:b/>
                <w:bCs/>
                <w:sz w:val="21"/>
                <w:szCs w:val="21"/>
                <w:bdr w:val="none" w:color="auto" w:sz="0" w:space="0"/>
              </w:rPr>
              <w:t>2022年实际在职人数</w:t>
            </w:r>
          </w:p>
        </w:tc>
        <w:tc>
          <w:tcPr>
            <w:tcW w:w="1832" w:type="dxa"/>
            <w:gridSpan w:val="2"/>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_GB2312" w:hAnsi="仿_GB2312" w:eastAsia="仿_GB2312" w:cs="仿_GB2312"/>
                <w:b/>
                <w:bCs/>
                <w:sz w:val="21"/>
                <w:szCs w:val="21"/>
                <w:bdr w:val="none" w:color="auto" w:sz="0" w:space="0"/>
              </w:rPr>
              <w:t>控制率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3355" w:type="dxa"/>
            <w:vMerge w:val="continue"/>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2038"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51</w:t>
            </w:r>
          </w:p>
        </w:tc>
        <w:tc>
          <w:tcPr>
            <w:tcW w:w="2240"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51</w:t>
            </w:r>
          </w:p>
        </w:tc>
        <w:tc>
          <w:tcPr>
            <w:tcW w:w="1832"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100%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3355" w:type="dxa"/>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经费控制情况（万元）</w:t>
            </w:r>
          </w:p>
        </w:tc>
        <w:tc>
          <w:tcPr>
            <w:tcW w:w="2038"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_GB2312" w:hAnsi="仿_GB2312" w:eastAsia="仿_GB2312" w:cs="仿_GB2312"/>
                <w:b/>
                <w:bCs/>
                <w:sz w:val="21"/>
                <w:szCs w:val="21"/>
                <w:bdr w:val="none" w:color="auto" w:sz="0" w:space="0"/>
              </w:rPr>
              <w:t>2021年决算数</w:t>
            </w:r>
          </w:p>
        </w:tc>
        <w:tc>
          <w:tcPr>
            <w:tcW w:w="2240"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_GB2312" w:hAnsi="仿_GB2312" w:eastAsia="仿_GB2312" w:cs="仿_GB2312"/>
                <w:b/>
                <w:bCs/>
                <w:sz w:val="21"/>
                <w:szCs w:val="21"/>
                <w:bdr w:val="none" w:color="auto" w:sz="0" w:space="0"/>
              </w:rPr>
              <w:t>2022年预算数</w:t>
            </w:r>
          </w:p>
        </w:tc>
        <w:tc>
          <w:tcPr>
            <w:tcW w:w="1832"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_GB2312" w:hAnsi="仿_GB2312" w:eastAsia="仿_GB2312" w:cs="仿_GB2312"/>
                <w:b/>
                <w:bCs/>
                <w:sz w:val="21"/>
                <w:szCs w:val="21"/>
                <w:bdr w:val="none" w:color="auto" w:sz="0" w:space="0"/>
              </w:rPr>
              <w:t>2022年决算数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3355" w:type="dxa"/>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1"/>
                <w:szCs w:val="21"/>
                <w:bdr w:val="none" w:color="auto" w:sz="0" w:space="0"/>
              </w:rPr>
              <w:t>三公经费</w:t>
            </w:r>
          </w:p>
        </w:tc>
        <w:tc>
          <w:tcPr>
            <w:tcW w:w="2038"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c>
          <w:tcPr>
            <w:tcW w:w="2240"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c>
          <w:tcPr>
            <w:tcW w:w="1832"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3355" w:type="dxa"/>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Calibri" w:hAnsi="Calibri" w:cs="Calibri"/>
                <w:sz w:val="21"/>
                <w:szCs w:val="21"/>
                <w:bdr w:val="none" w:color="auto" w:sz="0" w:space="0"/>
              </w:rPr>
              <w:t>   1</w:t>
            </w:r>
            <w:r>
              <w:rPr>
                <w:rFonts w:hint="eastAsia" w:ascii="仿宋" w:hAnsi="仿宋" w:eastAsia="仿宋" w:cs="仿宋"/>
                <w:sz w:val="21"/>
                <w:szCs w:val="21"/>
                <w:bdr w:val="none" w:color="auto" w:sz="0" w:space="0"/>
              </w:rPr>
              <w:t>、公务用车购置和维护经费</w:t>
            </w:r>
          </w:p>
        </w:tc>
        <w:tc>
          <w:tcPr>
            <w:tcW w:w="2038"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3.39</w:t>
            </w:r>
          </w:p>
        </w:tc>
        <w:tc>
          <w:tcPr>
            <w:tcW w:w="2240"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8</w:t>
            </w:r>
          </w:p>
        </w:tc>
        <w:tc>
          <w:tcPr>
            <w:tcW w:w="1832"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3.66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3355" w:type="dxa"/>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Calibri" w:hAnsi="Calibri" w:cs="Calibri"/>
                <w:sz w:val="21"/>
                <w:szCs w:val="21"/>
                <w:bdr w:val="none" w:color="auto" w:sz="0" w:space="0"/>
              </w:rPr>
              <w:t>       </w:t>
            </w:r>
            <w:r>
              <w:rPr>
                <w:rFonts w:hint="eastAsia" w:ascii="仿宋" w:hAnsi="仿宋" w:eastAsia="仿宋" w:cs="仿宋"/>
                <w:sz w:val="21"/>
                <w:szCs w:val="21"/>
                <w:bdr w:val="none" w:color="auto" w:sz="0" w:space="0"/>
              </w:rPr>
              <w:t>其中：公车购置</w:t>
            </w:r>
          </w:p>
        </w:tc>
        <w:tc>
          <w:tcPr>
            <w:tcW w:w="2038"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0</w:t>
            </w:r>
          </w:p>
        </w:tc>
        <w:tc>
          <w:tcPr>
            <w:tcW w:w="2240"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0</w:t>
            </w:r>
          </w:p>
        </w:tc>
        <w:tc>
          <w:tcPr>
            <w:tcW w:w="1832"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90" w:hRule="atLeast"/>
          <w:jc w:val="center"/>
        </w:trPr>
        <w:tc>
          <w:tcPr>
            <w:tcW w:w="3355" w:type="dxa"/>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Calibri" w:hAnsi="Calibri" w:cs="Calibri"/>
                <w:sz w:val="21"/>
                <w:szCs w:val="21"/>
                <w:bdr w:val="none" w:color="auto" w:sz="0" w:space="0"/>
              </w:rPr>
              <w:t>             </w:t>
            </w:r>
            <w:r>
              <w:rPr>
                <w:rFonts w:hint="eastAsia" w:ascii="仿宋" w:hAnsi="仿宋" w:eastAsia="仿宋" w:cs="仿宋"/>
                <w:sz w:val="21"/>
                <w:szCs w:val="21"/>
                <w:bdr w:val="none" w:color="auto" w:sz="0" w:space="0"/>
              </w:rPr>
              <w:t>公车运行维护</w:t>
            </w:r>
          </w:p>
        </w:tc>
        <w:tc>
          <w:tcPr>
            <w:tcW w:w="2038"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3.39</w:t>
            </w:r>
          </w:p>
        </w:tc>
        <w:tc>
          <w:tcPr>
            <w:tcW w:w="2240"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8</w:t>
            </w:r>
          </w:p>
        </w:tc>
        <w:tc>
          <w:tcPr>
            <w:tcW w:w="1832"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3.66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3355" w:type="dxa"/>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Calibri" w:hAnsi="Calibri" w:cs="Calibri"/>
                <w:sz w:val="21"/>
                <w:szCs w:val="21"/>
                <w:bdr w:val="none" w:color="auto" w:sz="0" w:space="0"/>
              </w:rPr>
              <w:t>   2</w:t>
            </w:r>
            <w:r>
              <w:rPr>
                <w:rFonts w:hint="eastAsia" w:ascii="仿宋" w:hAnsi="仿宋" w:eastAsia="仿宋" w:cs="仿宋"/>
                <w:sz w:val="21"/>
                <w:szCs w:val="21"/>
                <w:bdr w:val="none" w:color="auto" w:sz="0" w:space="0"/>
              </w:rPr>
              <w:t>、出国经费</w:t>
            </w:r>
          </w:p>
        </w:tc>
        <w:tc>
          <w:tcPr>
            <w:tcW w:w="2038"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0</w:t>
            </w:r>
          </w:p>
        </w:tc>
        <w:tc>
          <w:tcPr>
            <w:tcW w:w="2240"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0</w:t>
            </w:r>
          </w:p>
        </w:tc>
        <w:tc>
          <w:tcPr>
            <w:tcW w:w="1832"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3355" w:type="dxa"/>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Calibri" w:hAnsi="Calibri" w:cs="Calibri"/>
                <w:sz w:val="21"/>
                <w:szCs w:val="21"/>
                <w:bdr w:val="none" w:color="auto" w:sz="0" w:space="0"/>
              </w:rPr>
              <w:t>   3</w:t>
            </w:r>
            <w:r>
              <w:rPr>
                <w:rFonts w:hint="eastAsia" w:ascii="仿宋" w:hAnsi="仿宋" w:eastAsia="仿宋" w:cs="仿宋"/>
                <w:sz w:val="21"/>
                <w:szCs w:val="21"/>
                <w:bdr w:val="none" w:color="auto" w:sz="0" w:space="0"/>
              </w:rPr>
              <w:t>、公务接待</w:t>
            </w:r>
          </w:p>
        </w:tc>
        <w:tc>
          <w:tcPr>
            <w:tcW w:w="2038"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1.7</w:t>
            </w:r>
          </w:p>
        </w:tc>
        <w:tc>
          <w:tcPr>
            <w:tcW w:w="2240"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30</w:t>
            </w:r>
          </w:p>
        </w:tc>
        <w:tc>
          <w:tcPr>
            <w:tcW w:w="1832"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0.69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3355" w:type="dxa"/>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1"/>
                <w:szCs w:val="21"/>
                <w:bdr w:val="none" w:color="auto" w:sz="0" w:space="0"/>
              </w:rPr>
              <w:t>项目支出：</w:t>
            </w:r>
          </w:p>
        </w:tc>
        <w:tc>
          <w:tcPr>
            <w:tcW w:w="2038"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c>
          <w:tcPr>
            <w:tcW w:w="2240"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c>
          <w:tcPr>
            <w:tcW w:w="1832"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3355" w:type="dxa"/>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Calibri" w:hAnsi="Calibri" w:cs="Calibri"/>
                <w:sz w:val="21"/>
                <w:szCs w:val="21"/>
                <w:bdr w:val="none" w:color="auto" w:sz="0" w:space="0"/>
              </w:rPr>
              <w:t>    1</w:t>
            </w:r>
            <w:r>
              <w:rPr>
                <w:rFonts w:hint="eastAsia" w:ascii="仿宋" w:hAnsi="仿宋" w:eastAsia="仿宋" w:cs="仿宋"/>
                <w:sz w:val="21"/>
                <w:szCs w:val="21"/>
                <w:bdr w:val="none" w:color="auto" w:sz="0" w:space="0"/>
              </w:rPr>
              <w:t>、业务工作经费</w:t>
            </w:r>
          </w:p>
        </w:tc>
        <w:tc>
          <w:tcPr>
            <w:tcW w:w="2038"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c>
          <w:tcPr>
            <w:tcW w:w="2240"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c>
          <w:tcPr>
            <w:tcW w:w="1832"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3355" w:type="dxa"/>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Calibri" w:hAnsi="Calibri" w:cs="Calibri"/>
                <w:sz w:val="21"/>
                <w:szCs w:val="21"/>
                <w:bdr w:val="none" w:color="auto" w:sz="0" w:space="0"/>
              </w:rPr>
              <w:t>    2</w:t>
            </w:r>
            <w:r>
              <w:rPr>
                <w:rFonts w:hint="eastAsia" w:ascii="仿宋" w:hAnsi="仿宋" w:eastAsia="仿宋" w:cs="仿宋"/>
                <w:sz w:val="21"/>
                <w:szCs w:val="21"/>
                <w:bdr w:val="none" w:color="auto" w:sz="0" w:space="0"/>
              </w:rPr>
              <w:t>、运行维护经费</w:t>
            </w:r>
          </w:p>
        </w:tc>
        <w:tc>
          <w:tcPr>
            <w:tcW w:w="2038"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1494.02</w:t>
            </w:r>
          </w:p>
        </w:tc>
        <w:tc>
          <w:tcPr>
            <w:tcW w:w="2240"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c>
          <w:tcPr>
            <w:tcW w:w="1832"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1517.72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624" w:hRule="atLeast"/>
          <w:jc w:val="center"/>
        </w:trPr>
        <w:tc>
          <w:tcPr>
            <w:tcW w:w="3355" w:type="dxa"/>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Calibri" w:hAnsi="Calibri" w:cs="Calibri"/>
                <w:sz w:val="21"/>
                <w:szCs w:val="21"/>
              </w:rPr>
            </w:pPr>
            <w:r>
              <w:rPr>
                <w:rFonts w:hint="default" w:ascii="Calibri" w:hAnsi="Calibri" w:cs="Calibri"/>
                <w:sz w:val="21"/>
                <w:szCs w:val="21"/>
                <w:bdr w:val="none" w:color="auto" w:sz="0" w:space="0"/>
              </w:rPr>
              <w:t>3</w:t>
            </w:r>
            <w:r>
              <w:rPr>
                <w:rFonts w:hint="eastAsia" w:ascii="仿宋" w:hAnsi="仿宋" w:eastAsia="仿宋" w:cs="仿宋"/>
                <w:sz w:val="21"/>
                <w:szCs w:val="21"/>
                <w:bdr w:val="none" w:color="auto" w:sz="0" w:space="0"/>
              </w:rPr>
              <w:t>、市级专项资金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rFonts w:hint="default" w:ascii="Calibri" w:hAnsi="Calibri" w:cs="Calibri"/>
                <w:sz w:val="21"/>
                <w:szCs w:val="21"/>
              </w:rPr>
            </w:pPr>
            <w:r>
              <w:rPr>
                <w:rFonts w:hint="eastAsia" w:ascii="仿宋" w:hAnsi="仿宋" w:eastAsia="仿宋" w:cs="仿宋"/>
                <w:sz w:val="21"/>
                <w:szCs w:val="21"/>
                <w:bdr w:val="none" w:color="auto" w:sz="0" w:space="0"/>
              </w:rPr>
              <w:t>（一个专项一行）</w:t>
            </w:r>
          </w:p>
        </w:tc>
        <w:tc>
          <w:tcPr>
            <w:tcW w:w="2038"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c>
          <w:tcPr>
            <w:tcW w:w="2240"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c>
          <w:tcPr>
            <w:tcW w:w="1832"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3355" w:type="dxa"/>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Calibri" w:hAnsi="Calibri" w:cs="Calibri"/>
                <w:sz w:val="21"/>
                <w:szCs w:val="21"/>
              </w:rPr>
            </w:pPr>
            <w:r>
              <w:rPr>
                <w:rFonts w:hint="default" w:ascii="Calibri" w:hAnsi="Calibri" w:cs="Calibri"/>
                <w:sz w:val="21"/>
                <w:szCs w:val="21"/>
                <w:bdr w:val="none" w:color="auto" w:sz="0" w:space="0"/>
              </w:rPr>
              <w:t>4</w:t>
            </w:r>
            <w:r>
              <w:rPr>
                <w:rFonts w:hint="eastAsia" w:ascii="仿宋" w:hAnsi="仿宋" w:eastAsia="仿宋" w:cs="仿宋"/>
                <w:sz w:val="21"/>
                <w:szCs w:val="21"/>
                <w:bdr w:val="none" w:color="auto" w:sz="0" w:space="0"/>
              </w:rPr>
              <w:t>、其他事业类发展资金</w:t>
            </w:r>
          </w:p>
        </w:tc>
        <w:tc>
          <w:tcPr>
            <w:tcW w:w="2038"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c>
          <w:tcPr>
            <w:tcW w:w="2240"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c>
          <w:tcPr>
            <w:tcW w:w="1832"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3355" w:type="dxa"/>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1"/>
                <w:szCs w:val="21"/>
                <w:bdr w:val="none" w:color="auto" w:sz="0" w:space="0"/>
              </w:rPr>
              <w:t>公用经费</w:t>
            </w:r>
          </w:p>
        </w:tc>
        <w:tc>
          <w:tcPr>
            <w:tcW w:w="2038"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55.85</w:t>
            </w:r>
          </w:p>
        </w:tc>
        <w:tc>
          <w:tcPr>
            <w:tcW w:w="2240"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c>
          <w:tcPr>
            <w:tcW w:w="1832"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125.19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3355" w:type="dxa"/>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Calibri" w:hAnsi="Calibri" w:cs="Calibri"/>
                <w:sz w:val="21"/>
                <w:szCs w:val="21"/>
                <w:bdr w:val="none" w:color="auto" w:sz="0" w:space="0"/>
              </w:rPr>
              <w:t>    </w:t>
            </w:r>
            <w:r>
              <w:rPr>
                <w:rFonts w:hint="eastAsia" w:ascii="仿宋" w:hAnsi="仿宋" w:eastAsia="仿宋" w:cs="仿宋"/>
                <w:sz w:val="21"/>
                <w:szCs w:val="21"/>
                <w:bdr w:val="none" w:color="auto" w:sz="0" w:space="0"/>
              </w:rPr>
              <w:t>其中：办公费</w:t>
            </w:r>
          </w:p>
        </w:tc>
        <w:tc>
          <w:tcPr>
            <w:tcW w:w="2038"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10</w:t>
            </w:r>
          </w:p>
        </w:tc>
        <w:tc>
          <w:tcPr>
            <w:tcW w:w="2240"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c>
          <w:tcPr>
            <w:tcW w:w="1832"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3.43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3355" w:type="dxa"/>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Calibri" w:hAnsi="Calibri" w:cs="Calibri"/>
                <w:sz w:val="21"/>
                <w:szCs w:val="21"/>
                <w:bdr w:val="none" w:color="auto" w:sz="0" w:space="0"/>
              </w:rPr>
              <w:t>          </w:t>
            </w:r>
            <w:r>
              <w:rPr>
                <w:rFonts w:hint="eastAsia" w:ascii="仿宋" w:hAnsi="仿宋" w:eastAsia="仿宋" w:cs="仿宋"/>
                <w:sz w:val="21"/>
                <w:szCs w:val="21"/>
                <w:bdr w:val="none" w:color="auto" w:sz="0" w:space="0"/>
              </w:rPr>
              <w:t>水费、电费、差旅费</w:t>
            </w:r>
          </w:p>
        </w:tc>
        <w:tc>
          <w:tcPr>
            <w:tcW w:w="2038"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2</w:t>
            </w:r>
          </w:p>
        </w:tc>
        <w:tc>
          <w:tcPr>
            <w:tcW w:w="2240"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c>
          <w:tcPr>
            <w:tcW w:w="1832"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2.77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3355" w:type="dxa"/>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Calibri" w:hAnsi="Calibri" w:cs="Calibri"/>
                <w:sz w:val="21"/>
                <w:szCs w:val="21"/>
                <w:bdr w:val="none" w:color="auto" w:sz="0" w:space="0"/>
              </w:rPr>
              <w:t>          </w:t>
            </w:r>
            <w:r>
              <w:rPr>
                <w:rFonts w:hint="eastAsia" w:ascii="仿宋" w:hAnsi="仿宋" w:eastAsia="仿宋" w:cs="仿宋"/>
                <w:sz w:val="21"/>
                <w:szCs w:val="21"/>
                <w:bdr w:val="none" w:color="auto" w:sz="0" w:space="0"/>
              </w:rPr>
              <w:t>会议费、培训费</w:t>
            </w:r>
          </w:p>
        </w:tc>
        <w:tc>
          <w:tcPr>
            <w:tcW w:w="2038"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0</w:t>
            </w:r>
          </w:p>
        </w:tc>
        <w:tc>
          <w:tcPr>
            <w:tcW w:w="2240"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c>
          <w:tcPr>
            <w:tcW w:w="1832"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3355" w:type="dxa"/>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1"/>
                <w:szCs w:val="21"/>
                <w:bdr w:val="none" w:color="auto" w:sz="0" w:space="0"/>
              </w:rPr>
              <w:t>政府采购金额</w:t>
            </w:r>
          </w:p>
        </w:tc>
        <w:tc>
          <w:tcPr>
            <w:tcW w:w="2038"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bdr w:val="none" w:color="auto" w:sz="0" w:space="0"/>
              </w:rPr>
              <w:t>——</w:t>
            </w:r>
          </w:p>
        </w:tc>
        <w:tc>
          <w:tcPr>
            <w:tcW w:w="2240"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c>
          <w:tcPr>
            <w:tcW w:w="1832"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96.696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3355" w:type="dxa"/>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1"/>
                <w:szCs w:val="21"/>
                <w:bdr w:val="none" w:color="auto" w:sz="0" w:space="0"/>
              </w:rPr>
              <w:t>部门基本支出预算调整</w:t>
            </w:r>
          </w:p>
        </w:tc>
        <w:tc>
          <w:tcPr>
            <w:tcW w:w="2038"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bdr w:val="none" w:color="auto" w:sz="0" w:space="0"/>
              </w:rPr>
              <w:t>——</w:t>
            </w:r>
          </w:p>
        </w:tc>
        <w:tc>
          <w:tcPr>
            <w:tcW w:w="2240"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c>
          <w:tcPr>
            <w:tcW w:w="1832"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837" w:hRule="atLeast"/>
          <w:jc w:val="center"/>
        </w:trPr>
        <w:tc>
          <w:tcPr>
            <w:tcW w:w="3355" w:type="dxa"/>
            <w:vMerge w:val="restart"/>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楼堂馆所控制情况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w:t>
            </w:r>
            <w:r>
              <w:rPr>
                <w:rFonts w:hint="default" w:ascii="Calibri" w:hAnsi="Calibri" w:cs="Calibri"/>
                <w:sz w:val="21"/>
                <w:szCs w:val="21"/>
                <w:bdr w:val="none" w:color="auto" w:sz="0" w:space="0"/>
              </w:rPr>
              <w:t>20</w:t>
            </w:r>
            <w:r>
              <w:rPr>
                <w:rFonts w:hint="default" w:ascii="Calibri" w:hAnsi="Calibri" w:eastAsia="仿宋" w:cs="Calibri"/>
                <w:sz w:val="21"/>
                <w:szCs w:val="21"/>
                <w:bdr w:val="none" w:color="auto" w:sz="0" w:space="0"/>
              </w:rPr>
              <w:t>22</w:t>
            </w:r>
            <w:r>
              <w:rPr>
                <w:rFonts w:hint="eastAsia" w:ascii="仿宋" w:hAnsi="仿宋" w:eastAsia="仿宋" w:cs="仿宋"/>
                <w:sz w:val="21"/>
                <w:szCs w:val="21"/>
                <w:bdr w:val="none" w:color="auto" w:sz="0" w:space="0"/>
              </w:rPr>
              <w:t>年完工项目）</w:t>
            </w:r>
          </w:p>
        </w:tc>
        <w:tc>
          <w:tcPr>
            <w:tcW w:w="118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批复规模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w:t>
            </w:r>
            <w:r>
              <w:rPr>
                <w:rFonts w:ascii="Batang" w:hAnsi="Batang" w:eastAsia="Batang" w:cs="Batang"/>
                <w:sz w:val="21"/>
                <w:szCs w:val="21"/>
                <w:bdr w:val="none" w:color="auto" w:sz="0" w:space="0"/>
              </w:rPr>
              <w:t>㎡</w:t>
            </w:r>
            <w:r>
              <w:rPr>
                <w:rFonts w:hint="eastAsia" w:ascii="仿宋" w:hAnsi="仿宋" w:eastAsia="仿宋" w:cs="仿宋"/>
                <w:sz w:val="21"/>
                <w:szCs w:val="21"/>
                <w:bdr w:val="none" w:color="auto" w:sz="0" w:space="0"/>
              </w:rPr>
              <w:t>）</w:t>
            </w:r>
          </w:p>
        </w:tc>
        <w:tc>
          <w:tcPr>
            <w:tcW w:w="8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实际规模（</w:t>
            </w:r>
            <w:r>
              <w:rPr>
                <w:rFonts w:hint="default" w:ascii="Batang" w:hAnsi="Batang" w:eastAsia="Batang" w:cs="Batang"/>
                <w:sz w:val="21"/>
                <w:szCs w:val="21"/>
                <w:bdr w:val="none" w:color="auto" w:sz="0" w:space="0"/>
              </w:rPr>
              <w:t>㎡</w:t>
            </w:r>
            <w:r>
              <w:rPr>
                <w:rFonts w:hint="eastAsia" w:ascii="仿宋" w:hAnsi="仿宋" w:eastAsia="仿宋" w:cs="仿宋"/>
                <w:sz w:val="21"/>
                <w:szCs w:val="21"/>
                <w:bdr w:val="none" w:color="auto" w:sz="0" w:space="0"/>
              </w:rPr>
              <w:t>）</w:t>
            </w:r>
          </w:p>
        </w:tc>
        <w:tc>
          <w:tcPr>
            <w:tcW w:w="112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规模控制率</w:t>
            </w:r>
          </w:p>
        </w:tc>
        <w:tc>
          <w:tcPr>
            <w:tcW w:w="1111"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预算投资（万元）</w:t>
            </w:r>
          </w:p>
        </w:tc>
        <w:tc>
          <w:tcPr>
            <w:tcW w:w="969"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实际投资（万元）</w:t>
            </w:r>
          </w:p>
        </w:tc>
        <w:tc>
          <w:tcPr>
            <w:tcW w:w="863"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投资概算控制率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54" w:hRule="atLeast"/>
          <w:jc w:val="center"/>
        </w:trPr>
        <w:tc>
          <w:tcPr>
            <w:tcW w:w="3355" w:type="dxa"/>
            <w:vMerge w:val="continue"/>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8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_GB2312" w:hAnsi="仿_GB2312" w:eastAsia="仿_GB2312" w:cs="仿_GB2312"/>
                <w:sz w:val="21"/>
                <w:szCs w:val="21"/>
                <w:bdr w:val="none" w:color="auto" w:sz="0" w:space="0"/>
              </w:rPr>
              <w:t>0</w:t>
            </w:r>
          </w:p>
        </w:tc>
        <w:tc>
          <w:tcPr>
            <w:tcW w:w="8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_GB2312" w:hAnsi="仿_GB2312" w:eastAsia="仿_GB2312" w:cs="仿_GB2312"/>
                <w:sz w:val="21"/>
                <w:szCs w:val="21"/>
                <w:bdr w:val="none" w:color="auto" w:sz="0" w:space="0"/>
              </w:rPr>
              <w:t>0</w:t>
            </w:r>
          </w:p>
        </w:tc>
        <w:tc>
          <w:tcPr>
            <w:tcW w:w="112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_GB2312" w:hAnsi="仿_GB2312" w:eastAsia="仿_GB2312" w:cs="仿_GB2312"/>
                <w:sz w:val="21"/>
                <w:szCs w:val="21"/>
                <w:bdr w:val="none" w:color="auto" w:sz="0" w:space="0"/>
              </w:rPr>
              <w:t>0</w:t>
            </w:r>
          </w:p>
        </w:tc>
        <w:tc>
          <w:tcPr>
            <w:tcW w:w="1111"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_GB2312" w:hAnsi="仿_GB2312" w:eastAsia="仿_GB2312" w:cs="仿_GB2312"/>
                <w:sz w:val="21"/>
                <w:szCs w:val="21"/>
                <w:bdr w:val="none" w:color="auto" w:sz="0" w:space="0"/>
              </w:rPr>
              <w:t>0</w:t>
            </w:r>
          </w:p>
        </w:tc>
        <w:tc>
          <w:tcPr>
            <w:tcW w:w="96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_GB2312" w:hAnsi="仿_GB2312" w:eastAsia="仿_GB2312" w:cs="仿_GB2312"/>
                <w:sz w:val="21"/>
                <w:szCs w:val="21"/>
                <w:bdr w:val="none" w:color="auto" w:sz="0" w:space="0"/>
              </w:rPr>
              <w:t>0</w:t>
            </w:r>
          </w:p>
        </w:tc>
        <w:tc>
          <w:tcPr>
            <w:tcW w:w="863"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_GB2312" w:hAnsi="仿_GB2312" w:eastAsia="仿_GB2312" w:cs="仿_GB2312"/>
                <w:sz w:val="21"/>
                <w:szCs w:val="21"/>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098" w:hRule="atLeast"/>
          <w:jc w:val="center"/>
        </w:trPr>
        <w:tc>
          <w:tcPr>
            <w:tcW w:w="3355" w:type="dxa"/>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厉行节约保障措施</w:t>
            </w:r>
          </w:p>
        </w:tc>
        <w:tc>
          <w:tcPr>
            <w:tcW w:w="6110" w:type="dxa"/>
            <w:gridSpan w:val="6"/>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1"/>
                <w:szCs w:val="21"/>
                <w:bdr w:val="none" w:color="auto" w:sz="0" w:space="0"/>
              </w:rPr>
              <w:t>为进一步加大厉行节约管理工作力度，紧缩各项开支，我中心在认真总结和梳理以往各项管理制度的基础上，进一步完善和健全规章制度，将各项措施更加细化和具体，实行以制度管人管事，严格控制各项开支的工作新局面。在财经管理和收费制度方面，严格执行财务管理各项规章制度，全面落实收支两条线的规定。</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jc w:val="center"/>
        <w:rPr>
          <w:rFonts w:hint="default" w:ascii="Calibri" w:hAnsi="Calibri" w:cs="Calibri"/>
          <w:i w:val="0"/>
          <w:iCs w:val="0"/>
          <w:caps w:val="0"/>
          <w:color w:val="555555"/>
          <w:spacing w:val="0"/>
          <w:sz w:val="21"/>
          <w:szCs w:val="21"/>
        </w:rPr>
      </w:pPr>
      <w:r>
        <w:rPr>
          <w:rFonts w:hint="eastAsia" w:ascii="仿宋" w:hAnsi="仿宋" w:eastAsia="仿宋" w:cs="仿宋"/>
          <w:i w:val="0"/>
          <w:iCs w:val="0"/>
          <w:caps w:val="0"/>
          <w:color w:val="555555"/>
          <w:spacing w:val="0"/>
          <w:sz w:val="22"/>
          <w:szCs w:val="22"/>
          <w:bdr w:val="none" w:color="auto" w:sz="0" w:space="0"/>
          <w:shd w:val="clear" w:fill="FFFFFF"/>
        </w:rPr>
        <w:t>说明：</w:t>
      </w:r>
      <w:r>
        <w:rPr>
          <w:rFonts w:hint="default" w:ascii="Calibri" w:hAnsi="Calibri" w:eastAsia="宋体" w:cs="Calibri"/>
          <w:i w:val="0"/>
          <w:iCs w:val="0"/>
          <w:caps w:val="0"/>
          <w:color w:val="555555"/>
          <w:spacing w:val="0"/>
          <w:sz w:val="22"/>
          <w:szCs w:val="22"/>
          <w:bdr w:val="none" w:color="auto" w:sz="0" w:space="0"/>
          <w:shd w:val="clear" w:fill="FFFFFF"/>
        </w:rPr>
        <w:t>“</w:t>
      </w:r>
      <w:r>
        <w:rPr>
          <w:rFonts w:hint="eastAsia" w:ascii="仿宋" w:hAnsi="仿宋" w:eastAsia="仿宋" w:cs="仿宋"/>
          <w:i w:val="0"/>
          <w:iCs w:val="0"/>
          <w:caps w:val="0"/>
          <w:color w:val="555555"/>
          <w:spacing w:val="0"/>
          <w:sz w:val="22"/>
          <w:szCs w:val="22"/>
          <w:bdr w:val="none" w:color="auto" w:sz="0" w:space="0"/>
          <w:shd w:val="clear" w:fill="FFFFFF"/>
        </w:rPr>
        <w:t>项目支出</w:t>
      </w:r>
      <w:r>
        <w:rPr>
          <w:rFonts w:hint="default" w:ascii="Calibri" w:hAnsi="Calibri" w:eastAsia="宋体" w:cs="Calibri"/>
          <w:i w:val="0"/>
          <w:iCs w:val="0"/>
          <w:caps w:val="0"/>
          <w:color w:val="555555"/>
          <w:spacing w:val="0"/>
          <w:sz w:val="22"/>
          <w:szCs w:val="22"/>
          <w:bdr w:val="none" w:color="auto" w:sz="0" w:space="0"/>
          <w:shd w:val="clear" w:fill="FFFFFF"/>
        </w:rPr>
        <w:t>”</w:t>
      </w:r>
      <w:r>
        <w:rPr>
          <w:rFonts w:hint="eastAsia" w:ascii="仿宋" w:hAnsi="仿宋" w:eastAsia="仿宋" w:cs="仿宋"/>
          <w:i w:val="0"/>
          <w:iCs w:val="0"/>
          <w:caps w:val="0"/>
          <w:color w:val="555555"/>
          <w:spacing w:val="0"/>
          <w:sz w:val="22"/>
          <w:szCs w:val="22"/>
          <w:bdr w:val="none" w:color="auto" w:sz="0" w:space="0"/>
          <w:shd w:val="clear" w:fill="FFFFFF"/>
        </w:rPr>
        <w:t>需要填报基本支出以外的所有项目支出情况，</w:t>
      </w:r>
      <w:r>
        <w:rPr>
          <w:rFonts w:hint="default" w:ascii="Calibri" w:hAnsi="Calibri" w:eastAsia="宋体" w:cs="Calibri"/>
          <w:i w:val="0"/>
          <w:iCs w:val="0"/>
          <w:caps w:val="0"/>
          <w:color w:val="555555"/>
          <w:spacing w:val="0"/>
          <w:sz w:val="22"/>
          <w:szCs w:val="22"/>
          <w:bdr w:val="none" w:color="auto" w:sz="0" w:space="0"/>
          <w:shd w:val="clear" w:fill="FFFFFF"/>
        </w:rPr>
        <w:t>“</w:t>
      </w:r>
      <w:r>
        <w:rPr>
          <w:rFonts w:hint="eastAsia" w:ascii="仿宋" w:hAnsi="仿宋" w:eastAsia="仿宋" w:cs="仿宋"/>
          <w:i w:val="0"/>
          <w:iCs w:val="0"/>
          <w:caps w:val="0"/>
          <w:color w:val="555555"/>
          <w:spacing w:val="0"/>
          <w:sz w:val="22"/>
          <w:szCs w:val="22"/>
          <w:bdr w:val="none" w:color="auto" w:sz="0" w:space="0"/>
          <w:shd w:val="clear" w:fill="FFFFFF"/>
        </w:rPr>
        <w:t>公用经费</w:t>
      </w:r>
      <w:r>
        <w:rPr>
          <w:rFonts w:hint="default" w:ascii="Calibri" w:hAnsi="Calibri" w:eastAsia="宋体" w:cs="Calibri"/>
          <w:i w:val="0"/>
          <w:iCs w:val="0"/>
          <w:caps w:val="0"/>
          <w:color w:val="555555"/>
          <w:spacing w:val="0"/>
          <w:sz w:val="22"/>
          <w:szCs w:val="22"/>
          <w:bdr w:val="none" w:color="auto" w:sz="0" w:space="0"/>
          <w:shd w:val="clear" w:fill="FFFFFF"/>
        </w:rPr>
        <w:t>”</w:t>
      </w:r>
      <w:r>
        <w:rPr>
          <w:rFonts w:hint="eastAsia" w:ascii="仿宋" w:hAnsi="仿宋" w:eastAsia="仿宋" w:cs="仿宋"/>
          <w:i w:val="0"/>
          <w:iCs w:val="0"/>
          <w:caps w:val="0"/>
          <w:color w:val="555555"/>
          <w:spacing w:val="0"/>
          <w:sz w:val="22"/>
          <w:szCs w:val="22"/>
          <w:bdr w:val="none" w:color="auto" w:sz="0" w:space="0"/>
          <w:shd w:val="clear" w:fill="FFFFFF"/>
        </w:rPr>
        <w:t>填报基本支出中的一般商品和服务支出。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Calibri" w:hAnsi="Calibri" w:cs="Calibri"/>
          <w:i w:val="0"/>
          <w:iCs w:val="0"/>
          <w:caps w:val="0"/>
          <w:color w:val="555555"/>
          <w:spacing w:val="0"/>
          <w:sz w:val="21"/>
          <w:szCs w:val="21"/>
        </w:rPr>
      </w:pPr>
      <w:r>
        <w:rPr>
          <w:rFonts w:hint="eastAsia" w:ascii="仿宋" w:hAnsi="仿宋" w:eastAsia="仿宋" w:cs="仿宋"/>
          <w:i w:val="0"/>
          <w:iCs w:val="0"/>
          <w:caps w:val="0"/>
          <w:color w:val="555555"/>
          <w:spacing w:val="0"/>
          <w:sz w:val="22"/>
          <w:szCs w:val="22"/>
          <w:bdr w:val="none" w:color="auto" w:sz="0" w:space="0"/>
          <w:shd w:val="clear" w:fill="FFFFFF"/>
        </w:rPr>
        <w:t>                             填表人：陈莹     填报日期：</w:t>
      </w:r>
      <w:r>
        <w:rPr>
          <w:rFonts w:hint="default" w:ascii="Calibri" w:hAnsi="Calibri" w:eastAsia="仿宋" w:cs="Calibri"/>
          <w:i w:val="0"/>
          <w:iCs w:val="0"/>
          <w:caps w:val="0"/>
          <w:color w:val="555555"/>
          <w:spacing w:val="0"/>
          <w:sz w:val="22"/>
          <w:szCs w:val="22"/>
          <w:bdr w:val="none" w:color="auto" w:sz="0" w:space="0"/>
          <w:shd w:val="clear" w:fill="FFFFFF"/>
        </w:rPr>
        <w:t>2023</w:t>
      </w:r>
      <w:r>
        <w:rPr>
          <w:rFonts w:hint="eastAsia" w:ascii="仿宋" w:hAnsi="仿宋" w:eastAsia="仿宋" w:cs="仿宋"/>
          <w:i w:val="0"/>
          <w:iCs w:val="0"/>
          <w:caps w:val="0"/>
          <w:color w:val="555555"/>
          <w:spacing w:val="0"/>
          <w:sz w:val="22"/>
          <w:szCs w:val="22"/>
          <w:bdr w:val="none" w:color="auto" w:sz="0" w:space="0"/>
          <w:shd w:val="clear" w:fill="FFFFFF"/>
        </w:rPr>
        <w:t>年</w:t>
      </w:r>
      <w:r>
        <w:rPr>
          <w:rFonts w:hint="default" w:ascii="Calibri" w:hAnsi="Calibri" w:eastAsia="仿宋" w:cs="Calibri"/>
          <w:i w:val="0"/>
          <w:iCs w:val="0"/>
          <w:caps w:val="0"/>
          <w:color w:val="555555"/>
          <w:spacing w:val="0"/>
          <w:sz w:val="22"/>
          <w:szCs w:val="22"/>
          <w:bdr w:val="none" w:color="auto" w:sz="0" w:space="0"/>
          <w:shd w:val="clear" w:fill="FFFFFF"/>
        </w:rPr>
        <w:t>7</w:t>
      </w:r>
      <w:r>
        <w:rPr>
          <w:rFonts w:hint="eastAsia" w:ascii="仿宋" w:hAnsi="仿宋" w:eastAsia="仿宋" w:cs="仿宋"/>
          <w:i w:val="0"/>
          <w:iCs w:val="0"/>
          <w:caps w:val="0"/>
          <w:color w:val="555555"/>
          <w:spacing w:val="0"/>
          <w:sz w:val="22"/>
          <w:szCs w:val="22"/>
          <w:bdr w:val="none" w:color="auto" w:sz="0" w:space="0"/>
          <w:shd w:val="clear" w:fill="FFFFFF"/>
        </w:rPr>
        <w:t>月</w:t>
      </w:r>
      <w:r>
        <w:rPr>
          <w:rFonts w:hint="default" w:ascii="Calibri" w:hAnsi="Calibri" w:eastAsia="仿宋" w:cs="Calibri"/>
          <w:i w:val="0"/>
          <w:iCs w:val="0"/>
          <w:caps w:val="0"/>
          <w:color w:val="555555"/>
          <w:spacing w:val="0"/>
          <w:sz w:val="22"/>
          <w:szCs w:val="22"/>
          <w:bdr w:val="none" w:color="auto" w:sz="0" w:space="0"/>
          <w:shd w:val="clear" w:fill="FFFFFF"/>
        </w:rPr>
        <w:t>14</w:t>
      </w:r>
      <w:r>
        <w:rPr>
          <w:rFonts w:hint="eastAsia" w:ascii="仿宋" w:hAnsi="仿宋" w:eastAsia="仿宋" w:cs="仿宋"/>
          <w:i w:val="0"/>
          <w:iCs w:val="0"/>
          <w:caps w:val="0"/>
          <w:color w:val="555555"/>
          <w:spacing w:val="0"/>
          <w:sz w:val="22"/>
          <w:szCs w:val="22"/>
          <w:bdr w:val="none" w:color="auto" w:sz="0" w:space="0"/>
          <w:shd w:val="clear" w:fill="FFFFFF"/>
        </w:rPr>
        <w:t>日  联系电话：</w:t>
      </w:r>
      <w:r>
        <w:rPr>
          <w:rFonts w:hint="default" w:ascii="Calibri" w:hAnsi="Calibri" w:eastAsia="仿宋" w:cs="Calibri"/>
          <w:i w:val="0"/>
          <w:iCs w:val="0"/>
          <w:caps w:val="0"/>
          <w:color w:val="555555"/>
          <w:spacing w:val="0"/>
          <w:sz w:val="22"/>
          <w:szCs w:val="22"/>
          <w:bdr w:val="none" w:color="auto" w:sz="0" w:space="0"/>
          <w:shd w:val="clear" w:fill="FFFFFF"/>
        </w:rPr>
        <w:t>13975077504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Calibri" w:hAnsi="Calibri" w:cs="Calibri"/>
          <w:i w:val="0"/>
          <w:iCs w:val="0"/>
          <w:caps w:val="0"/>
          <w:color w:val="555555"/>
          <w:spacing w:val="0"/>
          <w:sz w:val="21"/>
          <w:szCs w:val="21"/>
        </w:rPr>
      </w:pPr>
      <w:r>
        <w:rPr>
          <w:rFonts w:hint="eastAsia" w:ascii="仿宋" w:hAnsi="仿宋" w:eastAsia="仿宋" w:cs="仿宋"/>
          <w:i w:val="0"/>
          <w:iCs w:val="0"/>
          <w:caps w:val="0"/>
          <w:color w:val="555555"/>
          <w:spacing w:val="0"/>
          <w:sz w:val="22"/>
          <w:szCs w:val="22"/>
          <w:bdr w:val="none" w:color="auto" w:sz="0" w:space="0"/>
          <w:shd w:val="clear" w:fill="FFFFFF"/>
        </w:rPr>
        <w:t>                             单位负责人签字：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rPr>
          <w:rFonts w:hint="eastAsia" w:ascii="宋体" w:hAnsi="宋体" w:eastAsia="宋体" w:cs="宋体"/>
          <w:i w:val="0"/>
          <w:iCs w:val="0"/>
          <w:caps w:val="0"/>
          <w:color w:val="555555"/>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rPr>
          <w:rFonts w:hint="eastAsia" w:ascii="宋体" w:hAnsi="宋体" w:eastAsia="宋体" w:cs="宋体"/>
          <w:i w:val="0"/>
          <w:iCs w:val="0"/>
          <w:caps w:val="0"/>
          <w:color w:val="555555"/>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default" w:ascii="Calibri" w:hAnsi="Calibri" w:cs="Calibri"/>
          <w:i w:val="0"/>
          <w:iCs w:val="0"/>
          <w:caps w:val="0"/>
          <w:color w:val="555555"/>
          <w:spacing w:val="0"/>
          <w:sz w:val="21"/>
          <w:szCs w:val="21"/>
        </w:rPr>
      </w:pPr>
      <w:r>
        <w:rPr>
          <w:rFonts w:hint="default" w:ascii="Calibri" w:hAnsi="Calibri" w:eastAsia="宋体" w:cs="Calibri"/>
          <w:i w:val="0"/>
          <w:iCs w:val="0"/>
          <w:caps w:val="0"/>
          <w:color w:val="555555"/>
          <w:spacing w:val="0"/>
          <w:sz w:val="22"/>
          <w:szCs w:val="22"/>
          <w:bdr w:val="none" w:color="auto" w:sz="0" w:space="0"/>
          <w:shd w:val="clear" w:fill="FFFFFF"/>
        </w:rPr>
        <w:br w:type="textWrapping"/>
      </w:r>
      <w:r>
        <w:rPr>
          <w:rFonts w:hint="eastAsia" w:ascii="黑体" w:hAnsi="宋体" w:eastAsia="黑体" w:cs="黑体"/>
          <w:i w:val="0"/>
          <w:iCs w:val="0"/>
          <w:caps w:val="0"/>
          <w:color w:val="555555"/>
          <w:spacing w:val="0"/>
          <w:sz w:val="32"/>
          <w:szCs w:val="32"/>
          <w:bdr w:val="none" w:color="auto" w:sz="0" w:space="0"/>
          <w:shd w:val="clear" w:fill="FFFFFF"/>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jc w:val="center"/>
        <w:rPr>
          <w:rFonts w:hint="default" w:ascii="Calibri" w:hAnsi="Calibri" w:cs="Calibri"/>
          <w:i w:val="0"/>
          <w:iCs w:val="0"/>
          <w:caps w:val="0"/>
          <w:color w:val="555555"/>
          <w:spacing w:val="0"/>
          <w:sz w:val="21"/>
          <w:szCs w:val="21"/>
        </w:rPr>
      </w:pPr>
      <w:r>
        <w:rPr>
          <w:rFonts w:ascii="方正小标宋简体" w:hAnsi="方正小标宋简体" w:eastAsia="方正小标宋简体" w:cs="方正小标宋简体"/>
          <w:i w:val="0"/>
          <w:iCs w:val="0"/>
          <w:caps w:val="0"/>
          <w:color w:val="555555"/>
          <w:spacing w:val="0"/>
          <w:sz w:val="36"/>
          <w:szCs w:val="36"/>
          <w:bdr w:val="none" w:color="auto" w:sz="0" w:space="0"/>
          <w:shd w:val="clear" w:fill="FFFFFF"/>
        </w:rPr>
        <w:t>2022年度</w:t>
      </w:r>
      <w:r>
        <w:rPr>
          <w:rFonts w:hint="default" w:ascii="方正小标宋简体" w:hAnsi="方正小标宋简体" w:eastAsia="方正小标宋简体" w:cs="方正小标宋简体"/>
          <w:i w:val="0"/>
          <w:iCs w:val="0"/>
          <w:caps w:val="0"/>
          <w:color w:val="555555"/>
          <w:spacing w:val="0"/>
          <w:sz w:val="36"/>
          <w:szCs w:val="36"/>
          <w:bdr w:val="none" w:color="auto" w:sz="0" w:space="0"/>
          <w:shd w:val="clear" w:fill="FFFFFF"/>
        </w:rPr>
        <w:t>部门整体支出绩效自评表</w:t>
      </w:r>
    </w:p>
    <w:tbl>
      <w:tblPr>
        <w:tblW w:w="10323"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080"/>
        <w:gridCol w:w="1067"/>
        <w:gridCol w:w="1065"/>
        <w:gridCol w:w="1410"/>
        <w:gridCol w:w="195"/>
        <w:gridCol w:w="1110"/>
        <w:gridCol w:w="1343"/>
        <w:gridCol w:w="709"/>
        <w:gridCol w:w="898"/>
        <w:gridCol w:w="14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jc w:val="center"/>
        </w:trPr>
        <w:tc>
          <w:tcPr>
            <w:tcW w:w="1080"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1"/>
                <w:szCs w:val="21"/>
                <w:bdr w:val="none" w:color="auto" w:sz="0" w:space="0"/>
              </w:rPr>
              <w:t>市级预算部门名称</w:t>
            </w:r>
          </w:p>
        </w:tc>
        <w:tc>
          <w:tcPr>
            <w:tcW w:w="9243" w:type="dxa"/>
            <w:gridSpan w:val="9"/>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岳阳市公共资源交易中心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jc w:val="center"/>
        </w:trPr>
        <w:tc>
          <w:tcPr>
            <w:tcW w:w="1080" w:type="dxa"/>
            <w:vMerge w:val="restart"/>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年度预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算申请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（万元）</w:t>
            </w:r>
          </w:p>
        </w:tc>
        <w:tc>
          <w:tcPr>
            <w:tcW w:w="2132"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c>
          <w:tcPr>
            <w:tcW w:w="1410"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年初预算数</w:t>
            </w:r>
          </w:p>
        </w:tc>
        <w:tc>
          <w:tcPr>
            <w:tcW w:w="1305" w:type="dxa"/>
            <w:gridSpan w:val="2"/>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全年预算数</w:t>
            </w:r>
          </w:p>
        </w:tc>
        <w:tc>
          <w:tcPr>
            <w:tcW w:w="1343"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全年执行数</w:t>
            </w:r>
          </w:p>
        </w:tc>
        <w:tc>
          <w:tcPr>
            <w:tcW w:w="709"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分值</w:t>
            </w:r>
          </w:p>
        </w:tc>
        <w:tc>
          <w:tcPr>
            <w:tcW w:w="898"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执行率</w:t>
            </w:r>
          </w:p>
        </w:tc>
        <w:tc>
          <w:tcPr>
            <w:tcW w:w="1446"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jc w:val="center"/>
        </w:trPr>
        <w:tc>
          <w:tcPr>
            <w:tcW w:w="1080" w:type="dxa"/>
            <w:vMerge w:val="continue"/>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2132"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年度资金总额</w:t>
            </w:r>
          </w:p>
        </w:tc>
        <w:tc>
          <w:tcPr>
            <w:tcW w:w="141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1244.23</w:t>
            </w:r>
          </w:p>
        </w:tc>
        <w:tc>
          <w:tcPr>
            <w:tcW w:w="1305"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2321.75</w:t>
            </w:r>
          </w:p>
        </w:tc>
        <w:tc>
          <w:tcPr>
            <w:tcW w:w="1343"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2321.75</w:t>
            </w:r>
          </w:p>
        </w:tc>
        <w:tc>
          <w:tcPr>
            <w:tcW w:w="70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bdr w:val="none" w:color="auto" w:sz="0" w:space="0"/>
              </w:rPr>
              <w:t>10</w:t>
            </w:r>
          </w:p>
        </w:tc>
        <w:tc>
          <w:tcPr>
            <w:tcW w:w="898"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100%</w:t>
            </w:r>
          </w:p>
        </w:tc>
        <w:tc>
          <w:tcPr>
            <w:tcW w:w="1446"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100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jc w:val="center"/>
        </w:trPr>
        <w:tc>
          <w:tcPr>
            <w:tcW w:w="1080" w:type="dxa"/>
            <w:vMerge w:val="continue"/>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4847" w:type="dxa"/>
            <w:gridSpan w:val="5"/>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1"/>
                <w:szCs w:val="21"/>
                <w:bdr w:val="none" w:color="auto" w:sz="0" w:space="0"/>
              </w:rPr>
              <w:t>按收入性质分：</w:t>
            </w:r>
          </w:p>
        </w:tc>
        <w:tc>
          <w:tcPr>
            <w:tcW w:w="4396" w:type="dxa"/>
            <w:gridSpan w:val="4"/>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1"/>
                <w:szCs w:val="21"/>
                <w:bdr w:val="none" w:color="auto" w:sz="0" w:space="0"/>
              </w:rPr>
              <w:t>按支出性质分：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jc w:val="center"/>
        </w:trPr>
        <w:tc>
          <w:tcPr>
            <w:tcW w:w="1080" w:type="dxa"/>
            <w:vMerge w:val="continue"/>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4847" w:type="dxa"/>
            <w:gridSpan w:val="5"/>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Calibri" w:hAnsi="Calibri" w:cs="Calibri"/>
                <w:sz w:val="21"/>
                <w:szCs w:val="21"/>
                <w:bdr w:val="none" w:color="auto" w:sz="0" w:space="0"/>
              </w:rPr>
              <w:t>  </w:t>
            </w:r>
            <w:r>
              <w:rPr>
                <w:rFonts w:hint="eastAsia" w:ascii="仿宋" w:hAnsi="仿宋" w:eastAsia="仿宋" w:cs="仿宋"/>
                <w:sz w:val="21"/>
                <w:szCs w:val="21"/>
                <w:bdr w:val="none" w:color="auto" w:sz="0" w:space="0"/>
              </w:rPr>
              <w:t>其中：</w:t>
            </w:r>
            <w:r>
              <w:rPr>
                <w:rFonts w:hint="default" w:ascii="Calibri" w:hAnsi="Calibri" w:cs="Calibri"/>
                <w:sz w:val="21"/>
                <w:szCs w:val="21"/>
                <w:bdr w:val="none" w:color="auto" w:sz="0" w:space="0"/>
              </w:rPr>
              <w:t>  </w:t>
            </w:r>
            <w:r>
              <w:rPr>
                <w:rFonts w:hint="eastAsia" w:ascii="仿宋" w:hAnsi="仿宋" w:eastAsia="仿宋" w:cs="仿宋"/>
                <w:sz w:val="21"/>
                <w:szCs w:val="21"/>
                <w:bdr w:val="none" w:color="auto" w:sz="0" w:space="0"/>
              </w:rPr>
              <w:t>一般公共预算：</w:t>
            </w:r>
            <w:r>
              <w:rPr>
                <w:rFonts w:hint="default" w:ascii="Calibri" w:hAnsi="Calibri" w:eastAsia="仿宋" w:cs="Calibri"/>
                <w:sz w:val="21"/>
                <w:szCs w:val="21"/>
                <w:bdr w:val="none" w:color="auto" w:sz="0" w:space="0"/>
              </w:rPr>
              <w:t>2321.75</w:t>
            </w:r>
          </w:p>
        </w:tc>
        <w:tc>
          <w:tcPr>
            <w:tcW w:w="4396" w:type="dxa"/>
            <w:gridSpan w:val="4"/>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1"/>
                <w:szCs w:val="21"/>
                <w:bdr w:val="none" w:color="auto" w:sz="0" w:space="0"/>
              </w:rPr>
              <w:t>其中：基本支出：</w:t>
            </w:r>
            <w:r>
              <w:rPr>
                <w:rFonts w:hint="default" w:ascii="Calibri" w:hAnsi="Calibri" w:eastAsia="仿宋" w:cs="Calibri"/>
                <w:sz w:val="21"/>
                <w:szCs w:val="21"/>
                <w:bdr w:val="none" w:color="auto" w:sz="0" w:space="0"/>
              </w:rPr>
              <w:t>804.03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jc w:val="center"/>
        </w:trPr>
        <w:tc>
          <w:tcPr>
            <w:tcW w:w="1080" w:type="dxa"/>
            <w:vMerge w:val="continue"/>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4847" w:type="dxa"/>
            <w:gridSpan w:val="5"/>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840"/>
              <w:jc w:val="left"/>
              <w:rPr>
                <w:rFonts w:hint="default" w:ascii="Calibri" w:hAnsi="Calibri" w:cs="Calibri"/>
                <w:sz w:val="21"/>
                <w:szCs w:val="21"/>
              </w:rPr>
            </w:pPr>
            <w:r>
              <w:rPr>
                <w:rFonts w:hint="eastAsia" w:ascii="仿宋" w:hAnsi="仿宋" w:eastAsia="仿宋" w:cs="仿宋"/>
                <w:sz w:val="21"/>
                <w:szCs w:val="21"/>
                <w:bdr w:val="none" w:color="auto" w:sz="0" w:space="0"/>
              </w:rPr>
              <w:t>政府性基金拨款：</w:t>
            </w:r>
            <w:r>
              <w:rPr>
                <w:rFonts w:hint="default" w:ascii="Calibri" w:hAnsi="Calibri" w:eastAsia="仿宋" w:cs="Calibri"/>
                <w:sz w:val="21"/>
                <w:szCs w:val="21"/>
                <w:bdr w:val="none" w:color="auto" w:sz="0" w:space="0"/>
              </w:rPr>
              <w:t>0</w:t>
            </w:r>
          </w:p>
        </w:tc>
        <w:tc>
          <w:tcPr>
            <w:tcW w:w="4396" w:type="dxa"/>
            <w:gridSpan w:val="4"/>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rFonts w:hint="default" w:ascii="Calibri" w:hAnsi="Calibri" w:cs="Calibri"/>
                <w:sz w:val="21"/>
                <w:szCs w:val="21"/>
              </w:rPr>
            </w:pPr>
            <w:r>
              <w:rPr>
                <w:rFonts w:hint="eastAsia" w:ascii="仿宋" w:hAnsi="仿宋" w:eastAsia="仿宋" w:cs="仿宋"/>
                <w:sz w:val="21"/>
                <w:szCs w:val="21"/>
                <w:bdr w:val="none" w:color="auto" w:sz="0" w:space="0"/>
              </w:rPr>
              <w:t>项目支出：</w:t>
            </w:r>
            <w:r>
              <w:rPr>
                <w:rFonts w:hint="default" w:ascii="Calibri" w:hAnsi="Calibri" w:eastAsia="仿宋" w:cs="Calibri"/>
                <w:sz w:val="21"/>
                <w:szCs w:val="21"/>
                <w:bdr w:val="none" w:color="auto" w:sz="0" w:space="0"/>
              </w:rPr>
              <w:t>1517.72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jc w:val="center"/>
        </w:trPr>
        <w:tc>
          <w:tcPr>
            <w:tcW w:w="1080" w:type="dxa"/>
            <w:vMerge w:val="continue"/>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4847" w:type="dxa"/>
            <w:gridSpan w:val="5"/>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1"/>
                <w:szCs w:val="21"/>
                <w:bdr w:val="none" w:color="auto" w:sz="0" w:space="0"/>
              </w:rPr>
              <w:t>纳入专户管理的非税收入拨款：</w:t>
            </w:r>
            <w:r>
              <w:rPr>
                <w:rFonts w:hint="default" w:ascii="Calibri" w:hAnsi="Calibri" w:eastAsia="仿宋" w:cs="Calibri"/>
                <w:sz w:val="21"/>
                <w:szCs w:val="21"/>
                <w:bdr w:val="none" w:color="auto" w:sz="0" w:space="0"/>
              </w:rPr>
              <w:t>1517.72</w:t>
            </w:r>
          </w:p>
        </w:tc>
        <w:tc>
          <w:tcPr>
            <w:tcW w:w="4396" w:type="dxa"/>
            <w:gridSpan w:val="4"/>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Calibri" w:hAnsi="Calibri" w:cs="Calibri"/>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jc w:val="center"/>
        </w:trPr>
        <w:tc>
          <w:tcPr>
            <w:tcW w:w="1080" w:type="dxa"/>
            <w:vMerge w:val="continue"/>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4847" w:type="dxa"/>
            <w:gridSpan w:val="5"/>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470"/>
              <w:jc w:val="left"/>
              <w:rPr>
                <w:rFonts w:hint="default" w:ascii="Calibri" w:hAnsi="Calibri" w:cs="Calibri"/>
                <w:sz w:val="21"/>
                <w:szCs w:val="21"/>
              </w:rPr>
            </w:pPr>
            <w:r>
              <w:rPr>
                <w:rFonts w:hint="eastAsia" w:ascii="仿宋" w:hAnsi="仿宋" w:eastAsia="仿宋" w:cs="仿宋"/>
                <w:sz w:val="21"/>
                <w:szCs w:val="21"/>
                <w:bdr w:val="none" w:color="auto" w:sz="0" w:space="0"/>
              </w:rPr>
              <w:t>其他资金：</w:t>
            </w:r>
          </w:p>
        </w:tc>
        <w:tc>
          <w:tcPr>
            <w:tcW w:w="4396" w:type="dxa"/>
            <w:gridSpan w:val="4"/>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Calibri" w:hAnsi="Calibri" w:cs="Calibri"/>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jc w:val="center"/>
        </w:trPr>
        <w:tc>
          <w:tcPr>
            <w:tcW w:w="1080" w:type="dxa"/>
            <w:vMerge w:val="restart"/>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年度总体目标</w:t>
            </w:r>
          </w:p>
        </w:tc>
        <w:tc>
          <w:tcPr>
            <w:tcW w:w="4847" w:type="dxa"/>
            <w:gridSpan w:val="5"/>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预期目标</w:t>
            </w:r>
          </w:p>
        </w:tc>
        <w:tc>
          <w:tcPr>
            <w:tcW w:w="4396" w:type="dxa"/>
            <w:gridSpan w:val="4"/>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实际完成情况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525" w:hRule="atLeast"/>
          <w:jc w:val="center"/>
        </w:trPr>
        <w:tc>
          <w:tcPr>
            <w:tcW w:w="1080" w:type="dxa"/>
            <w:vMerge w:val="continue"/>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4847" w:type="dxa"/>
            <w:gridSpan w:val="5"/>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　　</w:t>
            </w:r>
          </w:p>
        </w:tc>
        <w:tc>
          <w:tcPr>
            <w:tcW w:w="4396" w:type="dxa"/>
            <w:gridSpan w:val="4"/>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550" w:hRule="atLeast"/>
          <w:jc w:val="center"/>
        </w:trPr>
        <w:tc>
          <w:tcPr>
            <w:tcW w:w="1080" w:type="dxa"/>
            <w:vMerge w:val="restart"/>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标</w:t>
            </w:r>
          </w:p>
        </w:tc>
        <w:tc>
          <w:tcPr>
            <w:tcW w:w="1067"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一级指标</w:t>
            </w:r>
          </w:p>
        </w:tc>
        <w:tc>
          <w:tcPr>
            <w:tcW w:w="1065"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二级指标</w:t>
            </w:r>
          </w:p>
        </w:tc>
        <w:tc>
          <w:tcPr>
            <w:tcW w:w="1605" w:type="dxa"/>
            <w:gridSpan w:val="2"/>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三级指标</w:t>
            </w:r>
          </w:p>
        </w:tc>
        <w:tc>
          <w:tcPr>
            <w:tcW w:w="1110"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年度指标值</w:t>
            </w:r>
          </w:p>
        </w:tc>
        <w:tc>
          <w:tcPr>
            <w:tcW w:w="1343"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实际完成值</w:t>
            </w:r>
          </w:p>
        </w:tc>
        <w:tc>
          <w:tcPr>
            <w:tcW w:w="709"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分值</w:t>
            </w:r>
          </w:p>
        </w:tc>
        <w:tc>
          <w:tcPr>
            <w:tcW w:w="898"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得分</w:t>
            </w:r>
          </w:p>
        </w:tc>
        <w:tc>
          <w:tcPr>
            <w:tcW w:w="1446"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偏差原因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分析及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改进措施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jc w:val="center"/>
        </w:trPr>
        <w:tc>
          <w:tcPr>
            <w:tcW w:w="1080" w:type="dxa"/>
            <w:vMerge w:val="continue"/>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7" w:type="dxa"/>
            <w:vMerge w:val="restart"/>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产出指标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bdr w:val="none" w:color="auto" w:sz="0" w:space="0"/>
              </w:rPr>
              <w:t>(50</w:t>
            </w:r>
            <w:r>
              <w:rPr>
                <w:rFonts w:hint="eastAsia" w:ascii="仿宋" w:hAnsi="仿宋" w:eastAsia="仿宋" w:cs="仿宋"/>
                <w:sz w:val="21"/>
                <w:szCs w:val="21"/>
                <w:bdr w:val="none" w:color="auto" w:sz="0" w:space="0"/>
              </w:rPr>
              <w:t>分</w:t>
            </w:r>
            <w:r>
              <w:rPr>
                <w:rFonts w:hint="default" w:ascii="Calibri" w:hAnsi="Calibri" w:cs="Calibri"/>
                <w:sz w:val="21"/>
                <w:szCs w:val="21"/>
                <w:bdr w:val="none" w:color="auto" w:sz="0" w:space="0"/>
              </w:rPr>
              <w:t>)</w:t>
            </w:r>
          </w:p>
        </w:tc>
        <w:tc>
          <w:tcPr>
            <w:tcW w:w="1065" w:type="dxa"/>
            <w:vMerge w:val="restart"/>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数量指标</w:t>
            </w:r>
          </w:p>
        </w:tc>
        <w:tc>
          <w:tcPr>
            <w:tcW w:w="1605"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零违纪违法。</w:t>
            </w:r>
          </w:p>
        </w:tc>
        <w:tc>
          <w:tcPr>
            <w:tcW w:w="111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一年内中心无违纪违法现象。</w:t>
            </w:r>
          </w:p>
        </w:tc>
        <w:tc>
          <w:tcPr>
            <w:tcW w:w="1343"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已完成</w:t>
            </w:r>
          </w:p>
        </w:tc>
        <w:tc>
          <w:tcPr>
            <w:tcW w:w="70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5</w:t>
            </w:r>
          </w:p>
        </w:tc>
        <w:tc>
          <w:tcPr>
            <w:tcW w:w="898"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5</w:t>
            </w:r>
          </w:p>
        </w:tc>
        <w:tc>
          <w:tcPr>
            <w:tcW w:w="1446"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jc w:val="center"/>
        </w:trPr>
        <w:tc>
          <w:tcPr>
            <w:tcW w:w="1080" w:type="dxa"/>
            <w:vMerge w:val="continue"/>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7" w:type="dxa"/>
            <w:vMerge w:val="continue"/>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5" w:type="dxa"/>
            <w:vMerge w:val="continue"/>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605"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交易服务费应收尽收。</w:t>
            </w:r>
          </w:p>
        </w:tc>
        <w:tc>
          <w:tcPr>
            <w:tcW w:w="111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交易服务费完成</w:t>
            </w:r>
            <w:r>
              <w:rPr>
                <w:rFonts w:hint="default" w:ascii="Calibri" w:hAnsi="Calibri" w:eastAsia="仿宋" w:cs="Calibri"/>
                <w:sz w:val="21"/>
                <w:szCs w:val="21"/>
                <w:bdr w:val="none" w:color="auto" w:sz="0" w:space="0"/>
              </w:rPr>
              <w:t>2022</w:t>
            </w:r>
            <w:r>
              <w:rPr>
                <w:rFonts w:hint="eastAsia" w:ascii="仿宋" w:hAnsi="仿宋" w:eastAsia="仿宋" w:cs="仿宋"/>
                <w:sz w:val="21"/>
                <w:szCs w:val="21"/>
                <w:bdr w:val="none" w:color="auto" w:sz="0" w:space="0"/>
              </w:rPr>
              <w:t>年财政既定目标</w:t>
            </w:r>
            <w:r>
              <w:rPr>
                <w:rFonts w:hint="default" w:ascii="Calibri" w:hAnsi="Calibri" w:eastAsia="仿宋" w:cs="Calibri"/>
                <w:sz w:val="21"/>
                <w:szCs w:val="21"/>
                <w:bdr w:val="none" w:color="auto" w:sz="0" w:space="0"/>
              </w:rPr>
              <w:t>5000</w:t>
            </w:r>
            <w:r>
              <w:rPr>
                <w:rFonts w:hint="eastAsia" w:ascii="仿宋" w:hAnsi="仿宋" w:eastAsia="仿宋" w:cs="仿宋"/>
                <w:sz w:val="21"/>
                <w:szCs w:val="21"/>
                <w:bdr w:val="none" w:color="auto" w:sz="0" w:space="0"/>
              </w:rPr>
              <w:t>万元。</w:t>
            </w:r>
          </w:p>
        </w:tc>
        <w:tc>
          <w:tcPr>
            <w:tcW w:w="1343"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已完成</w:t>
            </w:r>
          </w:p>
        </w:tc>
        <w:tc>
          <w:tcPr>
            <w:tcW w:w="70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5</w:t>
            </w:r>
          </w:p>
        </w:tc>
        <w:tc>
          <w:tcPr>
            <w:tcW w:w="898"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5</w:t>
            </w:r>
          </w:p>
        </w:tc>
        <w:tc>
          <w:tcPr>
            <w:tcW w:w="1446"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jc w:val="center"/>
        </w:trPr>
        <w:tc>
          <w:tcPr>
            <w:tcW w:w="1080" w:type="dxa"/>
            <w:vMerge w:val="continue"/>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7" w:type="dxa"/>
            <w:vMerge w:val="continue"/>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5" w:type="dxa"/>
            <w:vMerge w:val="continue"/>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605"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加速推进“交易贷”平台。</w:t>
            </w:r>
          </w:p>
        </w:tc>
        <w:tc>
          <w:tcPr>
            <w:tcW w:w="111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“交易贷”平台贷款率在今年技术上争取翻倍。</w:t>
            </w:r>
          </w:p>
        </w:tc>
        <w:tc>
          <w:tcPr>
            <w:tcW w:w="1343"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已完成</w:t>
            </w:r>
          </w:p>
        </w:tc>
        <w:tc>
          <w:tcPr>
            <w:tcW w:w="70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5</w:t>
            </w:r>
          </w:p>
        </w:tc>
        <w:tc>
          <w:tcPr>
            <w:tcW w:w="898"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5</w:t>
            </w:r>
          </w:p>
        </w:tc>
        <w:tc>
          <w:tcPr>
            <w:tcW w:w="1446"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Calibri" w:hAnsi="Calibri" w:cs="Calibri"/>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jc w:val="center"/>
        </w:trPr>
        <w:tc>
          <w:tcPr>
            <w:tcW w:w="1080" w:type="dxa"/>
            <w:vMerge w:val="continue"/>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7" w:type="dxa"/>
            <w:vMerge w:val="continue"/>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5" w:type="dxa"/>
            <w:vMerge w:val="restart"/>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质量指标</w:t>
            </w:r>
          </w:p>
        </w:tc>
        <w:tc>
          <w:tcPr>
            <w:tcW w:w="1605"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加强自身建设，坚持建章立制。</w:t>
            </w:r>
          </w:p>
        </w:tc>
        <w:tc>
          <w:tcPr>
            <w:tcW w:w="111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提升了管理水平。</w:t>
            </w:r>
          </w:p>
        </w:tc>
        <w:tc>
          <w:tcPr>
            <w:tcW w:w="1343"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已完成</w:t>
            </w:r>
          </w:p>
        </w:tc>
        <w:tc>
          <w:tcPr>
            <w:tcW w:w="70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1</w:t>
            </w:r>
          </w:p>
        </w:tc>
        <w:tc>
          <w:tcPr>
            <w:tcW w:w="898"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1</w:t>
            </w:r>
          </w:p>
        </w:tc>
        <w:tc>
          <w:tcPr>
            <w:tcW w:w="1446"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jc w:val="center"/>
        </w:trPr>
        <w:tc>
          <w:tcPr>
            <w:tcW w:w="1080" w:type="dxa"/>
            <w:vMerge w:val="continue"/>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7" w:type="dxa"/>
            <w:vMerge w:val="continue"/>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5" w:type="dxa"/>
            <w:vMerge w:val="continue"/>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605"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实现群众办事</w:t>
            </w:r>
            <w:r>
              <w:rPr>
                <w:rFonts w:hint="default" w:ascii="Calibri" w:hAnsi="Calibri" w:cs="Calibri"/>
                <w:sz w:val="21"/>
                <w:szCs w:val="21"/>
                <w:bdr w:val="none" w:color="auto" w:sz="0" w:space="0"/>
              </w:rPr>
              <w:t>“</w:t>
            </w:r>
            <w:r>
              <w:rPr>
                <w:rFonts w:hint="eastAsia" w:ascii="仿宋" w:hAnsi="仿宋" w:eastAsia="仿宋" w:cs="仿宋"/>
                <w:sz w:val="21"/>
                <w:szCs w:val="21"/>
                <w:bdr w:val="none" w:color="auto" w:sz="0" w:space="0"/>
              </w:rPr>
              <w:t>最多跑一次</w:t>
            </w:r>
            <w:r>
              <w:rPr>
                <w:rFonts w:hint="default" w:ascii="Calibri" w:hAnsi="Calibri" w:cs="Calibri"/>
                <w:sz w:val="21"/>
                <w:szCs w:val="21"/>
                <w:bdr w:val="none" w:color="auto" w:sz="0" w:space="0"/>
              </w:rPr>
              <w:t>”</w:t>
            </w:r>
            <w:r>
              <w:rPr>
                <w:rFonts w:hint="eastAsia" w:ascii="仿宋" w:hAnsi="仿宋" w:eastAsia="仿宋" w:cs="仿宋"/>
                <w:sz w:val="21"/>
                <w:szCs w:val="21"/>
                <w:bdr w:val="none" w:color="auto" w:sz="0" w:space="0"/>
              </w:rPr>
              <w:t>工作目标。</w:t>
            </w:r>
          </w:p>
        </w:tc>
        <w:tc>
          <w:tcPr>
            <w:tcW w:w="111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没有出现违规减、免、缓、降的情况。</w:t>
            </w:r>
          </w:p>
        </w:tc>
        <w:tc>
          <w:tcPr>
            <w:tcW w:w="1343"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已完成</w:t>
            </w:r>
          </w:p>
        </w:tc>
        <w:tc>
          <w:tcPr>
            <w:tcW w:w="70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3</w:t>
            </w:r>
          </w:p>
        </w:tc>
        <w:tc>
          <w:tcPr>
            <w:tcW w:w="898"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3</w:t>
            </w:r>
          </w:p>
        </w:tc>
        <w:tc>
          <w:tcPr>
            <w:tcW w:w="1446"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Calibri" w:hAnsi="Calibri" w:cs="Calibri"/>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jc w:val="center"/>
        </w:trPr>
        <w:tc>
          <w:tcPr>
            <w:tcW w:w="1080" w:type="dxa"/>
            <w:vMerge w:val="continue"/>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7" w:type="dxa"/>
            <w:vMerge w:val="continue"/>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5" w:type="dxa"/>
            <w:vMerge w:val="continue"/>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605"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交易服务费线上平台系统的搭建。</w:t>
            </w:r>
          </w:p>
        </w:tc>
        <w:tc>
          <w:tcPr>
            <w:tcW w:w="111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实现中标人在网上缴费，实现</w:t>
            </w:r>
            <w:r>
              <w:rPr>
                <w:rFonts w:hint="default" w:ascii="Calibri" w:hAnsi="Calibri" w:cs="Calibri"/>
                <w:sz w:val="21"/>
                <w:szCs w:val="21"/>
                <w:bdr w:val="none" w:color="auto" w:sz="0" w:space="0"/>
              </w:rPr>
              <w:t>“</w:t>
            </w:r>
            <w:r>
              <w:rPr>
                <w:rFonts w:hint="eastAsia" w:ascii="仿宋" w:hAnsi="仿宋" w:eastAsia="仿宋" w:cs="仿宋"/>
                <w:sz w:val="21"/>
                <w:szCs w:val="21"/>
                <w:bdr w:val="none" w:color="auto" w:sz="0" w:space="0"/>
              </w:rPr>
              <w:t>一件事零跑腿</w:t>
            </w:r>
            <w:r>
              <w:rPr>
                <w:rFonts w:hint="default" w:ascii="Calibri" w:hAnsi="Calibri" w:cs="Calibri"/>
                <w:sz w:val="21"/>
                <w:szCs w:val="21"/>
                <w:bdr w:val="none" w:color="auto" w:sz="0" w:space="0"/>
              </w:rPr>
              <w:t>”</w:t>
            </w:r>
            <w:r>
              <w:rPr>
                <w:rFonts w:hint="eastAsia" w:ascii="仿宋" w:hAnsi="仿宋" w:eastAsia="仿宋" w:cs="仿宋"/>
                <w:sz w:val="21"/>
                <w:szCs w:val="21"/>
                <w:bdr w:val="none" w:color="auto" w:sz="0" w:space="0"/>
              </w:rPr>
              <w:t>的目标。</w:t>
            </w:r>
          </w:p>
        </w:tc>
        <w:tc>
          <w:tcPr>
            <w:tcW w:w="1343"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已完成</w:t>
            </w:r>
          </w:p>
        </w:tc>
        <w:tc>
          <w:tcPr>
            <w:tcW w:w="70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2</w:t>
            </w:r>
          </w:p>
        </w:tc>
        <w:tc>
          <w:tcPr>
            <w:tcW w:w="898"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2</w:t>
            </w:r>
          </w:p>
        </w:tc>
        <w:tc>
          <w:tcPr>
            <w:tcW w:w="1446"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jc w:val="center"/>
        </w:trPr>
        <w:tc>
          <w:tcPr>
            <w:tcW w:w="1080" w:type="dxa"/>
            <w:vMerge w:val="continue"/>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7" w:type="dxa"/>
            <w:vMerge w:val="continue"/>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5" w:type="dxa"/>
            <w:vMerge w:val="restart"/>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时效指标</w:t>
            </w:r>
          </w:p>
        </w:tc>
        <w:tc>
          <w:tcPr>
            <w:tcW w:w="1605"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加速推进</w:t>
            </w:r>
            <w:r>
              <w:rPr>
                <w:rFonts w:hint="default" w:ascii="Calibri" w:hAnsi="Calibri" w:cs="Calibri"/>
                <w:sz w:val="21"/>
                <w:szCs w:val="21"/>
                <w:bdr w:val="none" w:color="auto" w:sz="0" w:space="0"/>
              </w:rPr>
              <w:t>“</w:t>
            </w:r>
            <w:r>
              <w:rPr>
                <w:rFonts w:hint="eastAsia" w:ascii="仿宋" w:hAnsi="仿宋" w:eastAsia="仿宋" w:cs="仿宋"/>
                <w:sz w:val="21"/>
                <w:szCs w:val="21"/>
                <w:bdr w:val="none" w:color="auto" w:sz="0" w:space="0"/>
              </w:rPr>
              <w:t>交易贷</w:t>
            </w:r>
            <w:r>
              <w:rPr>
                <w:rFonts w:hint="default" w:ascii="Calibri" w:hAnsi="Calibri" w:cs="Calibri"/>
                <w:sz w:val="21"/>
                <w:szCs w:val="21"/>
                <w:bdr w:val="none" w:color="auto" w:sz="0" w:space="0"/>
              </w:rPr>
              <w:t>”</w:t>
            </w:r>
            <w:r>
              <w:rPr>
                <w:rFonts w:hint="eastAsia" w:ascii="仿宋" w:hAnsi="仿宋" w:eastAsia="仿宋" w:cs="仿宋"/>
                <w:sz w:val="21"/>
                <w:szCs w:val="21"/>
                <w:bdr w:val="none" w:color="auto" w:sz="0" w:space="0"/>
              </w:rPr>
              <w:t>平台，加强与县市区对接。</w:t>
            </w:r>
          </w:p>
        </w:tc>
        <w:tc>
          <w:tcPr>
            <w:tcW w:w="111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争取在今年内打通六县三区交易贷平台与一体化系统对接。</w:t>
            </w:r>
          </w:p>
        </w:tc>
        <w:tc>
          <w:tcPr>
            <w:tcW w:w="1343"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已完成　</w:t>
            </w:r>
          </w:p>
        </w:tc>
        <w:tc>
          <w:tcPr>
            <w:tcW w:w="70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1"/>
                <w:szCs w:val="21"/>
                <w:bdr w:val="none" w:color="auto" w:sz="0" w:space="0"/>
              </w:rPr>
              <w:t>　</w:t>
            </w:r>
            <w:r>
              <w:rPr>
                <w:rFonts w:hint="default" w:ascii="Calibri" w:hAnsi="Calibri" w:eastAsia="仿宋" w:cs="Calibri"/>
                <w:sz w:val="21"/>
                <w:szCs w:val="21"/>
                <w:bdr w:val="none" w:color="auto" w:sz="0" w:space="0"/>
              </w:rPr>
              <w:t>2</w:t>
            </w:r>
          </w:p>
        </w:tc>
        <w:tc>
          <w:tcPr>
            <w:tcW w:w="898"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2</w:t>
            </w:r>
          </w:p>
        </w:tc>
        <w:tc>
          <w:tcPr>
            <w:tcW w:w="1446"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jc w:val="center"/>
        </w:trPr>
        <w:tc>
          <w:tcPr>
            <w:tcW w:w="1080" w:type="dxa"/>
            <w:vMerge w:val="continue"/>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7" w:type="dxa"/>
            <w:vMerge w:val="continue"/>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5" w:type="dxa"/>
            <w:vMerge w:val="continue"/>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605"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交易服务费线上平台系统的线上缴费及线上打印票据功能。</w:t>
            </w:r>
          </w:p>
        </w:tc>
        <w:tc>
          <w:tcPr>
            <w:tcW w:w="111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在今年上半年完成缴费系统上线，下半年争取实现在线上打印缴费凭证。</w:t>
            </w:r>
          </w:p>
        </w:tc>
        <w:tc>
          <w:tcPr>
            <w:tcW w:w="1343"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已完成</w:t>
            </w:r>
          </w:p>
        </w:tc>
        <w:tc>
          <w:tcPr>
            <w:tcW w:w="70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Calibri" w:hAnsi="Calibri" w:eastAsia="仿宋" w:cs="Calibri"/>
                <w:sz w:val="21"/>
                <w:szCs w:val="21"/>
                <w:bdr w:val="none" w:color="auto" w:sz="0" w:space="0"/>
              </w:rPr>
              <w:t>2</w:t>
            </w:r>
          </w:p>
        </w:tc>
        <w:tc>
          <w:tcPr>
            <w:tcW w:w="898"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2</w:t>
            </w:r>
          </w:p>
        </w:tc>
        <w:tc>
          <w:tcPr>
            <w:tcW w:w="1446"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Calibri" w:hAnsi="Calibri" w:cs="Calibri"/>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jc w:val="center"/>
        </w:trPr>
        <w:tc>
          <w:tcPr>
            <w:tcW w:w="1080" w:type="dxa"/>
            <w:vMerge w:val="continue"/>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7" w:type="dxa"/>
            <w:vMerge w:val="continue"/>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5" w:type="dxa"/>
            <w:vMerge w:val="continue"/>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605"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优化市场营商环境</w:t>
            </w:r>
          </w:p>
        </w:tc>
        <w:tc>
          <w:tcPr>
            <w:tcW w:w="111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一年内中心无投诉</w:t>
            </w:r>
            <w:r>
              <w:rPr>
                <w:rFonts w:hint="default" w:ascii="Calibri" w:hAnsi="Calibri" w:cs="Calibri"/>
                <w:sz w:val="21"/>
                <w:szCs w:val="21"/>
                <w:bdr w:val="none" w:color="auto" w:sz="0" w:space="0"/>
              </w:rPr>
              <w:t>“</w:t>
            </w:r>
            <w:r>
              <w:rPr>
                <w:rFonts w:hint="eastAsia" w:ascii="仿宋" w:hAnsi="仿宋" w:eastAsia="仿宋" w:cs="仿宋"/>
                <w:sz w:val="21"/>
                <w:szCs w:val="21"/>
                <w:bdr w:val="none" w:color="auto" w:sz="0" w:space="0"/>
              </w:rPr>
              <w:t>办事难</w:t>
            </w:r>
            <w:r>
              <w:rPr>
                <w:rFonts w:hint="default" w:ascii="Calibri" w:hAnsi="Calibri" w:cs="Calibri"/>
                <w:sz w:val="21"/>
                <w:szCs w:val="21"/>
                <w:bdr w:val="none" w:color="auto" w:sz="0" w:space="0"/>
              </w:rPr>
              <w:t>”</w:t>
            </w:r>
            <w:r>
              <w:rPr>
                <w:rFonts w:hint="eastAsia" w:ascii="仿宋" w:hAnsi="仿宋" w:eastAsia="仿宋" w:cs="仿宋"/>
                <w:sz w:val="21"/>
                <w:szCs w:val="21"/>
                <w:bdr w:val="none" w:color="auto" w:sz="0" w:space="0"/>
              </w:rPr>
              <w:t>现象。</w:t>
            </w:r>
          </w:p>
        </w:tc>
        <w:tc>
          <w:tcPr>
            <w:tcW w:w="1343"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已完成　</w:t>
            </w:r>
          </w:p>
        </w:tc>
        <w:tc>
          <w:tcPr>
            <w:tcW w:w="70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1"/>
                <w:szCs w:val="21"/>
                <w:bdr w:val="none" w:color="auto" w:sz="0" w:space="0"/>
              </w:rPr>
              <w:t>　</w:t>
            </w:r>
            <w:r>
              <w:rPr>
                <w:rFonts w:hint="default" w:ascii="Calibri" w:hAnsi="Calibri" w:eastAsia="仿宋" w:cs="Calibri"/>
                <w:sz w:val="21"/>
                <w:szCs w:val="21"/>
                <w:bdr w:val="none" w:color="auto" w:sz="0" w:space="0"/>
              </w:rPr>
              <w:t>5</w:t>
            </w:r>
          </w:p>
        </w:tc>
        <w:tc>
          <w:tcPr>
            <w:tcW w:w="898"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5</w:t>
            </w:r>
          </w:p>
        </w:tc>
        <w:tc>
          <w:tcPr>
            <w:tcW w:w="1446"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jc w:val="center"/>
        </w:trPr>
        <w:tc>
          <w:tcPr>
            <w:tcW w:w="1080" w:type="dxa"/>
            <w:vMerge w:val="continue"/>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7" w:type="dxa"/>
            <w:vMerge w:val="continue"/>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5" w:type="dxa"/>
            <w:vMerge w:val="restart"/>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成本指标</w:t>
            </w:r>
          </w:p>
        </w:tc>
        <w:tc>
          <w:tcPr>
            <w:tcW w:w="1605"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实现电子化评标和不见面开标。</w:t>
            </w:r>
          </w:p>
        </w:tc>
        <w:tc>
          <w:tcPr>
            <w:tcW w:w="111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在财政列支</w:t>
            </w:r>
            <w:r>
              <w:rPr>
                <w:rFonts w:hint="default" w:ascii="Calibri" w:hAnsi="Calibri" w:cs="Calibri"/>
                <w:sz w:val="21"/>
                <w:szCs w:val="21"/>
                <w:bdr w:val="none" w:color="auto" w:sz="0" w:space="0"/>
              </w:rPr>
              <w:t>1000</w:t>
            </w:r>
            <w:r>
              <w:rPr>
                <w:rFonts w:hint="eastAsia" w:ascii="仿宋" w:hAnsi="仿宋" w:eastAsia="仿宋" w:cs="仿宋"/>
                <w:sz w:val="21"/>
                <w:szCs w:val="21"/>
                <w:bdr w:val="none" w:color="auto" w:sz="0" w:space="0"/>
              </w:rPr>
              <w:t>万元经费作为信息化支出项目。</w:t>
            </w:r>
          </w:p>
        </w:tc>
        <w:tc>
          <w:tcPr>
            <w:tcW w:w="1343"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已完成　</w:t>
            </w:r>
          </w:p>
        </w:tc>
        <w:tc>
          <w:tcPr>
            <w:tcW w:w="70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1"/>
                <w:szCs w:val="21"/>
                <w:bdr w:val="none" w:color="auto" w:sz="0" w:space="0"/>
              </w:rPr>
              <w:t>　</w:t>
            </w:r>
            <w:r>
              <w:rPr>
                <w:rFonts w:hint="default" w:ascii="Calibri" w:hAnsi="Calibri" w:eastAsia="仿宋" w:cs="Calibri"/>
                <w:sz w:val="21"/>
                <w:szCs w:val="21"/>
                <w:bdr w:val="none" w:color="auto" w:sz="0" w:space="0"/>
              </w:rPr>
              <w:t>5</w:t>
            </w:r>
          </w:p>
        </w:tc>
        <w:tc>
          <w:tcPr>
            <w:tcW w:w="898"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5</w:t>
            </w:r>
          </w:p>
        </w:tc>
        <w:tc>
          <w:tcPr>
            <w:tcW w:w="1446"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jc w:val="center"/>
        </w:trPr>
        <w:tc>
          <w:tcPr>
            <w:tcW w:w="1080" w:type="dxa"/>
            <w:vMerge w:val="continue"/>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7" w:type="dxa"/>
            <w:vMerge w:val="continue"/>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5" w:type="dxa"/>
            <w:vMerge w:val="continue"/>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605"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推进全市信息数据库建设。</w:t>
            </w:r>
          </w:p>
        </w:tc>
        <w:tc>
          <w:tcPr>
            <w:tcW w:w="111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在政务云中心建立数据库。</w:t>
            </w:r>
          </w:p>
        </w:tc>
        <w:tc>
          <w:tcPr>
            <w:tcW w:w="1343"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已完成</w:t>
            </w:r>
          </w:p>
        </w:tc>
        <w:tc>
          <w:tcPr>
            <w:tcW w:w="70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Calibri" w:hAnsi="Calibri" w:eastAsia="仿宋" w:cs="Calibri"/>
                <w:sz w:val="21"/>
                <w:szCs w:val="21"/>
                <w:bdr w:val="none" w:color="auto" w:sz="0" w:space="0"/>
              </w:rPr>
              <w:t>5</w:t>
            </w:r>
          </w:p>
        </w:tc>
        <w:tc>
          <w:tcPr>
            <w:tcW w:w="898"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5</w:t>
            </w:r>
          </w:p>
        </w:tc>
        <w:tc>
          <w:tcPr>
            <w:tcW w:w="1446"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Calibri" w:hAnsi="Calibri" w:cs="Calibri"/>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jc w:val="center"/>
        </w:trPr>
        <w:tc>
          <w:tcPr>
            <w:tcW w:w="1080" w:type="dxa"/>
            <w:vMerge w:val="continue"/>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7" w:type="dxa"/>
            <w:vMerge w:val="continue"/>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5" w:type="dxa"/>
            <w:vMerge w:val="continue"/>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605"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持续深化交易全流程电子化</w:t>
            </w:r>
          </w:p>
        </w:tc>
        <w:tc>
          <w:tcPr>
            <w:tcW w:w="111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建立三个以上远程异地评标电子化开标室。</w:t>
            </w:r>
          </w:p>
        </w:tc>
        <w:tc>
          <w:tcPr>
            <w:tcW w:w="1343"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已完成</w:t>
            </w:r>
          </w:p>
        </w:tc>
        <w:tc>
          <w:tcPr>
            <w:tcW w:w="70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Calibri" w:hAnsi="Calibri" w:eastAsia="仿宋" w:cs="Calibri"/>
                <w:sz w:val="21"/>
                <w:szCs w:val="21"/>
                <w:bdr w:val="none" w:color="auto" w:sz="0" w:space="0"/>
              </w:rPr>
              <w:t>2</w:t>
            </w:r>
          </w:p>
        </w:tc>
        <w:tc>
          <w:tcPr>
            <w:tcW w:w="898"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2</w:t>
            </w:r>
          </w:p>
        </w:tc>
        <w:tc>
          <w:tcPr>
            <w:tcW w:w="1446"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Calibri" w:hAnsi="Calibri" w:cs="Calibri"/>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jc w:val="center"/>
        </w:trPr>
        <w:tc>
          <w:tcPr>
            <w:tcW w:w="1080" w:type="dxa"/>
            <w:vMerge w:val="continue"/>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7" w:type="dxa"/>
            <w:vMerge w:val="continue"/>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5" w:type="dxa"/>
            <w:vMerge w:val="continue"/>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605"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机关运转费用预算资金</w:t>
            </w:r>
            <w:r>
              <w:rPr>
                <w:rFonts w:hint="default" w:ascii="Calibri" w:hAnsi="Calibri" w:cs="Calibri"/>
                <w:sz w:val="21"/>
                <w:szCs w:val="21"/>
                <w:bdr w:val="none" w:color="auto" w:sz="0" w:space="0"/>
              </w:rPr>
              <w:t>707.84</w:t>
            </w:r>
            <w:r>
              <w:rPr>
                <w:rFonts w:hint="eastAsia" w:ascii="仿宋" w:hAnsi="仿宋" w:eastAsia="仿宋" w:cs="仿宋"/>
                <w:sz w:val="21"/>
                <w:szCs w:val="21"/>
                <w:bdr w:val="none" w:color="auto" w:sz="0" w:space="0"/>
              </w:rPr>
              <w:t>万元，非税收入拨款指标</w:t>
            </w:r>
            <w:r>
              <w:rPr>
                <w:rFonts w:hint="default" w:ascii="Calibri" w:hAnsi="Calibri" w:cs="Calibri"/>
                <w:sz w:val="21"/>
                <w:szCs w:val="21"/>
                <w:bdr w:val="none" w:color="auto" w:sz="0" w:space="0"/>
              </w:rPr>
              <w:t>1530</w:t>
            </w:r>
            <w:r>
              <w:rPr>
                <w:rFonts w:hint="eastAsia" w:ascii="仿宋" w:hAnsi="仿宋" w:eastAsia="仿宋" w:cs="仿宋"/>
                <w:sz w:val="21"/>
                <w:szCs w:val="21"/>
                <w:bdr w:val="none" w:color="auto" w:sz="0" w:space="0"/>
              </w:rPr>
              <w:t>万元，按预算执行</w:t>
            </w:r>
          </w:p>
        </w:tc>
        <w:tc>
          <w:tcPr>
            <w:tcW w:w="111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人员经费</w:t>
            </w:r>
            <w:r>
              <w:rPr>
                <w:rFonts w:hint="default" w:ascii="Calibri" w:hAnsi="Calibri" w:cs="Calibri"/>
                <w:sz w:val="21"/>
                <w:szCs w:val="21"/>
                <w:bdr w:val="none" w:color="auto" w:sz="0" w:space="0"/>
              </w:rPr>
              <w:t>444.92</w:t>
            </w:r>
            <w:r>
              <w:rPr>
                <w:rFonts w:hint="eastAsia" w:ascii="仿宋" w:hAnsi="仿宋" w:eastAsia="仿宋" w:cs="仿宋"/>
                <w:sz w:val="21"/>
                <w:szCs w:val="21"/>
                <w:bdr w:val="none" w:color="auto" w:sz="0" w:space="0"/>
              </w:rPr>
              <w:t>万元、公用经费</w:t>
            </w:r>
            <w:r>
              <w:rPr>
                <w:rFonts w:hint="default" w:ascii="Calibri" w:hAnsi="Calibri" w:cs="Calibri"/>
                <w:sz w:val="21"/>
                <w:szCs w:val="21"/>
                <w:bdr w:val="none" w:color="auto" w:sz="0" w:space="0"/>
              </w:rPr>
              <w:t>94.62</w:t>
            </w:r>
            <w:r>
              <w:rPr>
                <w:rFonts w:hint="eastAsia" w:ascii="仿宋" w:hAnsi="仿宋" w:eastAsia="仿宋" w:cs="仿宋"/>
                <w:sz w:val="21"/>
                <w:szCs w:val="21"/>
                <w:bdr w:val="none" w:color="auto" w:sz="0" w:space="0"/>
              </w:rPr>
              <w:t>万元（含车补）、人员项目补贴</w:t>
            </w:r>
            <w:r>
              <w:rPr>
                <w:rFonts w:hint="default" w:ascii="Calibri" w:hAnsi="Calibri" w:cs="Calibri"/>
                <w:sz w:val="21"/>
                <w:szCs w:val="21"/>
                <w:bdr w:val="none" w:color="auto" w:sz="0" w:space="0"/>
              </w:rPr>
              <w:t>168.3</w:t>
            </w:r>
            <w:r>
              <w:rPr>
                <w:rFonts w:hint="eastAsia" w:ascii="仿宋" w:hAnsi="仿宋" w:eastAsia="仿宋" w:cs="仿宋"/>
                <w:sz w:val="21"/>
                <w:szCs w:val="21"/>
                <w:bdr w:val="none" w:color="auto" w:sz="0" w:space="0"/>
              </w:rPr>
              <w:t>万元（含绩效奖</w:t>
            </w:r>
            <w:r>
              <w:rPr>
                <w:rFonts w:hint="default" w:ascii="Calibri" w:hAnsi="Calibri" w:cs="Calibri"/>
                <w:sz w:val="21"/>
                <w:szCs w:val="21"/>
                <w:bdr w:val="none" w:color="auto" w:sz="0" w:space="0"/>
              </w:rPr>
              <w:t>110</w:t>
            </w:r>
            <w:r>
              <w:rPr>
                <w:rFonts w:hint="eastAsia" w:ascii="仿宋" w:hAnsi="仿宋" w:eastAsia="仿宋" w:cs="仿宋"/>
                <w:sz w:val="21"/>
                <w:szCs w:val="21"/>
                <w:bdr w:val="none" w:color="auto" w:sz="0" w:space="0"/>
              </w:rPr>
              <w:t>万元、物业补贴</w:t>
            </w:r>
            <w:r>
              <w:rPr>
                <w:rFonts w:hint="default" w:ascii="Calibri" w:hAnsi="Calibri" w:cs="Calibri"/>
                <w:sz w:val="21"/>
                <w:szCs w:val="21"/>
                <w:bdr w:val="none" w:color="auto" w:sz="0" w:space="0"/>
              </w:rPr>
              <w:t>19.8</w:t>
            </w:r>
            <w:r>
              <w:rPr>
                <w:rFonts w:hint="eastAsia" w:ascii="仿宋" w:hAnsi="仿宋" w:eastAsia="仿宋" w:cs="仿宋"/>
                <w:sz w:val="21"/>
                <w:szCs w:val="21"/>
                <w:bdr w:val="none" w:color="auto" w:sz="0" w:space="0"/>
              </w:rPr>
              <w:t>、伙食补助</w:t>
            </w:r>
            <w:r>
              <w:rPr>
                <w:rFonts w:hint="default" w:ascii="Calibri" w:hAnsi="Calibri" w:cs="Calibri"/>
                <w:sz w:val="21"/>
                <w:szCs w:val="21"/>
                <w:bdr w:val="none" w:color="auto" w:sz="0" w:space="0"/>
              </w:rPr>
              <w:t>22</w:t>
            </w:r>
            <w:r>
              <w:rPr>
                <w:rFonts w:hint="eastAsia" w:ascii="仿宋" w:hAnsi="仿宋" w:eastAsia="仿宋" w:cs="仿宋"/>
                <w:sz w:val="21"/>
                <w:szCs w:val="21"/>
                <w:bdr w:val="none" w:color="auto" w:sz="0" w:space="0"/>
              </w:rPr>
              <w:t>、工会经费补助</w:t>
            </w:r>
            <w:r>
              <w:rPr>
                <w:rFonts w:hint="default" w:ascii="Calibri" w:hAnsi="Calibri" w:cs="Calibri"/>
                <w:sz w:val="21"/>
                <w:szCs w:val="21"/>
                <w:bdr w:val="none" w:color="auto" w:sz="0" w:space="0"/>
              </w:rPr>
              <w:t>16.5</w:t>
            </w:r>
            <w:r>
              <w:rPr>
                <w:rFonts w:hint="eastAsia" w:ascii="仿宋" w:hAnsi="仿宋" w:eastAsia="仿宋" w:cs="仿宋"/>
                <w:sz w:val="21"/>
                <w:szCs w:val="21"/>
                <w:bdr w:val="none" w:color="auto" w:sz="0" w:space="0"/>
              </w:rPr>
              <w:t>）达到预算既定目标。</w:t>
            </w:r>
          </w:p>
        </w:tc>
        <w:tc>
          <w:tcPr>
            <w:tcW w:w="1343"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已完成</w:t>
            </w:r>
          </w:p>
        </w:tc>
        <w:tc>
          <w:tcPr>
            <w:tcW w:w="70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1"/>
                <w:szCs w:val="21"/>
                <w:bdr w:val="none" w:color="auto" w:sz="0" w:space="0"/>
              </w:rPr>
              <w:t>　</w:t>
            </w:r>
            <w:r>
              <w:rPr>
                <w:rFonts w:hint="default" w:ascii="Calibri" w:hAnsi="Calibri" w:eastAsia="仿宋" w:cs="Calibri"/>
                <w:sz w:val="21"/>
                <w:szCs w:val="21"/>
                <w:bdr w:val="none" w:color="auto" w:sz="0" w:space="0"/>
              </w:rPr>
              <w:t>3</w:t>
            </w:r>
          </w:p>
        </w:tc>
        <w:tc>
          <w:tcPr>
            <w:tcW w:w="898"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3</w:t>
            </w:r>
          </w:p>
        </w:tc>
        <w:tc>
          <w:tcPr>
            <w:tcW w:w="1446"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jc w:val="center"/>
        </w:trPr>
        <w:tc>
          <w:tcPr>
            <w:tcW w:w="1080" w:type="dxa"/>
            <w:vMerge w:val="continue"/>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7" w:type="dxa"/>
            <w:vMerge w:val="restart"/>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效益指标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0"/>
              <w:jc w:val="left"/>
              <w:rPr>
                <w:rFonts w:hint="default" w:ascii="Calibri" w:hAnsi="Calibri" w:cs="Calibri"/>
                <w:sz w:val="21"/>
                <w:szCs w:val="21"/>
              </w:rPr>
            </w:pPr>
            <w:r>
              <w:rPr>
                <w:rFonts w:hint="eastAsia" w:ascii="仿宋" w:hAnsi="仿宋" w:eastAsia="仿宋" w:cs="仿宋"/>
                <w:sz w:val="21"/>
                <w:szCs w:val="21"/>
                <w:bdr w:val="none" w:color="auto" w:sz="0" w:space="0"/>
              </w:rPr>
              <w:t>（</w:t>
            </w:r>
            <w:r>
              <w:rPr>
                <w:rFonts w:hint="default" w:ascii="Calibri" w:hAnsi="Calibri" w:cs="Calibri"/>
                <w:sz w:val="21"/>
                <w:szCs w:val="21"/>
                <w:bdr w:val="none" w:color="auto" w:sz="0" w:space="0"/>
              </w:rPr>
              <w:t>30</w:t>
            </w:r>
            <w:r>
              <w:rPr>
                <w:rFonts w:hint="eastAsia" w:ascii="仿宋" w:hAnsi="仿宋" w:eastAsia="仿宋" w:cs="仿宋"/>
                <w:sz w:val="21"/>
                <w:szCs w:val="21"/>
                <w:bdr w:val="none" w:color="auto" w:sz="0" w:space="0"/>
              </w:rPr>
              <w:t>分）　</w:t>
            </w:r>
          </w:p>
        </w:tc>
        <w:tc>
          <w:tcPr>
            <w:tcW w:w="1065" w:type="dxa"/>
            <w:vMerge w:val="restart"/>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经济效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益指标</w:t>
            </w:r>
          </w:p>
        </w:tc>
        <w:tc>
          <w:tcPr>
            <w:tcW w:w="1605"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解决中小微企业融资难，银行放款难</w:t>
            </w:r>
          </w:p>
        </w:tc>
        <w:tc>
          <w:tcPr>
            <w:tcW w:w="111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实现为</w:t>
            </w:r>
            <w:r>
              <w:rPr>
                <w:rFonts w:hint="default" w:ascii="Calibri" w:hAnsi="Calibri" w:cs="Calibri"/>
                <w:sz w:val="21"/>
                <w:szCs w:val="21"/>
                <w:bdr w:val="none" w:color="auto" w:sz="0" w:space="0"/>
              </w:rPr>
              <w:t>50%</w:t>
            </w:r>
            <w:r>
              <w:rPr>
                <w:rFonts w:hint="eastAsia" w:ascii="仿宋" w:hAnsi="仿宋" w:eastAsia="仿宋" w:cs="仿宋"/>
                <w:sz w:val="21"/>
                <w:szCs w:val="21"/>
                <w:bdr w:val="none" w:color="auto" w:sz="0" w:space="0"/>
              </w:rPr>
              <w:t>以上需要贷款的中小微企业实现与银行贷款问题。</w:t>
            </w:r>
          </w:p>
        </w:tc>
        <w:tc>
          <w:tcPr>
            <w:tcW w:w="1343"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已完成　</w:t>
            </w:r>
          </w:p>
        </w:tc>
        <w:tc>
          <w:tcPr>
            <w:tcW w:w="70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1"/>
                <w:szCs w:val="21"/>
                <w:bdr w:val="none" w:color="auto" w:sz="0" w:space="0"/>
              </w:rPr>
              <w:t>　</w:t>
            </w:r>
            <w:r>
              <w:rPr>
                <w:rFonts w:hint="default" w:ascii="Calibri" w:hAnsi="Calibri" w:eastAsia="仿宋" w:cs="Calibri"/>
                <w:sz w:val="21"/>
                <w:szCs w:val="21"/>
                <w:bdr w:val="none" w:color="auto" w:sz="0" w:space="0"/>
              </w:rPr>
              <w:t>2</w:t>
            </w:r>
          </w:p>
        </w:tc>
        <w:tc>
          <w:tcPr>
            <w:tcW w:w="898"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2</w:t>
            </w:r>
          </w:p>
        </w:tc>
        <w:tc>
          <w:tcPr>
            <w:tcW w:w="1446"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jc w:val="center"/>
        </w:trPr>
        <w:tc>
          <w:tcPr>
            <w:tcW w:w="1080" w:type="dxa"/>
            <w:vMerge w:val="continue"/>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7" w:type="dxa"/>
            <w:vMerge w:val="continue"/>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5" w:type="dxa"/>
            <w:vMerge w:val="continue"/>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605"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实现电子化评标和不见面开标。</w:t>
            </w:r>
          </w:p>
        </w:tc>
        <w:tc>
          <w:tcPr>
            <w:tcW w:w="111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预计减少</w:t>
            </w:r>
            <w:r>
              <w:rPr>
                <w:rFonts w:hint="default" w:ascii="Calibri" w:hAnsi="Calibri" w:cs="Calibri"/>
                <w:sz w:val="21"/>
                <w:szCs w:val="21"/>
                <w:bdr w:val="none" w:color="auto" w:sz="0" w:space="0"/>
              </w:rPr>
              <w:t>2</w:t>
            </w:r>
            <w:r>
              <w:rPr>
                <w:rFonts w:hint="eastAsia" w:ascii="仿宋" w:hAnsi="仿宋" w:eastAsia="仿宋" w:cs="仿宋"/>
                <w:sz w:val="21"/>
                <w:szCs w:val="21"/>
                <w:bdr w:val="none" w:color="auto" w:sz="0" w:space="0"/>
              </w:rPr>
              <w:t>万人次到中心现场开标，节约上亿元成本，对疫情防控有着重要作用。</w:t>
            </w:r>
          </w:p>
        </w:tc>
        <w:tc>
          <w:tcPr>
            <w:tcW w:w="1343"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已完成</w:t>
            </w:r>
          </w:p>
        </w:tc>
        <w:tc>
          <w:tcPr>
            <w:tcW w:w="70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1"/>
                <w:szCs w:val="21"/>
                <w:bdr w:val="none" w:color="auto" w:sz="0" w:space="0"/>
              </w:rPr>
              <w:t>　</w:t>
            </w:r>
            <w:r>
              <w:rPr>
                <w:rFonts w:hint="default" w:ascii="Calibri" w:hAnsi="Calibri" w:eastAsia="仿宋" w:cs="Calibri"/>
                <w:sz w:val="21"/>
                <w:szCs w:val="21"/>
                <w:bdr w:val="none" w:color="auto" w:sz="0" w:space="0"/>
              </w:rPr>
              <w:t>1</w:t>
            </w:r>
          </w:p>
        </w:tc>
        <w:tc>
          <w:tcPr>
            <w:tcW w:w="898"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1</w:t>
            </w:r>
          </w:p>
        </w:tc>
        <w:tc>
          <w:tcPr>
            <w:tcW w:w="1446"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jc w:val="center"/>
        </w:trPr>
        <w:tc>
          <w:tcPr>
            <w:tcW w:w="1080" w:type="dxa"/>
            <w:vMerge w:val="continue"/>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7" w:type="dxa"/>
            <w:vMerge w:val="continue"/>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5" w:type="dxa"/>
            <w:vMerge w:val="restart"/>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社会效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益指标</w:t>
            </w:r>
          </w:p>
        </w:tc>
        <w:tc>
          <w:tcPr>
            <w:tcW w:w="1605"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强化民生保障。</w:t>
            </w:r>
          </w:p>
        </w:tc>
        <w:tc>
          <w:tcPr>
            <w:tcW w:w="111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确保学校建设工程、国企</w:t>
            </w:r>
            <w:r>
              <w:rPr>
                <w:rFonts w:hint="default" w:ascii="Calibri" w:hAnsi="Calibri" w:cs="Calibri"/>
                <w:sz w:val="21"/>
                <w:szCs w:val="21"/>
                <w:bdr w:val="none" w:color="auto" w:sz="0" w:space="0"/>
              </w:rPr>
              <w:t>“</w:t>
            </w:r>
            <w:r>
              <w:rPr>
                <w:rFonts w:hint="eastAsia" w:ascii="仿宋" w:hAnsi="仿宋" w:eastAsia="仿宋" w:cs="仿宋"/>
                <w:sz w:val="21"/>
                <w:szCs w:val="21"/>
                <w:bdr w:val="none" w:color="auto" w:sz="0" w:space="0"/>
              </w:rPr>
              <w:t>三供一业</w:t>
            </w:r>
            <w:r>
              <w:rPr>
                <w:rFonts w:hint="default" w:ascii="Calibri" w:hAnsi="Calibri" w:cs="Calibri"/>
                <w:sz w:val="21"/>
                <w:szCs w:val="21"/>
                <w:bdr w:val="none" w:color="auto" w:sz="0" w:space="0"/>
              </w:rPr>
              <w:t>”</w:t>
            </w:r>
            <w:r>
              <w:rPr>
                <w:rFonts w:hint="eastAsia" w:ascii="仿宋" w:hAnsi="仿宋" w:eastAsia="仿宋" w:cs="仿宋"/>
                <w:sz w:val="21"/>
                <w:szCs w:val="21"/>
                <w:bdr w:val="none" w:color="auto" w:sz="0" w:space="0"/>
              </w:rPr>
              <w:t>、标准化农田建设等时效性强关系民生的重大项目，按期完成交易</w:t>
            </w:r>
          </w:p>
        </w:tc>
        <w:tc>
          <w:tcPr>
            <w:tcW w:w="1343"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已完成</w:t>
            </w:r>
          </w:p>
        </w:tc>
        <w:tc>
          <w:tcPr>
            <w:tcW w:w="70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1"/>
                <w:szCs w:val="21"/>
                <w:bdr w:val="none" w:color="auto" w:sz="0" w:space="0"/>
              </w:rPr>
              <w:t>　</w:t>
            </w:r>
            <w:r>
              <w:rPr>
                <w:rFonts w:hint="default" w:ascii="Calibri" w:hAnsi="Calibri" w:eastAsia="仿宋" w:cs="Calibri"/>
                <w:sz w:val="21"/>
                <w:szCs w:val="21"/>
                <w:bdr w:val="none" w:color="auto" w:sz="0" w:space="0"/>
              </w:rPr>
              <w:t>2</w:t>
            </w:r>
          </w:p>
        </w:tc>
        <w:tc>
          <w:tcPr>
            <w:tcW w:w="898"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2</w:t>
            </w:r>
          </w:p>
        </w:tc>
        <w:tc>
          <w:tcPr>
            <w:tcW w:w="1446"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jc w:val="center"/>
        </w:trPr>
        <w:tc>
          <w:tcPr>
            <w:tcW w:w="1080" w:type="dxa"/>
            <w:vMerge w:val="continue"/>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7" w:type="dxa"/>
            <w:vMerge w:val="continue"/>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5" w:type="dxa"/>
            <w:vMerge w:val="continue"/>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605"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突出重点项目，助推全市发展。</w:t>
            </w:r>
          </w:p>
        </w:tc>
        <w:tc>
          <w:tcPr>
            <w:tcW w:w="111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全力做好市级重大项目建设用地出让工作。</w:t>
            </w:r>
          </w:p>
        </w:tc>
        <w:tc>
          <w:tcPr>
            <w:tcW w:w="1343"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已完成</w:t>
            </w:r>
          </w:p>
        </w:tc>
        <w:tc>
          <w:tcPr>
            <w:tcW w:w="70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Calibri" w:hAnsi="Calibri" w:eastAsia="仿宋" w:cs="Calibri"/>
                <w:sz w:val="21"/>
                <w:szCs w:val="21"/>
                <w:bdr w:val="none" w:color="auto" w:sz="0" w:space="0"/>
              </w:rPr>
              <w:t>2</w:t>
            </w:r>
          </w:p>
        </w:tc>
        <w:tc>
          <w:tcPr>
            <w:tcW w:w="898"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2</w:t>
            </w:r>
          </w:p>
        </w:tc>
        <w:tc>
          <w:tcPr>
            <w:tcW w:w="1446"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Calibri" w:hAnsi="Calibri" w:cs="Calibri"/>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jc w:val="center"/>
        </w:trPr>
        <w:tc>
          <w:tcPr>
            <w:tcW w:w="1080" w:type="dxa"/>
            <w:vMerge w:val="continue"/>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7" w:type="dxa"/>
            <w:vMerge w:val="continue"/>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5" w:type="dxa"/>
            <w:vMerge w:val="continue"/>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605"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丰富创建活动，创建省级文明单位</w:t>
            </w:r>
          </w:p>
        </w:tc>
        <w:tc>
          <w:tcPr>
            <w:tcW w:w="111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开展</w:t>
            </w:r>
            <w:r>
              <w:rPr>
                <w:rFonts w:hint="default" w:ascii="Calibri" w:hAnsi="Calibri" w:eastAsia="仿宋" w:cs="Calibri"/>
                <w:sz w:val="21"/>
                <w:szCs w:val="21"/>
                <w:bdr w:val="none" w:color="auto" w:sz="0" w:space="0"/>
              </w:rPr>
              <w:t>10</w:t>
            </w:r>
            <w:r>
              <w:rPr>
                <w:rFonts w:hint="eastAsia" w:ascii="仿宋" w:hAnsi="仿宋" w:eastAsia="仿宋" w:cs="仿宋"/>
                <w:sz w:val="21"/>
                <w:szCs w:val="21"/>
                <w:bdr w:val="none" w:color="auto" w:sz="0" w:space="0"/>
              </w:rPr>
              <w:t>场以上知识讲座，积极开展各项活动。</w:t>
            </w:r>
          </w:p>
        </w:tc>
        <w:tc>
          <w:tcPr>
            <w:tcW w:w="1343"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已完成</w:t>
            </w:r>
          </w:p>
        </w:tc>
        <w:tc>
          <w:tcPr>
            <w:tcW w:w="70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1"/>
                <w:szCs w:val="21"/>
                <w:bdr w:val="none" w:color="auto" w:sz="0" w:space="0"/>
              </w:rPr>
              <w:t>　</w:t>
            </w:r>
            <w:r>
              <w:rPr>
                <w:rFonts w:hint="default" w:ascii="Calibri" w:hAnsi="Calibri" w:eastAsia="仿宋" w:cs="Calibri"/>
                <w:sz w:val="21"/>
                <w:szCs w:val="21"/>
                <w:bdr w:val="none" w:color="auto" w:sz="0" w:space="0"/>
              </w:rPr>
              <w:t>3</w:t>
            </w:r>
          </w:p>
        </w:tc>
        <w:tc>
          <w:tcPr>
            <w:tcW w:w="898"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3</w:t>
            </w:r>
          </w:p>
        </w:tc>
        <w:tc>
          <w:tcPr>
            <w:tcW w:w="1446"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jc w:val="center"/>
        </w:trPr>
        <w:tc>
          <w:tcPr>
            <w:tcW w:w="1080" w:type="dxa"/>
            <w:vMerge w:val="continue"/>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7" w:type="dxa"/>
            <w:vMerge w:val="continue"/>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5"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生态效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益指标</w:t>
            </w:r>
          </w:p>
        </w:tc>
        <w:tc>
          <w:tcPr>
            <w:tcW w:w="1605"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无生态效益指标</w:t>
            </w:r>
          </w:p>
        </w:tc>
        <w:tc>
          <w:tcPr>
            <w:tcW w:w="111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　</w:t>
            </w:r>
          </w:p>
        </w:tc>
        <w:tc>
          <w:tcPr>
            <w:tcW w:w="1343"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　</w:t>
            </w:r>
          </w:p>
        </w:tc>
        <w:tc>
          <w:tcPr>
            <w:tcW w:w="70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1"/>
                <w:szCs w:val="21"/>
                <w:bdr w:val="none" w:color="auto" w:sz="0" w:space="0"/>
              </w:rPr>
              <w:t>　</w:t>
            </w:r>
            <w:r>
              <w:rPr>
                <w:rFonts w:hint="default" w:ascii="Calibri" w:hAnsi="Calibri" w:eastAsia="仿宋" w:cs="Calibri"/>
                <w:sz w:val="21"/>
                <w:szCs w:val="21"/>
                <w:bdr w:val="none" w:color="auto" w:sz="0" w:space="0"/>
              </w:rPr>
              <w:t>0</w:t>
            </w:r>
          </w:p>
        </w:tc>
        <w:tc>
          <w:tcPr>
            <w:tcW w:w="898"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0</w:t>
            </w:r>
          </w:p>
        </w:tc>
        <w:tc>
          <w:tcPr>
            <w:tcW w:w="1446"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jc w:val="center"/>
        </w:trPr>
        <w:tc>
          <w:tcPr>
            <w:tcW w:w="1080" w:type="dxa"/>
            <w:vMerge w:val="continue"/>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7" w:type="dxa"/>
            <w:vMerge w:val="continue"/>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5" w:type="dxa"/>
            <w:vMerge w:val="restart"/>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可持续影响指标</w:t>
            </w:r>
          </w:p>
        </w:tc>
        <w:tc>
          <w:tcPr>
            <w:tcW w:w="1605"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加大信用评估，推进诚信建设。</w:t>
            </w:r>
          </w:p>
        </w:tc>
        <w:tc>
          <w:tcPr>
            <w:tcW w:w="111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对评委开评标采用打分制，对迟到及无故不来开评标评委进行通报，有利于市场秩序的规范。</w:t>
            </w:r>
          </w:p>
        </w:tc>
        <w:tc>
          <w:tcPr>
            <w:tcW w:w="1343"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已完成</w:t>
            </w:r>
          </w:p>
        </w:tc>
        <w:tc>
          <w:tcPr>
            <w:tcW w:w="70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Calibri" w:hAnsi="Calibri" w:eastAsia="仿宋" w:cs="Calibri"/>
                <w:sz w:val="21"/>
                <w:szCs w:val="21"/>
                <w:bdr w:val="none" w:color="auto" w:sz="0" w:space="0"/>
              </w:rPr>
              <w:t>5</w:t>
            </w:r>
          </w:p>
        </w:tc>
        <w:tc>
          <w:tcPr>
            <w:tcW w:w="898"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5</w:t>
            </w:r>
          </w:p>
        </w:tc>
        <w:tc>
          <w:tcPr>
            <w:tcW w:w="1446"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jc w:val="center"/>
        </w:trPr>
        <w:tc>
          <w:tcPr>
            <w:tcW w:w="1080" w:type="dxa"/>
            <w:vMerge w:val="continue"/>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7" w:type="dxa"/>
            <w:vMerge w:val="continue"/>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5" w:type="dxa"/>
            <w:vMerge w:val="continue"/>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605"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配合纪委建立监督平台</w:t>
            </w:r>
          </w:p>
        </w:tc>
        <w:tc>
          <w:tcPr>
            <w:tcW w:w="111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联通市纪委创建监督平台，防范违纪违法事件，持续优化营商环境。　</w:t>
            </w:r>
          </w:p>
        </w:tc>
        <w:tc>
          <w:tcPr>
            <w:tcW w:w="1343"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已完成</w:t>
            </w:r>
          </w:p>
        </w:tc>
        <w:tc>
          <w:tcPr>
            <w:tcW w:w="70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1"/>
                <w:szCs w:val="21"/>
                <w:bdr w:val="none" w:color="auto" w:sz="0" w:space="0"/>
              </w:rPr>
              <w:t>　</w:t>
            </w:r>
            <w:r>
              <w:rPr>
                <w:rFonts w:hint="default" w:ascii="Calibri" w:hAnsi="Calibri" w:eastAsia="仿宋" w:cs="Calibri"/>
                <w:sz w:val="21"/>
                <w:szCs w:val="21"/>
                <w:bdr w:val="none" w:color="auto" w:sz="0" w:space="0"/>
              </w:rPr>
              <w:t>5</w:t>
            </w:r>
          </w:p>
        </w:tc>
        <w:tc>
          <w:tcPr>
            <w:tcW w:w="898"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5</w:t>
            </w:r>
          </w:p>
        </w:tc>
        <w:tc>
          <w:tcPr>
            <w:tcW w:w="1446"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jc w:val="center"/>
        </w:trPr>
        <w:tc>
          <w:tcPr>
            <w:tcW w:w="1080" w:type="dxa"/>
            <w:vMerge w:val="continue"/>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67"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满意度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w:t>
            </w:r>
            <w:r>
              <w:rPr>
                <w:rFonts w:hint="default" w:ascii="Calibri" w:hAnsi="Calibri" w:cs="Calibri"/>
                <w:sz w:val="21"/>
                <w:szCs w:val="21"/>
                <w:bdr w:val="none" w:color="auto" w:sz="0" w:space="0"/>
              </w:rPr>
              <w:t>10</w:t>
            </w:r>
            <w:r>
              <w:rPr>
                <w:rFonts w:hint="eastAsia" w:ascii="仿宋" w:hAnsi="仿宋" w:eastAsia="仿宋" w:cs="仿宋"/>
                <w:sz w:val="21"/>
                <w:szCs w:val="21"/>
                <w:bdr w:val="none" w:color="auto" w:sz="0" w:space="0"/>
              </w:rPr>
              <w:t>分）</w:t>
            </w:r>
          </w:p>
        </w:tc>
        <w:tc>
          <w:tcPr>
            <w:tcW w:w="1065"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服务对象满意度指标</w:t>
            </w:r>
          </w:p>
        </w:tc>
        <w:tc>
          <w:tcPr>
            <w:tcW w:w="1605" w:type="dxa"/>
            <w:gridSpan w:val="2"/>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提高市场满意度指标</w:t>
            </w:r>
          </w:p>
        </w:tc>
        <w:tc>
          <w:tcPr>
            <w:tcW w:w="111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市场满意度</w:t>
            </w:r>
            <w:r>
              <w:rPr>
                <w:rFonts w:hint="default" w:ascii="Calibri" w:hAnsi="Calibri" w:eastAsia="仿宋" w:cs="Calibri"/>
                <w:sz w:val="21"/>
                <w:szCs w:val="21"/>
                <w:bdr w:val="none" w:color="auto" w:sz="0" w:space="0"/>
              </w:rPr>
              <w:t>95%</w:t>
            </w:r>
            <w:r>
              <w:rPr>
                <w:rFonts w:hint="eastAsia" w:ascii="仿宋" w:hAnsi="仿宋" w:eastAsia="仿宋" w:cs="仿宋"/>
                <w:sz w:val="21"/>
                <w:szCs w:val="21"/>
                <w:bdr w:val="none" w:color="auto" w:sz="0" w:space="0"/>
              </w:rPr>
              <w:t>　</w:t>
            </w:r>
          </w:p>
        </w:tc>
        <w:tc>
          <w:tcPr>
            <w:tcW w:w="1343"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已完成</w:t>
            </w:r>
          </w:p>
        </w:tc>
        <w:tc>
          <w:tcPr>
            <w:tcW w:w="70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1"/>
                <w:szCs w:val="21"/>
                <w:bdr w:val="none" w:color="auto" w:sz="0" w:space="0"/>
              </w:rPr>
              <w:t>　</w:t>
            </w:r>
            <w:r>
              <w:rPr>
                <w:rFonts w:hint="default" w:ascii="Calibri" w:hAnsi="Calibri" w:eastAsia="仿宋" w:cs="Calibri"/>
                <w:sz w:val="21"/>
                <w:szCs w:val="21"/>
                <w:bdr w:val="none" w:color="auto" w:sz="0" w:space="0"/>
              </w:rPr>
              <w:t>10</w:t>
            </w:r>
          </w:p>
        </w:tc>
        <w:tc>
          <w:tcPr>
            <w:tcW w:w="898"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10</w:t>
            </w:r>
          </w:p>
        </w:tc>
        <w:tc>
          <w:tcPr>
            <w:tcW w:w="1446"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jc w:val="center"/>
        </w:trPr>
        <w:tc>
          <w:tcPr>
            <w:tcW w:w="7270" w:type="dxa"/>
            <w:gridSpan w:val="7"/>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总分</w:t>
            </w:r>
          </w:p>
        </w:tc>
        <w:tc>
          <w:tcPr>
            <w:tcW w:w="70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bdr w:val="none" w:color="auto" w:sz="0" w:space="0"/>
              </w:rPr>
              <w:t>100</w:t>
            </w:r>
          </w:p>
        </w:tc>
        <w:tc>
          <w:tcPr>
            <w:tcW w:w="898"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1"/>
                <w:szCs w:val="21"/>
                <w:bdr w:val="none" w:color="auto" w:sz="0" w:space="0"/>
              </w:rPr>
              <w:t>　</w:t>
            </w:r>
            <w:r>
              <w:rPr>
                <w:rFonts w:hint="default" w:ascii="Calibri" w:hAnsi="Calibri" w:eastAsia="仿宋" w:cs="Calibri"/>
                <w:sz w:val="21"/>
                <w:szCs w:val="21"/>
                <w:bdr w:val="none" w:color="auto" w:sz="0" w:space="0"/>
              </w:rPr>
              <w:t>100</w:t>
            </w:r>
          </w:p>
        </w:tc>
        <w:tc>
          <w:tcPr>
            <w:tcW w:w="1446"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1"/>
                <w:szCs w:val="21"/>
                <w:bdr w:val="none" w:color="auto" w:sz="0" w:space="0"/>
              </w:rPr>
              <w:t>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jc w:val="both"/>
        <w:rPr>
          <w:rFonts w:hint="default" w:ascii="Calibri" w:hAnsi="Calibri" w:cs="Calibri"/>
          <w:i w:val="0"/>
          <w:iCs w:val="0"/>
          <w:caps w:val="0"/>
          <w:color w:val="555555"/>
          <w:spacing w:val="0"/>
          <w:sz w:val="21"/>
          <w:szCs w:val="21"/>
        </w:rPr>
      </w:pPr>
      <w:r>
        <w:rPr>
          <w:rFonts w:hint="default" w:ascii="Calibri" w:hAnsi="Calibri" w:eastAsia="宋体" w:cs="Calibri"/>
          <w:i w:val="0"/>
          <w:iCs w:val="0"/>
          <w:caps w:val="0"/>
          <w:color w:val="555555"/>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default" w:ascii="Calibri" w:hAnsi="Calibri" w:cs="Calibri"/>
          <w:i w:val="0"/>
          <w:iCs w:val="0"/>
          <w:caps w:val="0"/>
          <w:color w:val="555555"/>
          <w:spacing w:val="0"/>
          <w:sz w:val="21"/>
          <w:szCs w:val="21"/>
        </w:rPr>
      </w:pPr>
      <w:r>
        <w:rPr>
          <w:rFonts w:hint="eastAsia" w:ascii="仿宋" w:hAnsi="仿宋" w:eastAsia="仿宋" w:cs="仿宋"/>
          <w:i w:val="0"/>
          <w:iCs w:val="0"/>
          <w:caps w:val="0"/>
          <w:color w:val="555555"/>
          <w:spacing w:val="0"/>
          <w:sz w:val="22"/>
          <w:szCs w:val="22"/>
          <w:bdr w:val="none" w:color="auto" w:sz="0" w:space="0"/>
          <w:shd w:val="clear" w:fill="FFFFFF"/>
        </w:rPr>
        <w:t>                            填表人：陈莹     填报日期：</w:t>
      </w:r>
      <w:r>
        <w:rPr>
          <w:rFonts w:hint="default" w:ascii="Calibri" w:hAnsi="Calibri" w:eastAsia="仿宋" w:cs="Calibri"/>
          <w:i w:val="0"/>
          <w:iCs w:val="0"/>
          <w:caps w:val="0"/>
          <w:color w:val="555555"/>
          <w:spacing w:val="0"/>
          <w:sz w:val="22"/>
          <w:szCs w:val="22"/>
          <w:bdr w:val="none" w:color="auto" w:sz="0" w:space="0"/>
          <w:shd w:val="clear" w:fill="FFFFFF"/>
        </w:rPr>
        <w:t>2023</w:t>
      </w:r>
      <w:r>
        <w:rPr>
          <w:rFonts w:hint="eastAsia" w:ascii="仿宋" w:hAnsi="仿宋" w:eastAsia="仿宋" w:cs="仿宋"/>
          <w:i w:val="0"/>
          <w:iCs w:val="0"/>
          <w:caps w:val="0"/>
          <w:color w:val="555555"/>
          <w:spacing w:val="0"/>
          <w:sz w:val="22"/>
          <w:szCs w:val="22"/>
          <w:bdr w:val="none" w:color="auto" w:sz="0" w:space="0"/>
          <w:shd w:val="clear" w:fill="FFFFFF"/>
        </w:rPr>
        <w:t>年</w:t>
      </w:r>
      <w:r>
        <w:rPr>
          <w:rFonts w:hint="default" w:ascii="Calibri" w:hAnsi="Calibri" w:eastAsia="仿宋" w:cs="Calibri"/>
          <w:i w:val="0"/>
          <w:iCs w:val="0"/>
          <w:caps w:val="0"/>
          <w:color w:val="555555"/>
          <w:spacing w:val="0"/>
          <w:sz w:val="22"/>
          <w:szCs w:val="22"/>
          <w:bdr w:val="none" w:color="auto" w:sz="0" w:space="0"/>
          <w:shd w:val="clear" w:fill="FFFFFF"/>
        </w:rPr>
        <w:t>7</w:t>
      </w:r>
      <w:r>
        <w:rPr>
          <w:rFonts w:hint="eastAsia" w:ascii="仿宋" w:hAnsi="仿宋" w:eastAsia="仿宋" w:cs="仿宋"/>
          <w:i w:val="0"/>
          <w:iCs w:val="0"/>
          <w:caps w:val="0"/>
          <w:color w:val="555555"/>
          <w:spacing w:val="0"/>
          <w:sz w:val="22"/>
          <w:szCs w:val="22"/>
          <w:bdr w:val="none" w:color="auto" w:sz="0" w:space="0"/>
          <w:shd w:val="clear" w:fill="FFFFFF"/>
        </w:rPr>
        <w:t>月</w:t>
      </w:r>
      <w:r>
        <w:rPr>
          <w:rFonts w:hint="default" w:ascii="Calibri" w:hAnsi="Calibri" w:eastAsia="仿宋" w:cs="Calibri"/>
          <w:i w:val="0"/>
          <w:iCs w:val="0"/>
          <w:caps w:val="0"/>
          <w:color w:val="555555"/>
          <w:spacing w:val="0"/>
          <w:sz w:val="22"/>
          <w:szCs w:val="22"/>
          <w:bdr w:val="none" w:color="auto" w:sz="0" w:space="0"/>
          <w:shd w:val="clear" w:fill="FFFFFF"/>
        </w:rPr>
        <w:t>14</w:t>
      </w:r>
      <w:r>
        <w:rPr>
          <w:rFonts w:hint="eastAsia" w:ascii="仿宋" w:hAnsi="仿宋" w:eastAsia="仿宋" w:cs="仿宋"/>
          <w:i w:val="0"/>
          <w:iCs w:val="0"/>
          <w:caps w:val="0"/>
          <w:color w:val="555555"/>
          <w:spacing w:val="0"/>
          <w:sz w:val="22"/>
          <w:szCs w:val="22"/>
          <w:bdr w:val="none" w:color="auto" w:sz="0" w:space="0"/>
          <w:shd w:val="clear" w:fill="FFFFFF"/>
        </w:rPr>
        <w:t>日  联系电话：</w:t>
      </w:r>
      <w:r>
        <w:rPr>
          <w:rFonts w:hint="default" w:ascii="Calibri" w:hAnsi="Calibri" w:eastAsia="仿宋" w:cs="Calibri"/>
          <w:i w:val="0"/>
          <w:iCs w:val="0"/>
          <w:caps w:val="0"/>
          <w:color w:val="555555"/>
          <w:spacing w:val="0"/>
          <w:sz w:val="22"/>
          <w:szCs w:val="22"/>
          <w:bdr w:val="none" w:color="auto" w:sz="0" w:space="0"/>
          <w:shd w:val="clear" w:fill="FFFFFF"/>
        </w:rPr>
        <w:t>13975077504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jc w:val="both"/>
        <w:rPr>
          <w:rFonts w:hint="default" w:ascii="Calibri" w:hAnsi="Calibri" w:cs="Calibri"/>
          <w:i w:val="0"/>
          <w:iCs w:val="0"/>
          <w:caps w:val="0"/>
          <w:color w:val="555555"/>
          <w:spacing w:val="0"/>
          <w:sz w:val="21"/>
          <w:szCs w:val="21"/>
        </w:rPr>
      </w:pPr>
      <w:r>
        <w:rPr>
          <w:rFonts w:hint="eastAsia" w:ascii="仿宋" w:hAnsi="仿宋" w:eastAsia="仿宋" w:cs="仿宋"/>
          <w:i w:val="0"/>
          <w:iCs w:val="0"/>
          <w:caps w:val="0"/>
          <w:color w:val="555555"/>
          <w:spacing w:val="0"/>
          <w:sz w:val="22"/>
          <w:szCs w:val="22"/>
          <w:bdr w:val="none" w:color="auto" w:sz="0" w:space="0"/>
          <w:shd w:val="clear" w:fill="FFFFFF"/>
        </w:rPr>
        <w:t>                            单位负责人签字：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jc w:val="both"/>
        <w:rPr>
          <w:rFonts w:hint="default" w:ascii="Calibri" w:hAnsi="Calibri" w:cs="Calibri"/>
          <w:i w:val="0"/>
          <w:iCs w:val="0"/>
          <w:caps w:val="0"/>
          <w:color w:val="555555"/>
          <w:spacing w:val="0"/>
          <w:sz w:val="21"/>
          <w:szCs w:val="21"/>
        </w:rPr>
      </w:pPr>
      <w:r>
        <w:rPr>
          <w:rFonts w:hint="default" w:ascii="Calibri" w:hAnsi="Calibri" w:eastAsia="宋体" w:cs="Calibri"/>
          <w:i w:val="0"/>
          <w:iCs w:val="0"/>
          <w:caps w:val="0"/>
          <w:color w:val="555555"/>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jc w:val="both"/>
        <w:rPr>
          <w:rFonts w:hint="default" w:ascii="Calibri" w:hAnsi="Calibri" w:cs="Calibri"/>
          <w:i w:val="0"/>
          <w:iCs w:val="0"/>
          <w:caps w:val="0"/>
          <w:color w:val="555555"/>
          <w:spacing w:val="0"/>
          <w:sz w:val="21"/>
          <w:szCs w:val="21"/>
        </w:rPr>
      </w:pPr>
      <w:r>
        <w:rPr>
          <w:rFonts w:hint="default" w:ascii="Calibri" w:hAnsi="Calibri" w:eastAsia="宋体" w:cs="Calibri"/>
          <w:i w:val="0"/>
          <w:iCs w:val="0"/>
          <w:caps w:val="0"/>
          <w:color w:val="555555"/>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jc w:val="both"/>
        <w:rPr>
          <w:rFonts w:hint="default" w:ascii="Calibri" w:hAnsi="Calibri" w:cs="Calibri"/>
          <w:i w:val="0"/>
          <w:iCs w:val="0"/>
          <w:caps w:val="0"/>
          <w:color w:val="555555"/>
          <w:spacing w:val="0"/>
          <w:sz w:val="21"/>
          <w:szCs w:val="21"/>
        </w:rPr>
      </w:pPr>
      <w:r>
        <w:rPr>
          <w:rFonts w:hint="default" w:ascii="Calibri" w:hAnsi="Calibri" w:eastAsia="宋体" w:cs="Calibri"/>
          <w:i w:val="0"/>
          <w:iCs w:val="0"/>
          <w:caps w:val="0"/>
          <w:color w:val="555555"/>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default" w:ascii="Calibri" w:hAnsi="Calibri" w:cs="Calibri"/>
          <w:i w:val="0"/>
          <w:iCs w:val="0"/>
          <w:caps w:val="0"/>
          <w:color w:val="555555"/>
          <w:spacing w:val="0"/>
          <w:sz w:val="21"/>
          <w:szCs w:val="21"/>
        </w:rPr>
      </w:pPr>
      <w:r>
        <w:rPr>
          <w:rFonts w:hint="eastAsia" w:ascii="黑体" w:hAnsi="宋体" w:eastAsia="黑体" w:cs="黑体"/>
          <w:i w:val="0"/>
          <w:iCs w:val="0"/>
          <w:caps w:val="0"/>
          <w:color w:val="555555"/>
          <w:spacing w:val="0"/>
          <w:sz w:val="32"/>
          <w:szCs w:val="32"/>
          <w:bdr w:val="none" w:color="auto" w:sz="0" w:space="0"/>
          <w:shd w:val="clear" w:fill="FFFFFF"/>
        </w:rPr>
        <w:t>附件5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jc w:val="center"/>
        <w:rPr>
          <w:rFonts w:hint="default" w:ascii="Calibri" w:hAnsi="Calibri" w:cs="Calibri"/>
          <w:i w:val="0"/>
          <w:iCs w:val="0"/>
          <w:caps w:val="0"/>
          <w:color w:val="555555"/>
          <w:spacing w:val="0"/>
          <w:sz w:val="21"/>
          <w:szCs w:val="21"/>
        </w:rPr>
      </w:pPr>
      <w:r>
        <w:rPr>
          <w:rFonts w:hint="default" w:ascii="方正小标宋简体" w:hAnsi="方正小标宋简体" w:eastAsia="方正小标宋简体" w:cs="方正小标宋简体"/>
          <w:i w:val="0"/>
          <w:iCs w:val="0"/>
          <w:caps w:val="0"/>
          <w:color w:val="555555"/>
          <w:spacing w:val="0"/>
          <w:sz w:val="36"/>
          <w:szCs w:val="36"/>
          <w:bdr w:val="none" w:color="auto" w:sz="0" w:space="0"/>
          <w:shd w:val="clear" w:fill="FFFFFF"/>
        </w:rPr>
        <w:t>部门整体支出</w:t>
      </w:r>
      <w:r>
        <w:rPr>
          <w:rFonts w:hint="default" w:ascii="方正小标宋简体" w:hAnsi="方正小标宋简体" w:eastAsia="方正小标宋简体" w:cs="方正小标宋简体"/>
          <w:i w:val="0"/>
          <w:iCs w:val="0"/>
          <w:caps w:val="0"/>
          <w:color w:val="555555"/>
          <w:spacing w:val="-6"/>
          <w:sz w:val="36"/>
          <w:szCs w:val="36"/>
          <w:bdr w:val="none" w:color="auto" w:sz="0" w:space="0"/>
          <w:shd w:val="clear" w:fill="FFFFFF"/>
        </w:rPr>
        <w:t>绩效自评工作考核评分表</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26"/>
        <w:gridCol w:w="1382"/>
        <w:gridCol w:w="5676"/>
        <w:gridCol w:w="7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30" w:hRule="atLeast"/>
          <w:jc w:val="center"/>
        </w:trPr>
        <w:tc>
          <w:tcPr>
            <w:tcW w:w="774"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黑体" w:hAnsi="宋体" w:eastAsia="黑体" w:cs="黑体"/>
                <w:sz w:val="21"/>
                <w:szCs w:val="21"/>
                <w:bdr w:val="none" w:color="auto" w:sz="0" w:space="0"/>
              </w:rPr>
              <w:t>一级指标</w:t>
            </w:r>
          </w:p>
        </w:tc>
        <w:tc>
          <w:tcPr>
            <w:tcW w:w="1501"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黑体" w:hAnsi="宋体" w:eastAsia="黑体" w:cs="黑体"/>
                <w:sz w:val="21"/>
                <w:szCs w:val="21"/>
                <w:bdr w:val="none" w:color="auto" w:sz="0" w:space="0"/>
              </w:rPr>
              <w:t>二级指标</w:t>
            </w:r>
          </w:p>
        </w:tc>
        <w:tc>
          <w:tcPr>
            <w:tcW w:w="6482"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黑体" w:hAnsi="宋体" w:eastAsia="黑体" w:cs="黑体"/>
                <w:sz w:val="21"/>
                <w:szCs w:val="21"/>
                <w:bdr w:val="none" w:color="auto" w:sz="0" w:space="0"/>
              </w:rPr>
              <w:t>评分标准</w:t>
            </w:r>
          </w:p>
        </w:tc>
        <w:tc>
          <w:tcPr>
            <w:tcW w:w="753"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黑体" w:hAnsi="宋体" w:eastAsia="黑体" w:cs="黑体"/>
                <w:sz w:val="21"/>
                <w:szCs w:val="21"/>
                <w:bdr w:val="none" w:color="auto" w:sz="0" w:space="0"/>
              </w:rPr>
              <w:t>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368" w:hRule="atLeast"/>
          <w:jc w:val="center"/>
        </w:trPr>
        <w:tc>
          <w:tcPr>
            <w:tcW w:w="774" w:type="dxa"/>
            <w:vMerge w:val="restart"/>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布置工作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Calibri" w:hAnsi="Calibri" w:cs="Calibri"/>
                <w:sz w:val="21"/>
                <w:szCs w:val="21"/>
              </w:rPr>
            </w:pPr>
            <w:r>
              <w:rPr>
                <w:rFonts w:hint="default" w:ascii="Calibri" w:hAnsi="Calibri" w:cs="Calibri"/>
                <w:sz w:val="21"/>
                <w:szCs w:val="21"/>
                <w:bdr w:val="none" w:color="auto" w:sz="0" w:space="0"/>
              </w:rPr>
              <w:t>10</w:t>
            </w:r>
            <w:r>
              <w:rPr>
                <w:rFonts w:hint="eastAsia" w:ascii="仿宋" w:hAnsi="仿宋" w:eastAsia="仿宋" w:cs="仿宋"/>
                <w:sz w:val="21"/>
                <w:szCs w:val="21"/>
                <w:bdr w:val="none" w:color="auto" w:sz="0" w:space="0"/>
              </w:rPr>
              <w:t>分</w:t>
            </w:r>
          </w:p>
        </w:tc>
        <w:tc>
          <w:tcPr>
            <w:tcW w:w="1501" w:type="dxa"/>
            <w:tcBorders>
              <w:top w:val="nil"/>
              <w:left w:val="nil"/>
              <w:bottom w:val="nil"/>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自评通知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w:t>
            </w:r>
            <w:r>
              <w:rPr>
                <w:rFonts w:hint="default" w:ascii="Calibri" w:hAnsi="Calibri" w:cs="Calibri"/>
                <w:sz w:val="21"/>
                <w:szCs w:val="21"/>
                <w:bdr w:val="none" w:color="auto" w:sz="0" w:space="0"/>
              </w:rPr>
              <w:t>8</w:t>
            </w:r>
            <w:r>
              <w:rPr>
                <w:rFonts w:hint="eastAsia" w:ascii="仿宋" w:hAnsi="仿宋" w:eastAsia="仿宋" w:cs="仿宋"/>
                <w:sz w:val="21"/>
                <w:szCs w:val="21"/>
                <w:bdr w:val="none" w:color="auto" w:sz="0" w:space="0"/>
              </w:rPr>
              <w:t>分）</w:t>
            </w:r>
          </w:p>
        </w:tc>
        <w:tc>
          <w:tcPr>
            <w:tcW w:w="6482"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210"/>
              <w:jc w:val="both"/>
              <w:rPr>
                <w:rFonts w:hint="default" w:ascii="Calibri" w:hAnsi="Calibri" w:cs="Calibri"/>
                <w:sz w:val="21"/>
                <w:szCs w:val="21"/>
              </w:rPr>
            </w:pPr>
            <w:r>
              <w:rPr>
                <w:rFonts w:hint="default" w:ascii="Calibri" w:hAnsi="Calibri" w:cs="Calibri"/>
                <w:sz w:val="21"/>
                <w:szCs w:val="21"/>
                <w:bdr w:val="none" w:color="auto" w:sz="0" w:space="0"/>
              </w:rPr>
              <w:t>1.</w:t>
            </w:r>
            <w:r>
              <w:rPr>
                <w:rFonts w:hint="eastAsia" w:ascii="仿宋" w:hAnsi="仿宋" w:eastAsia="仿宋" w:cs="仿宋"/>
                <w:sz w:val="21"/>
                <w:szCs w:val="21"/>
                <w:bdr w:val="none" w:color="auto" w:sz="0" w:space="0"/>
              </w:rPr>
              <w:t>印发绩效自评通知的得</w:t>
            </w:r>
            <w:r>
              <w:rPr>
                <w:rFonts w:hint="default" w:ascii="Calibri" w:hAnsi="Calibri" w:cs="Calibri"/>
                <w:sz w:val="21"/>
                <w:szCs w:val="21"/>
                <w:bdr w:val="none" w:color="auto" w:sz="0" w:space="0"/>
              </w:rPr>
              <w:t>2</w:t>
            </w:r>
            <w:r>
              <w:rPr>
                <w:rFonts w:hint="eastAsia" w:ascii="仿宋" w:hAnsi="仿宋" w:eastAsia="仿宋" w:cs="仿宋"/>
                <w:sz w:val="21"/>
                <w:szCs w:val="21"/>
                <w:bdr w:val="none" w:color="auto" w:sz="0" w:space="0"/>
              </w:rPr>
              <w:t>分，否则不得分。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210"/>
              <w:jc w:val="both"/>
              <w:rPr>
                <w:rFonts w:hint="default" w:ascii="Calibri" w:hAnsi="Calibri" w:cs="Calibri"/>
                <w:sz w:val="21"/>
                <w:szCs w:val="21"/>
              </w:rPr>
            </w:pPr>
            <w:r>
              <w:rPr>
                <w:rFonts w:hint="default" w:ascii="Calibri" w:hAnsi="Calibri" w:cs="Calibri"/>
                <w:sz w:val="21"/>
                <w:szCs w:val="21"/>
                <w:bdr w:val="none" w:color="auto" w:sz="0" w:space="0"/>
              </w:rPr>
              <w:t>2.</w:t>
            </w:r>
            <w:r>
              <w:rPr>
                <w:rFonts w:hint="eastAsia" w:ascii="仿宋" w:hAnsi="仿宋" w:eastAsia="仿宋" w:cs="仿宋"/>
                <w:sz w:val="21"/>
                <w:szCs w:val="21"/>
                <w:bdr w:val="none" w:color="auto" w:sz="0" w:space="0"/>
              </w:rPr>
              <w:t>按照本规程规定，绩效自评通知包括自评范围、自评主要依据、自评主要内容、自评程序和步骤、有关要求等内容，并附有本规程要求的附件的，得</w:t>
            </w:r>
            <w:r>
              <w:rPr>
                <w:rFonts w:hint="default" w:ascii="Calibri" w:hAnsi="Calibri" w:cs="Calibri"/>
                <w:sz w:val="21"/>
                <w:szCs w:val="21"/>
                <w:bdr w:val="none" w:color="auto" w:sz="0" w:space="0"/>
              </w:rPr>
              <w:t>6</w:t>
            </w:r>
            <w:r>
              <w:rPr>
                <w:rFonts w:hint="eastAsia" w:ascii="仿宋" w:hAnsi="仿宋" w:eastAsia="仿宋" w:cs="仿宋"/>
                <w:sz w:val="21"/>
                <w:szCs w:val="21"/>
                <w:bdr w:val="none" w:color="auto" w:sz="0" w:space="0"/>
              </w:rPr>
              <w:t>分；否则缺</w:t>
            </w:r>
            <w:r>
              <w:rPr>
                <w:rFonts w:hint="default" w:ascii="Calibri" w:hAnsi="Calibri" w:cs="Calibri"/>
                <w:sz w:val="21"/>
                <w:szCs w:val="21"/>
                <w:bdr w:val="none" w:color="auto" w:sz="0" w:space="0"/>
              </w:rPr>
              <w:t>1</w:t>
            </w:r>
            <w:r>
              <w:rPr>
                <w:rFonts w:hint="eastAsia" w:ascii="仿宋" w:hAnsi="仿宋" w:eastAsia="仿宋" w:cs="仿宋"/>
                <w:sz w:val="21"/>
                <w:szCs w:val="21"/>
                <w:bdr w:val="none" w:color="auto" w:sz="0" w:space="0"/>
              </w:rPr>
              <w:t>项扣</w:t>
            </w:r>
            <w:r>
              <w:rPr>
                <w:rFonts w:hint="default" w:ascii="Calibri" w:hAnsi="Calibri" w:cs="Calibri"/>
                <w:sz w:val="21"/>
                <w:szCs w:val="21"/>
                <w:bdr w:val="none" w:color="auto" w:sz="0" w:space="0"/>
              </w:rPr>
              <w:t>1</w:t>
            </w:r>
            <w:r>
              <w:rPr>
                <w:rFonts w:hint="eastAsia" w:ascii="仿宋" w:hAnsi="仿宋" w:eastAsia="仿宋" w:cs="仿宋"/>
                <w:sz w:val="21"/>
                <w:szCs w:val="21"/>
                <w:bdr w:val="none" w:color="auto" w:sz="0" w:space="0"/>
              </w:rPr>
              <w:t>分，最多扣</w:t>
            </w:r>
            <w:r>
              <w:rPr>
                <w:rFonts w:hint="default" w:ascii="Calibri" w:hAnsi="Calibri" w:cs="Calibri"/>
                <w:sz w:val="21"/>
                <w:szCs w:val="21"/>
                <w:bdr w:val="none" w:color="auto" w:sz="0" w:space="0"/>
              </w:rPr>
              <w:t>6</w:t>
            </w:r>
            <w:r>
              <w:rPr>
                <w:rFonts w:hint="eastAsia" w:ascii="仿宋" w:hAnsi="仿宋" w:eastAsia="仿宋" w:cs="仿宋"/>
                <w:sz w:val="21"/>
                <w:szCs w:val="21"/>
                <w:bdr w:val="none" w:color="auto" w:sz="0" w:space="0"/>
              </w:rPr>
              <w:t>分。</w:t>
            </w:r>
          </w:p>
        </w:tc>
        <w:tc>
          <w:tcPr>
            <w:tcW w:w="753"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仿宋" w:hAnsi="仿宋" w:eastAsia="仿宋" w:cs="仿宋"/>
                <w:sz w:val="21"/>
                <w:szCs w:val="21"/>
                <w:bdr w:val="none" w:color="auto" w:sz="0" w:space="0"/>
              </w:rPr>
              <w:t>　</w:t>
            </w:r>
            <w:r>
              <w:rPr>
                <w:rFonts w:hint="default" w:ascii="Calibri" w:hAnsi="Calibri" w:eastAsia="仿宋" w:cs="Calibri"/>
                <w:sz w:val="21"/>
                <w:szCs w:val="21"/>
                <w:bdr w:val="none" w:color="auto" w:sz="0" w:space="0"/>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53" w:hRule="atLeast"/>
          <w:jc w:val="center"/>
        </w:trPr>
        <w:tc>
          <w:tcPr>
            <w:tcW w:w="774" w:type="dxa"/>
            <w:vMerge w:val="continue"/>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501"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工作小组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w:t>
            </w:r>
            <w:r>
              <w:rPr>
                <w:rFonts w:hint="default" w:ascii="Calibri" w:hAnsi="Calibri" w:cs="Calibri"/>
                <w:sz w:val="21"/>
                <w:szCs w:val="21"/>
                <w:bdr w:val="none" w:color="auto" w:sz="0" w:space="0"/>
              </w:rPr>
              <w:t>2</w:t>
            </w:r>
            <w:r>
              <w:rPr>
                <w:rFonts w:hint="eastAsia" w:ascii="仿宋" w:hAnsi="仿宋" w:eastAsia="仿宋" w:cs="仿宋"/>
                <w:sz w:val="21"/>
                <w:szCs w:val="21"/>
                <w:bdr w:val="none" w:color="auto" w:sz="0" w:space="0"/>
              </w:rPr>
              <w:t>分）</w:t>
            </w:r>
          </w:p>
        </w:tc>
        <w:tc>
          <w:tcPr>
            <w:tcW w:w="6482"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210"/>
              <w:jc w:val="both"/>
              <w:rPr>
                <w:rFonts w:hint="default" w:ascii="Calibri" w:hAnsi="Calibri" w:cs="Calibri"/>
                <w:sz w:val="21"/>
                <w:szCs w:val="21"/>
              </w:rPr>
            </w:pPr>
            <w:r>
              <w:rPr>
                <w:rFonts w:hint="eastAsia" w:ascii="仿宋" w:hAnsi="仿宋" w:eastAsia="仿宋" w:cs="仿宋"/>
                <w:sz w:val="21"/>
                <w:szCs w:val="21"/>
                <w:bdr w:val="none" w:color="auto" w:sz="0" w:space="0"/>
              </w:rPr>
              <w:t>成立绩效自评工作小组的得</w:t>
            </w:r>
            <w:r>
              <w:rPr>
                <w:rFonts w:hint="default" w:ascii="Calibri" w:hAnsi="Calibri" w:cs="Calibri"/>
                <w:sz w:val="21"/>
                <w:szCs w:val="21"/>
                <w:bdr w:val="none" w:color="auto" w:sz="0" w:space="0"/>
              </w:rPr>
              <w:t>2</w:t>
            </w:r>
            <w:r>
              <w:rPr>
                <w:rFonts w:hint="eastAsia" w:ascii="仿宋" w:hAnsi="仿宋" w:eastAsia="仿宋" w:cs="仿宋"/>
                <w:sz w:val="21"/>
                <w:szCs w:val="21"/>
                <w:bdr w:val="none" w:color="auto" w:sz="0" w:space="0"/>
              </w:rPr>
              <w:t>分，否则不得分。</w:t>
            </w:r>
          </w:p>
        </w:tc>
        <w:tc>
          <w:tcPr>
            <w:tcW w:w="753"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234" w:hRule="atLeast"/>
          <w:jc w:val="center"/>
        </w:trPr>
        <w:tc>
          <w:tcPr>
            <w:tcW w:w="774" w:type="dxa"/>
            <w:vMerge w:val="restart"/>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实施评价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default" w:ascii="Calibri" w:hAnsi="Calibri" w:cs="Calibri"/>
                <w:sz w:val="21"/>
                <w:szCs w:val="21"/>
                <w:bdr w:val="none" w:color="auto" w:sz="0" w:space="0"/>
              </w:rPr>
              <w:t>30</w:t>
            </w:r>
            <w:r>
              <w:rPr>
                <w:rFonts w:hint="eastAsia" w:ascii="仿宋" w:hAnsi="仿宋" w:eastAsia="仿宋" w:cs="仿宋"/>
                <w:sz w:val="21"/>
                <w:szCs w:val="21"/>
                <w:bdr w:val="none" w:color="auto" w:sz="0" w:space="0"/>
              </w:rPr>
              <w:t>分</w:t>
            </w:r>
          </w:p>
        </w:tc>
        <w:tc>
          <w:tcPr>
            <w:tcW w:w="1501"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单位自查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w:t>
            </w:r>
            <w:r>
              <w:rPr>
                <w:rFonts w:hint="default" w:ascii="Calibri" w:hAnsi="Calibri" w:cs="Calibri"/>
                <w:sz w:val="21"/>
                <w:szCs w:val="21"/>
                <w:bdr w:val="none" w:color="auto" w:sz="0" w:space="0"/>
              </w:rPr>
              <w:t>20</w:t>
            </w:r>
            <w:r>
              <w:rPr>
                <w:rFonts w:hint="eastAsia" w:ascii="仿宋" w:hAnsi="仿宋" w:eastAsia="仿宋" w:cs="仿宋"/>
                <w:sz w:val="21"/>
                <w:szCs w:val="21"/>
                <w:bdr w:val="none" w:color="auto" w:sz="0" w:space="0"/>
              </w:rPr>
              <w:t>分）</w:t>
            </w:r>
          </w:p>
        </w:tc>
        <w:tc>
          <w:tcPr>
            <w:tcW w:w="6482"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210"/>
              <w:jc w:val="both"/>
              <w:rPr>
                <w:rFonts w:hint="default" w:ascii="Calibri" w:hAnsi="Calibri" w:cs="Calibri"/>
                <w:sz w:val="21"/>
                <w:szCs w:val="21"/>
              </w:rPr>
            </w:pPr>
            <w:r>
              <w:rPr>
                <w:rFonts w:hint="eastAsia" w:ascii="仿宋" w:hAnsi="仿宋" w:eastAsia="仿宋" w:cs="仿宋"/>
                <w:sz w:val="21"/>
                <w:szCs w:val="21"/>
                <w:bdr w:val="none" w:color="auto" w:sz="0" w:space="0"/>
              </w:rPr>
              <w:t>市级预算部门本级和所属单位都要开展绩效自查，转移支付项目单位都要开展绩效自查，县市区级主管部门都要汇总本区域转移支付情况；以上各项每发现一个单位没有做相应工作的，扣</w:t>
            </w:r>
            <w:r>
              <w:rPr>
                <w:rFonts w:hint="default" w:ascii="Calibri" w:hAnsi="Calibri" w:cs="Calibri"/>
                <w:sz w:val="21"/>
                <w:szCs w:val="21"/>
                <w:bdr w:val="none" w:color="auto" w:sz="0" w:space="0"/>
              </w:rPr>
              <w:t>1</w:t>
            </w:r>
            <w:r>
              <w:rPr>
                <w:rFonts w:hint="eastAsia" w:ascii="仿宋" w:hAnsi="仿宋" w:eastAsia="仿宋" w:cs="仿宋"/>
                <w:sz w:val="21"/>
                <w:szCs w:val="21"/>
                <w:bdr w:val="none" w:color="auto" w:sz="0" w:space="0"/>
              </w:rPr>
              <w:t>分，最多扣</w:t>
            </w:r>
            <w:r>
              <w:rPr>
                <w:rFonts w:hint="default" w:ascii="Calibri" w:hAnsi="Calibri" w:cs="Calibri"/>
                <w:sz w:val="21"/>
                <w:szCs w:val="21"/>
                <w:bdr w:val="none" w:color="auto" w:sz="0" w:space="0"/>
              </w:rPr>
              <w:t>20</w:t>
            </w:r>
            <w:r>
              <w:rPr>
                <w:rFonts w:hint="eastAsia" w:ascii="仿宋" w:hAnsi="仿宋" w:eastAsia="仿宋" w:cs="仿宋"/>
                <w:sz w:val="21"/>
                <w:szCs w:val="21"/>
                <w:bdr w:val="none" w:color="auto" w:sz="0" w:space="0"/>
              </w:rPr>
              <w:t>分。</w:t>
            </w:r>
          </w:p>
        </w:tc>
        <w:tc>
          <w:tcPr>
            <w:tcW w:w="753"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仿宋" w:hAnsi="仿宋" w:eastAsia="仿宋" w:cs="仿宋"/>
                <w:sz w:val="21"/>
                <w:szCs w:val="21"/>
                <w:bdr w:val="none" w:color="auto" w:sz="0" w:space="0"/>
              </w:rPr>
              <w:t>　</w:t>
            </w:r>
            <w:r>
              <w:rPr>
                <w:rFonts w:hint="default" w:ascii="Calibri" w:hAnsi="Calibri" w:eastAsia="仿宋" w:cs="Calibri"/>
                <w:sz w:val="21"/>
                <w:szCs w:val="21"/>
                <w:bdr w:val="none" w:color="auto" w:sz="0" w:space="0"/>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82" w:hRule="atLeast"/>
          <w:jc w:val="center"/>
        </w:trPr>
        <w:tc>
          <w:tcPr>
            <w:tcW w:w="774" w:type="dxa"/>
            <w:vMerge w:val="continue"/>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501"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提交报告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w:t>
            </w:r>
            <w:r>
              <w:rPr>
                <w:rFonts w:hint="default" w:ascii="Calibri" w:hAnsi="Calibri" w:cs="Calibri"/>
                <w:sz w:val="21"/>
                <w:szCs w:val="21"/>
                <w:bdr w:val="none" w:color="auto" w:sz="0" w:space="0"/>
              </w:rPr>
              <w:t>10</w:t>
            </w:r>
            <w:r>
              <w:rPr>
                <w:rFonts w:hint="eastAsia" w:ascii="仿宋" w:hAnsi="仿宋" w:eastAsia="仿宋" w:cs="仿宋"/>
                <w:sz w:val="21"/>
                <w:szCs w:val="21"/>
                <w:bdr w:val="none" w:color="auto" w:sz="0" w:space="0"/>
              </w:rPr>
              <w:t>分）</w:t>
            </w:r>
          </w:p>
        </w:tc>
        <w:tc>
          <w:tcPr>
            <w:tcW w:w="6482"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210"/>
              <w:jc w:val="both"/>
              <w:rPr>
                <w:rFonts w:hint="default" w:ascii="Calibri" w:hAnsi="Calibri" w:cs="Calibri"/>
                <w:sz w:val="21"/>
                <w:szCs w:val="21"/>
              </w:rPr>
            </w:pPr>
            <w:r>
              <w:rPr>
                <w:rFonts w:hint="eastAsia" w:ascii="仿宋" w:hAnsi="仿宋" w:eastAsia="仿宋" w:cs="仿宋"/>
                <w:sz w:val="21"/>
                <w:szCs w:val="21"/>
                <w:bdr w:val="none" w:color="auto" w:sz="0" w:space="0"/>
              </w:rPr>
              <w:t>按时向市财政局报送报告的得</w:t>
            </w:r>
            <w:r>
              <w:rPr>
                <w:rFonts w:hint="default" w:ascii="Calibri" w:hAnsi="Calibri" w:cs="Calibri"/>
                <w:sz w:val="21"/>
                <w:szCs w:val="21"/>
                <w:bdr w:val="none" w:color="auto" w:sz="0" w:space="0"/>
              </w:rPr>
              <w:t>10</w:t>
            </w:r>
            <w:r>
              <w:rPr>
                <w:rFonts w:hint="eastAsia" w:ascii="仿宋" w:hAnsi="仿宋" w:eastAsia="仿宋" w:cs="仿宋"/>
                <w:sz w:val="21"/>
                <w:szCs w:val="21"/>
                <w:bdr w:val="none" w:color="auto" w:sz="0" w:space="0"/>
              </w:rPr>
              <w:t>分；每推迟一天报送报告的扣</w:t>
            </w:r>
            <w:r>
              <w:rPr>
                <w:rFonts w:hint="default" w:ascii="Calibri" w:hAnsi="Calibri" w:cs="Calibri"/>
                <w:sz w:val="21"/>
                <w:szCs w:val="21"/>
                <w:bdr w:val="none" w:color="auto" w:sz="0" w:space="0"/>
              </w:rPr>
              <w:t>1</w:t>
            </w:r>
            <w:r>
              <w:rPr>
                <w:rFonts w:hint="eastAsia" w:ascii="仿宋" w:hAnsi="仿宋" w:eastAsia="仿宋" w:cs="仿宋"/>
                <w:sz w:val="21"/>
                <w:szCs w:val="21"/>
                <w:bdr w:val="none" w:color="auto" w:sz="0" w:space="0"/>
              </w:rPr>
              <w:t>分，最多扣</w:t>
            </w:r>
            <w:r>
              <w:rPr>
                <w:rFonts w:hint="default" w:ascii="Calibri" w:hAnsi="Calibri" w:cs="Calibri"/>
                <w:sz w:val="21"/>
                <w:szCs w:val="21"/>
                <w:bdr w:val="none" w:color="auto" w:sz="0" w:space="0"/>
              </w:rPr>
              <w:t>10</w:t>
            </w:r>
            <w:r>
              <w:rPr>
                <w:rFonts w:hint="eastAsia" w:ascii="仿宋" w:hAnsi="仿宋" w:eastAsia="仿宋" w:cs="仿宋"/>
                <w:sz w:val="21"/>
                <w:szCs w:val="21"/>
                <w:bdr w:val="none" w:color="auto" w:sz="0" w:space="0"/>
              </w:rPr>
              <w:t>分。</w:t>
            </w:r>
          </w:p>
        </w:tc>
        <w:tc>
          <w:tcPr>
            <w:tcW w:w="753"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210"/>
              <w:jc w:val="both"/>
              <w:rPr>
                <w:rFonts w:hint="default" w:ascii="Calibri" w:hAnsi="Calibri" w:cs="Calibri"/>
                <w:sz w:val="21"/>
                <w:szCs w:val="21"/>
              </w:rPr>
            </w:pPr>
            <w:r>
              <w:rPr>
                <w:rFonts w:hint="default" w:ascii="Calibri" w:hAnsi="Calibri" w:eastAsia="仿宋" w:cs="Calibri"/>
                <w:sz w:val="21"/>
                <w:szCs w:val="21"/>
                <w:bdr w:val="none" w:color="auto" w:sz="0" w:space="0"/>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408" w:hRule="atLeast"/>
          <w:jc w:val="center"/>
        </w:trPr>
        <w:tc>
          <w:tcPr>
            <w:tcW w:w="774" w:type="dxa"/>
            <w:vMerge w:val="restart"/>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自评报告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bdr w:val="none" w:color="auto" w:sz="0" w:space="0"/>
              </w:rPr>
              <w:t>60</w:t>
            </w:r>
            <w:r>
              <w:rPr>
                <w:rFonts w:hint="eastAsia" w:ascii="仿宋" w:hAnsi="仿宋" w:eastAsia="仿宋" w:cs="仿宋"/>
                <w:sz w:val="21"/>
                <w:szCs w:val="21"/>
                <w:bdr w:val="none" w:color="auto" w:sz="0" w:space="0"/>
              </w:rPr>
              <w:t>分</w:t>
            </w:r>
          </w:p>
        </w:tc>
        <w:tc>
          <w:tcPr>
            <w:tcW w:w="1501"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自评报告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的完整性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w:t>
            </w:r>
            <w:r>
              <w:rPr>
                <w:rFonts w:hint="default" w:ascii="Calibri" w:hAnsi="Calibri" w:cs="Calibri"/>
                <w:sz w:val="21"/>
                <w:szCs w:val="21"/>
                <w:bdr w:val="none" w:color="auto" w:sz="0" w:space="0"/>
              </w:rPr>
              <w:t>15</w:t>
            </w:r>
            <w:r>
              <w:rPr>
                <w:rFonts w:hint="eastAsia" w:ascii="仿宋" w:hAnsi="仿宋" w:eastAsia="仿宋" w:cs="仿宋"/>
                <w:sz w:val="21"/>
                <w:szCs w:val="21"/>
                <w:bdr w:val="none" w:color="auto" w:sz="0" w:space="0"/>
              </w:rPr>
              <w:t>分）</w:t>
            </w:r>
          </w:p>
        </w:tc>
        <w:tc>
          <w:tcPr>
            <w:tcW w:w="6482"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210"/>
              <w:jc w:val="both"/>
              <w:rPr>
                <w:rFonts w:hint="default" w:ascii="Calibri" w:hAnsi="Calibri" w:cs="Calibri"/>
                <w:sz w:val="21"/>
                <w:szCs w:val="21"/>
              </w:rPr>
            </w:pPr>
            <w:r>
              <w:rPr>
                <w:rFonts w:hint="default" w:ascii="Calibri" w:hAnsi="Calibri" w:cs="Calibri"/>
                <w:sz w:val="21"/>
                <w:szCs w:val="21"/>
                <w:bdr w:val="none" w:color="auto" w:sz="0" w:space="0"/>
              </w:rPr>
              <w:t>1.</w:t>
            </w:r>
            <w:r>
              <w:rPr>
                <w:rFonts w:hint="eastAsia" w:ascii="仿宋" w:hAnsi="仿宋" w:eastAsia="仿宋" w:cs="仿宋"/>
                <w:sz w:val="21"/>
                <w:szCs w:val="21"/>
                <w:bdr w:val="none" w:color="auto" w:sz="0" w:space="0"/>
              </w:rPr>
              <w:t>绩效自评报告正文部分内容齐全的，得</w:t>
            </w:r>
            <w:r>
              <w:rPr>
                <w:rFonts w:hint="default" w:ascii="Calibri" w:hAnsi="Calibri" w:cs="Calibri"/>
                <w:sz w:val="21"/>
                <w:szCs w:val="21"/>
                <w:bdr w:val="none" w:color="auto" w:sz="0" w:space="0"/>
              </w:rPr>
              <w:t>8</w:t>
            </w:r>
            <w:r>
              <w:rPr>
                <w:rFonts w:hint="eastAsia" w:ascii="仿宋" w:hAnsi="仿宋" w:eastAsia="仿宋" w:cs="仿宋"/>
                <w:sz w:val="21"/>
                <w:szCs w:val="21"/>
                <w:bdr w:val="none" w:color="auto" w:sz="0" w:space="0"/>
              </w:rPr>
              <w:t>分；否则每少一个部分扣</w:t>
            </w:r>
            <w:r>
              <w:rPr>
                <w:rFonts w:hint="default" w:ascii="Calibri" w:hAnsi="Calibri" w:cs="Calibri"/>
                <w:sz w:val="21"/>
                <w:szCs w:val="21"/>
                <w:bdr w:val="none" w:color="auto" w:sz="0" w:space="0"/>
              </w:rPr>
              <w:t>2</w:t>
            </w:r>
            <w:r>
              <w:rPr>
                <w:rFonts w:hint="eastAsia" w:ascii="仿宋" w:hAnsi="仿宋" w:eastAsia="仿宋" w:cs="仿宋"/>
                <w:sz w:val="21"/>
                <w:szCs w:val="21"/>
                <w:bdr w:val="none" w:color="auto" w:sz="0" w:space="0"/>
              </w:rPr>
              <w:t>分，最多扣</w:t>
            </w:r>
            <w:r>
              <w:rPr>
                <w:rFonts w:hint="default" w:ascii="Calibri" w:hAnsi="Calibri" w:cs="Calibri"/>
                <w:sz w:val="21"/>
                <w:szCs w:val="21"/>
                <w:bdr w:val="none" w:color="auto" w:sz="0" w:space="0"/>
              </w:rPr>
              <w:t>8</w:t>
            </w:r>
            <w:r>
              <w:rPr>
                <w:rFonts w:hint="eastAsia" w:ascii="仿宋" w:hAnsi="仿宋" w:eastAsia="仿宋" w:cs="仿宋"/>
                <w:sz w:val="21"/>
                <w:szCs w:val="21"/>
                <w:bdr w:val="none" w:color="auto" w:sz="0" w:space="0"/>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210"/>
              <w:jc w:val="both"/>
              <w:rPr>
                <w:rFonts w:hint="default" w:ascii="Calibri" w:hAnsi="Calibri" w:cs="Calibri"/>
                <w:sz w:val="21"/>
                <w:szCs w:val="21"/>
              </w:rPr>
            </w:pPr>
            <w:r>
              <w:rPr>
                <w:rFonts w:hint="default" w:ascii="Calibri" w:hAnsi="Calibri" w:cs="Calibri"/>
                <w:sz w:val="21"/>
                <w:szCs w:val="21"/>
                <w:bdr w:val="none" w:color="auto" w:sz="0" w:space="0"/>
              </w:rPr>
              <w:t>2.</w:t>
            </w:r>
            <w:r>
              <w:rPr>
                <w:rFonts w:hint="eastAsia" w:ascii="仿宋" w:hAnsi="仿宋" w:eastAsia="仿宋" w:cs="仿宋"/>
                <w:sz w:val="21"/>
                <w:szCs w:val="21"/>
                <w:bdr w:val="none" w:color="auto" w:sz="0" w:space="0"/>
              </w:rPr>
              <w:t>绩效自评报告附件部分内容齐全的，得</w:t>
            </w:r>
            <w:r>
              <w:rPr>
                <w:rFonts w:hint="default" w:ascii="Calibri" w:hAnsi="Calibri" w:cs="Calibri"/>
                <w:sz w:val="21"/>
                <w:szCs w:val="21"/>
                <w:bdr w:val="none" w:color="auto" w:sz="0" w:space="0"/>
              </w:rPr>
              <w:t>7</w:t>
            </w:r>
            <w:r>
              <w:rPr>
                <w:rFonts w:hint="eastAsia" w:ascii="仿宋" w:hAnsi="仿宋" w:eastAsia="仿宋" w:cs="仿宋"/>
                <w:sz w:val="21"/>
                <w:szCs w:val="21"/>
                <w:bdr w:val="none" w:color="auto" w:sz="0" w:space="0"/>
              </w:rPr>
              <w:t>分；否则每少一个部分扣</w:t>
            </w:r>
            <w:r>
              <w:rPr>
                <w:rFonts w:hint="default" w:ascii="Calibri" w:hAnsi="Calibri" w:cs="Calibri"/>
                <w:sz w:val="21"/>
                <w:szCs w:val="21"/>
                <w:bdr w:val="none" w:color="auto" w:sz="0" w:space="0"/>
              </w:rPr>
              <w:t>2</w:t>
            </w:r>
            <w:r>
              <w:rPr>
                <w:rFonts w:hint="eastAsia" w:ascii="仿宋" w:hAnsi="仿宋" w:eastAsia="仿宋" w:cs="仿宋"/>
                <w:sz w:val="21"/>
                <w:szCs w:val="21"/>
                <w:bdr w:val="none" w:color="auto" w:sz="0" w:space="0"/>
              </w:rPr>
              <w:t>分，最多扣</w:t>
            </w:r>
            <w:r>
              <w:rPr>
                <w:rFonts w:hint="default" w:ascii="Calibri" w:hAnsi="Calibri" w:cs="Calibri"/>
                <w:sz w:val="21"/>
                <w:szCs w:val="21"/>
                <w:bdr w:val="none" w:color="auto" w:sz="0" w:space="0"/>
              </w:rPr>
              <w:t>7</w:t>
            </w:r>
            <w:r>
              <w:rPr>
                <w:rFonts w:hint="eastAsia" w:ascii="仿宋" w:hAnsi="仿宋" w:eastAsia="仿宋" w:cs="仿宋"/>
                <w:sz w:val="21"/>
                <w:szCs w:val="21"/>
                <w:bdr w:val="none" w:color="auto" w:sz="0" w:space="0"/>
              </w:rPr>
              <w:t>分。</w:t>
            </w:r>
          </w:p>
        </w:tc>
        <w:tc>
          <w:tcPr>
            <w:tcW w:w="753"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20</w:t>
            </w:r>
            <w:r>
              <w:rPr>
                <w:rFonts w:hint="eastAsia" w:ascii="仿宋" w:hAnsi="仿宋" w:eastAsia="仿宋" w:cs="仿宋"/>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308" w:hRule="atLeast"/>
          <w:jc w:val="center"/>
        </w:trPr>
        <w:tc>
          <w:tcPr>
            <w:tcW w:w="774" w:type="dxa"/>
            <w:vMerge w:val="continue"/>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501" w:type="dxa"/>
            <w:tcBorders>
              <w:top w:val="nil"/>
              <w:left w:val="nil"/>
              <w:bottom w:val="nil"/>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绩效自评表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w:t>
            </w:r>
            <w:r>
              <w:rPr>
                <w:rFonts w:hint="default" w:ascii="Calibri" w:hAnsi="Calibri" w:cs="Calibri"/>
                <w:sz w:val="21"/>
                <w:szCs w:val="21"/>
                <w:bdr w:val="none" w:color="auto" w:sz="0" w:space="0"/>
              </w:rPr>
              <w:t>15</w:t>
            </w:r>
            <w:r>
              <w:rPr>
                <w:rFonts w:hint="eastAsia" w:ascii="仿宋" w:hAnsi="仿宋" w:eastAsia="仿宋" w:cs="仿宋"/>
                <w:sz w:val="21"/>
                <w:szCs w:val="21"/>
                <w:bdr w:val="none" w:color="auto" w:sz="0" w:space="0"/>
              </w:rPr>
              <w:t>分）</w:t>
            </w:r>
          </w:p>
        </w:tc>
        <w:tc>
          <w:tcPr>
            <w:tcW w:w="6482"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210"/>
              <w:jc w:val="both"/>
              <w:rPr>
                <w:rFonts w:hint="default" w:ascii="Calibri" w:hAnsi="Calibri" w:cs="Calibri"/>
                <w:sz w:val="21"/>
                <w:szCs w:val="21"/>
              </w:rPr>
            </w:pPr>
            <w:r>
              <w:rPr>
                <w:rFonts w:hint="default" w:ascii="Calibri" w:hAnsi="Calibri" w:cs="Calibri"/>
                <w:sz w:val="21"/>
                <w:szCs w:val="21"/>
                <w:bdr w:val="none" w:color="auto" w:sz="0" w:space="0"/>
              </w:rPr>
              <w:t>1.</w:t>
            </w:r>
            <w:r>
              <w:rPr>
                <w:rFonts w:hint="eastAsia" w:ascii="仿宋" w:hAnsi="仿宋" w:eastAsia="仿宋" w:cs="仿宋"/>
                <w:sz w:val="21"/>
                <w:szCs w:val="21"/>
                <w:bdr w:val="none" w:color="auto" w:sz="0" w:space="0"/>
              </w:rPr>
              <w:t>部门整体支出和项目支出绩效指标反映产出、效益、服务对象满意度方面的指标和预算执行率的权重符合本规程的，得</w:t>
            </w:r>
            <w:r>
              <w:rPr>
                <w:rFonts w:hint="default" w:ascii="Calibri" w:hAnsi="Calibri" w:cs="Calibri"/>
                <w:sz w:val="21"/>
                <w:szCs w:val="21"/>
                <w:bdr w:val="none" w:color="auto" w:sz="0" w:space="0"/>
              </w:rPr>
              <w:t>2</w:t>
            </w:r>
            <w:r>
              <w:rPr>
                <w:rFonts w:hint="eastAsia" w:ascii="仿宋" w:hAnsi="仿宋" w:eastAsia="仿宋" w:cs="仿宋"/>
                <w:sz w:val="21"/>
                <w:szCs w:val="21"/>
                <w:bdr w:val="none" w:color="auto" w:sz="0" w:space="0"/>
              </w:rPr>
              <w:t>分，否则按比例扣除相应的分数。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210"/>
              <w:jc w:val="both"/>
              <w:rPr>
                <w:rFonts w:hint="default" w:ascii="Calibri" w:hAnsi="Calibri" w:cs="Calibri"/>
                <w:sz w:val="21"/>
                <w:szCs w:val="21"/>
              </w:rPr>
            </w:pPr>
            <w:r>
              <w:rPr>
                <w:rFonts w:hint="default" w:ascii="Calibri" w:hAnsi="Calibri" w:cs="Calibri"/>
                <w:sz w:val="21"/>
                <w:szCs w:val="21"/>
                <w:bdr w:val="none" w:color="auto" w:sz="0" w:space="0"/>
              </w:rPr>
              <w:t>2.</w:t>
            </w:r>
            <w:r>
              <w:rPr>
                <w:rFonts w:hint="eastAsia" w:ascii="仿宋" w:hAnsi="仿宋" w:eastAsia="仿宋" w:cs="仿宋"/>
                <w:sz w:val="21"/>
                <w:szCs w:val="21"/>
                <w:bdr w:val="none" w:color="auto" w:sz="0" w:space="0"/>
              </w:rPr>
              <w:t>部门整体支出和项目支出绩效指标全部细化到三级指标的，得</w:t>
            </w:r>
            <w:r>
              <w:rPr>
                <w:rFonts w:hint="default" w:ascii="Calibri" w:hAnsi="Calibri" w:cs="Calibri"/>
                <w:sz w:val="21"/>
                <w:szCs w:val="21"/>
                <w:bdr w:val="none" w:color="auto" w:sz="0" w:space="0"/>
              </w:rPr>
              <w:t>3</w:t>
            </w:r>
            <w:r>
              <w:rPr>
                <w:rFonts w:hint="eastAsia" w:ascii="仿宋" w:hAnsi="仿宋" w:eastAsia="仿宋" w:cs="仿宋"/>
                <w:sz w:val="21"/>
                <w:szCs w:val="21"/>
                <w:bdr w:val="none" w:color="auto" w:sz="0" w:space="0"/>
              </w:rPr>
              <w:t>分；部分细化的，酌情扣分；没有细化的，不得分。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210"/>
              <w:jc w:val="both"/>
              <w:rPr>
                <w:rFonts w:hint="default" w:ascii="Calibri" w:hAnsi="Calibri" w:cs="Calibri"/>
                <w:sz w:val="21"/>
                <w:szCs w:val="21"/>
              </w:rPr>
            </w:pPr>
            <w:r>
              <w:rPr>
                <w:rFonts w:hint="default" w:ascii="Calibri" w:hAnsi="Calibri" w:cs="Calibri"/>
                <w:sz w:val="21"/>
                <w:szCs w:val="21"/>
                <w:bdr w:val="none" w:color="auto" w:sz="0" w:space="0"/>
              </w:rPr>
              <w:t>3.</w:t>
            </w:r>
            <w:r>
              <w:rPr>
                <w:rFonts w:hint="eastAsia" w:ascii="仿宋" w:hAnsi="仿宋" w:eastAsia="仿宋" w:cs="仿宋"/>
                <w:sz w:val="21"/>
                <w:szCs w:val="21"/>
                <w:bdr w:val="none" w:color="auto" w:sz="0" w:space="0"/>
              </w:rPr>
              <w:t>部门整体支出和项目支出三级绩效指标内涵明确、具体、可衡量的得</w:t>
            </w:r>
            <w:r>
              <w:rPr>
                <w:rFonts w:hint="default" w:ascii="Calibri" w:hAnsi="Calibri" w:cs="Calibri"/>
                <w:sz w:val="21"/>
                <w:szCs w:val="21"/>
                <w:bdr w:val="none" w:color="auto" w:sz="0" w:space="0"/>
              </w:rPr>
              <w:t>5</w:t>
            </w:r>
            <w:r>
              <w:rPr>
                <w:rFonts w:hint="eastAsia" w:ascii="仿宋" w:hAnsi="仿宋" w:eastAsia="仿宋" w:cs="仿宋"/>
                <w:sz w:val="21"/>
                <w:szCs w:val="21"/>
                <w:bdr w:val="none" w:color="auto" w:sz="0" w:space="0"/>
              </w:rPr>
              <w:t>分；突出核心指标，精简实用的得</w:t>
            </w:r>
            <w:r>
              <w:rPr>
                <w:rFonts w:hint="default" w:ascii="Calibri" w:hAnsi="Calibri" w:cs="Calibri"/>
                <w:sz w:val="21"/>
                <w:szCs w:val="21"/>
                <w:bdr w:val="none" w:color="auto" w:sz="0" w:space="0"/>
              </w:rPr>
              <w:t>3</w:t>
            </w:r>
            <w:r>
              <w:rPr>
                <w:rFonts w:hint="eastAsia" w:ascii="仿宋" w:hAnsi="仿宋" w:eastAsia="仿宋" w:cs="仿宋"/>
                <w:sz w:val="21"/>
                <w:szCs w:val="21"/>
                <w:bdr w:val="none" w:color="auto" w:sz="0" w:space="0"/>
              </w:rPr>
              <w:t>分；指标与部门整体支出和项目支出密切相关，全面反映产出和效益的得</w:t>
            </w:r>
            <w:r>
              <w:rPr>
                <w:rFonts w:hint="default" w:ascii="Calibri" w:hAnsi="Calibri" w:cs="Calibri"/>
                <w:sz w:val="21"/>
                <w:szCs w:val="21"/>
                <w:bdr w:val="none" w:color="auto" w:sz="0" w:space="0"/>
              </w:rPr>
              <w:t>2</w:t>
            </w:r>
            <w:r>
              <w:rPr>
                <w:rFonts w:hint="eastAsia" w:ascii="仿宋" w:hAnsi="仿宋" w:eastAsia="仿宋" w:cs="仿宋"/>
                <w:sz w:val="21"/>
                <w:szCs w:val="21"/>
                <w:bdr w:val="none" w:color="auto" w:sz="0" w:space="0"/>
              </w:rPr>
              <w:t>分；否则每项酌情扣分，最多扣</w:t>
            </w:r>
            <w:r>
              <w:rPr>
                <w:rFonts w:hint="default" w:ascii="Calibri" w:hAnsi="Calibri" w:cs="Calibri"/>
                <w:sz w:val="21"/>
                <w:szCs w:val="21"/>
                <w:bdr w:val="none" w:color="auto" w:sz="0" w:space="0"/>
              </w:rPr>
              <w:t>10</w:t>
            </w:r>
            <w:r>
              <w:rPr>
                <w:rFonts w:hint="eastAsia" w:ascii="仿宋" w:hAnsi="仿宋" w:eastAsia="仿宋" w:cs="仿宋"/>
                <w:sz w:val="21"/>
                <w:szCs w:val="21"/>
                <w:bdr w:val="none" w:color="auto" w:sz="0" w:space="0"/>
              </w:rPr>
              <w:t>分。</w:t>
            </w:r>
          </w:p>
        </w:tc>
        <w:tc>
          <w:tcPr>
            <w:tcW w:w="753"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14</w:t>
            </w:r>
            <w:r>
              <w:rPr>
                <w:rFonts w:hint="eastAsia" w:ascii="仿宋" w:hAnsi="仿宋" w:eastAsia="仿宋" w:cs="仿宋"/>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56" w:hRule="atLeast"/>
          <w:jc w:val="center"/>
        </w:trPr>
        <w:tc>
          <w:tcPr>
            <w:tcW w:w="774" w:type="dxa"/>
            <w:vMerge w:val="continue"/>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501"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绩效评价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报告反映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问题情况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w:t>
            </w:r>
            <w:r>
              <w:rPr>
                <w:rFonts w:hint="default" w:ascii="Calibri" w:hAnsi="Calibri" w:cs="Calibri"/>
                <w:sz w:val="21"/>
                <w:szCs w:val="21"/>
                <w:bdr w:val="none" w:color="auto" w:sz="0" w:space="0"/>
              </w:rPr>
              <w:t>15</w:t>
            </w:r>
            <w:r>
              <w:rPr>
                <w:rFonts w:hint="eastAsia" w:ascii="仿宋" w:hAnsi="仿宋" w:eastAsia="仿宋" w:cs="仿宋"/>
                <w:sz w:val="21"/>
                <w:szCs w:val="21"/>
                <w:bdr w:val="none" w:color="auto" w:sz="0" w:space="0"/>
              </w:rPr>
              <w:t>分）</w:t>
            </w:r>
          </w:p>
        </w:tc>
        <w:tc>
          <w:tcPr>
            <w:tcW w:w="6482"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210"/>
              <w:jc w:val="both"/>
              <w:rPr>
                <w:rFonts w:hint="default" w:ascii="Calibri" w:hAnsi="Calibri" w:cs="Calibri"/>
                <w:sz w:val="21"/>
                <w:szCs w:val="21"/>
              </w:rPr>
            </w:pPr>
            <w:r>
              <w:rPr>
                <w:rFonts w:hint="eastAsia" w:ascii="仿宋" w:hAnsi="仿宋" w:eastAsia="仿宋" w:cs="仿宋"/>
                <w:sz w:val="21"/>
                <w:szCs w:val="21"/>
                <w:bdr w:val="none" w:color="auto" w:sz="0" w:space="0"/>
              </w:rPr>
              <w:t>绩效评价发现问题详实全面的得</w:t>
            </w:r>
            <w:r>
              <w:rPr>
                <w:rFonts w:hint="default" w:ascii="Calibri" w:hAnsi="Calibri" w:cs="Calibri"/>
                <w:sz w:val="21"/>
                <w:szCs w:val="21"/>
                <w:bdr w:val="none" w:color="auto" w:sz="0" w:space="0"/>
              </w:rPr>
              <w:t>15</w:t>
            </w:r>
            <w:r>
              <w:rPr>
                <w:rFonts w:hint="eastAsia" w:ascii="仿宋" w:hAnsi="仿宋" w:eastAsia="仿宋" w:cs="仿宋"/>
                <w:sz w:val="21"/>
                <w:szCs w:val="21"/>
                <w:bdr w:val="none" w:color="auto" w:sz="0" w:space="0"/>
              </w:rPr>
              <w:t>分，只提出资金不足问题的不得分；其他情况酌情扣分。</w:t>
            </w:r>
          </w:p>
        </w:tc>
        <w:tc>
          <w:tcPr>
            <w:tcW w:w="753"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15</w:t>
            </w:r>
            <w:r>
              <w:rPr>
                <w:rFonts w:hint="eastAsia" w:ascii="仿宋" w:hAnsi="仿宋" w:eastAsia="仿宋" w:cs="仿宋"/>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313" w:hRule="atLeast"/>
          <w:jc w:val="center"/>
        </w:trPr>
        <w:tc>
          <w:tcPr>
            <w:tcW w:w="774" w:type="dxa"/>
            <w:vMerge w:val="continue"/>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501"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针对问题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提出可行性建议的情况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w:t>
            </w:r>
            <w:r>
              <w:rPr>
                <w:rFonts w:hint="default" w:ascii="Calibri" w:hAnsi="Calibri" w:cs="Calibri"/>
                <w:sz w:val="21"/>
                <w:szCs w:val="21"/>
                <w:bdr w:val="none" w:color="auto" w:sz="0" w:space="0"/>
              </w:rPr>
              <w:t>15</w:t>
            </w:r>
            <w:r>
              <w:rPr>
                <w:rFonts w:hint="eastAsia" w:ascii="仿宋" w:hAnsi="仿宋" w:eastAsia="仿宋" w:cs="仿宋"/>
                <w:sz w:val="21"/>
                <w:szCs w:val="21"/>
                <w:bdr w:val="none" w:color="auto" w:sz="0" w:space="0"/>
              </w:rPr>
              <w:t>分）</w:t>
            </w:r>
          </w:p>
        </w:tc>
        <w:tc>
          <w:tcPr>
            <w:tcW w:w="6482"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210"/>
              <w:jc w:val="both"/>
              <w:rPr>
                <w:rFonts w:hint="default" w:ascii="Calibri" w:hAnsi="Calibri" w:cs="Calibri"/>
                <w:sz w:val="21"/>
                <w:szCs w:val="21"/>
              </w:rPr>
            </w:pPr>
            <w:r>
              <w:rPr>
                <w:rFonts w:hint="eastAsia" w:ascii="仿宋" w:hAnsi="仿宋" w:eastAsia="仿宋" w:cs="仿宋"/>
                <w:sz w:val="21"/>
                <w:szCs w:val="21"/>
                <w:bdr w:val="none" w:color="auto" w:sz="0" w:space="0"/>
              </w:rPr>
              <w:t>针对评价发现问题提出包含有关政策在内的可行性建议的得</w:t>
            </w:r>
            <w:r>
              <w:rPr>
                <w:rFonts w:hint="default" w:ascii="Calibri" w:hAnsi="Calibri" w:cs="Calibri"/>
                <w:sz w:val="21"/>
                <w:szCs w:val="21"/>
                <w:bdr w:val="none" w:color="auto" w:sz="0" w:space="0"/>
              </w:rPr>
              <w:t>15</w:t>
            </w:r>
            <w:r>
              <w:rPr>
                <w:rFonts w:hint="eastAsia" w:ascii="仿宋" w:hAnsi="仿宋" w:eastAsia="仿宋" w:cs="仿宋"/>
                <w:sz w:val="21"/>
                <w:szCs w:val="21"/>
                <w:bdr w:val="none" w:color="auto" w:sz="0" w:space="0"/>
              </w:rPr>
              <w:t>分，只提出加大资金投入建议的不得分；其他情况酌情扣分。</w:t>
            </w:r>
          </w:p>
        </w:tc>
        <w:tc>
          <w:tcPr>
            <w:tcW w:w="753"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eastAsia="仿宋" w:cs="Calibri"/>
                <w:sz w:val="21"/>
                <w:szCs w:val="21"/>
                <w:bdr w:val="none" w:color="auto" w:sz="0" w:space="0"/>
              </w:rPr>
              <w:t>14</w:t>
            </w:r>
            <w:r>
              <w:rPr>
                <w:rFonts w:hint="eastAsia" w:ascii="仿宋" w:hAnsi="仿宋" w:eastAsia="仿宋" w:cs="仿宋"/>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jc w:val="center"/>
        </w:trPr>
        <w:tc>
          <w:tcPr>
            <w:tcW w:w="774" w:type="dxa"/>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21"/>
                <w:szCs w:val="21"/>
                <w:bdr w:val="none" w:color="auto" w:sz="0" w:space="0"/>
              </w:rPr>
              <w:t>合计</w:t>
            </w:r>
          </w:p>
        </w:tc>
        <w:tc>
          <w:tcPr>
            <w:tcW w:w="1501"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bdr w:val="none" w:color="auto" w:sz="0" w:space="0"/>
              </w:rPr>
              <w:t>100</w:t>
            </w:r>
            <w:r>
              <w:rPr>
                <w:rFonts w:hint="eastAsia" w:ascii="仿宋" w:hAnsi="仿宋" w:eastAsia="仿宋" w:cs="仿宋"/>
                <w:sz w:val="21"/>
                <w:szCs w:val="21"/>
                <w:bdr w:val="none" w:color="auto" w:sz="0" w:space="0"/>
              </w:rPr>
              <w:t>分</w:t>
            </w:r>
          </w:p>
        </w:tc>
        <w:tc>
          <w:tcPr>
            <w:tcW w:w="6482"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default" w:ascii="Calibri" w:hAnsi="Calibri" w:cs="Calibri"/>
                <w:sz w:val="21"/>
                <w:szCs w:val="21"/>
                <w:bdr w:val="none" w:color="auto" w:sz="0" w:space="0"/>
              </w:rPr>
              <w:t> </w:t>
            </w:r>
          </w:p>
        </w:tc>
        <w:tc>
          <w:tcPr>
            <w:tcW w:w="753"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eastAsia" w:ascii="仿宋" w:hAnsi="仿宋" w:eastAsia="仿宋" w:cs="仿宋"/>
                <w:sz w:val="21"/>
                <w:szCs w:val="21"/>
                <w:bdr w:val="none" w:color="auto" w:sz="0" w:space="0"/>
              </w:rPr>
              <w:t>　</w:t>
            </w:r>
            <w:r>
              <w:rPr>
                <w:rFonts w:hint="default" w:ascii="Calibri" w:hAnsi="Calibri" w:eastAsia="仿宋" w:cs="Calibri"/>
                <w:sz w:val="21"/>
                <w:szCs w:val="21"/>
                <w:bdr w:val="none" w:color="auto" w:sz="0" w:space="0"/>
              </w:rPr>
              <w:t>98</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jc w:val="both"/>
        <w:rPr>
          <w:rFonts w:hint="default" w:ascii="Calibri" w:hAnsi="Calibri" w:cs="Calibri"/>
          <w:i w:val="0"/>
          <w:iCs w:val="0"/>
          <w:caps w:val="0"/>
          <w:color w:val="555555"/>
          <w:spacing w:val="0"/>
          <w:sz w:val="21"/>
          <w:szCs w:val="21"/>
        </w:rPr>
      </w:pPr>
      <w:r>
        <w:rPr>
          <w:rFonts w:hint="default" w:ascii="Calibri" w:hAnsi="Calibri" w:eastAsia="宋体" w:cs="Calibri"/>
          <w:i w:val="0"/>
          <w:iCs w:val="0"/>
          <w:caps w:val="0"/>
          <w:color w:val="555555"/>
          <w:spacing w:val="0"/>
          <w:sz w:val="21"/>
          <w:szCs w:val="21"/>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Batang">
    <w:altName w:val="Segoe Print"/>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iM2UwNzk5ODY1YmQwODNmNzkyZDM5ZGZmNTY4MjkifQ=="/>
  </w:docVars>
  <w:rsids>
    <w:rsidRoot w:val="0AB63FD0"/>
    <w:rsid w:val="0AB63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2023-11-13T02:39:00Z</dcterms:created>
  <dc:creator>WPS_1644586232</dc:creator>
  <cp:lastModifiedBy>WPS_1644586232</cp:lastModifiedBy>
  <dcterms:modified xsi:type="dcterms:W3CDTF">2023-11-13T02:40:02Z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406DAF77DEF8481397859DB059245160_11</vt:lpwstr>
  </property>
</Properties>
</file>