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554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54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4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隆兴实业杯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年岳阳市创新创业大赛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暨现代石化专业赛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实施方案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5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黑体" w:cs="黑体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5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黑体" w:cs="黑体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  <w:highlight w:val="none"/>
        </w:rPr>
        <w:t>一、大赛主题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5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仿宋_GB2312"/>
          <w:sz w:val="32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创新创业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圆梦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岳阳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554" w:lineRule="exact"/>
        <w:ind w:left="0" w:leftChars="0" w:firstLine="640" w:firstLineChars="200"/>
        <w:textAlignment w:val="auto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  <w:lang w:eastAsia="zh-CN"/>
        </w:rPr>
        <w:t>二</w:t>
      </w:r>
      <w:r>
        <w:rPr>
          <w:rFonts w:hint="eastAsia" w:ascii="黑体" w:hAnsi="黑体" w:eastAsia="黑体"/>
          <w:sz w:val="32"/>
        </w:rPr>
        <w:t>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554" w:lineRule="exact"/>
        <w:ind w:left="0" w:leftChars="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指导单位：湖南省创新创业大赛组委会</w:t>
      </w: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54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主办单位：岳阳市人民政府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54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承办单位：岳阳市科学技术局、云溪区人民政府、岳阳绿色化工高新技术产业开发区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54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协办单位：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市</w:t>
      </w: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发展改革委、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市</w:t>
      </w: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教育局、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市</w:t>
      </w: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工业和信息化局、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市</w:t>
      </w: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财政局、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市</w:t>
      </w: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人力资源社会保障局、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市委</w:t>
      </w: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网信办、团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市</w:t>
      </w: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委、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市</w:t>
      </w: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工商联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云溪区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科技和工业信息化</w:t>
      </w:r>
      <w:r>
        <w:rPr>
          <w:rFonts w:hint="eastAsia" w:ascii="仿宋_GB2312" w:hAnsi="仿宋" w:eastAsia="仿宋_GB2312"/>
          <w:sz w:val="32"/>
          <w:szCs w:val="32"/>
        </w:rPr>
        <w:t>局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岳阳市化工行业协会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湖南长炼新材料科技股份公司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湖南聚仁化工新材料科技有限公司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55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冠名单位：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岳阳隆兴实业有限公司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55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大赛设组委会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由主办单位、承办单位和冠名单位共同组成，负责大赛的组织实施。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54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组委会下设办公室，办公室设在岳阳绿色化工高新技术产业开发区，负责大赛各项工作的具体执行。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4" w:lineRule="exact"/>
        <w:ind w:left="0" w:leftChars="0" w:right="0" w:rightChars="0" w:firstLine="640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  <w:t>组委会下设监督小组，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成员由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  <w:t>大赛组委会</w:t>
      </w:r>
      <w:r>
        <w:rPr>
          <w:rFonts w:hint="eastAsia" w:ascii="仿宋_GB2312" w:hAnsi="仿宋" w:eastAsia="仿宋_GB2312"/>
          <w:sz w:val="32"/>
          <w:szCs w:val="32"/>
          <w:u w:val="none"/>
        </w:rPr>
        <w:t>纪检监察部门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共同组成，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  <w:t>负责大赛全过程的监督工作。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5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ascii="黑体" w:hAnsi="黑体" w:eastAsia="黑体" w:cs="黑体"/>
          <w:sz w:val="32"/>
          <w:szCs w:val="32"/>
        </w:rPr>
        <w:t>、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highlight w:val="none"/>
          <w:lang w:eastAsia="zh-CN"/>
        </w:rPr>
        <w:t>参赛条件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5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岳阳市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内依法注册，具有独立法人资格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的科技型企业。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参赛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企业和项目需符合以下条件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5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企业具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较强的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创新能力和高成长潜力，主要从事高新技术产品研发、制造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kern w:val="0"/>
          <w:sz w:val="32"/>
          <w:szCs w:val="32"/>
          <w:highlight w:val="none"/>
        </w:rPr>
        <w:t>服务等业务，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kern w:val="0"/>
          <w:sz w:val="32"/>
          <w:szCs w:val="32"/>
          <w:highlight w:val="none"/>
          <w:lang w:eastAsia="zh-CN"/>
        </w:rPr>
        <w:t>独立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kern w:val="0"/>
          <w:sz w:val="32"/>
          <w:szCs w:val="32"/>
          <w:highlight w:val="none"/>
        </w:rPr>
        <w:t>拥有知识产权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知识产权已授权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kern w:val="0"/>
          <w:sz w:val="32"/>
          <w:szCs w:val="32"/>
          <w:highlight w:val="none"/>
        </w:rPr>
        <w:t>且无产权纠纷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2022年1月1日之后注册的企业不作知识产权已授权要求，相关部门受理其知识产权申请即可报名。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5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企业经营规范、社会信誉良好、无不良记录，且为非上市企业。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5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（三）分小微企业组、成长企业组和现代石化小微企业组、现代石化成长企业组四个类别。小微组企业组2022年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营业收入不超过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2000万元（不含）；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成长组企业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营业收入为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2000万元（含）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－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2亿元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5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企业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2023年一季度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社保缴费记录不少于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3人。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554" w:lineRule="exact"/>
        <w:ind w:left="0" w:leftChars="0" w:firstLine="64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（五）参赛项目已投产运行，有产品销售收入。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554" w:lineRule="exact"/>
        <w:ind w:left="0" w:leftChars="0" w:firstLine="64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（六）2020年（含）以来获省创新创业大赛专项支持的企业，以及历届省赛名次奖获奖企业可以报名参加市赛并获得推荐，但不参与省赛和市赛奖项评选，只择优推荐晋级全国赛。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554" w:lineRule="exact"/>
        <w:ind w:left="0" w:leftChars="0" w:firstLine="640"/>
        <w:textAlignment w:val="auto"/>
        <w:rPr>
          <w:rFonts w:hint="eastAsia" w:ascii="仿宋_GB2312" w:hAnsi="仿宋_GB2312" w:eastAsia="仿宋_GB2312" w:cs="仿宋_GB2312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（七）在历届大赛全国总决赛或全国行业总决赛中获得一、二、三名或一、二、三等奖的企业不参加本届大赛。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54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四、市</w:t>
      </w:r>
      <w:r>
        <w:rPr>
          <w:rFonts w:ascii="黑体" w:hAnsi="黑体" w:eastAsia="黑体" w:cs="黑体"/>
          <w:sz w:val="32"/>
          <w:szCs w:val="32"/>
        </w:rPr>
        <w:t>专业</w:t>
      </w:r>
      <w:r>
        <w:rPr>
          <w:rFonts w:hint="eastAsia" w:ascii="黑体" w:hAnsi="黑体" w:eastAsia="黑体" w:cs="黑体"/>
          <w:sz w:val="32"/>
          <w:szCs w:val="32"/>
        </w:rPr>
        <w:t>赛方向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54" w:lineRule="exact"/>
        <w:ind w:left="0" w:leftChars="0" w:firstLine="640" w:firstLineChars="200"/>
        <w:textAlignment w:val="auto"/>
        <w:outlineLvl w:val="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聚焦石油化工及新材料产业链，以构建“油头化尾”协调发展产业体系为主抓手，以突破关键核心技术为引领，加大高端材料、精细化工等开发力度，为实现高水平科技自立自强作出新的更大贡献。本次参赛方向分为</w:t>
      </w:r>
      <w:r>
        <w:rPr>
          <w:rFonts w:ascii="仿宋_GB2312" w:hAnsi="仿宋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54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default" w:ascii="仿宋_GB2312" w:hAnsi="仿宋" w:eastAsia="仿宋_GB2312"/>
          <w:sz w:val="32"/>
          <w:szCs w:val="32"/>
          <w:lang w:val="en"/>
        </w:rPr>
        <w:t>1.</w:t>
      </w:r>
      <w:r>
        <w:rPr>
          <w:rFonts w:hint="eastAsia" w:ascii="仿宋_GB2312" w:hAnsi="仿宋" w:eastAsia="仿宋_GB2312"/>
          <w:sz w:val="32"/>
          <w:szCs w:val="32"/>
        </w:rPr>
        <w:t>石油化工加工产业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54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default" w:ascii="仿宋_GB2312" w:hAnsi="仿宋" w:eastAsia="仿宋_GB2312"/>
          <w:sz w:val="32"/>
          <w:szCs w:val="32"/>
          <w:lang w:val="en" w:eastAsia="zh-CN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精细化学品合成产业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54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default" w:ascii="仿宋_GB2312" w:hAnsi="仿宋" w:eastAsia="仿宋_GB2312"/>
          <w:sz w:val="32"/>
          <w:szCs w:val="32"/>
          <w:lang w:val="en"/>
        </w:rPr>
        <w:t>3.</w:t>
      </w:r>
      <w:r>
        <w:rPr>
          <w:rFonts w:hint="eastAsia" w:ascii="仿宋_GB2312" w:hAnsi="仿宋" w:eastAsia="仿宋_GB2312"/>
          <w:sz w:val="32"/>
          <w:szCs w:val="32"/>
        </w:rPr>
        <w:t>先进高分子材料产业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54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default" w:ascii="仿宋_GB2312" w:hAnsi="仿宋" w:eastAsia="仿宋_GB2312"/>
          <w:sz w:val="32"/>
          <w:szCs w:val="32"/>
          <w:lang w:val="en"/>
        </w:rPr>
        <w:t>4.</w:t>
      </w:r>
      <w:r>
        <w:rPr>
          <w:rFonts w:hint="eastAsia" w:ascii="仿宋_GB2312" w:hAnsi="仿宋" w:eastAsia="仿宋_GB2312"/>
          <w:sz w:val="32"/>
          <w:szCs w:val="32"/>
        </w:rPr>
        <w:t>能源化工产业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54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/>
          <w:sz w:val="32"/>
          <w:lang w:eastAsia="zh-CN"/>
        </w:rPr>
      </w:pPr>
      <w:r>
        <w:rPr>
          <w:rFonts w:hint="eastAsia" w:ascii="黑体" w:hAnsi="黑体" w:eastAsia="黑体"/>
          <w:sz w:val="32"/>
          <w:lang w:val="en-US" w:eastAsia="zh-CN"/>
        </w:rPr>
        <w:t>五、</w:t>
      </w:r>
      <w:r>
        <w:rPr>
          <w:rFonts w:hint="eastAsia" w:ascii="黑体" w:hAnsi="黑体" w:eastAsia="黑体"/>
          <w:sz w:val="32"/>
          <w:lang w:eastAsia="zh-CN"/>
        </w:rPr>
        <w:t>赛事安排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5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大赛分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筹备发动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组织报名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初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赛、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决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赛、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尽职调查、公示推荐等六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个环节。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54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  <w:highlight w:val="none"/>
          <w:lang w:eastAsia="zh-CN"/>
        </w:rPr>
        <w:t>（一）参赛流程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54" w:lineRule="exact"/>
        <w:ind w:right="0" w:rightChars="0" w:firstLine="64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highlight w:val="none"/>
          <w:lang w:eastAsia="zh-CN"/>
        </w:rPr>
        <w:t>筹备发动。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54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大赛承办单位、协办单位、各级科技主管部门和高新园区要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通过专题部署会或培训会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等方式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，多渠道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将赛事信息向社会和媒体进行推介，动员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属地内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符合条件的企业积极报名参赛。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54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highlight w:val="none"/>
          <w:lang w:val="en-US" w:eastAsia="zh-CN"/>
        </w:rPr>
        <w:t xml:space="preserve"> 2.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highlight w:val="none"/>
          <w:lang w:eastAsia="zh-CN"/>
        </w:rPr>
        <w:t>组织报名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54" w:lineRule="exact"/>
        <w:ind w:right="0" w:rightChars="0" w:firstLine="64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</w:rPr>
        <w:t>注册报名。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参赛企业登录湖南省科技厅门户网站（http://kjt.hunan.gov.cn），进入“湖南省科技管理信息系统公共服务平台”（网址：http://61.187.87.55，以下简称“科管系统”）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highlight w:val="none"/>
          <w:u w:val="none"/>
        </w:rPr>
        <w:t>注册报名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lang w:eastAsia="zh-CN"/>
        </w:rPr>
        <w:t>在线提交报名材料。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5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各参赛企业和项目负责人需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对参赛资料的真实性、完整性、准确性和规范性负责，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保证提交的参赛资料不涉及国家秘密和侵犯他人的合法权益。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若填报和上传的资料涉及国家和参赛企业秘密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，请提交前做好脱密处理。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5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报名截止时间：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" w:eastAsia="zh-CN"/>
        </w:rPr>
        <w:t>2023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54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 w:bidi="ar"/>
        </w:rPr>
        <w:t>审核确认。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市科技局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通过“</w:t>
      </w:r>
      <w:r>
        <w:rPr>
          <w:rFonts w:hint="eastAsia" w:ascii="仿宋_GB2312" w:hAnsi="仿宋_GB2312" w:eastAsia="仿宋_GB2312" w:cs="仿宋_GB2312"/>
          <w:color w:val="auto"/>
          <w:spacing w:val="-8"/>
          <w:kern w:val="0"/>
          <w:sz w:val="32"/>
          <w:szCs w:val="32"/>
          <w:highlight w:val="none"/>
          <w:lang w:eastAsia="zh-CN"/>
        </w:rPr>
        <w:t>科管系统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对参赛企业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填报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资料的真实性、完整性、准确性和规范性进行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严格审核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，及时将参赛企业名单、项目反馈给各县区科技管理部门。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审核时限原则上为参赛企业提交后的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5个工作日内。若需要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参赛企业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补正材料的，采取一次性告知原则。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54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县市区科技管理部门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要强化风险意识、责任意识，切实加强对辖区内参赛企业的参赛条件、经营状况、信用情况、知识产权等审核把关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，重点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对是否已获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省科技创新计划立项支持的项目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进行查重比对，坚决杜绝同一项目重复参赛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" w:eastAsia="zh-CN"/>
        </w:rPr>
        <w:t>,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并将参赛项目汇总形成推荐文件报市科技局。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5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审核确认截止时间：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" w:eastAsia="zh-CN"/>
        </w:rPr>
        <w:t>2023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54" w:lineRule="exact"/>
        <w:ind w:right="0" w:rightChars="0" w:firstLine="64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highlight w:val="none"/>
          <w:lang w:eastAsia="zh-CN"/>
        </w:rPr>
        <w:t>初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highlight w:val="none"/>
        </w:rPr>
        <w:t>赛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54" w:lineRule="exact"/>
        <w:ind w:right="0" w:rightChars="0" w:firstLine="640" w:firstLineChars="200"/>
        <w:jc w:val="both"/>
        <w:textAlignment w:val="auto"/>
        <w:outlineLvl w:val="9"/>
        <w:rPr>
          <w:rFonts w:hint="default" w:eastAsia="宋体"/>
          <w:lang w:val="en-US" w:eastAsia="zh-CN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采用通讯评审或会议评审的方式进行比赛。</w:t>
      </w:r>
      <w:bookmarkStart w:id="0" w:name="_Hlk103868744"/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评委由技术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eastAsia="zh-CN"/>
        </w:rPr>
        <w:t>、财务、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创投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eastAsia="zh-CN"/>
        </w:rPr>
        <w:t>、管理专家等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7名专家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组成</w:t>
      </w:r>
      <w:bookmarkEnd w:id="0"/>
      <w:r>
        <w:rPr>
          <w:rFonts w:hint="eastAsia" w:ascii="仿宋_GB2312" w:hAnsi="仿宋" w:eastAsia="仿宋_GB2312" w:cs="仿宋_GB2312"/>
          <w:kern w:val="0"/>
          <w:sz w:val="32"/>
          <w:szCs w:val="32"/>
        </w:rPr>
        <w:t>。评审专家根据参赛企业填报的项目资料进行评审，按得分成绩，根据各专业方向择优确定入围决赛项目。晋级比例原则上不超过初赛项目总数的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60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%。比赛得分低于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75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分的项目不得推荐晋级。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54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评审方式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就</w:t>
      </w:r>
      <w:r>
        <w:rPr>
          <w:rFonts w:hint="eastAsia" w:ascii="仿宋_GB2312" w:hAnsi="仿宋_GB2312" w:eastAsia="仿宋_GB2312" w:cs="仿宋_GB2312"/>
          <w:sz w:val="32"/>
          <w:szCs w:val="32"/>
        </w:rPr>
        <w:t>参赛企业在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大赛</w:t>
      </w:r>
      <w:r>
        <w:rPr>
          <w:rFonts w:hint="eastAsia" w:ascii="仿宋_GB2312" w:hAnsi="仿宋_GB2312" w:eastAsia="仿宋_GB2312" w:cs="仿宋_GB2312"/>
          <w:sz w:val="32"/>
        </w:rPr>
        <w:t>系统提交的资料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，组织相关人员</w:t>
      </w:r>
      <w:r>
        <w:rPr>
          <w:rFonts w:hint="eastAsia" w:ascii="仿宋_GB2312" w:hAnsi="仿宋_GB2312" w:eastAsia="仿宋_GB2312" w:cs="仿宋_GB2312"/>
          <w:sz w:val="32"/>
        </w:rPr>
        <w:t>进行评审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4" w:lineRule="exact"/>
        <w:ind w:left="0" w:leftChars="0"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评委组成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从</w:t>
      </w:r>
      <w:r>
        <w:rPr>
          <w:rFonts w:hint="eastAsia" w:ascii="仿宋_GB2312" w:hAnsi="仿宋_GB2312" w:eastAsia="仿宋_GB2312" w:cs="仿宋_GB2312"/>
          <w:sz w:val="32"/>
          <w:szCs w:val="32"/>
        </w:rPr>
        <w:t>技术、财务、创投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领域，遴选</w:t>
      </w:r>
      <w:r>
        <w:rPr>
          <w:rFonts w:hint="eastAsia" w:ascii="仿宋_GB2312" w:hAnsi="仿宋_GB2312" w:eastAsia="仿宋_GB2312" w:cs="仿宋_GB2312"/>
          <w:sz w:val="32"/>
          <w:szCs w:val="32"/>
        </w:rPr>
        <w:t>评委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4" w:lineRule="exact"/>
        <w:ind w:left="0" w:leftChars="0"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得分方式。</w:t>
      </w:r>
      <w:r>
        <w:rPr>
          <w:rFonts w:hint="eastAsia" w:ascii="仿宋_GB2312" w:hAnsi="仿宋_GB2312" w:eastAsia="仿宋_GB2312" w:cs="仿宋_GB2312"/>
          <w:sz w:val="32"/>
          <w:szCs w:val="32"/>
        </w:rPr>
        <w:t>去掉最高分和最低分，剩下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位评委平均分为最终得分，精确到小数点2位，得分在75分以上（包含75分）的项目晋级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决</w:t>
      </w:r>
      <w:r>
        <w:rPr>
          <w:rFonts w:hint="eastAsia" w:ascii="仿宋_GB2312" w:hAnsi="仿宋_GB2312" w:eastAsia="仿宋_GB2312" w:cs="仿宋_GB2312"/>
          <w:sz w:val="32"/>
          <w:szCs w:val="32"/>
        </w:rPr>
        <w:t>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4" w:lineRule="exact"/>
        <w:ind w:left="0" w:leftChars="0"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公示结果。</w:t>
      </w:r>
      <w:r>
        <w:rPr>
          <w:rFonts w:hint="eastAsia" w:ascii="仿宋_GB2312" w:hAnsi="仿宋_GB2312" w:eastAsia="仿宋_GB2312" w:cs="仿宋_GB2312"/>
          <w:sz w:val="32"/>
        </w:rPr>
        <w:t>晋级比例原则上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不超过初赛项目总数的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</w:rPr>
        <w:t>0%，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晋级决</w:t>
      </w:r>
      <w:r>
        <w:rPr>
          <w:rFonts w:hint="eastAsia" w:ascii="仿宋_GB2312" w:hAnsi="仿宋_GB2312" w:eastAsia="仿宋_GB2312" w:cs="仿宋_GB2312"/>
          <w:sz w:val="32"/>
          <w:szCs w:val="32"/>
        </w:rPr>
        <w:t>赛名单赛后向社会公示。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54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highlight w:val="none"/>
          <w:lang w:val="en-US" w:eastAsia="zh-CN"/>
        </w:rPr>
        <w:t>4.决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highlight w:val="none"/>
        </w:rPr>
        <w:t>赛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5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市科技局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负责组织，按组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委会的要求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进行比赛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，采取线下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公开路演的方式进行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比赛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2"/>
          <w:szCs w:val="32"/>
          <w:highlight w:val="none"/>
          <w:lang w:eastAsia="zh-CN"/>
        </w:rPr>
        <w:t>路演采取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7+5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”模式进行，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参赛企业陈述时间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7分钟，评委问答时间5分钟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评委由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技术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、财务、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创投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、管理评委等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7名评委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组成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比赛得分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计算方式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为去掉1个最高分和1个最低分，取剩下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个评委的平均分为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最终得分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，精确到小数点后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2位。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如有企业主动放弃晋级省赛资格，市组委会可根据需要选择入围市决赛企业进行替补。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54" w:lineRule="exact"/>
        <w:ind w:right="0" w:rightChars="0" w:firstLine="64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highlight w:val="none"/>
          <w:lang w:eastAsia="zh-CN"/>
        </w:rPr>
        <w:t>尽职调查。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54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比赛结束后，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组织专家对拟获奖项目进行尽职调查，并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对尽职调查报告内容和结果负责。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尽职调查主要是对参赛企业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填报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和答辩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内容的真实性、规范性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进行审核确认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，对参赛企业是否诚信参赛进行严格审查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。尽职调查结论分合格和不合格两种。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合格项目推荐参加省赛。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54" w:lineRule="exact"/>
        <w:ind w:right="0" w:rightChars="0" w:firstLine="64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highlight w:val="none"/>
          <w:lang w:eastAsia="zh-CN"/>
        </w:rPr>
        <w:t>公示推荐。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54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根据比赛成绩择优推荐，推荐名额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按有效参赛项目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总数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除去“以投代评”和“卓越直通车”通道项目）的50%确定，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以省赛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委会核定的推荐比率为准，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比赛得分低于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分的项目不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推荐晋级。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经公示无异议后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统一行文上报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省科技厅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54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  <w:highlight w:val="none"/>
          <w:lang w:eastAsia="zh-CN"/>
        </w:rPr>
        <w:t>（二）奖项设置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pacing w:beforeAutospacing="0" w:afterAutospacing="0" w:line="554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highlight w:val="none"/>
          <w:lang w:val="en-US" w:eastAsia="zh-CN"/>
        </w:rPr>
        <w:t>优秀奖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决赛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成绩确定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，所有奖项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总名额原则上不超过初赛有效参赛项目总数的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4" w:lineRule="exact"/>
        <w:ind w:left="0" w:leftChars="0" w:firstLine="642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highlight w:val="none"/>
          <w:lang w:val="en-US" w:eastAsia="zh-CN"/>
        </w:rPr>
        <w:t>等次奖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根据决赛成绩依次确定奖项，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小微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企业组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成长企业组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、现代石化小微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企业组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、现代石化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成长企业组各设一等奖1名、二等奖2名和三等奖3名。获一、二、三等奖者不再授予大赛优秀奖。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奖项设置可根据参赛报名情况酌情调整。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54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highlight w:val="none"/>
          <w:lang w:val="en-US" w:eastAsia="zh-CN"/>
        </w:rPr>
        <w:t>优秀组织奖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54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评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选对象为大赛各类组织单位，重点表彰一批县市区科技行政主管部门和协助办赛单位，奖励比例原则上不超过各类组织单位总数的50%。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54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  <w:highlight w:val="none"/>
          <w:lang w:eastAsia="zh-CN"/>
        </w:rPr>
        <w:t>（三）支持政策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54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highlight w:val="none"/>
        </w:rPr>
        <w:t>项目支持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5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获奖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的项目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符合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科技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创新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计划立项管理有关规定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并完成省半决赛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给予创新创业大赛专题计划立项支持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待赛事完成后，根据相关证明材料予以补助支持。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54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highlight w:val="none"/>
          <w:lang w:eastAsia="zh-CN"/>
        </w:rPr>
        <w:t>）人才支持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获得市赛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一、二、三等奖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的企业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创办者或实际控制人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纳入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科技创新人才储备库，申报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科技创新人才计划时，在同等条件下优先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推荐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54" w:lineRule="exact"/>
        <w:ind w:right="0" w:rightChars="0" w:firstLine="64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highlight w:val="none"/>
          <w:lang w:eastAsia="zh-CN"/>
        </w:rPr>
        <w:t>）双创服务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54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  <w:highlight w:val="none"/>
          <w:lang w:val="en-US" w:eastAsia="zh-CN"/>
        </w:rPr>
        <w:t xml:space="preserve">    1.投资和贷款推荐。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参赛企业择优推荐给大赛合作创投机构和金融机构，符合条件的项目可获得创投资金或贷款支持。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3360"/>
          <w:tab w:val="left" w:pos="5960"/>
        </w:tabs>
        <w:kinsoku/>
        <w:wordWrap/>
        <w:overflowPunct/>
        <w:topLinePunct w:val="0"/>
        <w:autoSpaceDE/>
        <w:autoSpaceDN/>
        <w:bidi w:val="0"/>
        <w:spacing w:beforeAutospacing="0" w:afterAutospacing="0" w:line="554" w:lineRule="exact"/>
        <w:ind w:right="0" w:rightChars="0" w:firstLine="64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  <w:highlight w:val="none"/>
          <w:lang w:val="en-US" w:eastAsia="zh-CN"/>
        </w:rPr>
        <w:t>2.入驻服务。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参赛企业符合大赛合作孵化器或众创空间入驻条件的，可享一站式入驻服务。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pacing w:beforeAutospacing="0" w:afterAutospacing="0" w:line="554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  <w:highlight w:val="none"/>
          <w:lang w:val="en-US" w:eastAsia="zh-CN"/>
        </w:rPr>
        <w:t>3.创业者成长计划服务。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组织各项配套活动，为参赛企业提供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融资路演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产业沙龙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展览展示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公益大讲堂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、市场与技术对接等多元化服务。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pacing w:beforeAutospacing="0" w:afterAutospacing="0" w:line="554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  <w:highlight w:val="none"/>
          <w:lang w:val="en-US" w:eastAsia="zh-CN"/>
        </w:rPr>
        <w:t>（4）宣传推介。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优秀企业可获得大赛合作媒体的专题报道和推介。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spacing w:beforeAutospacing="0" w:afterAutospacing="0" w:line="55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  <w:lang w:val="en-US" w:eastAsia="zh-CN"/>
        </w:rPr>
        <w:t xml:space="preserve"> 六、其他晋级通道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spacing w:beforeAutospacing="0" w:afterAutospacing="0" w:line="554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  <w:highlight w:val="none"/>
          <w:lang w:val="en-US" w:eastAsia="zh-CN"/>
        </w:rPr>
        <w:t xml:space="preserve"> 1.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以投代评。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spacing w:beforeAutospacing="0" w:afterAutospacing="0" w:line="554" w:lineRule="exact"/>
        <w:ind w:left="0" w:leftChars="0" w:right="0" w:rightChars="0" w:firstLine="640" w:firstLineChars="200"/>
        <w:jc w:val="both"/>
        <w:textAlignment w:val="auto"/>
        <w:outlineLvl w:val="9"/>
        <w:rPr>
          <w:rStyle w:val="10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-6"/>
          <w:sz w:val="32"/>
          <w:szCs w:val="32"/>
          <w:highlight w:val="none"/>
          <w:shd w:val="clear" w:color="auto" w:fill="FFFFFF"/>
          <w:lang w:eastAsia="zh-CN"/>
        </w:rPr>
      </w:pPr>
      <w:r>
        <w:rPr>
          <w:rStyle w:val="10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为进一步引导投资机构参与赛事，强化大赛“投资视野”，实施“以投代评”与“以赛代评”同步晋级</w:t>
      </w:r>
      <w:r>
        <w:rPr>
          <w:rStyle w:val="10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-6"/>
          <w:sz w:val="32"/>
          <w:szCs w:val="32"/>
          <w:highlight w:val="none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4" w:lineRule="exact"/>
        <w:ind w:left="0" w:leftChars="0" w:right="0" w:rightChars="0" w:firstLine="642" w:firstLineChars="200"/>
        <w:jc w:val="both"/>
        <w:textAlignment w:val="auto"/>
        <w:outlineLvl w:val="9"/>
        <w:rPr>
          <w:rStyle w:val="10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Style w:val="10"/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Style w:val="10"/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1</w:t>
      </w:r>
      <w:r>
        <w:rPr>
          <w:rStyle w:val="10"/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 w:val="0"/>
          <w:color w:val="auto"/>
          <w:spacing w:val="0"/>
          <w:sz w:val="32"/>
          <w:szCs w:val="32"/>
          <w:highlight w:val="none"/>
          <w:lang w:eastAsia="zh-CN"/>
        </w:rPr>
        <w:t>晋级</w:t>
      </w:r>
      <w:r>
        <w:rPr>
          <w:rFonts w:hint="eastAsia" w:ascii="仿宋_GB2312" w:hAnsi="仿宋_GB2312" w:eastAsia="仿宋_GB2312" w:cs="仿宋_GB2312"/>
          <w:b/>
          <w:bCs w:val="0"/>
          <w:color w:val="auto"/>
          <w:spacing w:val="0"/>
          <w:sz w:val="32"/>
          <w:szCs w:val="32"/>
          <w:highlight w:val="none"/>
        </w:rPr>
        <w:t>条件</w:t>
      </w:r>
      <w:r>
        <w:rPr>
          <w:rFonts w:hint="eastAsia" w:ascii="仿宋_GB2312" w:hAnsi="仿宋_GB2312" w:eastAsia="仿宋_GB2312" w:cs="仿宋_GB2312"/>
          <w:b/>
          <w:bCs w:val="0"/>
          <w:color w:val="auto"/>
          <w:spacing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符合大赛报名条件，且企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业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在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"/>
        </w:rPr>
        <w:t>202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年1月1日（含）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</w:rPr>
        <w:t>－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" w:eastAsia="zh-CN"/>
        </w:rPr>
        <w:t>2023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月3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日（含）期间获得股权投资（具体时间以工商股权变更登记日期为准）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其中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小微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组企业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获得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投资100万元以上（含），成长组企业获得投资500万元以上（含）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具体金额以实际到账投资额为准。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私募基金管理人（基金产品）需在中国证券投资基金业协会完成登记（备案）。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4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  <w:highlight w:val="none"/>
        </w:rPr>
      </w:pPr>
      <w:r>
        <w:rPr>
          <w:rStyle w:val="10"/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Style w:val="10"/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2</w:t>
      </w:r>
      <w:r>
        <w:rPr>
          <w:rStyle w:val="10"/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）晋级方式。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符合条件的企业将工商变更登记凭证、股权投资协议书、银行收款回执单、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私募基金管理人（基金产品）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备案文件等证明材料在报名时通过“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lang w:eastAsia="zh-CN"/>
        </w:rPr>
        <w:t>科管系统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lang w:eastAsia="zh-CN"/>
        </w:rPr>
        <w:t>上传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。市科技局初审合格后，可直接推荐晋级省半决赛，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0"/>
          <w:sz w:val="32"/>
          <w:szCs w:val="32"/>
          <w:highlight w:val="none"/>
          <w:lang w:eastAsia="zh-CN"/>
        </w:rPr>
        <w:t>其名额单列，不受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0"/>
          <w:sz w:val="32"/>
          <w:szCs w:val="32"/>
          <w:highlight w:val="none"/>
          <w:lang w:val="en-US" w:eastAsia="zh-CN"/>
        </w:rPr>
        <w:t>50%推荐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0"/>
          <w:sz w:val="32"/>
          <w:szCs w:val="32"/>
          <w:highlight w:val="none"/>
          <w:lang w:eastAsia="zh-CN"/>
        </w:rPr>
        <w:t>名额限制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spacing w:beforeAutospacing="0" w:afterAutospacing="0" w:line="554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2.卓越直通车。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spacing w:beforeAutospacing="0" w:afterAutospacing="0" w:line="554" w:lineRule="exact"/>
        <w:ind w:left="0" w:leftChars="0" w:right="0" w:rightChars="0" w:firstLine="640" w:firstLineChars="200"/>
        <w:jc w:val="both"/>
        <w:textAlignment w:val="auto"/>
        <w:outlineLvl w:val="9"/>
        <w:rPr>
          <w:rStyle w:val="10"/>
          <w:rFonts w:hint="eastAsia" w:ascii="Times New Roman" w:hAnsi="Times New Roman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Style w:val="10"/>
          <w:rFonts w:hint="eastAsia" w:ascii="Times New Roman" w:hAnsi="Times New Roman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为进一步吸引优秀企业参赛，提高项目征集质量，实施“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卓越直通车</w:t>
      </w:r>
      <w:r>
        <w:rPr>
          <w:rStyle w:val="10"/>
          <w:rFonts w:hint="eastAsia" w:ascii="Times New Roman" w:hAnsi="Times New Roman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”与“以赛代评”同步晋级通道。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4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  <w:highlight w:val="none"/>
          <w:lang w:val="en"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  <w:highlight w:val="none"/>
          <w:lang w:val="en" w:eastAsia="zh-CN"/>
        </w:rPr>
        <w:t>）晋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  <w:highlight w:val="none"/>
          <w:lang w:eastAsia="zh-CN"/>
        </w:rPr>
        <w:t>级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  <w:highlight w:val="none"/>
        </w:rPr>
        <w:t>条件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符合大赛报名条件，且同时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0"/>
          <w:sz w:val="32"/>
          <w:szCs w:val="32"/>
          <w:highlight w:val="none"/>
          <w:lang w:eastAsia="zh-CN"/>
        </w:rPr>
        <w:t>符合以下任一条件：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国家技术创新示范企业；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国家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制造业单项冠军示范企业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国家级专精特新“小巨人”企业；国家工程技术研究中心、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国家技术创新中心、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国家临床医学研究中心、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国家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全国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重点实验室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国家工程研究中心、国家企业技术中心、国家制造业创新中心、国家级工业设计中心（研究院）、国家国防科技重点实验室、国家国防科技工业创新中心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依托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企业；荣获国家科学技术奖励（排名前五）或省科学技术奖励（二等奖及以上、排名前三）企业；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省“三尖”人才、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岳阳市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高层次人才（A类、B类和C类）入选者创办的企业（入选人才为企业法定代表人或第一大股东，以工商部门登记数据为准）。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4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  <w:highlight w:val="none"/>
          <w:lang w:val="en"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  <w:highlight w:val="none"/>
          <w:lang w:val="en" w:eastAsia="zh-CN"/>
        </w:rPr>
        <w:t>）晋级方式。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符合条件的企业将立项（或认定、奖励）等证明材料在报名时通过“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lang w:eastAsia="zh-CN"/>
        </w:rPr>
        <w:t>科管系统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lang w:eastAsia="zh-CN"/>
        </w:rPr>
        <w:t>上传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。市科技局初审合格后，可直接推荐晋级省半决赛，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0"/>
          <w:sz w:val="32"/>
          <w:szCs w:val="32"/>
          <w:highlight w:val="none"/>
          <w:lang w:eastAsia="zh-CN"/>
        </w:rPr>
        <w:t>其名额单列，不受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0"/>
          <w:sz w:val="32"/>
          <w:szCs w:val="32"/>
          <w:highlight w:val="none"/>
          <w:lang w:val="en-US" w:eastAsia="zh-CN"/>
        </w:rPr>
        <w:t>50%推荐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0"/>
          <w:sz w:val="32"/>
          <w:szCs w:val="32"/>
          <w:highlight w:val="none"/>
          <w:lang w:eastAsia="zh-CN"/>
        </w:rPr>
        <w:t>名额限制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jc w:val="both"/>
        <w:textAlignment w:val="auto"/>
        <w:rPr>
          <w:rFonts w:hint="eastAsia" w:ascii="Times New Roman" w:hAnsi="Times New Roman" w:eastAsia="黑体" w:cs="黑体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jc w:val="both"/>
        <w:textAlignment w:val="auto"/>
        <w:rPr>
          <w:rFonts w:hint="eastAsia" w:ascii="Times New Roman" w:hAnsi="Times New Roman" w:eastAsia="黑体" w:cs="黑体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jc w:val="both"/>
        <w:textAlignment w:val="auto"/>
        <w:rPr>
          <w:rFonts w:hint="eastAsia" w:ascii="Times New Roman" w:hAnsi="Times New Roman" w:eastAsia="黑体" w:cs="黑体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jc w:val="both"/>
        <w:textAlignment w:val="auto"/>
        <w:rPr>
          <w:rFonts w:hint="eastAsia" w:ascii="Times New Roman" w:hAnsi="Times New Roman" w:eastAsia="黑体" w:cs="黑体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</w:pPr>
    </w:p>
    <w:p>
      <w:pPr>
        <w:tabs>
          <w:tab w:val="left" w:pos="9894"/>
        </w:tabs>
        <w:bidi w:val="0"/>
        <w:jc w:val="left"/>
        <w:rPr>
          <w:rFonts w:hint="eastAsia"/>
          <w:lang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aperSrc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BL25QFtgEAAFUDAAAOAAAAAAAAAAEAIAAAAD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8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E1B91"/>
    <w:rsid w:val="00047174"/>
    <w:rsid w:val="003437F2"/>
    <w:rsid w:val="003F694E"/>
    <w:rsid w:val="00411B86"/>
    <w:rsid w:val="00A94C5E"/>
    <w:rsid w:val="00B7277B"/>
    <w:rsid w:val="00D22DF6"/>
    <w:rsid w:val="00FF4677"/>
    <w:rsid w:val="04732501"/>
    <w:rsid w:val="070F1EC1"/>
    <w:rsid w:val="185C15BE"/>
    <w:rsid w:val="2B921719"/>
    <w:rsid w:val="2DEC708C"/>
    <w:rsid w:val="2FDE9C9D"/>
    <w:rsid w:val="3C743895"/>
    <w:rsid w:val="3FFFC4B1"/>
    <w:rsid w:val="45F6182F"/>
    <w:rsid w:val="4CE26147"/>
    <w:rsid w:val="53510639"/>
    <w:rsid w:val="566F1242"/>
    <w:rsid w:val="588E1B91"/>
    <w:rsid w:val="5BB779D6"/>
    <w:rsid w:val="5FBB609F"/>
    <w:rsid w:val="5FEF1448"/>
    <w:rsid w:val="664A4F8C"/>
    <w:rsid w:val="6BDD0E3F"/>
    <w:rsid w:val="6BFB5751"/>
    <w:rsid w:val="6DB5AA74"/>
    <w:rsid w:val="6F6E8892"/>
    <w:rsid w:val="6FFA4FD5"/>
    <w:rsid w:val="729D277E"/>
    <w:rsid w:val="77F1079B"/>
    <w:rsid w:val="77FB82BB"/>
    <w:rsid w:val="7D0C6955"/>
    <w:rsid w:val="7DFB7E0C"/>
    <w:rsid w:val="7E9F6B13"/>
    <w:rsid w:val="7FEE5752"/>
    <w:rsid w:val="7FEF910C"/>
    <w:rsid w:val="AFFFE008"/>
    <w:rsid w:val="B9C2A431"/>
    <w:rsid w:val="BFD704AD"/>
    <w:rsid w:val="BFF4C62A"/>
    <w:rsid w:val="CBBF2B74"/>
    <w:rsid w:val="CDD2B58B"/>
    <w:rsid w:val="DBDD1DAD"/>
    <w:rsid w:val="DE495A02"/>
    <w:rsid w:val="DE72CA1E"/>
    <w:rsid w:val="DFF9079A"/>
    <w:rsid w:val="E6EF7363"/>
    <w:rsid w:val="E7DDB5A0"/>
    <w:rsid w:val="E9CE0053"/>
    <w:rsid w:val="EE8EA3C8"/>
    <w:rsid w:val="EF57C009"/>
    <w:rsid w:val="EFAFB2DA"/>
    <w:rsid w:val="EFEF17A3"/>
    <w:rsid w:val="EFFD2550"/>
    <w:rsid w:val="F7FA09B0"/>
    <w:rsid w:val="F9B57EC3"/>
    <w:rsid w:val="FAFB997B"/>
    <w:rsid w:val="FB337C41"/>
    <w:rsid w:val="FB6F2D34"/>
    <w:rsid w:val="FE9D1C8A"/>
    <w:rsid w:val="FEFD5AF5"/>
    <w:rsid w:val="FF73FD7A"/>
    <w:rsid w:val="FF891104"/>
    <w:rsid w:val="FFD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spacing w:line="600" w:lineRule="exact"/>
      <w:ind w:right="640" w:firstLine="630"/>
    </w:pPr>
    <w:rPr>
      <w:rFonts w:ascii="黑体" w:hAnsi="Calibri" w:eastAsia="黑体" w:cs="Times New Roman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rFonts w:ascii="Times New Roman" w:hAnsi="Times New Roman" w:eastAsia="宋体" w:cs="Times New Roman"/>
      <w:b/>
      <w:bCs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Heading1"/>
    <w:basedOn w:val="1"/>
    <w:next w:val="1"/>
    <w:qFormat/>
    <w:uiPriority w:val="0"/>
    <w:pPr>
      <w:spacing w:before="100" w:beforeAutospacing="1" w:after="100" w:afterAutospacing="1"/>
      <w:jc w:val="left"/>
      <w:textAlignment w:val="baseline"/>
    </w:pPr>
    <w:rPr>
      <w:rFonts w:ascii="宋体" w:hAnsi="宋体" w:eastAsia="宋体" w:cs="Times New Roman"/>
      <w:b/>
      <w:kern w:val="44"/>
      <w:sz w:val="48"/>
      <w:szCs w:val="48"/>
      <w:lang w:val="en-US" w:eastAsia="zh-CN"/>
    </w:rPr>
  </w:style>
  <w:style w:type="character" w:customStyle="1" w:styleId="13">
    <w:name w:val="页眉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9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paragraph" w:customStyle="1" w:styleId="16">
    <w:name w:val="EndnoteText"/>
    <w:basedOn w:val="1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364</Characters>
  <Lines>3</Lines>
  <Paragraphs>1</Paragraphs>
  <TotalTime>86</TotalTime>
  <ScaleCrop>false</ScaleCrop>
  <LinksUpToDate>false</LinksUpToDate>
  <CharactersWithSpaces>426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2019-08-14T03:53:00Z</dcterms:created>
  <dc:creator> DHYS</dc:creator>
  <cp:lastModifiedBy>xjkp</cp:lastModifiedBy>
  <cp:lastPrinted>2023-05-08T16:44:00Z</cp:lastPrinted>
  <dcterms:modified xsi:type="dcterms:W3CDTF">2023-05-11T10:45:02Z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D1F88F695D7C41B681ABC5D0121D8AC4</vt:lpwstr>
  </property>
</Properties>
</file>