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6A" w:rsidRDefault="00850C6A" w:rsidP="00D6683E">
      <w:pPr>
        <w:spacing w:line="540" w:lineRule="atLeast"/>
        <w:rPr>
          <w:rFonts w:ascii="宋体" w:hAnsi="宋体"/>
          <w:b/>
          <w:sz w:val="44"/>
          <w:szCs w:val="44"/>
        </w:rPr>
      </w:pPr>
    </w:p>
    <w:p w:rsidR="002B5AC0" w:rsidRPr="003C489D" w:rsidRDefault="002C68BC" w:rsidP="003C489D">
      <w:pPr>
        <w:spacing w:line="360" w:lineRule="auto"/>
        <w:jc w:val="center"/>
        <w:rPr>
          <w:rFonts w:ascii="宋体" w:hAnsi="宋体"/>
          <w:b/>
          <w:sz w:val="56"/>
          <w:szCs w:val="52"/>
        </w:rPr>
      </w:pPr>
      <w:r w:rsidRPr="003C489D">
        <w:rPr>
          <w:rFonts w:ascii="宋体" w:hAnsi="宋体" w:hint="eastAsia"/>
          <w:b/>
          <w:sz w:val="56"/>
          <w:szCs w:val="52"/>
        </w:rPr>
        <w:t>岳阳城陵矶综合保税区</w:t>
      </w:r>
    </w:p>
    <w:p w:rsidR="00477D8F" w:rsidRPr="003C489D" w:rsidRDefault="002C68BC" w:rsidP="003C489D">
      <w:pPr>
        <w:spacing w:line="360" w:lineRule="auto"/>
        <w:jc w:val="center"/>
        <w:rPr>
          <w:rFonts w:ascii="宋体" w:hAnsi="宋体"/>
          <w:b/>
          <w:sz w:val="56"/>
          <w:szCs w:val="52"/>
        </w:rPr>
      </w:pPr>
      <w:r w:rsidRPr="003C489D">
        <w:rPr>
          <w:rFonts w:ascii="宋体" w:hAnsi="宋体" w:hint="eastAsia"/>
          <w:b/>
          <w:sz w:val="56"/>
          <w:szCs w:val="52"/>
        </w:rPr>
        <w:t>进口汽车综合服务中心项目建议书</w:t>
      </w:r>
    </w:p>
    <w:p w:rsidR="00477D8F" w:rsidRDefault="00477D8F"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6E08CD" w:rsidRDefault="006E08CD"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6E08CD" w:rsidRDefault="006E08CD"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6E08CD" w:rsidRDefault="006E08CD"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6E08CD" w:rsidRDefault="006E08CD"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Default="00850C6A" w:rsidP="00884E3E">
      <w:pPr>
        <w:widowControl/>
        <w:shd w:val="clear" w:color="auto" w:fill="FFFFFF"/>
        <w:adjustRightInd w:val="0"/>
        <w:snapToGrid w:val="0"/>
        <w:spacing w:beforeLines="50" w:beforeAutospacing="0" w:afterLines="50" w:afterAutospacing="0" w:line="540" w:lineRule="atLeast"/>
        <w:rPr>
          <w:rFonts w:ascii="黑体" w:eastAsia="黑体" w:hAnsi="黑体" w:cs="宋体"/>
          <w:b/>
          <w:bCs/>
          <w:color w:val="000000"/>
          <w:kern w:val="44"/>
          <w:sz w:val="36"/>
          <w:szCs w:val="20"/>
        </w:rPr>
      </w:pPr>
    </w:p>
    <w:p w:rsidR="00850C6A" w:rsidRPr="001A4570" w:rsidRDefault="00850C6A" w:rsidP="00D6683E">
      <w:pPr>
        <w:spacing w:line="540" w:lineRule="atLeast"/>
        <w:jc w:val="center"/>
        <w:rPr>
          <w:rFonts w:ascii="黑体" w:eastAsia="黑体"/>
          <w:sz w:val="28"/>
          <w:szCs w:val="28"/>
        </w:rPr>
      </w:pPr>
      <w:r w:rsidRPr="001A4570">
        <w:rPr>
          <w:rFonts w:ascii="黑体" w:eastAsia="黑体" w:hint="eastAsia"/>
          <w:sz w:val="28"/>
          <w:szCs w:val="28"/>
        </w:rPr>
        <w:t>湖南城陵矶新港区</w:t>
      </w:r>
    </w:p>
    <w:p w:rsidR="00850C6A" w:rsidRPr="001A4570" w:rsidRDefault="00850C6A" w:rsidP="00D6683E">
      <w:pPr>
        <w:spacing w:line="540" w:lineRule="atLeast"/>
        <w:jc w:val="center"/>
        <w:rPr>
          <w:rFonts w:ascii="黑体" w:eastAsia="黑体"/>
          <w:sz w:val="28"/>
          <w:szCs w:val="28"/>
        </w:rPr>
      </w:pPr>
      <w:r w:rsidRPr="001A4570">
        <w:rPr>
          <w:rFonts w:ascii="黑体" w:eastAsia="黑体" w:hint="eastAsia"/>
          <w:sz w:val="28"/>
          <w:szCs w:val="28"/>
        </w:rPr>
        <w:t>二〇一七年七月·岳阳</w:t>
      </w:r>
    </w:p>
    <w:sdt>
      <w:sdtPr>
        <w:rPr>
          <w:rFonts w:ascii="Times New Roman" w:eastAsia="宋体" w:hAnsi="Times New Roman" w:cs="Times New Roman"/>
          <w:b w:val="0"/>
          <w:bCs w:val="0"/>
          <w:color w:val="auto"/>
          <w:kern w:val="2"/>
          <w:sz w:val="21"/>
          <w:szCs w:val="22"/>
          <w:lang w:val="zh-CN"/>
        </w:rPr>
        <w:id w:val="130183657"/>
        <w:docPartObj>
          <w:docPartGallery w:val="Table of Contents"/>
          <w:docPartUnique/>
        </w:docPartObj>
      </w:sdtPr>
      <w:sdtEndPr>
        <w:rPr>
          <w:lang w:val="en-US"/>
        </w:rPr>
      </w:sdtEndPr>
      <w:sdtContent>
        <w:p w:rsidR="00AD3091" w:rsidRDefault="00AD3091" w:rsidP="00D6683E">
          <w:pPr>
            <w:pStyle w:val="TOC"/>
            <w:spacing w:line="540" w:lineRule="atLeast"/>
            <w:jc w:val="center"/>
            <w:rPr>
              <w:rFonts w:ascii="Times New Roman" w:eastAsia="宋体" w:hAnsi="Times New Roman" w:cs="Times New Roman"/>
              <w:b w:val="0"/>
              <w:bCs w:val="0"/>
              <w:color w:val="auto"/>
              <w:kern w:val="2"/>
              <w:sz w:val="21"/>
              <w:szCs w:val="22"/>
              <w:lang w:val="zh-CN"/>
            </w:rPr>
            <w:sectPr w:rsidR="00AD3091" w:rsidSect="00AD3091">
              <w:headerReference w:type="default" r:id="rId8"/>
              <w:footerReference w:type="default" r:id="rId9"/>
              <w:footerReference w:type="first" r:id="rId10"/>
              <w:pgSz w:w="11906" w:h="16838"/>
              <w:pgMar w:top="1440" w:right="1701" w:bottom="1440" w:left="1701" w:header="851" w:footer="992" w:gutter="0"/>
              <w:cols w:space="720"/>
              <w:titlePg/>
              <w:docGrid w:type="lines" w:linePitch="312"/>
            </w:sectPr>
          </w:pPr>
        </w:p>
        <w:p w:rsidR="002B5AC0" w:rsidRPr="001A4570" w:rsidRDefault="00850C6A" w:rsidP="00D6683E">
          <w:pPr>
            <w:pStyle w:val="TOC"/>
            <w:spacing w:line="540" w:lineRule="atLeast"/>
            <w:jc w:val="center"/>
            <w:rPr>
              <w:rFonts w:ascii="黑体" w:eastAsia="黑体" w:hAnsi="黑体"/>
              <w:color w:val="000000" w:themeColor="text1"/>
              <w:sz w:val="32"/>
              <w:szCs w:val="32"/>
              <w:lang w:val="zh-CN"/>
            </w:rPr>
          </w:pPr>
          <w:r w:rsidRPr="001A4570">
            <w:rPr>
              <w:rFonts w:ascii="黑体" w:eastAsia="黑体" w:hAnsi="黑体"/>
              <w:color w:val="000000" w:themeColor="text1"/>
              <w:sz w:val="32"/>
              <w:szCs w:val="32"/>
              <w:lang w:val="zh-CN"/>
            </w:rPr>
            <w:lastRenderedPageBreak/>
            <w:t>目</w:t>
          </w:r>
          <w:r w:rsidRPr="001A4570">
            <w:rPr>
              <w:rFonts w:ascii="黑体" w:eastAsia="黑体" w:hAnsi="黑体" w:hint="eastAsia"/>
              <w:color w:val="000000" w:themeColor="text1"/>
              <w:sz w:val="32"/>
              <w:szCs w:val="32"/>
              <w:lang w:val="zh-CN"/>
            </w:rPr>
            <w:t xml:space="preserve">  </w:t>
          </w:r>
          <w:r w:rsidRPr="001A4570">
            <w:rPr>
              <w:rFonts w:ascii="黑体" w:eastAsia="黑体" w:hAnsi="黑体"/>
              <w:color w:val="000000" w:themeColor="text1"/>
              <w:sz w:val="32"/>
              <w:szCs w:val="32"/>
              <w:lang w:val="zh-CN"/>
            </w:rPr>
            <w:t>录</w:t>
          </w:r>
        </w:p>
        <w:p w:rsidR="00420DEA" w:rsidRDefault="00420DEA" w:rsidP="00D6683E">
          <w:pPr>
            <w:pStyle w:val="11"/>
            <w:tabs>
              <w:tab w:val="right" w:leader="dot" w:pos="8494"/>
            </w:tabs>
            <w:spacing w:before="0" w:beforeAutospacing="0" w:after="0" w:afterAutospacing="0" w:line="540" w:lineRule="atLeast"/>
          </w:pPr>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r>
            <w:fldChar w:fldCharType="begin"/>
          </w:r>
          <w:r w:rsidR="00850C6A">
            <w:instrText xml:space="preserve"> TOC \o "1-3" \h \z \u </w:instrText>
          </w:r>
          <w:r>
            <w:fldChar w:fldCharType="separate"/>
          </w:r>
          <w:hyperlink w:anchor="_Toc489013220" w:history="1">
            <w:r w:rsidR="001A4570" w:rsidRPr="001A4570">
              <w:rPr>
                <w:rStyle w:val="a8"/>
                <w:rFonts w:ascii="黑体" w:eastAsia="黑体" w:hAnsi="黑体" w:hint="eastAsia"/>
                <w:noProof/>
                <w:sz w:val="24"/>
                <w:szCs w:val="24"/>
              </w:rPr>
              <w:t>第1</w:t>
            </w:r>
            <w:r w:rsidR="002B5AC0" w:rsidRPr="001A4570">
              <w:rPr>
                <w:rStyle w:val="a8"/>
                <w:rFonts w:ascii="黑体" w:eastAsia="黑体" w:hAnsi="黑体" w:hint="eastAsia"/>
                <w:noProof/>
                <w:sz w:val="24"/>
                <w:szCs w:val="24"/>
              </w:rPr>
              <w:t>章</w:t>
            </w:r>
            <w:r w:rsidR="002B5AC0" w:rsidRPr="001A4570">
              <w:rPr>
                <w:rStyle w:val="a8"/>
                <w:rFonts w:ascii="黑体" w:eastAsia="黑体" w:hAnsi="黑体"/>
                <w:noProof/>
                <w:sz w:val="24"/>
                <w:szCs w:val="24"/>
              </w:rPr>
              <w:t xml:space="preserve"> </w:t>
            </w:r>
            <w:r w:rsidR="002B5AC0" w:rsidRPr="001A4570">
              <w:rPr>
                <w:rStyle w:val="a8"/>
                <w:rFonts w:ascii="黑体" w:eastAsia="黑体" w:hAnsi="黑体" w:hint="eastAsia"/>
                <w:noProof/>
                <w:sz w:val="24"/>
                <w:szCs w:val="24"/>
              </w:rPr>
              <w:t>项目概况</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_Toc489013220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1" w:history="1">
            <w:r w:rsidR="002B5AC0" w:rsidRPr="001A4570">
              <w:rPr>
                <w:rStyle w:val="a8"/>
                <w:rFonts w:ascii="黑体" w:eastAsia="黑体" w:hAnsi="黑体"/>
                <w:bCs/>
                <w:noProof/>
              </w:rPr>
              <w:t>1.1</w:t>
            </w:r>
            <w:r w:rsidR="002B5AC0" w:rsidRPr="001A4570">
              <w:rPr>
                <w:rStyle w:val="a8"/>
                <w:rFonts w:ascii="黑体" w:eastAsia="黑体" w:hAnsi="黑体" w:hint="eastAsia"/>
                <w:bCs/>
                <w:noProof/>
              </w:rPr>
              <w:t>项目基本信息</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_Toc489013221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2" w:history="1">
            <w:r w:rsidR="002B5AC0" w:rsidRPr="001A4570">
              <w:rPr>
                <w:rStyle w:val="a8"/>
                <w:rFonts w:ascii="黑体" w:eastAsia="黑体" w:hAnsi="黑体"/>
                <w:bCs/>
                <w:noProof/>
              </w:rPr>
              <w:t>1.2</w:t>
            </w:r>
            <w:r w:rsidR="002B5AC0" w:rsidRPr="001A4570">
              <w:rPr>
                <w:rStyle w:val="a8"/>
                <w:rFonts w:ascii="黑体" w:eastAsia="黑体" w:hAnsi="黑体" w:hint="eastAsia"/>
                <w:bCs/>
                <w:noProof/>
              </w:rPr>
              <w:t>项目投资概况</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_Toc489013222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23" w:history="1">
            <w:r w:rsidR="001A4570" w:rsidRPr="001A4570">
              <w:rPr>
                <w:rStyle w:val="a8"/>
                <w:rFonts w:ascii="黑体" w:eastAsia="黑体" w:hAnsi="黑体" w:hint="eastAsia"/>
                <w:noProof/>
                <w:sz w:val="24"/>
                <w:szCs w:val="24"/>
              </w:rPr>
              <w:t>第2</w:t>
            </w:r>
            <w:r w:rsidR="002B5AC0" w:rsidRPr="001A4570">
              <w:rPr>
                <w:rStyle w:val="a8"/>
                <w:rFonts w:ascii="黑体" w:eastAsia="黑体" w:hAnsi="黑体" w:hint="eastAsia"/>
                <w:noProof/>
                <w:sz w:val="24"/>
                <w:szCs w:val="24"/>
              </w:rPr>
              <w:t>章</w:t>
            </w:r>
            <w:r w:rsidR="001A4570">
              <w:rPr>
                <w:rStyle w:val="a8"/>
                <w:rFonts w:ascii="黑体" w:eastAsia="黑体" w:hAnsi="黑体"/>
                <w:noProof/>
                <w:sz w:val="24"/>
                <w:szCs w:val="24"/>
              </w:rPr>
              <w:t xml:space="preserve"> </w:t>
            </w:r>
            <w:r w:rsidR="002B5AC0" w:rsidRPr="001A4570">
              <w:rPr>
                <w:rStyle w:val="a8"/>
                <w:rFonts w:ascii="黑体" w:eastAsia="黑体" w:hAnsi="黑体" w:hint="eastAsia"/>
                <w:noProof/>
                <w:sz w:val="24"/>
                <w:szCs w:val="24"/>
              </w:rPr>
              <w:t>项目建设的必要性与可行性</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_Toc489013223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2</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4" w:history="1">
            <w:r w:rsidR="002B5AC0" w:rsidRPr="001A4570">
              <w:rPr>
                <w:rStyle w:val="a8"/>
                <w:rFonts w:ascii="黑体" w:eastAsia="黑体" w:hAnsi="黑体"/>
                <w:bCs/>
                <w:noProof/>
              </w:rPr>
              <w:t>2.1</w:t>
            </w:r>
            <w:r w:rsidR="002B5AC0" w:rsidRPr="001A4570">
              <w:rPr>
                <w:rStyle w:val="a8"/>
                <w:rFonts w:ascii="黑体" w:eastAsia="黑体" w:hAnsi="黑体" w:hint="eastAsia"/>
                <w:bCs/>
                <w:noProof/>
              </w:rPr>
              <w:t>项目建设的必要性</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_Toc489013224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2</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5" w:history="1">
            <w:r w:rsidR="002B5AC0" w:rsidRPr="001A4570">
              <w:rPr>
                <w:rStyle w:val="a8"/>
                <w:rFonts w:ascii="黑体" w:eastAsia="黑体" w:hAnsi="黑体"/>
                <w:bCs/>
                <w:noProof/>
              </w:rPr>
              <w:t>2.2</w:t>
            </w:r>
            <w:r w:rsidR="002B5AC0" w:rsidRPr="001A4570">
              <w:rPr>
                <w:rStyle w:val="a8"/>
                <w:rFonts w:ascii="黑体" w:eastAsia="黑体" w:hAnsi="黑体" w:hint="eastAsia"/>
                <w:bCs/>
                <w:noProof/>
              </w:rPr>
              <w:t>项目建设的可行性</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_Toc489013225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3</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26" w:history="1">
            <w:r w:rsidR="001A4570">
              <w:rPr>
                <w:rStyle w:val="a8"/>
                <w:rFonts w:ascii="黑体" w:eastAsia="黑体" w:hAnsi="黑体" w:hint="eastAsia"/>
                <w:noProof/>
                <w:sz w:val="24"/>
                <w:szCs w:val="24"/>
              </w:rPr>
              <w:t>第3</w:t>
            </w:r>
            <w:r w:rsidR="002B5AC0" w:rsidRPr="001A4570">
              <w:rPr>
                <w:rStyle w:val="a8"/>
                <w:rFonts w:ascii="黑体" w:eastAsia="黑体" w:hAnsi="黑体" w:hint="eastAsia"/>
                <w:noProof/>
                <w:sz w:val="24"/>
                <w:szCs w:val="24"/>
              </w:rPr>
              <w:t>章</w:t>
            </w:r>
            <w:r w:rsidR="002B5AC0" w:rsidRPr="001A4570">
              <w:rPr>
                <w:rStyle w:val="a8"/>
                <w:rFonts w:ascii="黑体" w:eastAsia="黑体" w:hAnsi="黑体"/>
                <w:noProof/>
                <w:sz w:val="24"/>
                <w:szCs w:val="24"/>
              </w:rPr>
              <w:t xml:space="preserve"> </w:t>
            </w:r>
            <w:r w:rsidR="002B5AC0" w:rsidRPr="001A4570">
              <w:rPr>
                <w:rStyle w:val="a8"/>
                <w:rFonts w:ascii="黑体" w:eastAsia="黑体" w:hAnsi="黑体" w:hint="eastAsia"/>
                <w:noProof/>
                <w:sz w:val="24"/>
                <w:szCs w:val="24"/>
              </w:rPr>
              <w:t>市场分析</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_Toc489013226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5</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7" w:history="1">
            <w:r w:rsidR="002B5AC0" w:rsidRPr="001A4570">
              <w:rPr>
                <w:rStyle w:val="a8"/>
                <w:rFonts w:ascii="黑体" w:eastAsia="黑体" w:hAnsi="黑体"/>
                <w:noProof/>
              </w:rPr>
              <w:t xml:space="preserve">3.1 </w:t>
            </w:r>
            <w:r w:rsidR="002B5AC0" w:rsidRPr="001A4570">
              <w:rPr>
                <w:rStyle w:val="a8"/>
                <w:rFonts w:ascii="黑体" w:eastAsia="黑体" w:hAnsi="黑体" w:hint="eastAsia"/>
                <w:noProof/>
              </w:rPr>
              <w:t>市场定性分析</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_Toc489013227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5</w:t>
            </w:r>
            <w:r w:rsidRPr="001A4570">
              <w:rPr>
                <w:rFonts w:ascii="黑体" w:eastAsia="黑体" w:hAnsi="黑体"/>
                <w:noProof/>
                <w:webHidden/>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28" w:history="1">
            <w:r w:rsidR="002B5AC0" w:rsidRPr="001A4570">
              <w:rPr>
                <w:rStyle w:val="a8"/>
                <w:rFonts w:ascii="黑体" w:eastAsia="黑体" w:hAnsi="黑体"/>
                <w:noProof/>
              </w:rPr>
              <w:t>3.2</w:t>
            </w:r>
            <w:r w:rsidR="002B5AC0" w:rsidRPr="001A4570">
              <w:rPr>
                <w:rStyle w:val="a8"/>
                <w:rFonts w:ascii="黑体" w:eastAsia="黑体" w:hAnsi="黑体" w:hint="eastAsia"/>
                <w:noProof/>
              </w:rPr>
              <w:t>市场定量预测</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_Toc489013228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6</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29" w:history="1">
            <w:r w:rsidR="001A4570">
              <w:rPr>
                <w:rStyle w:val="a8"/>
                <w:rFonts w:ascii="黑体" w:eastAsia="黑体" w:hAnsi="黑体" w:hint="eastAsia"/>
                <w:noProof/>
                <w:sz w:val="24"/>
                <w:szCs w:val="24"/>
              </w:rPr>
              <w:t>第4</w:t>
            </w:r>
            <w:r w:rsidR="002B5AC0" w:rsidRPr="001A4570">
              <w:rPr>
                <w:rStyle w:val="a8"/>
                <w:rFonts w:ascii="黑体" w:eastAsia="黑体" w:hAnsi="黑体" w:hint="eastAsia"/>
                <w:noProof/>
                <w:sz w:val="24"/>
                <w:szCs w:val="24"/>
              </w:rPr>
              <w:t>章</w:t>
            </w:r>
            <w:r w:rsidR="002B5AC0" w:rsidRPr="001A4570">
              <w:rPr>
                <w:rStyle w:val="a8"/>
                <w:rFonts w:ascii="黑体" w:eastAsia="黑体" w:hAnsi="黑体"/>
                <w:noProof/>
                <w:sz w:val="24"/>
                <w:szCs w:val="24"/>
              </w:rPr>
              <w:t xml:space="preserve"> </w:t>
            </w:r>
            <w:r w:rsidR="002B5AC0" w:rsidRPr="001A4570">
              <w:rPr>
                <w:rStyle w:val="a8"/>
                <w:rFonts w:ascii="黑体" w:eastAsia="黑体" w:hAnsi="黑体" w:hint="eastAsia"/>
                <w:noProof/>
                <w:sz w:val="24"/>
                <w:szCs w:val="24"/>
              </w:rPr>
              <w:t>项目建设方案</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_Toc489013229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8</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30" w:history="1">
            <w:r w:rsidR="001A4570">
              <w:rPr>
                <w:rFonts w:ascii="黑体" w:eastAsia="黑体" w:hAnsi="黑体" w:hint="eastAsia"/>
                <w:noProof/>
                <w:sz w:val="24"/>
                <w:szCs w:val="24"/>
              </w:rPr>
              <w:t>第5</w:t>
            </w:r>
            <w:r w:rsidR="002B5AC0" w:rsidRPr="001A4570">
              <w:rPr>
                <w:rFonts w:ascii="黑体" w:eastAsia="黑体" w:hAnsi="黑体" w:hint="eastAsia"/>
                <w:noProof/>
                <w:sz w:val="24"/>
                <w:szCs w:val="24"/>
              </w:rPr>
              <w:t>章</w:t>
            </w:r>
            <w:r w:rsidR="002B5AC0" w:rsidRPr="001A4570">
              <w:rPr>
                <w:rFonts w:ascii="黑体" w:eastAsia="黑体" w:hAnsi="黑体"/>
                <w:noProof/>
                <w:sz w:val="24"/>
                <w:szCs w:val="24"/>
              </w:rPr>
              <w:t xml:space="preserve"> </w:t>
            </w:r>
            <w:r w:rsidR="002B5AC0" w:rsidRPr="001A4570">
              <w:rPr>
                <w:rFonts w:ascii="黑体" w:eastAsia="黑体" w:hAnsi="黑体" w:hint="eastAsia"/>
                <w:noProof/>
                <w:sz w:val="24"/>
                <w:szCs w:val="24"/>
              </w:rPr>
              <w:t>投资概算</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_Toc489013230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10</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31" w:history="1">
            <w:r w:rsidR="001A4570">
              <w:rPr>
                <w:rFonts w:ascii="黑体" w:eastAsia="黑体" w:hAnsi="黑体" w:hint="eastAsia"/>
                <w:noProof/>
                <w:sz w:val="24"/>
                <w:szCs w:val="24"/>
              </w:rPr>
              <w:t>第6</w:t>
            </w:r>
            <w:r w:rsidR="002B5AC0" w:rsidRPr="001A4570">
              <w:rPr>
                <w:rFonts w:ascii="黑体" w:eastAsia="黑体" w:hAnsi="黑体" w:hint="eastAsia"/>
                <w:noProof/>
                <w:sz w:val="24"/>
                <w:szCs w:val="24"/>
              </w:rPr>
              <w:t>章</w:t>
            </w:r>
            <w:r w:rsidR="002B5AC0" w:rsidRPr="001A4570">
              <w:rPr>
                <w:rFonts w:ascii="黑体" w:eastAsia="黑体" w:hAnsi="黑体"/>
                <w:noProof/>
                <w:sz w:val="24"/>
                <w:szCs w:val="24"/>
              </w:rPr>
              <w:t xml:space="preserve"> </w:t>
            </w:r>
            <w:r w:rsidR="002B5AC0" w:rsidRPr="001A4570">
              <w:rPr>
                <w:rFonts w:ascii="黑体" w:eastAsia="黑体" w:hAnsi="黑体" w:hint="eastAsia"/>
                <w:noProof/>
                <w:sz w:val="24"/>
                <w:szCs w:val="24"/>
              </w:rPr>
              <w:t>员工配备</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_Toc489013231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11</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cstheme="minorBidi"/>
              <w:noProof/>
            </w:rPr>
          </w:pPr>
          <w:hyperlink w:anchor="_Toc489013232" w:history="1">
            <w:r w:rsidR="001A4570">
              <w:rPr>
                <w:rFonts w:ascii="黑体" w:eastAsia="黑体" w:hAnsi="黑体" w:hint="eastAsia"/>
                <w:noProof/>
                <w:sz w:val="24"/>
                <w:szCs w:val="24"/>
              </w:rPr>
              <w:t>第7</w:t>
            </w:r>
            <w:r w:rsidR="002B5AC0" w:rsidRPr="001A4570">
              <w:rPr>
                <w:rFonts w:ascii="黑体" w:eastAsia="黑体" w:hAnsi="黑体" w:hint="eastAsia"/>
                <w:noProof/>
                <w:sz w:val="24"/>
                <w:szCs w:val="24"/>
              </w:rPr>
              <w:t>章</w:t>
            </w:r>
            <w:r w:rsidR="002B5AC0" w:rsidRPr="001A4570">
              <w:rPr>
                <w:rFonts w:ascii="黑体" w:eastAsia="黑体" w:hAnsi="黑体"/>
                <w:noProof/>
                <w:sz w:val="24"/>
                <w:szCs w:val="24"/>
              </w:rPr>
              <w:t xml:space="preserve"> </w:t>
            </w:r>
            <w:r w:rsidR="002B5AC0" w:rsidRPr="001A4570">
              <w:rPr>
                <w:rFonts w:ascii="黑体" w:eastAsia="黑体" w:hAnsi="黑体" w:hint="eastAsia"/>
                <w:noProof/>
                <w:sz w:val="24"/>
                <w:szCs w:val="24"/>
              </w:rPr>
              <w:t>投资方式和资金来源</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_Toc489013232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12</w:t>
            </w:r>
            <w:r w:rsidRPr="001A4570">
              <w:rPr>
                <w:rFonts w:ascii="黑体" w:eastAsia="黑体" w:hAnsi="黑体"/>
                <w:noProof/>
                <w:webHidden/>
              </w:rPr>
              <w:fldChar w:fldCharType="end"/>
            </w:r>
          </w:hyperlink>
        </w:p>
        <w:p w:rsidR="002B5AC0" w:rsidRPr="001A4570" w:rsidRDefault="000C0A18" w:rsidP="00D6683E">
          <w:pPr>
            <w:pStyle w:val="11"/>
            <w:tabs>
              <w:tab w:val="right" w:leader="dot" w:pos="8494"/>
            </w:tabs>
            <w:spacing w:before="0" w:beforeAutospacing="0" w:after="0" w:afterAutospacing="0" w:line="420" w:lineRule="exact"/>
            <w:rPr>
              <w:rFonts w:ascii="黑体" w:eastAsia="黑体" w:hAnsi="黑体"/>
              <w:noProof/>
              <w:sz w:val="24"/>
              <w:szCs w:val="24"/>
            </w:rPr>
          </w:pPr>
          <w:hyperlink w:anchor="_Toc489013233" w:history="1">
            <w:r w:rsidR="001A4570">
              <w:rPr>
                <w:rFonts w:ascii="黑体" w:eastAsia="黑体" w:hAnsi="黑体" w:hint="eastAsia"/>
                <w:noProof/>
                <w:sz w:val="24"/>
                <w:szCs w:val="24"/>
              </w:rPr>
              <w:t>第8</w:t>
            </w:r>
            <w:r w:rsidR="002B5AC0" w:rsidRPr="001A4570">
              <w:rPr>
                <w:rFonts w:ascii="黑体" w:eastAsia="黑体" w:hAnsi="黑体" w:hint="eastAsia"/>
                <w:noProof/>
                <w:sz w:val="24"/>
                <w:szCs w:val="24"/>
              </w:rPr>
              <w:t>章</w:t>
            </w:r>
            <w:r w:rsidR="002B5AC0" w:rsidRPr="001A4570">
              <w:rPr>
                <w:rFonts w:ascii="黑体" w:eastAsia="黑体" w:hAnsi="黑体"/>
                <w:noProof/>
                <w:sz w:val="24"/>
                <w:szCs w:val="24"/>
              </w:rPr>
              <w:t xml:space="preserve"> </w:t>
            </w:r>
            <w:r w:rsidR="002B5AC0" w:rsidRPr="001A4570">
              <w:rPr>
                <w:rFonts w:ascii="黑体" w:eastAsia="黑体" w:hAnsi="黑体" w:hint="eastAsia"/>
                <w:noProof/>
                <w:sz w:val="24"/>
                <w:szCs w:val="24"/>
              </w:rPr>
              <w:t>效益分析</w:t>
            </w:r>
            <w:r w:rsidR="002B5AC0" w:rsidRPr="001A4570">
              <w:rPr>
                <w:rFonts w:ascii="黑体" w:eastAsia="黑体" w:hAnsi="黑体"/>
                <w:noProof/>
                <w:webHidden/>
                <w:sz w:val="24"/>
                <w:szCs w:val="24"/>
              </w:rPr>
              <w:tab/>
            </w:r>
            <w:r w:rsidRPr="001A4570">
              <w:rPr>
                <w:rFonts w:ascii="黑体" w:eastAsia="黑体" w:hAnsi="黑体"/>
                <w:noProof/>
                <w:webHidden/>
                <w:sz w:val="24"/>
                <w:szCs w:val="24"/>
              </w:rPr>
              <w:fldChar w:fldCharType="begin"/>
            </w:r>
            <w:r w:rsidR="002B5AC0" w:rsidRPr="001A4570">
              <w:rPr>
                <w:rFonts w:ascii="黑体" w:eastAsia="黑体" w:hAnsi="黑体"/>
                <w:noProof/>
                <w:webHidden/>
                <w:sz w:val="24"/>
                <w:szCs w:val="24"/>
              </w:rPr>
              <w:instrText xml:space="preserve"> PAGEREF _Toc489013233 \h </w:instrText>
            </w:r>
            <w:r w:rsidRPr="001A4570">
              <w:rPr>
                <w:rFonts w:ascii="黑体" w:eastAsia="黑体" w:hAnsi="黑体"/>
                <w:noProof/>
                <w:webHidden/>
                <w:sz w:val="24"/>
                <w:szCs w:val="24"/>
              </w:rPr>
            </w:r>
            <w:r w:rsidRPr="001A4570">
              <w:rPr>
                <w:rFonts w:ascii="黑体" w:eastAsia="黑体" w:hAnsi="黑体"/>
                <w:noProof/>
                <w:webHidden/>
                <w:sz w:val="24"/>
                <w:szCs w:val="24"/>
              </w:rPr>
              <w:fldChar w:fldCharType="separate"/>
            </w:r>
            <w:r w:rsidR="00884E3E">
              <w:rPr>
                <w:rFonts w:ascii="黑体" w:eastAsia="黑体" w:hAnsi="黑体"/>
                <w:noProof/>
                <w:webHidden/>
                <w:sz w:val="24"/>
                <w:szCs w:val="24"/>
              </w:rPr>
              <w:t>13</w:t>
            </w:r>
            <w:r w:rsidRPr="001A4570">
              <w:rPr>
                <w:rFonts w:ascii="黑体" w:eastAsia="黑体" w:hAnsi="黑体"/>
                <w:noProof/>
                <w:webHidden/>
                <w:sz w:val="24"/>
                <w:szCs w:val="24"/>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noProof/>
              <w:sz w:val="24"/>
              <w:szCs w:val="24"/>
            </w:rPr>
          </w:pPr>
          <w:hyperlink w:anchor="_Toc489013234" w:history="1">
            <w:r w:rsidR="002B5AC0" w:rsidRPr="001A4570">
              <w:rPr>
                <w:rFonts w:ascii="黑体" w:eastAsia="黑体" w:hAnsi="黑体"/>
                <w:noProof/>
                <w:szCs w:val="21"/>
              </w:rPr>
              <w:t>8.1</w:t>
            </w:r>
            <w:r w:rsidR="002B5AC0" w:rsidRPr="001A4570">
              <w:rPr>
                <w:rFonts w:ascii="黑体" w:eastAsia="黑体" w:hAnsi="黑体" w:hint="eastAsia"/>
                <w:noProof/>
                <w:szCs w:val="21"/>
              </w:rPr>
              <w:t>经济效益</w:t>
            </w:r>
            <w:r w:rsidR="002B5AC0" w:rsidRPr="001A4570">
              <w:rPr>
                <w:rFonts w:ascii="黑体" w:eastAsia="黑体" w:hAnsi="黑体"/>
                <w:noProof/>
                <w:webHidden/>
                <w:sz w:val="24"/>
                <w:szCs w:val="24"/>
              </w:rPr>
              <w:tab/>
            </w:r>
            <w:r w:rsidRPr="001A4570">
              <w:rPr>
                <w:rFonts w:ascii="黑体" w:eastAsia="黑体" w:hAnsi="黑体"/>
                <w:noProof/>
                <w:webHidden/>
                <w:sz w:val="24"/>
                <w:szCs w:val="24"/>
              </w:rPr>
              <w:fldChar w:fldCharType="begin"/>
            </w:r>
            <w:r w:rsidR="002B5AC0" w:rsidRPr="001A4570">
              <w:rPr>
                <w:rFonts w:ascii="黑体" w:eastAsia="黑体" w:hAnsi="黑体"/>
                <w:noProof/>
                <w:webHidden/>
                <w:sz w:val="24"/>
                <w:szCs w:val="24"/>
              </w:rPr>
              <w:instrText xml:space="preserve"> PAGEREF _Toc489013234 \h </w:instrText>
            </w:r>
            <w:r w:rsidRPr="001A4570">
              <w:rPr>
                <w:rFonts w:ascii="黑体" w:eastAsia="黑体" w:hAnsi="黑体"/>
                <w:noProof/>
                <w:webHidden/>
                <w:sz w:val="24"/>
                <w:szCs w:val="24"/>
              </w:rPr>
            </w:r>
            <w:r w:rsidRPr="001A4570">
              <w:rPr>
                <w:rFonts w:ascii="黑体" w:eastAsia="黑体" w:hAnsi="黑体"/>
                <w:noProof/>
                <w:webHidden/>
                <w:sz w:val="24"/>
                <w:szCs w:val="24"/>
              </w:rPr>
              <w:fldChar w:fldCharType="separate"/>
            </w:r>
            <w:r w:rsidR="00884E3E">
              <w:rPr>
                <w:rFonts w:ascii="黑体" w:eastAsia="黑体" w:hAnsi="黑体"/>
                <w:noProof/>
                <w:webHidden/>
                <w:sz w:val="24"/>
                <w:szCs w:val="24"/>
              </w:rPr>
              <w:t>13</w:t>
            </w:r>
            <w:r w:rsidRPr="001A4570">
              <w:rPr>
                <w:rFonts w:ascii="黑体" w:eastAsia="黑体" w:hAnsi="黑体"/>
                <w:noProof/>
                <w:webHidden/>
                <w:sz w:val="24"/>
                <w:szCs w:val="24"/>
              </w:rPr>
              <w:fldChar w:fldCharType="end"/>
            </w:r>
          </w:hyperlink>
        </w:p>
        <w:p w:rsidR="002B5AC0" w:rsidRPr="001A4570" w:rsidRDefault="000C0A18" w:rsidP="00D6683E">
          <w:pPr>
            <w:pStyle w:val="21"/>
            <w:tabs>
              <w:tab w:val="right" w:leader="dot" w:pos="8494"/>
            </w:tabs>
            <w:spacing w:before="0" w:beforeAutospacing="0" w:after="0" w:afterAutospacing="0" w:line="420" w:lineRule="exact"/>
            <w:rPr>
              <w:rFonts w:ascii="黑体" w:eastAsia="黑体" w:hAnsi="黑体" w:cstheme="minorBidi"/>
              <w:noProof/>
            </w:rPr>
          </w:pPr>
          <w:hyperlink w:anchor="_Toc489013235" w:history="1">
            <w:r w:rsidR="002B5AC0" w:rsidRPr="001A4570">
              <w:rPr>
                <w:rStyle w:val="a8"/>
                <w:rFonts w:ascii="黑体" w:eastAsia="黑体" w:hAnsi="黑体"/>
                <w:noProof/>
              </w:rPr>
              <w:t xml:space="preserve">8.2 </w:t>
            </w:r>
            <w:r w:rsidR="002B5AC0" w:rsidRPr="001A4570">
              <w:rPr>
                <w:rStyle w:val="a8"/>
                <w:rFonts w:ascii="黑体" w:eastAsia="黑体" w:hAnsi="黑体" w:hint="eastAsia"/>
                <w:noProof/>
              </w:rPr>
              <w:t>社会效益</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_Toc489013235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15</w:t>
            </w:r>
            <w:r w:rsidRPr="001A4570">
              <w:rPr>
                <w:rFonts w:ascii="黑体" w:eastAsia="黑体" w:hAnsi="黑体"/>
                <w:noProof/>
                <w:webHidden/>
              </w:rPr>
              <w:fldChar w:fldCharType="end"/>
            </w:r>
          </w:hyperlink>
        </w:p>
        <w:p w:rsidR="002B5AC0" w:rsidRDefault="000C0A18" w:rsidP="00D6683E">
          <w:pPr>
            <w:pStyle w:val="11"/>
            <w:tabs>
              <w:tab w:val="right" w:leader="dot" w:pos="8494"/>
            </w:tabs>
            <w:spacing w:before="0" w:beforeAutospacing="0" w:after="0" w:afterAutospacing="0" w:line="420" w:lineRule="exact"/>
            <w:rPr>
              <w:rFonts w:asciiTheme="minorHAnsi" w:eastAsiaTheme="minorEastAsia" w:hAnsiTheme="minorHAnsi" w:cstheme="minorBidi"/>
              <w:noProof/>
            </w:rPr>
          </w:pPr>
          <w:hyperlink w:anchor="_Toc489013236" w:history="1">
            <w:r w:rsidR="001A4570">
              <w:rPr>
                <w:rFonts w:ascii="黑体" w:eastAsia="黑体" w:hAnsi="黑体" w:hint="eastAsia"/>
                <w:noProof/>
                <w:sz w:val="24"/>
                <w:szCs w:val="24"/>
              </w:rPr>
              <w:t>第9</w:t>
            </w:r>
            <w:r w:rsidR="002B5AC0" w:rsidRPr="001A4570">
              <w:rPr>
                <w:rFonts w:ascii="黑体" w:eastAsia="黑体" w:hAnsi="黑体" w:hint="eastAsia"/>
                <w:noProof/>
                <w:sz w:val="24"/>
                <w:szCs w:val="24"/>
              </w:rPr>
              <w:t>章</w:t>
            </w:r>
            <w:r w:rsidR="002B5AC0" w:rsidRPr="001A4570">
              <w:rPr>
                <w:rFonts w:ascii="黑体" w:eastAsia="黑体" w:hAnsi="黑体"/>
                <w:noProof/>
                <w:sz w:val="24"/>
                <w:szCs w:val="24"/>
              </w:rPr>
              <w:t xml:space="preserve"> </w:t>
            </w:r>
            <w:r w:rsidR="002B5AC0" w:rsidRPr="001A4570">
              <w:rPr>
                <w:rFonts w:ascii="黑体" w:eastAsia="黑体" w:hAnsi="黑体" w:hint="eastAsia"/>
                <w:noProof/>
                <w:sz w:val="24"/>
                <w:szCs w:val="24"/>
              </w:rPr>
              <w:t>风险提示</w:t>
            </w:r>
            <w:r w:rsidR="002B5AC0" w:rsidRPr="001A4570">
              <w:rPr>
                <w:rFonts w:ascii="黑体" w:eastAsia="黑体" w:hAnsi="黑体"/>
                <w:noProof/>
                <w:webHidden/>
              </w:rPr>
              <w:tab/>
            </w:r>
            <w:r w:rsidRPr="001A4570">
              <w:rPr>
                <w:rFonts w:ascii="黑体" w:eastAsia="黑体" w:hAnsi="黑体"/>
                <w:noProof/>
                <w:webHidden/>
              </w:rPr>
              <w:fldChar w:fldCharType="begin"/>
            </w:r>
            <w:r w:rsidR="002B5AC0" w:rsidRPr="001A4570">
              <w:rPr>
                <w:rFonts w:ascii="黑体" w:eastAsia="黑体" w:hAnsi="黑体"/>
                <w:noProof/>
                <w:webHidden/>
              </w:rPr>
              <w:instrText xml:space="preserve"> PAGEREF _Toc489013236 \h </w:instrText>
            </w:r>
            <w:r w:rsidRPr="001A4570">
              <w:rPr>
                <w:rFonts w:ascii="黑体" w:eastAsia="黑体" w:hAnsi="黑体"/>
                <w:noProof/>
                <w:webHidden/>
              </w:rPr>
            </w:r>
            <w:r w:rsidRPr="001A4570">
              <w:rPr>
                <w:rFonts w:ascii="黑体" w:eastAsia="黑体" w:hAnsi="黑体"/>
                <w:noProof/>
                <w:webHidden/>
              </w:rPr>
              <w:fldChar w:fldCharType="separate"/>
            </w:r>
            <w:r w:rsidR="00884E3E">
              <w:rPr>
                <w:rFonts w:ascii="黑体" w:eastAsia="黑体" w:hAnsi="黑体"/>
                <w:noProof/>
                <w:webHidden/>
              </w:rPr>
              <w:t>16</w:t>
            </w:r>
            <w:r w:rsidRPr="001A4570">
              <w:rPr>
                <w:rFonts w:ascii="黑体" w:eastAsia="黑体" w:hAnsi="黑体"/>
                <w:noProof/>
                <w:webHidden/>
              </w:rPr>
              <w:fldChar w:fldCharType="end"/>
            </w:r>
          </w:hyperlink>
        </w:p>
        <w:p w:rsidR="00850C6A" w:rsidRDefault="000C0A18" w:rsidP="00D6683E">
          <w:pPr>
            <w:spacing w:before="0" w:beforeAutospacing="0" w:after="0" w:afterAutospacing="0" w:line="540" w:lineRule="atLeast"/>
          </w:pPr>
          <w:r>
            <w:fldChar w:fldCharType="end"/>
          </w:r>
        </w:p>
      </w:sdtContent>
    </w:sdt>
    <w:p w:rsidR="00850C6A" w:rsidRDefault="00850C6A" w:rsidP="00D6683E">
      <w:pPr>
        <w:widowControl/>
        <w:spacing w:before="0" w:beforeAutospacing="0" w:after="0" w:afterAutospacing="0" w:line="540" w:lineRule="atLeast"/>
        <w:jc w:val="left"/>
        <w:rPr>
          <w:b/>
          <w:bCs/>
          <w:kern w:val="44"/>
          <w:sz w:val="44"/>
          <w:szCs w:val="44"/>
        </w:rPr>
      </w:pPr>
      <w:r>
        <w:br w:type="page"/>
      </w:r>
    </w:p>
    <w:p w:rsidR="00AD3091" w:rsidRDefault="00AD3091" w:rsidP="00884E3E">
      <w:pPr>
        <w:pStyle w:val="1"/>
        <w:adjustRightInd w:val="0"/>
        <w:snapToGrid w:val="0"/>
        <w:spacing w:beforeLines="100" w:beforeAutospacing="0" w:afterLines="50" w:afterAutospacing="0" w:line="540" w:lineRule="atLeast"/>
        <w:jc w:val="center"/>
        <w:rPr>
          <w:rFonts w:ascii="黑体" w:eastAsia="黑体" w:hAnsi="黑体" w:cs="宋体"/>
          <w:sz w:val="36"/>
          <w:szCs w:val="20"/>
        </w:rPr>
        <w:sectPr w:rsidR="00AD3091" w:rsidSect="00AD3091">
          <w:footerReference w:type="first" r:id="rId11"/>
          <w:pgSz w:w="11906" w:h="16838"/>
          <w:pgMar w:top="1440" w:right="1701" w:bottom="1440" w:left="1701" w:header="851" w:footer="992" w:gutter="0"/>
          <w:pgNumType w:fmt="upperRoman" w:start="1"/>
          <w:cols w:space="720"/>
          <w:titlePg/>
          <w:docGrid w:type="lines" w:linePitch="312"/>
        </w:sectPr>
      </w:pPr>
      <w:bookmarkStart w:id="0" w:name="_Toc489013220"/>
    </w:p>
    <w:p w:rsidR="00477D8F" w:rsidRPr="00451018" w:rsidRDefault="001A4570" w:rsidP="00884E3E">
      <w:pPr>
        <w:pStyle w:val="1"/>
        <w:adjustRightInd w:val="0"/>
        <w:snapToGrid w:val="0"/>
        <w:spacing w:beforeLines="100" w:beforeAutospacing="0" w:afterLines="50" w:afterAutospacing="0" w:line="540" w:lineRule="atLeast"/>
        <w:jc w:val="center"/>
        <w:rPr>
          <w:rFonts w:ascii="黑体" w:eastAsia="黑体" w:hAnsi="黑体" w:cs="宋体"/>
          <w:sz w:val="36"/>
          <w:szCs w:val="20"/>
        </w:rPr>
      </w:pPr>
      <w:bookmarkStart w:id="1" w:name="_GoBack"/>
      <w:bookmarkEnd w:id="1"/>
      <w:r w:rsidRPr="00451018">
        <w:rPr>
          <w:rFonts w:ascii="黑体" w:eastAsia="黑体" w:hAnsi="黑体" w:cs="宋体" w:hint="eastAsia"/>
          <w:sz w:val="36"/>
          <w:szCs w:val="20"/>
        </w:rPr>
        <w:lastRenderedPageBreak/>
        <w:t>第</w:t>
      </w:r>
      <w:r w:rsidR="00451018" w:rsidRPr="00451018">
        <w:rPr>
          <w:rFonts w:ascii="黑体" w:eastAsia="黑体" w:hAnsi="黑体" w:cs="宋体" w:hint="eastAsia"/>
          <w:sz w:val="36"/>
          <w:szCs w:val="20"/>
        </w:rPr>
        <w:t>１</w:t>
      </w:r>
      <w:r w:rsidR="002B5AC0" w:rsidRPr="00451018">
        <w:rPr>
          <w:rFonts w:ascii="黑体" w:eastAsia="黑体" w:hAnsi="黑体" w:cs="宋体" w:hint="eastAsia"/>
          <w:sz w:val="36"/>
          <w:szCs w:val="20"/>
        </w:rPr>
        <w:t>章 项目概况</w:t>
      </w:r>
      <w:bookmarkEnd w:id="0"/>
    </w:p>
    <w:p w:rsidR="001A010A" w:rsidRDefault="001A010A" w:rsidP="00D6683E">
      <w:pPr>
        <w:pStyle w:val="2"/>
        <w:spacing w:before="0" w:beforeAutospacing="0" w:after="0" w:afterAutospacing="0" w:line="540" w:lineRule="atLeast"/>
        <w:jc w:val="left"/>
        <w:rPr>
          <w:bCs/>
        </w:rPr>
      </w:pPr>
      <w:bookmarkStart w:id="2" w:name="_Toc488699310"/>
    </w:p>
    <w:p w:rsidR="00A92306" w:rsidRPr="00451018" w:rsidRDefault="00A92306" w:rsidP="00D6683E">
      <w:pPr>
        <w:pStyle w:val="2"/>
        <w:snapToGrid w:val="0"/>
        <w:spacing w:before="0" w:beforeAutospacing="0" w:after="0" w:afterAutospacing="0" w:line="540" w:lineRule="atLeast"/>
        <w:jc w:val="both"/>
        <w:rPr>
          <w:rFonts w:ascii="黑体" w:eastAsia="黑体"/>
          <w:b w:val="0"/>
          <w:bCs/>
          <w:sz w:val="32"/>
          <w:szCs w:val="30"/>
        </w:rPr>
      </w:pPr>
      <w:bookmarkStart w:id="3" w:name="_Toc489013221"/>
      <w:r w:rsidRPr="00451018">
        <w:rPr>
          <w:rFonts w:ascii="黑体" w:eastAsia="黑体" w:hint="eastAsia"/>
          <w:b w:val="0"/>
          <w:bCs/>
          <w:sz w:val="32"/>
          <w:szCs w:val="30"/>
        </w:rPr>
        <w:t>1.1项目基本信息</w:t>
      </w:r>
      <w:bookmarkEnd w:id="2"/>
      <w:bookmarkEnd w:id="3"/>
    </w:p>
    <w:p w:rsidR="00A92306" w:rsidRDefault="00A92306" w:rsidP="00884E3E">
      <w:pPr>
        <w:spacing w:beforeLines="25" w:beforeAutospacing="0" w:afterLines="25" w:afterAutospacing="0" w:line="540" w:lineRule="atLeast"/>
        <w:ind w:firstLineChars="200" w:firstLine="562"/>
        <w:jc w:val="left"/>
        <w:rPr>
          <w:rFonts w:ascii="仿宋_GB2312" w:eastAsia="仿宋_GB2312" w:hAnsi="华文楷体"/>
          <w:b/>
          <w:color w:val="000000"/>
          <w:sz w:val="28"/>
          <w:szCs w:val="28"/>
        </w:rPr>
      </w:pPr>
      <w:r>
        <w:rPr>
          <w:rFonts w:ascii="仿宋_GB2312" w:eastAsia="仿宋_GB2312" w:hAnsi="华文楷体" w:hint="eastAsia"/>
          <w:b/>
          <w:color w:val="000000"/>
          <w:sz w:val="28"/>
          <w:szCs w:val="28"/>
        </w:rPr>
        <w:t>1、项目名称</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岳阳城陵矶综合保税区进口汽车综合服务中心建设项目</w:t>
      </w:r>
    </w:p>
    <w:p w:rsidR="00A92306" w:rsidRDefault="00A92306" w:rsidP="00884E3E">
      <w:pPr>
        <w:spacing w:beforeLines="25" w:beforeAutospacing="0" w:afterLines="25" w:afterAutospacing="0" w:line="540" w:lineRule="atLeast"/>
        <w:ind w:firstLineChars="200" w:firstLine="562"/>
        <w:jc w:val="left"/>
        <w:rPr>
          <w:rFonts w:ascii="仿宋_GB2312" w:eastAsia="仿宋_GB2312" w:hAnsi="华文楷体"/>
          <w:b/>
          <w:color w:val="000000"/>
          <w:sz w:val="28"/>
          <w:szCs w:val="28"/>
        </w:rPr>
      </w:pPr>
      <w:r>
        <w:rPr>
          <w:rFonts w:ascii="仿宋_GB2312" w:eastAsia="仿宋_GB2312" w:hAnsi="华文楷体" w:hint="eastAsia"/>
          <w:b/>
          <w:color w:val="000000"/>
          <w:sz w:val="28"/>
          <w:szCs w:val="28"/>
        </w:rPr>
        <w:t>2、建设性质</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新建</w:t>
      </w:r>
    </w:p>
    <w:p w:rsidR="00A92306" w:rsidRDefault="00A92306" w:rsidP="00884E3E">
      <w:pPr>
        <w:spacing w:beforeLines="25" w:beforeAutospacing="0" w:afterLines="25" w:afterAutospacing="0" w:line="540" w:lineRule="atLeast"/>
        <w:ind w:firstLineChars="200" w:firstLine="562"/>
        <w:jc w:val="left"/>
        <w:rPr>
          <w:rFonts w:ascii="仿宋_GB2312" w:eastAsia="仿宋_GB2312" w:hAnsi="华文楷体"/>
          <w:b/>
          <w:color w:val="000000"/>
          <w:sz w:val="28"/>
          <w:szCs w:val="28"/>
        </w:rPr>
      </w:pPr>
      <w:r>
        <w:rPr>
          <w:rFonts w:ascii="仿宋_GB2312" w:eastAsia="仿宋_GB2312" w:hAnsi="华文楷体" w:hint="eastAsia"/>
          <w:b/>
          <w:color w:val="000000"/>
          <w:sz w:val="28"/>
          <w:szCs w:val="28"/>
        </w:rPr>
        <w:t>3、项目业主</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湖南城陵矶新港区管委会</w:t>
      </w:r>
    </w:p>
    <w:p w:rsidR="00A92306" w:rsidRPr="00451018" w:rsidRDefault="00A92306" w:rsidP="00D6683E">
      <w:pPr>
        <w:pStyle w:val="2"/>
        <w:snapToGrid w:val="0"/>
        <w:spacing w:before="0" w:beforeAutospacing="0" w:after="0" w:afterAutospacing="0" w:line="540" w:lineRule="atLeast"/>
        <w:jc w:val="both"/>
        <w:rPr>
          <w:rFonts w:ascii="黑体" w:eastAsia="黑体"/>
          <w:b w:val="0"/>
          <w:bCs/>
          <w:sz w:val="32"/>
          <w:szCs w:val="30"/>
        </w:rPr>
      </w:pPr>
      <w:bookmarkStart w:id="4" w:name="_Toc489013222"/>
      <w:r w:rsidRPr="00451018">
        <w:rPr>
          <w:rFonts w:ascii="黑体" w:eastAsia="黑体" w:hint="eastAsia"/>
          <w:b w:val="0"/>
          <w:bCs/>
          <w:sz w:val="32"/>
          <w:szCs w:val="30"/>
        </w:rPr>
        <w:t>1.2项目投资概况</w:t>
      </w:r>
      <w:bookmarkEnd w:id="4"/>
    </w:p>
    <w:p w:rsidR="00A92306" w:rsidRDefault="00A92306" w:rsidP="00884E3E">
      <w:pPr>
        <w:spacing w:beforeLines="25" w:beforeAutospacing="0" w:afterLines="25" w:afterAutospacing="0" w:line="540" w:lineRule="atLeast"/>
        <w:ind w:firstLineChars="200" w:firstLine="562"/>
        <w:jc w:val="left"/>
        <w:rPr>
          <w:rFonts w:ascii="仿宋_GB2312" w:eastAsia="仿宋_GB2312" w:hAnsi="华文楷体"/>
          <w:b/>
          <w:color w:val="000000"/>
          <w:sz w:val="28"/>
          <w:szCs w:val="28"/>
        </w:rPr>
      </w:pPr>
      <w:r>
        <w:rPr>
          <w:rFonts w:ascii="仿宋_GB2312" w:eastAsia="仿宋_GB2312" w:hAnsi="华文楷体" w:hint="eastAsia"/>
          <w:b/>
          <w:color w:val="000000"/>
          <w:sz w:val="28"/>
          <w:szCs w:val="28"/>
        </w:rPr>
        <w:t>1、建设规模及内容</w:t>
      </w:r>
    </w:p>
    <w:p w:rsidR="0041263D" w:rsidRPr="00212DC7" w:rsidRDefault="0041263D"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占地面积50亩，建筑面积13000平方米。</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——新建进口汽车展示交易中心。建筑面积5 000平方米。</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——新建进口汽车维修中心。建筑面积4 000平方米。</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——新建进口汽车零配件交易中心。建筑面积2 000平方米。</w:t>
      </w:r>
    </w:p>
    <w:p w:rsidR="000A368E" w:rsidRPr="00212DC7" w:rsidRDefault="000A368E"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——新建进口汽车、零配件仓库。建筑面积2 000平方米。</w:t>
      </w:r>
    </w:p>
    <w:p w:rsidR="00A92306" w:rsidRDefault="00A92306" w:rsidP="00884E3E">
      <w:pPr>
        <w:spacing w:beforeLines="25" w:beforeAutospacing="0" w:afterLines="25" w:afterAutospacing="0" w:line="540" w:lineRule="atLeast"/>
        <w:ind w:firstLineChars="200" w:firstLine="562"/>
        <w:jc w:val="left"/>
        <w:rPr>
          <w:rFonts w:ascii="仿宋_GB2312" w:eastAsia="仿宋_GB2312" w:hAnsi="华文楷体"/>
          <w:b/>
          <w:color w:val="000000"/>
          <w:sz w:val="28"/>
          <w:szCs w:val="28"/>
        </w:rPr>
      </w:pPr>
      <w:r>
        <w:rPr>
          <w:rFonts w:ascii="仿宋_GB2312" w:eastAsia="仿宋_GB2312" w:hAnsi="华文楷体" w:hint="eastAsia"/>
          <w:b/>
          <w:color w:val="000000"/>
          <w:sz w:val="28"/>
          <w:szCs w:val="28"/>
        </w:rPr>
        <w:t>2、投资估算</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工程建设期为1年，投资总概算为</w:t>
      </w:r>
      <w:r w:rsidR="000A368E" w:rsidRPr="00212DC7">
        <w:rPr>
          <w:rFonts w:ascii="仿宋" w:eastAsia="仿宋" w:hAnsi="仿宋" w:hint="eastAsia"/>
          <w:color w:val="000000"/>
          <w:sz w:val="28"/>
          <w:szCs w:val="28"/>
        </w:rPr>
        <w:t>2</w:t>
      </w:r>
      <w:r w:rsidR="00A36B87" w:rsidRPr="00212DC7">
        <w:rPr>
          <w:rFonts w:ascii="仿宋" w:eastAsia="仿宋" w:hAnsi="仿宋" w:hint="eastAsia"/>
          <w:color w:val="000000"/>
          <w:sz w:val="28"/>
          <w:szCs w:val="28"/>
        </w:rPr>
        <w:t>亿</w:t>
      </w:r>
      <w:r w:rsidRPr="00212DC7">
        <w:rPr>
          <w:rFonts w:ascii="仿宋" w:eastAsia="仿宋" w:hAnsi="仿宋" w:hint="eastAsia"/>
          <w:color w:val="000000"/>
          <w:sz w:val="28"/>
          <w:szCs w:val="28"/>
        </w:rPr>
        <w:t>元。</w:t>
      </w:r>
    </w:p>
    <w:p w:rsidR="00477D8F" w:rsidRPr="00451018" w:rsidRDefault="002C68BC" w:rsidP="00884E3E">
      <w:pPr>
        <w:pStyle w:val="1"/>
        <w:adjustRightInd w:val="0"/>
        <w:snapToGrid w:val="0"/>
        <w:spacing w:beforeLines="100" w:beforeAutospacing="0" w:afterLines="50" w:afterAutospacing="0" w:line="540" w:lineRule="atLeast"/>
        <w:jc w:val="center"/>
        <w:rPr>
          <w:rFonts w:ascii="黑体" w:eastAsia="黑体" w:hAnsi="黑体" w:cs="宋体"/>
          <w:sz w:val="36"/>
          <w:szCs w:val="20"/>
        </w:rPr>
      </w:pPr>
      <w:r>
        <w:rPr>
          <w:rFonts w:ascii="黑体" w:eastAsia="黑体" w:hAnsi="黑体" w:cs="宋体" w:hint="eastAsia"/>
          <w:color w:val="000000"/>
          <w:sz w:val="36"/>
          <w:szCs w:val="20"/>
        </w:rPr>
        <w:br w:type="page"/>
      </w:r>
      <w:bookmarkStart w:id="5" w:name="_Toc489013223"/>
      <w:r w:rsidR="002B5AC0" w:rsidRPr="00451018">
        <w:rPr>
          <w:rFonts w:ascii="黑体" w:eastAsia="黑体" w:hAnsi="黑体" w:cs="宋体" w:hint="eastAsia"/>
          <w:sz w:val="36"/>
          <w:szCs w:val="20"/>
        </w:rPr>
        <w:lastRenderedPageBreak/>
        <w:t>第</w:t>
      </w:r>
      <w:r w:rsidR="00451018">
        <w:rPr>
          <w:rFonts w:ascii="黑体" w:eastAsia="黑体" w:hAnsi="黑体" w:cs="宋体" w:hint="eastAsia"/>
          <w:sz w:val="36"/>
          <w:szCs w:val="20"/>
        </w:rPr>
        <w:t>2</w:t>
      </w:r>
      <w:r w:rsidR="002B5AC0" w:rsidRPr="00451018">
        <w:rPr>
          <w:rFonts w:ascii="黑体" w:eastAsia="黑体" w:hAnsi="黑体" w:cs="宋体" w:hint="eastAsia"/>
          <w:sz w:val="36"/>
          <w:szCs w:val="20"/>
        </w:rPr>
        <w:t>章  项目建设的必要性与可行性</w:t>
      </w:r>
      <w:bookmarkEnd w:id="5"/>
    </w:p>
    <w:p w:rsidR="00A92306" w:rsidRPr="00451018" w:rsidRDefault="00A92306" w:rsidP="00D6683E">
      <w:pPr>
        <w:pStyle w:val="2"/>
        <w:snapToGrid w:val="0"/>
        <w:spacing w:before="0" w:beforeAutospacing="0" w:after="0" w:afterAutospacing="0" w:line="540" w:lineRule="atLeast"/>
        <w:jc w:val="both"/>
        <w:rPr>
          <w:rFonts w:ascii="黑体" w:eastAsia="黑体"/>
          <w:b w:val="0"/>
          <w:bCs/>
          <w:sz w:val="32"/>
          <w:szCs w:val="30"/>
        </w:rPr>
      </w:pPr>
      <w:bookmarkStart w:id="6" w:name="_Toc489013224"/>
      <w:bookmarkStart w:id="7" w:name="_Toc453749445"/>
      <w:bookmarkStart w:id="8" w:name="_Toc479956078"/>
      <w:r w:rsidRPr="00451018">
        <w:rPr>
          <w:rFonts w:ascii="黑体" w:eastAsia="黑体" w:hint="eastAsia"/>
          <w:b w:val="0"/>
          <w:bCs/>
          <w:sz w:val="32"/>
          <w:szCs w:val="30"/>
        </w:rPr>
        <w:t>2.1项目建设的必要性</w:t>
      </w:r>
      <w:bookmarkEnd w:id="6"/>
    </w:p>
    <w:p w:rsidR="00477D8F"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湖南城陵矶新港区于2009年12月成立，规划控制区100平方公里，规划建设区69平方公里，是国家长江经济带“黄金水道”的咽喉和洞庭湖生态经济区的核心区域，也是湖南对外开放、融入长江经济带、对接“一带一路”战略的重要节点，同时也是湖南举全省之力打造的新增长极。</w:t>
      </w:r>
    </w:p>
    <w:p w:rsidR="007C74E6" w:rsidRDefault="007F035E"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7C74E6">
        <w:rPr>
          <w:rFonts w:ascii="仿宋" w:eastAsia="仿宋" w:hAnsi="仿宋" w:hint="eastAsia"/>
          <w:b/>
          <w:color w:val="000000"/>
          <w:sz w:val="28"/>
          <w:szCs w:val="28"/>
        </w:rPr>
        <w:t>实施</w:t>
      </w:r>
      <w:r w:rsidR="007C74E6" w:rsidRPr="007C74E6">
        <w:rPr>
          <w:rFonts w:ascii="仿宋" w:eastAsia="仿宋" w:hAnsi="仿宋" w:hint="eastAsia"/>
          <w:b/>
          <w:color w:val="000000"/>
          <w:sz w:val="28"/>
          <w:szCs w:val="28"/>
        </w:rPr>
        <w:t>湖南开放引领战略的</w:t>
      </w:r>
      <w:r>
        <w:rPr>
          <w:rFonts w:ascii="仿宋" w:eastAsia="仿宋" w:hAnsi="仿宋" w:hint="eastAsia"/>
          <w:b/>
          <w:color w:val="000000"/>
          <w:sz w:val="28"/>
          <w:szCs w:val="28"/>
        </w:rPr>
        <w:t>具体行动</w:t>
      </w:r>
      <w:r w:rsidR="007C74E6" w:rsidRPr="007C74E6">
        <w:rPr>
          <w:rFonts w:ascii="仿宋" w:eastAsia="仿宋" w:hAnsi="仿宋" w:hint="eastAsia"/>
          <w:b/>
          <w:color w:val="000000"/>
          <w:sz w:val="28"/>
          <w:szCs w:val="28"/>
        </w:rPr>
        <w:t>。</w:t>
      </w:r>
      <w:r w:rsidR="007C74E6">
        <w:rPr>
          <w:rFonts w:ascii="仿宋" w:eastAsia="仿宋" w:hAnsi="仿宋" w:hint="eastAsia"/>
          <w:color w:val="000000"/>
          <w:sz w:val="28"/>
          <w:szCs w:val="28"/>
        </w:rPr>
        <w:t>岳阳作为湖南开放引领的重要支撑点，利用其区位优势与沿江优势，大力发展外向型经济是实施湖南省开放引领发展战略的重要抓手。外向型经济包括进口和出口的经济活动。在我国国产汽车品质与生产能力不断提升的背景下，增加合适渠道，通过平行进口方式进口汽车，是对外向型经济活动内容与方式的补充，也有利于对我国国际贸易进行对应管理。</w:t>
      </w:r>
    </w:p>
    <w:p w:rsidR="007C74E6" w:rsidRDefault="007C74E6"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7C74E6">
        <w:rPr>
          <w:rFonts w:ascii="仿宋" w:eastAsia="仿宋" w:hAnsi="仿宋" w:hint="eastAsia"/>
          <w:b/>
          <w:color w:val="000000"/>
          <w:sz w:val="28"/>
          <w:szCs w:val="28"/>
        </w:rPr>
        <w:t>有利于强化城陵矶区域性航运物流中心的地位。</w:t>
      </w:r>
      <w:r>
        <w:rPr>
          <w:rFonts w:ascii="仿宋" w:eastAsia="仿宋" w:hAnsi="仿宋" w:hint="eastAsia"/>
          <w:color w:val="000000"/>
          <w:sz w:val="28"/>
          <w:szCs w:val="28"/>
        </w:rPr>
        <w:t>通过平等进口方式进口汽车，能增加城陵矶作为区域性航运物流中心的业务量和在中西部物流中心、特别是航运物流中心的地位。</w:t>
      </w:r>
    </w:p>
    <w:p w:rsidR="007C74E6" w:rsidRPr="00212DC7" w:rsidRDefault="007F035E"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Pr>
          <w:rFonts w:ascii="仿宋" w:eastAsia="仿宋" w:hAnsi="仿宋" w:hint="eastAsia"/>
          <w:b/>
          <w:color w:val="000000"/>
          <w:sz w:val="28"/>
          <w:szCs w:val="28"/>
        </w:rPr>
        <w:t>满足</w:t>
      </w:r>
      <w:r w:rsidR="0092147D">
        <w:rPr>
          <w:rFonts w:ascii="仿宋" w:eastAsia="仿宋" w:hAnsi="仿宋" w:hint="eastAsia"/>
          <w:b/>
          <w:color w:val="000000"/>
          <w:sz w:val="28"/>
          <w:szCs w:val="28"/>
        </w:rPr>
        <w:t>进口汽车消费</w:t>
      </w:r>
      <w:r w:rsidR="007C74E6" w:rsidRPr="007C74E6">
        <w:rPr>
          <w:rFonts w:ascii="仿宋" w:eastAsia="仿宋" w:hAnsi="仿宋" w:hint="eastAsia"/>
          <w:b/>
          <w:color w:val="000000"/>
          <w:sz w:val="28"/>
          <w:szCs w:val="28"/>
        </w:rPr>
        <w:t>稳步增长</w:t>
      </w:r>
      <w:r>
        <w:rPr>
          <w:rFonts w:ascii="仿宋" w:eastAsia="仿宋" w:hAnsi="仿宋" w:hint="eastAsia"/>
          <w:b/>
          <w:color w:val="000000"/>
          <w:sz w:val="28"/>
          <w:szCs w:val="28"/>
        </w:rPr>
        <w:t>的</w:t>
      </w:r>
      <w:r w:rsidRPr="007C74E6">
        <w:rPr>
          <w:rFonts w:ascii="仿宋" w:eastAsia="仿宋" w:hAnsi="仿宋" w:hint="eastAsia"/>
          <w:b/>
          <w:color w:val="000000"/>
          <w:sz w:val="28"/>
          <w:szCs w:val="28"/>
        </w:rPr>
        <w:t>需求</w:t>
      </w:r>
      <w:r w:rsidR="007C74E6" w:rsidRPr="007C74E6">
        <w:rPr>
          <w:rFonts w:ascii="仿宋" w:eastAsia="仿宋" w:hAnsi="仿宋" w:hint="eastAsia"/>
          <w:b/>
          <w:color w:val="000000"/>
          <w:sz w:val="28"/>
          <w:szCs w:val="28"/>
        </w:rPr>
        <w:t>。</w:t>
      </w:r>
      <w:r w:rsidR="007C74E6" w:rsidRPr="00212DC7">
        <w:rPr>
          <w:rFonts w:ascii="仿宋" w:eastAsia="仿宋" w:hAnsi="仿宋" w:hint="eastAsia"/>
          <w:color w:val="000000"/>
          <w:sz w:val="28"/>
          <w:szCs w:val="28"/>
        </w:rPr>
        <w:t>随着岳阳及周边社会经济发展，居民对进口汽车需求稳步增长，岳阳城陵矶新港区获批为国家指定整车进口口岸后，进口汽车需求增长被进一步激活。目前，岳阳城陵矶新港区已引入了台湾、上海、天津的十几家进口汽车经销商，2016年已经完成两批车辆进口业务。</w:t>
      </w:r>
    </w:p>
    <w:p w:rsidR="007C74E6" w:rsidRPr="00212DC7" w:rsidRDefault="007C74E6"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为了满足岳阳及周边区域对进口汽车的消费需求，有必要利用岳</w:t>
      </w:r>
      <w:r w:rsidRPr="00212DC7">
        <w:rPr>
          <w:rFonts w:ascii="仿宋" w:eastAsia="仿宋" w:hAnsi="仿宋" w:hint="eastAsia"/>
          <w:color w:val="000000"/>
          <w:sz w:val="28"/>
          <w:szCs w:val="28"/>
        </w:rPr>
        <w:lastRenderedPageBreak/>
        <w:t>阳城陵矶新港区综合保税区和国家指定整车进口口岸的政策与平台优势，建设岳阳城陵矶新港区综合保税区进口汽车综合服务中心，提供进口整车的展示交易、维修和零配件交易中心。</w:t>
      </w:r>
    </w:p>
    <w:p w:rsidR="00A92306" w:rsidRPr="00451018" w:rsidRDefault="00A92306" w:rsidP="00D6683E">
      <w:pPr>
        <w:pStyle w:val="2"/>
        <w:spacing w:before="0" w:beforeAutospacing="0" w:after="0" w:afterAutospacing="0" w:line="540" w:lineRule="atLeast"/>
        <w:jc w:val="left"/>
        <w:rPr>
          <w:rFonts w:ascii="黑体" w:eastAsia="黑体" w:hAnsi="黑体"/>
          <w:b w:val="0"/>
          <w:bCs/>
          <w:sz w:val="32"/>
          <w:szCs w:val="32"/>
        </w:rPr>
      </w:pPr>
      <w:bookmarkStart w:id="9" w:name="_Toc489013225"/>
      <w:r w:rsidRPr="00451018">
        <w:rPr>
          <w:rFonts w:ascii="黑体" w:eastAsia="黑体" w:hAnsi="黑体" w:hint="eastAsia"/>
          <w:b w:val="0"/>
          <w:bCs/>
          <w:sz w:val="32"/>
          <w:szCs w:val="32"/>
        </w:rPr>
        <w:t>2.2项目建设的</w:t>
      </w:r>
      <w:r w:rsidR="00212DC7" w:rsidRPr="00451018">
        <w:rPr>
          <w:rFonts w:ascii="黑体" w:eastAsia="黑体" w:hAnsi="黑体" w:hint="eastAsia"/>
          <w:b w:val="0"/>
          <w:bCs/>
          <w:sz w:val="32"/>
          <w:szCs w:val="32"/>
        </w:rPr>
        <w:t>可行</w:t>
      </w:r>
      <w:r w:rsidRPr="00451018">
        <w:rPr>
          <w:rFonts w:ascii="黑体" w:eastAsia="黑体" w:hAnsi="黑体" w:hint="eastAsia"/>
          <w:b w:val="0"/>
          <w:bCs/>
          <w:sz w:val="32"/>
          <w:szCs w:val="32"/>
        </w:rPr>
        <w:t>性</w:t>
      </w:r>
      <w:bookmarkEnd w:id="9"/>
    </w:p>
    <w:p w:rsidR="0092147D" w:rsidRPr="00212DC7" w:rsidRDefault="0092147D"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92147D">
        <w:rPr>
          <w:rFonts w:ascii="仿宋" w:eastAsia="仿宋" w:hAnsi="仿宋" w:hint="eastAsia"/>
          <w:b/>
          <w:color w:val="000000"/>
          <w:sz w:val="28"/>
          <w:szCs w:val="28"/>
        </w:rPr>
        <w:t>城陵矶新港区具有巨大发展潜力。</w:t>
      </w:r>
      <w:r w:rsidRPr="0092147D">
        <w:rPr>
          <w:rFonts w:ascii="仿宋" w:eastAsia="仿宋" w:hAnsi="仿宋" w:hint="eastAsia"/>
          <w:color w:val="000000"/>
          <w:sz w:val="28"/>
          <w:szCs w:val="28"/>
        </w:rPr>
        <w:t>岳阳</w:t>
      </w:r>
      <w:r>
        <w:rPr>
          <w:rFonts w:ascii="仿宋" w:eastAsia="仿宋" w:hAnsi="仿宋" w:hint="eastAsia"/>
          <w:color w:val="000000"/>
          <w:sz w:val="28"/>
          <w:szCs w:val="28"/>
        </w:rPr>
        <w:t>作为湖南未来重要的增长极，而城陵矶新港区是岳阳未来经济发展的希望所在。湖南省和岳阳市对城陵矶新港区的发展给予了大力度的支持。包括资金和以下政策方面。</w:t>
      </w:r>
      <w:r w:rsidRPr="00212DC7">
        <w:rPr>
          <w:rFonts w:ascii="仿宋" w:eastAsia="仿宋" w:hAnsi="仿宋" w:hint="eastAsia"/>
          <w:color w:val="000000"/>
          <w:sz w:val="28"/>
          <w:szCs w:val="28"/>
        </w:rPr>
        <w:t>《湖南省人民政府办公厅关于支持湖南城陵矶临港产业新区加快发展的意见》（湘政办[2010]45号）、《岳阳市人民政府关于加快湖南城陵矶临港产业新区建设的若干意见》（岳政发[2009]5号）《湖南城陵矶临港产业新区总体规划》、《湖南城陵矶临港新区十三五发展规划》和《湖南城陵矶新港区招商引资优惠政策十条》，岳阳市人民政府印发《关于促进岳阳城陵矶“一区一港四口岸”加快发展奖励办法》（2015年1月）；《（关于促进岳阳城陵矶“一区一港四口岸”加快发展奖励办法）的实施细则》（2016年4月）。</w:t>
      </w:r>
      <w:r w:rsidRPr="00212DC7">
        <w:rPr>
          <w:rFonts w:ascii="仿宋" w:eastAsia="仿宋" w:hAnsi="仿宋"/>
          <w:color w:val="000000"/>
          <w:sz w:val="28"/>
          <w:szCs w:val="28"/>
        </w:rPr>
        <w:t> </w:t>
      </w:r>
    </w:p>
    <w:p w:rsidR="007C74E6" w:rsidRPr="00212DC7" w:rsidRDefault="007C74E6"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7C74E6">
        <w:rPr>
          <w:rFonts w:ascii="仿宋" w:eastAsia="仿宋" w:hAnsi="仿宋" w:hint="eastAsia"/>
          <w:b/>
          <w:color w:val="000000"/>
          <w:sz w:val="28"/>
          <w:szCs w:val="28"/>
        </w:rPr>
        <w:t>项目具有</w:t>
      </w:r>
      <w:r w:rsidR="0092147D">
        <w:rPr>
          <w:rFonts w:ascii="仿宋" w:eastAsia="仿宋" w:hAnsi="仿宋" w:hint="eastAsia"/>
          <w:b/>
          <w:color w:val="000000"/>
          <w:sz w:val="28"/>
          <w:szCs w:val="28"/>
        </w:rPr>
        <w:t>行业</w:t>
      </w:r>
      <w:r w:rsidRPr="007C74E6">
        <w:rPr>
          <w:rFonts w:ascii="仿宋" w:eastAsia="仿宋" w:hAnsi="仿宋" w:hint="eastAsia"/>
          <w:b/>
          <w:color w:val="000000"/>
          <w:sz w:val="28"/>
          <w:szCs w:val="28"/>
        </w:rPr>
        <w:t>政策支持背景。</w:t>
      </w:r>
      <w:r w:rsidRPr="00212DC7">
        <w:rPr>
          <w:rFonts w:ascii="仿宋" w:eastAsia="仿宋" w:hAnsi="仿宋" w:hint="eastAsia"/>
          <w:color w:val="000000"/>
          <w:sz w:val="28"/>
          <w:szCs w:val="28"/>
        </w:rPr>
        <w:t>岳阳城陵矶汽车整车及零配件进口指定口岸，是中部地区首个同类口岸。2014年7月1日经国务院办公厅批准设立，2015年7月通过验收，2015年12月31日首批进口汽车到岸。目前已建成监管堆场9620 平米、监管仓库9420 平米。2014年7月5日，岳阳城陵矶新港区综合保税区经国务院批准建设，2015年12月22日通过验收，2016年封关运行。</w:t>
      </w:r>
    </w:p>
    <w:bookmarkEnd w:id="7"/>
    <w:bookmarkEnd w:id="8"/>
    <w:p w:rsidR="00EF3A73" w:rsidRPr="00212DC7" w:rsidRDefault="00EF3A73"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对本项目产生直接影响的是2017年7月1日起施行的《汽车销售管理办法》。</w:t>
      </w:r>
    </w:p>
    <w:p w:rsidR="00EF3A73" w:rsidRPr="00420DEA" w:rsidRDefault="00EF3A73" w:rsidP="00884E3E">
      <w:pPr>
        <w:adjustRightInd w:val="0"/>
        <w:snapToGrid w:val="0"/>
        <w:spacing w:beforeLines="50" w:beforeAutospacing="0" w:afterLines="25" w:afterAutospacing="0" w:line="540" w:lineRule="atLeast"/>
        <w:ind w:firstLineChars="200" w:firstLine="480"/>
        <w:jc w:val="center"/>
        <w:rPr>
          <w:rFonts w:ascii="黑体" w:eastAsia="黑体" w:hAnsi="黑体"/>
          <w:sz w:val="24"/>
          <w:szCs w:val="24"/>
        </w:rPr>
      </w:pPr>
      <w:r w:rsidRPr="00420DEA">
        <w:rPr>
          <w:rFonts w:ascii="黑体" w:eastAsia="黑体" w:hAnsi="黑体" w:cs="黑体" w:hint="eastAsia"/>
          <w:kern w:val="0"/>
          <w:sz w:val="24"/>
          <w:szCs w:val="24"/>
        </w:rPr>
        <w:lastRenderedPageBreak/>
        <w:t>表</w:t>
      </w:r>
      <w:r w:rsidRPr="00420DEA">
        <w:rPr>
          <w:rFonts w:ascii="黑体" w:eastAsia="黑体" w:hAnsi="黑体" w:cs="Arial" w:hint="eastAsia"/>
          <w:kern w:val="0"/>
          <w:sz w:val="24"/>
          <w:szCs w:val="24"/>
        </w:rPr>
        <w:t>1</w:t>
      </w:r>
      <w:r w:rsidRPr="00420DEA">
        <w:rPr>
          <w:rFonts w:ascii="黑体" w:eastAsia="黑体" w:hAnsi="黑体" w:cs="黑体" w:hint="eastAsia"/>
          <w:kern w:val="0"/>
          <w:sz w:val="24"/>
          <w:szCs w:val="24"/>
        </w:rPr>
        <w:t>：新《汽车销售管理办法》出台将对经销商产生重大影响</w:t>
      </w:r>
    </w:p>
    <w:p w:rsidR="00EF3A73" w:rsidRDefault="00EF3A73" w:rsidP="00D6683E">
      <w:pPr>
        <w:widowControl/>
        <w:spacing w:before="0" w:beforeAutospacing="0" w:after="0" w:afterAutospacing="0" w:line="540" w:lineRule="atLeast"/>
        <w:jc w:val="center"/>
        <w:rPr>
          <w:rFonts w:ascii="宋体" w:hAnsi="宋体" w:cs="宋体"/>
          <w:kern w:val="0"/>
          <w:sz w:val="24"/>
          <w:szCs w:val="24"/>
        </w:rPr>
      </w:pPr>
      <w:r>
        <w:rPr>
          <w:rFonts w:ascii="宋体" w:hAnsi="宋体" w:cs="宋体"/>
          <w:noProof/>
          <w:kern w:val="0"/>
          <w:sz w:val="24"/>
          <w:szCs w:val="24"/>
        </w:rPr>
        <w:drawing>
          <wp:inline distT="0" distB="0" distL="0" distR="0">
            <wp:extent cx="5999578" cy="2667000"/>
            <wp:effectExtent l="19050" t="0" r="1172" b="0"/>
            <wp:docPr id="1" name="图片 1" descr="C:\Users\huli\AppData\Roaming\Tencent\Users\396665123\QQ\WinTemp\RichOle\A87)D(_SY(VI)J)H6CU){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li\AppData\Roaming\Tencent\Users\396665123\QQ\WinTemp\RichOle\A87)D(_SY(VI)J)H6CU){11.png"/>
                    <pic:cNvPicPr>
                      <a:picLocks noChangeAspect="1" noChangeArrowheads="1"/>
                    </pic:cNvPicPr>
                  </pic:nvPicPr>
                  <pic:blipFill>
                    <a:blip r:embed="rId12" cstate="print"/>
                    <a:srcRect/>
                    <a:stretch>
                      <a:fillRect/>
                    </a:stretch>
                  </pic:blipFill>
                  <pic:spPr bwMode="auto">
                    <a:xfrm>
                      <a:off x="0" y="0"/>
                      <a:ext cx="6000669" cy="2667485"/>
                    </a:xfrm>
                    <a:prstGeom prst="rect">
                      <a:avLst/>
                    </a:prstGeom>
                    <a:noFill/>
                    <a:ln w="9525">
                      <a:noFill/>
                      <a:miter lim="800000"/>
                      <a:headEnd/>
                      <a:tailEnd/>
                    </a:ln>
                  </pic:spPr>
                </pic:pic>
              </a:graphicData>
            </a:graphic>
          </wp:inline>
        </w:drawing>
      </w:r>
    </w:p>
    <w:p w:rsidR="00EF3A73" w:rsidRDefault="00EF3A73"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新政策的出台加快促进厂商关系由“博弈”变“夫妻”，经销商议价能力整体将提升。</w:t>
      </w:r>
    </w:p>
    <w:p w:rsidR="0092147D" w:rsidRPr="00212DC7" w:rsidRDefault="0092147D"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p>
    <w:p w:rsidR="00850C6A" w:rsidRDefault="00850C6A" w:rsidP="00D6683E">
      <w:pPr>
        <w:widowControl/>
        <w:spacing w:before="0" w:beforeAutospacing="0" w:after="0" w:afterAutospacing="0" w:line="540" w:lineRule="atLeast"/>
        <w:jc w:val="left"/>
        <w:rPr>
          <w:b/>
          <w:bCs/>
          <w:kern w:val="44"/>
          <w:sz w:val="44"/>
          <w:szCs w:val="44"/>
        </w:rPr>
      </w:pPr>
      <w:r>
        <w:br w:type="page"/>
      </w:r>
    </w:p>
    <w:p w:rsidR="00477D8F"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rPr>
      </w:pPr>
      <w:bookmarkStart w:id="10" w:name="_Toc489013226"/>
      <w:r>
        <w:rPr>
          <w:rFonts w:ascii="黑体" w:eastAsia="黑体" w:hAnsi="黑体" w:hint="eastAsia"/>
        </w:rPr>
        <w:lastRenderedPageBreak/>
        <w:t>第3</w:t>
      </w:r>
      <w:r w:rsidR="002B5AC0" w:rsidRPr="00451018">
        <w:rPr>
          <w:rFonts w:ascii="黑体" w:eastAsia="黑体" w:hAnsi="黑体" w:hint="eastAsia"/>
        </w:rPr>
        <w:t>章 市场分析</w:t>
      </w:r>
      <w:bookmarkEnd w:id="10"/>
    </w:p>
    <w:p w:rsidR="00477D8F" w:rsidRPr="00451018" w:rsidRDefault="002C68BC" w:rsidP="00884E3E">
      <w:pPr>
        <w:pStyle w:val="2"/>
        <w:adjustRightInd w:val="0"/>
        <w:snapToGrid w:val="0"/>
        <w:spacing w:beforeLines="150" w:beforeAutospacing="0" w:afterLines="150" w:afterAutospacing="0" w:line="540" w:lineRule="atLeast"/>
        <w:jc w:val="left"/>
        <w:rPr>
          <w:rFonts w:ascii="黑体" w:eastAsia="黑体" w:hAnsi="黑体"/>
          <w:b w:val="0"/>
          <w:sz w:val="32"/>
          <w:szCs w:val="32"/>
        </w:rPr>
      </w:pPr>
      <w:bookmarkStart w:id="11" w:name="_Toc489013227"/>
      <w:r w:rsidRPr="00451018">
        <w:rPr>
          <w:rFonts w:ascii="黑体" w:eastAsia="黑体" w:hAnsi="黑体" w:hint="eastAsia"/>
          <w:b w:val="0"/>
          <w:sz w:val="32"/>
          <w:szCs w:val="32"/>
        </w:rPr>
        <w:t>3.1 市场定性分析</w:t>
      </w:r>
      <w:bookmarkEnd w:id="11"/>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2017年7月1日起施行的《汽车销售管理办法》，打破了汽车品牌销售单一授权体制，取消了总经销商和品牌经销商备案管理制度，实行授权和非授权两种模式并行。这为国家指定汽车进口口岸进行平行进口车进口提前政策保障。</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平行进口车抛开了传统的全国总代理、省级、市级代理及4S店的运营成本及加价，大大降低了进口车的价格，并且新车质保与4S店不再挂钩，大大降低了进口车的日常保养费用。在消费者越来越接受平行进口车的情况下，平行进口汽车市场的规模将快速增长。</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汽车作为耐用消费品，进口汽车售后服务市场的规模会随着进口汽车保有量的增长而更快速增长。而新的《汽车销售管理办法》打破了汽车维修的品牌授权垄断状态，为岳阳城陵矶综合保税区进口汽车综合服务中心对进口汽车日常维修保养价格优势的发挥提供机遇，不仅仅针对平行进口汽车，而是针对所有品牌、所有渠道的进口汽车都可以提供维修保养。</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岳阳及其周边地区在全国的经济发展处于中游水平，随着其社会经济的不断发展，消费者对（特别是具有价格优势且有售后保障的平行）进口汽车的需求将激发起来。</w:t>
      </w:r>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总体而言，无论是国家对汽车销售管理办法的变革，还是汽车消费后市场的规律，或者是岳阳及周边对平行进口汽车的未来消费潜力，</w:t>
      </w:r>
      <w:r w:rsidRPr="00212DC7">
        <w:rPr>
          <w:rFonts w:ascii="仿宋" w:eastAsia="仿宋" w:hAnsi="仿宋" w:hint="eastAsia"/>
          <w:color w:val="000000"/>
          <w:sz w:val="28"/>
          <w:szCs w:val="28"/>
        </w:rPr>
        <w:lastRenderedPageBreak/>
        <w:t>都表明：岳阳城陵矶综合保税区进口汽车综合服务中心未来的业务发展具有很大的增长潜力和进入机遇。</w:t>
      </w:r>
    </w:p>
    <w:p w:rsidR="00477D8F" w:rsidRPr="00451018" w:rsidRDefault="002C68BC" w:rsidP="00884E3E">
      <w:pPr>
        <w:pStyle w:val="2"/>
        <w:adjustRightInd w:val="0"/>
        <w:snapToGrid w:val="0"/>
        <w:spacing w:beforeLines="150" w:beforeAutospacing="0" w:afterLines="50" w:afterAutospacing="0" w:line="540" w:lineRule="atLeast"/>
        <w:jc w:val="left"/>
        <w:rPr>
          <w:rFonts w:ascii="黑体" w:eastAsia="黑体" w:hAnsi="黑体"/>
          <w:b w:val="0"/>
          <w:sz w:val="32"/>
          <w:szCs w:val="32"/>
        </w:rPr>
      </w:pPr>
      <w:bookmarkStart w:id="12" w:name="_Toc489013228"/>
      <w:r w:rsidRPr="00451018">
        <w:rPr>
          <w:rFonts w:ascii="黑体" w:eastAsia="黑体" w:hAnsi="黑体" w:hint="eastAsia"/>
          <w:b w:val="0"/>
          <w:sz w:val="32"/>
          <w:szCs w:val="32"/>
        </w:rPr>
        <w:t>3.2市场定量预测</w:t>
      </w:r>
      <w:bookmarkEnd w:id="12"/>
    </w:p>
    <w:p w:rsidR="00477D8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岳阳城陵矶新港区综合保税区国家指定整车进口口岸在相关配套要素没有完全到位的情况下，2016年进口整车289台，主要受制于国六的检测线的缺乏、信用证开立、上海海关的对接不完备。目前，进口汽车融资、信用证开立问题已经解决，国六的检测线2017年9月底可以建成，五条检测线，包括两条社会车辆的检测线，三条进口车辆检测线，上海海关的对接已经解决。岳阳城陵矶新港区综合保税区整车及零配件进口的制约因素已经基本解决。2017年进口整车2000台的目标能够完成。</w:t>
      </w:r>
    </w:p>
    <w:p w:rsidR="00477D8F" w:rsidRPr="00212DC7" w:rsidRDefault="002C68BC"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212DC7">
        <w:rPr>
          <w:rFonts w:ascii="仿宋" w:eastAsia="仿宋" w:hAnsi="仿宋" w:hint="eastAsia"/>
          <w:b/>
          <w:color w:val="000000"/>
          <w:sz w:val="28"/>
          <w:szCs w:val="28"/>
        </w:rPr>
        <w:t>进口整车销售量预估：</w:t>
      </w:r>
      <w:r w:rsidRPr="00212DC7">
        <w:rPr>
          <w:rFonts w:ascii="仿宋" w:eastAsia="仿宋" w:hAnsi="仿宋" w:hint="eastAsia"/>
          <w:color w:val="000000"/>
          <w:sz w:val="28"/>
          <w:szCs w:val="28"/>
        </w:rPr>
        <w:t>基于市场的定性分析、岳阳及周边的社会经济发展情况，预计岳阳城陵矶新港区综合保税区2018-2023年整车进口量以2017年的2000台为基数，年均增长速度为30%左右，初步预估分别为：2600、3500、4500、5800、7500台。（天津自由贸易区2015年获得平行车进口资格，2016年平行进口整车量达到了65000台，占全国比重为55%）。</w:t>
      </w:r>
    </w:p>
    <w:p w:rsidR="00477D8F" w:rsidRPr="00212DC7" w:rsidRDefault="002C68BC"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212DC7">
        <w:rPr>
          <w:rFonts w:ascii="仿宋" w:eastAsia="仿宋" w:hAnsi="仿宋" w:hint="eastAsia"/>
          <w:b/>
          <w:color w:val="000000"/>
          <w:sz w:val="28"/>
          <w:szCs w:val="28"/>
        </w:rPr>
        <w:t>进口汽车维修保养市场预估：</w:t>
      </w:r>
      <w:r w:rsidRPr="00212DC7">
        <w:rPr>
          <w:rFonts w:ascii="仿宋" w:eastAsia="仿宋" w:hAnsi="仿宋" w:hint="eastAsia"/>
          <w:color w:val="000000"/>
          <w:sz w:val="28"/>
          <w:szCs w:val="28"/>
        </w:rPr>
        <w:t>考虑到新的《汽车销售管理办法》今年7月才正式实施以及以前授权经销模式下，汽车厂商在一定期限内的售后保障措施时限。岳阳城陵矶综合保税区进口汽车综合服务中心初期的进口汽车维修保养量比较小，但随着进口汽车累积量的增长和原有授权销售的进口汽车保质到期，岳阳城陵矶综合保税区进口汽车综合服务中心在提高维修保养品质保障的前提下，通过发挥价格优</w:t>
      </w:r>
      <w:r w:rsidRPr="00212DC7">
        <w:rPr>
          <w:rFonts w:ascii="仿宋" w:eastAsia="仿宋" w:hAnsi="仿宋" w:hint="eastAsia"/>
          <w:color w:val="000000"/>
          <w:sz w:val="28"/>
          <w:szCs w:val="28"/>
        </w:rPr>
        <w:lastRenderedPageBreak/>
        <w:t>势，能吸引部分非平行进口汽车进入中心进行维修保养。预计岳阳城陵矶综合保税区进口汽车综合服务中心2018-2023年进口汽车维修保养台数以2017年的2000台的一半为基数，年均增长速度为50%以上，初步预估分别为：1500、2300、3500、5500、9000台。</w:t>
      </w:r>
      <w:r w:rsidR="00C305F2">
        <w:rPr>
          <w:rFonts w:ascii="仿宋" w:eastAsia="仿宋" w:hAnsi="仿宋" w:hint="eastAsia"/>
          <w:color w:val="000000"/>
          <w:sz w:val="28"/>
          <w:szCs w:val="28"/>
        </w:rPr>
        <w:t>如果考虑到维修与养护的专业化优势特点，未来综合服务中心不仅仅可以为进口汽车提供维修与养护，同样也能为国产汽车提供专业化的维修与养护，市场需求更为广阔。所以年均增长速度为50%以上完全有支撑理由。</w:t>
      </w:r>
    </w:p>
    <w:p w:rsidR="00C305F2" w:rsidRDefault="00C305F2" w:rsidP="00D6683E">
      <w:pPr>
        <w:widowControl/>
        <w:spacing w:before="0" w:beforeAutospacing="0" w:after="0" w:afterAutospacing="0" w:line="540" w:lineRule="atLeast"/>
        <w:jc w:val="left"/>
        <w:rPr>
          <w:b/>
          <w:bCs/>
          <w:kern w:val="44"/>
          <w:sz w:val="44"/>
          <w:szCs w:val="44"/>
        </w:rPr>
      </w:pPr>
      <w:r>
        <w:br w:type="page"/>
      </w:r>
    </w:p>
    <w:p w:rsidR="00477D8F"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sz w:val="36"/>
          <w:szCs w:val="36"/>
        </w:rPr>
      </w:pPr>
      <w:bookmarkStart w:id="13" w:name="_Toc489013229"/>
      <w:r>
        <w:rPr>
          <w:rFonts w:ascii="黑体" w:eastAsia="黑体" w:hAnsi="黑体" w:hint="eastAsia"/>
          <w:sz w:val="36"/>
          <w:szCs w:val="36"/>
        </w:rPr>
        <w:lastRenderedPageBreak/>
        <w:t>第4</w:t>
      </w:r>
      <w:r w:rsidR="002B5AC0" w:rsidRPr="00451018">
        <w:rPr>
          <w:rFonts w:ascii="黑体" w:eastAsia="黑体" w:hAnsi="黑体" w:hint="eastAsia"/>
          <w:sz w:val="36"/>
          <w:szCs w:val="36"/>
        </w:rPr>
        <w:t>章 项目建设方案</w:t>
      </w:r>
      <w:bookmarkEnd w:id="13"/>
    </w:p>
    <w:p w:rsidR="00477D8F" w:rsidRPr="00212DC7" w:rsidRDefault="007F035E"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进口汽车综合服务</w:t>
      </w:r>
      <w:r>
        <w:rPr>
          <w:rFonts w:ascii="仿宋" w:eastAsia="仿宋" w:hAnsi="仿宋" w:hint="eastAsia"/>
          <w:color w:val="000000"/>
          <w:sz w:val="28"/>
          <w:szCs w:val="28"/>
        </w:rPr>
        <w:t>包括汽车进口通关及相关手续办理、展示与销售、检测与维护。</w:t>
      </w:r>
      <w:r w:rsidR="002C68BC" w:rsidRPr="00212DC7">
        <w:rPr>
          <w:rFonts w:ascii="仿宋" w:eastAsia="仿宋" w:hAnsi="仿宋" w:hint="eastAsia"/>
          <w:color w:val="000000"/>
          <w:sz w:val="28"/>
          <w:szCs w:val="28"/>
        </w:rPr>
        <w:t>岳阳城陵矶新港区综合保税区进口汽车综合服务中心</w:t>
      </w:r>
      <w:r>
        <w:rPr>
          <w:rFonts w:ascii="仿宋" w:eastAsia="仿宋" w:hAnsi="仿宋" w:hint="eastAsia"/>
          <w:color w:val="000000"/>
          <w:sz w:val="28"/>
          <w:szCs w:val="28"/>
        </w:rPr>
        <w:t>应该覆盖进口汽车全业务链条，实现相关功能与服务。所以，</w:t>
      </w:r>
      <w:r w:rsidRPr="00212DC7">
        <w:rPr>
          <w:rFonts w:ascii="仿宋" w:eastAsia="仿宋" w:hAnsi="仿宋" w:hint="eastAsia"/>
          <w:color w:val="000000"/>
          <w:sz w:val="28"/>
          <w:szCs w:val="28"/>
        </w:rPr>
        <w:t>岳阳城陵矶新港区综合保税区进口汽车综合服务中心</w:t>
      </w:r>
      <w:r>
        <w:rPr>
          <w:rFonts w:ascii="仿宋" w:eastAsia="仿宋" w:hAnsi="仿宋" w:hint="eastAsia"/>
          <w:color w:val="000000"/>
          <w:sz w:val="28"/>
          <w:szCs w:val="28"/>
        </w:rPr>
        <w:t>项目建设应该</w:t>
      </w:r>
      <w:r w:rsidR="002C68BC" w:rsidRPr="00212DC7">
        <w:rPr>
          <w:rFonts w:ascii="仿宋" w:eastAsia="仿宋" w:hAnsi="仿宋" w:hint="eastAsia"/>
          <w:color w:val="000000"/>
          <w:sz w:val="28"/>
          <w:szCs w:val="28"/>
        </w:rPr>
        <w:t>包括：进口汽车展示交易中心、进口汽车</w:t>
      </w:r>
      <w:r w:rsidR="00BF3B7B" w:rsidRPr="00212DC7">
        <w:rPr>
          <w:rFonts w:ascii="仿宋" w:eastAsia="仿宋" w:hAnsi="仿宋" w:hint="eastAsia"/>
          <w:color w:val="000000"/>
          <w:sz w:val="28"/>
          <w:szCs w:val="28"/>
        </w:rPr>
        <w:t>检测与</w:t>
      </w:r>
      <w:r w:rsidR="002C68BC" w:rsidRPr="00212DC7">
        <w:rPr>
          <w:rFonts w:ascii="仿宋" w:eastAsia="仿宋" w:hAnsi="仿宋" w:hint="eastAsia"/>
          <w:color w:val="000000"/>
          <w:sz w:val="28"/>
          <w:szCs w:val="28"/>
        </w:rPr>
        <w:t>维修中心和进口汽车零配件交易中心三大区域。</w:t>
      </w:r>
    </w:p>
    <w:p w:rsidR="00BF3B7B" w:rsidRPr="00BF3B7B" w:rsidRDefault="00BF3B7B"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BF3B7B">
        <w:rPr>
          <w:rFonts w:ascii="仿宋_GB2312" w:eastAsia="仿宋_GB2312" w:hAnsi="华文楷体" w:hint="eastAsia"/>
          <w:b/>
          <w:color w:val="000000"/>
          <w:sz w:val="28"/>
          <w:szCs w:val="28"/>
        </w:rPr>
        <w:t>1、进口汽车展示交易中心</w:t>
      </w:r>
    </w:p>
    <w:p w:rsidR="00BF3B7B"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进口汽车展示交易中心的建筑面积为5000平方米，</w:t>
      </w:r>
      <w:r w:rsidR="00BF3B7B" w:rsidRPr="00212DC7">
        <w:rPr>
          <w:rFonts w:ascii="仿宋" w:eastAsia="仿宋" w:hAnsi="仿宋" w:hint="eastAsia"/>
          <w:color w:val="000000"/>
          <w:sz w:val="28"/>
          <w:szCs w:val="28"/>
        </w:rPr>
        <w:t>包括展示区和办公区，采用钢结构。</w:t>
      </w:r>
    </w:p>
    <w:p w:rsidR="00BF3B7B" w:rsidRPr="00212DC7" w:rsidRDefault="00BF3B7B"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进口汽车展示交易中心主要服务于汽车展示、交易、信息交流、仓储、分拨配送、报关报检服务、汽车金融等功能于一体，为进口汽车搭建展示、交易、分拨配送、信息交流、金融服务等综合性平台。</w:t>
      </w:r>
    </w:p>
    <w:p w:rsidR="00BF3B7B" w:rsidRPr="00BF3B7B" w:rsidRDefault="00BF3B7B"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BF3B7B">
        <w:rPr>
          <w:rFonts w:ascii="仿宋_GB2312" w:eastAsia="仿宋_GB2312" w:hAnsi="华文楷体" w:hint="eastAsia"/>
          <w:b/>
          <w:color w:val="000000"/>
          <w:sz w:val="28"/>
          <w:szCs w:val="28"/>
        </w:rPr>
        <w:t>2、进口汽车检测与维修中心</w:t>
      </w:r>
    </w:p>
    <w:p w:rsidR="00BF3B7B"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进口汽车维修中心的建筑面积为4000平方米，</w:t>
      </w:r>
      <w:r w:rsidR="00BF3B7B" w:rsidRPr="00212DC7">
        <w:rPr>
          <w:rFonts w:ascii="仿宋" w:eastAsia="仿宋" w:hAnsi="仿宋" w:hint="eastAsia"/>
          <w:color w:val="000000"/>
          <w:sz w:val="28"/>
          <w:szCs w:val="28"/>
        </w:rPr>
        <w:t>包括</w:t>
      </w:r>
      <w:r w:rsidR="00C41F6F" w:rsidRPr="00212DC7">
        <w:rPr>
          <w:rFonts w:ascii="仿宋" w:eastAsia="仿宋" w:hAnsi="仿宋" w:hint="eastAsia"/>
          <w:color w:val="000000"/>
          <w:sz w:val="28"/>
          <w:szCs w:val="28"/>
        </w:rPr>
        <w:t>检测</w:t>
      </w:r>
      <w:r w:rsidR="00BF3B7B" w:rsidRPr="00212DC7">
        <w:rPr>
          <w:rFonts w:ascii="仿宋" w:eastAsia="仿宋" w:hAnsi="仿宋" w:hint="eastAsia"/>
          <w:color w:val="000000"/>
          <w:sz w:val="28"/>
          <w:szCs w:val="28"/>
        </w:rPr>
        <w:t>区</w:t>
      </w:r>
      <w:r w:rsidR="00C41F6F" w:rsidRPr="00212DC7">
        <w:rPr>
          <w:rFonts w:ascii="仿宋" w:eastAsia="仿宋" w:hAnsi="仿宋" w:hint="eastAsia"/>
          <w:color w:val="000000"/>
          <w:sz w:val="28"/>
          <w:szCs w:val="28"/>
        </w:rPr>
        <w:t>、维修区</w:t>
      </w:r>
      <w:r w:rsidR="00BF3B7B" w:rsidRPr="00212DC7">
        <w:rPr>
          <w:rFonts w:ascii="仿宋" w:eastAsia="仿宋" w:hAnsi="仿宋" w:hint="eastAsia"/>
          <w:color w:val="000000"/>
          <w:sz w:val="28"/>
          <w:szCs w:val="28"/>
        </w:rPr>
        <w:t>和办公区，采用钢结构。</w:t>
      </w:r>
    </w:p>
    <w:p w:rsidR="00C41F6F" w:rsidRPr="00212DC7" w:rsidRDefault="00BF3B7B"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进口汽车维修中心包括汽车维修检测中心、维修厂房</w:t>
      </w:r>
      <w:r w:rsidR="00C41F6F" w:rsidRPr="00212DC7">
        <w:rPr>
          <w:rFonts w:ascii="仿宋" w:eastAsia="仿宋" w:hAnsi="仿宋" w:hint="eastAsia"/>
          <w:color w:val="000000"/>
          <w:sz w:val="28"/>
          <w:szCs w:val="28"/>
        </w:rPr>
        <w:t>。为进口汽车提供维修检测、维修养护服务。</w:t>
      </w:r>
    </w:p>
    <w:p w:rsidR="00BF3B7B" w:rsidRPr="00BF3B7B" w:rsidRDefault="00BF3B7B"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BF3B7B">
        <w:rPr>
          <w:rFonts w:ascii="仿宋_GB2312" w:eastAsia="仿宋_GB2312" w:hAnsi="华文楷体" w:hint="eastAsia"/>
          <w:b/>
          <w:color w:val="000000"/>
          <w:sz w:val="28"/>
          <w:szCs w:val="28"/>
        </w:rPr>
        <w:t>3、进口汽车零配件交易中心</w:t>
      </w:r>
    </w:p>
    <w:p w:rsidR="00C41F6F" w:rsidRPr="00212DC7"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进口汽车零配件交易中心的建筑面积为2000平方米，</w:t>
      </w:r>
      <w:r w:rsidR="000A368E" w:rsidRPr="00212DC7">
        <w:rPr>
          <w:rFonts w:ascii="仿宋" w:eastAsia="仿宋" w:hAnsi="仿宋" w:hint="eastAsia"/>
          <w:color w:val="000000"/>
          <w:sz w:val="28"/>
          <w:szCs w:val="28"/>
        </w:rPr>
        <w:t>进口汽车、零配件仓库建筑面积2 000平方米。</w:t>
      </w:r>
      <w:r w:rsidR="00C41F6F" w:rsidRPr="00212DC7">
        <w:rPr>
          <w:rFonts w:ascii="仿宋" w:eastAsia="仿宋" w:hAnsi="仿宋" w:hint="eastAsia"/>
          <w:color w:val="000000"/>
          <w:sz w:val="28"/>
          <w:szCs w:val="28"/>
        </w:rPr>
        <w:t>包括展示区、交易区和办公区，采用钢结构。</w:t>
      </w:r>
    </w:p>
    <w:p w:rsidR="00C41F6F" w:rsidRPr="00212DC7" w:rsidRDefault="00C41F6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lastRenderedPageBreak/>
        <w:t>进口汽车零配件交易中心包括保税零配件库、汽车零配件</w:t>
      </w:r>
      <w:r w:rsidRPr="00212DC7">
        <w:rPr>
          <w:rFonts w:ascii="仿宋" w:eastAsia="仿宋" w:hAnsi="仿宋"/>
          <w:color w:val="000000"/>
          <w:sz w:val="28"/>
          <w:szCs w:val="28"/>
        </w:rPr>
        <w:t xml:space="preserve">O2O </w:t>
      </w:r>
      <w:r w:rsidRPr="00212DC7">
        <w:rPr>
          <w:rFonts w:ascii="仿宋" w:eastAsia="仿宋" w:hAnsi="仿宋" w:hint="eastAsia"/>
          <w:color w:val="000000"/>
          <w:sz w:val="28"/>
          <w:szCs w:val="28"/>
        </w:rPr>
        <w:t>交易平台等。</w:t>
      </w:r>
    </w:p>
    <w:p w:rsidR="00C41F6F" w:rsidRPr="00C41F6F" w:rsidRDefault="00C41F6F"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C41F6F">
        <w:rPr>
          <w:rFonts w:ascii="仿宋_GB2312" w:eastAsia="仿宋_GB2312" w:hAnsi="华文楷体" w:hint="eastAsia"/>
          <w:b/>
          <w:color w:val="000000"/>
          <w:sz w:val="28"/>
          <w:szCs w:val="28"/>
        </w:rPr>
        <w:t>4、维修保养工具设备</w:t>
      </w:r>
    </w:p>
    <w:p w:rsidR="00C41F6F" w:rsidRPr="00212DC7" w:rsidRDefault="00C41F6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由于各品牌汽车厂商部分维修保养工具设备的专用性，建议进口汽车维修中心配备7套满足进口汽车维修质量保障要求的维修与保养设备，以服务于不同品牌的进口汽车。</w:t>
      </w:r>
    </w:p>
    <w:p w:rsidR="00C41F6F" w:rsidRPr="00212DC7" w:rsidRDefault="00C41F6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岳阳城陵矶新港区综合保税区进口汽车综合服务中心建筑面积合计</w:t>
      </w:r>
      <w:r w:rsidR="002C68BC" w:rsidRPr="00212DC7">
        <w:rPr>
          <w:rFonts w:ascii="仿宋" w:eastAsia="仿宋" w:hAnsi="仿宋" w:hint="eastAsia"/>
          <w:color w:val="000000"/>
          <w:sz w:val="28"/>
          <w:szCs w:val="28"/>
        </w:rPr>
        <w:t>1</w:t>
      </w:r>
      <w:r w:rsidR="000A368E" w:rsidRPr="00212DC7">
        <w:rPr>
          <w:rFonts w:ascii="仿宋" w:eastAsia="仿宋" w:hAnsi="仿宋" w:hint="eastAsia"/>
          <w:color w:val="000000"/>
          <w:sz w:val="28"/>
          <w:szCs w:val="28"/>
        </w:rPr>
        <w:t>3</w:t>
      </w:r>
      <w:r w:rsidR="002C68BC" w:rsidRPr="00212DC7">
        <w:rPr>
          <w:rFonts w:ascii="仿宋" w:eastAsia="仿宋" w:hAnsi="仿宋" w:hint="eastAsia"/>
          <w:color w:val="000000"/>
          <w:sz w:val="28"/>
          <w:szCs w:val="28"/>
        </w:rPr>
        <w:t>000平方米。基本能满足岳阳城陵矶新港区综合保税区未来一定时期内进口汽车服务的需求。</w:t>
      </w:r>
    </w:p>
    <w:p w:rsidR="00477D8F" w:rsidRPr="00212DC7" w:rsidRDefault="00C41F6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本方案参考了上海自贸区平行进口汽车展销中心和天津自贸区进口汽车交易中心的情况，并结合了岳阳的实际。</w:t>
      </w:r>
      <w:r w:rsidR="002C68BC" w:rsidRPr="00212DC7">
        <w:rPr>
          <w:rFonts w:ascii="仿宋" w:eastAsia="仿宋" w:hAnsi="仿宋" w:hint="eastAsia"/>
          <w:color w:val="000000"/>
          <w:sz w:val="28"/>
          <w:szCs w:val="28"/>
        </w:rPr>
        <w:t>（上海自贸区平行进口汽车展销中心展示厅面积6 000平方米，能容纳50台进口汽车展示，维修中心面积5 000平方米。天津自贸区进口汽车交易中心综合建筑面积为20000平方米）。</w:t>
      </w:r>
    </w:p>
    <w:p w:rsidR="00C41F6F" w:rsidRDefault="00C41F6F" w:rsidP="00D6683E">
      <w:pPr>
        <w:widowControl/>
        <w:spacing w:before="0" w:beforeAutospacing="0" w:after="0" w:afterAutospacing="0" w:line="540" w:lineRule="atLeast"/>
        <w:jc w:val="left"/>
        <w:rPr>
          <w:b/>
          <w:bCs/>
          <w:kern w:val="44"/>
          <w:sz w:val="44"/>
          <w:szCs w:val="44"/>
        </w:rPr>
      </w:pPr>
      <w:bookmarkStart w:id="14" w:name="_Toc479956089"/>
      <w:r>
        <w:br w:type="page"/>
      </w:r>
    </w:p>
    <w:p w:rsidR="00C23EB2"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sz w:val="36"/>
          <w:szCs w:val="36"/>
        </w:rPr>
      </w:pPr>
      <w:bookmarkStart w:id="15" w:name="_Toc489013230"/>
      <w:r>
        <w:rPr>
          <w:rFonts w:ascii="黑体" w:eastAsia="黑体" w:hAnsi="黑体" w:hint="eastAsia"/>
          <w:sz w:val="36"/>
          <w:szCs w:val="36"/>
        </w:rPr>
        <w:lastRenderedPageBreak/>
        <w:t>第5</w:t>
      </w:r>
      <w:r w:rsidR="002B5AC0" w:rsidRPr="00451018">
        <w:rPr>
          <w:rFonts w:ascii="黑体" w:eastAsia="黑体" w:hAnsi="黑体" w:hint="eastAsia"/>
          <w:sz w:val="36"/>
          <w:szCs w:val="36"/>
        </w:rPr>
        <w:t>章 投资概算</w:t>
      </w:r>
      <w:bookmarkEnd w:id="15"/>
    </w:p>
    <w:p w:rsidR="00C23EB2" w:rsidRPr="00212DC7" w:rsidRDefault="00C23EB2"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进口汽车展示交易中心、维修中心和零配件交易中心投资概算以采用钢结构为依据，建安成本为2000元/平方米。进口汽车维修设备全套估价为200万元/套，每个品牌配备一套，建议配备7套。</w:t>
      </w:r>
    </w:p>
    <w:p w:rsidR="00C23EB2" w:rsidRPr="00451018" w:rsidRDefault="00C23EB2" w:rsidP="00884E3E">
      <w:pPr>
        <w:adjustRightInd w:val="0"/>
        <w:snapToGrid w:val="0"/>
        <w:spacing w:beforeLines="100" w:beforeAutospacing="0" w:afterLines="50" w:afterAutospacing="0" w:line="540" w:lineRule="atLeast"/>
        <w:jc w:val="center"/>
        <w:rPr>
          <w:rFonts w:ascii="黑体" w:eastAsia="黑体"/>
          <w:color w:val="000000"/>
          <w:sz w:val="24"/>
          <w:szCs w:val="24"/>
        </w:rPr>
      </w:pPr>
      <w:r w:rsidRPr="00451018">
        <w:rPr>
          <w:rFonts w:ascii="黑体" w:eastAsia="黑体" w:hint="eastAsia"/>
          <w:color w:val="000000"/>
          <w:sz w:val="24"/>
          <w:szCs w:val="24"/>
        </w:rPr>
        <w:t>表2：投资概算表</w:t>
      </w:r>
    </w:p>
    <w:tbl>
      <w:tblPr>
        <w:tblStyle w:val="a9"/>
        <w:tblW w:w="8676" w:type="dxa"/>
        <w:jc w:val="center"/>
        <w:tblInd w:w="108" w:type="dxa"/>
        <w:tblLayout w:type="fixed"/>
        <w:tblLook w:val="04A0"/>
      </w:tblPr>
      <w:tblGrid>
        <w:gridCol w:w="3402"/>
        <w:gridCol w:w="1588"/>
        <w:gridCol w:w="2127"/>
        <w:gridCol w:w="1559"/>
      </w:tblGrid>
      <w:tr w:rsidR="00C23EB2" w:rsidTr="00BD2C20">
        <w:trPr>
          <w:jc w:val="center"/>
        </w:trPr>
        <w:tc>
          <w:tcPr>
            <w:tcW w:w="3402" w:type="dxa"/>
            <w:shd w:val="clear" w:color="auto" w:fill="F2F2F2" w:themeFill="background1" w:themeFillShade="F2"/>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r>
              <w:rPr>
                <w:rFonts w:ascii="黑体" w:eastAsia="黑体" w:hint="eastAsia"/>
                <w:color w:val="000000"/>
                <w:sz w:val="24"/>
              </w:rPr>
              <w:t>项目</w:t>
            </w:r>
          </w:p>
        </w:tc>
        <w:tc>
          <w:tcPr>
            <w:tcW w:w="1588" w:type="dxa"/>
            <w:shd w:val="clear" w:color="auto" w:fill="F2F2F2" w:themeFill="background1" w:themeFillShade="F2"/>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r>
              <w:rPr>
                <w:rFonts w:ascii="黑体" w:eastAsia="黑体" w:hint="eastAsia"/>
                <w:color w:val="000000"/>
                <w:sz w:val="24"/>
              </w:rPr>
              <w:t>单位</w:t>
            </w:r>
          </w:p>
        </w:tc>
        <w:tc>
          <w:tcPr>
            <w:tcW w:w="2127" w:type="dxa"/>
            <w:shd w:val="clear" w:color="auto" w:fill="F2F2F2" w:themeFill="background1" w:themeFillShade="F2"/>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r>
              <w:rPr>
                <w:rFonts w:ascii="黑体" w:eastAsia="黑体" w:hint="eastAsia"/>
                <w:color w:val="000000"/>
                <w:sz w:val="24"/>
              </w:rPr>
              <w:t>单位预估成本</w:t>
            </w:r>
          </w:p>
        </w:tc>
        <w:tc>
          <w:tcPr>
            <w:tcW w:w="1559" w:type="dxa"/>
            <w:shd w:val="clear" w:color="auto" w:fill="F2F2F2" w:themeFill="background1" w:themeFillShade="F2"/>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r>
              <w:rPr>
                <w:rFonts w:ascii="黑体" w:eastAsia="黑体" w:hint="eastAsia"/>
                <w:color w:val="000000"/>
                <w:sz w:val="24"/>
              </w:rPr>
              <w:t>金额（万元）</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r>
              <w:rPr>
                <w:rFonts w:ascii="黑体" w:eastAsia="黑体" w:hint="eastAsia"/>
                <w:color w:val="000000"/>
                <w:sz w:val="24"/>
              </w:rPr>
              <w:t>一、工程费用</w:t>
            </w:r>
          </w:p>
        </w:tc>
        <w:tc>
          <w:tcPr>
            <w:tcW w:w="1588" w:type="dxa"/>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p>
        </w:tc>
        <w:tc>
          <w:tcPr>
            <w:tcW w:w="2127" w:type="dxa"/>
          </w:tcPr>
          <w:p w:rsidR="00C23EB2" w:rsidRDefault="00C23EB2" w:rsidP="00D6683E">
            <w:pPr>
              <w:adjustRightInd w:val="0"/>
              <w:snapToGrid w:val="0"/>
              <w:spacing w:before="0" w:beforeAutospacing="0" w:after="0" w:afterAutospacing="0" w:line="540" w:lineRule="atLeast"/>
              <w:jc w:val="center"/>
              <w:rPr>
                <w:rFonts w:ascii="黑体" w:eastAsia="黑体"/>
                <w:color w:val="000000"/>
                <w:sz w:val="24"/>
              </w:rPr>
            </w:pPr>
          </w:p>
        </w:tc>
        <w:tc>
          <w:tcPr>
            <w:tcW w:w="1559"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ind w:firstLineChars="200" w:firstLine="480"/>
              <w:rPr>
                <w:rFonts w:ascii="仿宋" w:eastAsia="仿宋" w:hAnsi="仿宋"/>
                <w:color w:val="000000"/>
                <w:sz w:val="24"/>
              </w:rPr>
            </w:pPr>
            <w:r>
              <w:rPr>
                <w:rFonts w:ascii="仿宋" w:eastAsia="仿宋" w:hAnsi="仿宋" w:hint="eastAsia"/>
                <w:color w:val="000000"/>
                <w:sz w:val="24"/>
              </w:rPr>
              <w:t>进口汽车展示交易中心</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5000平方米</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0.2万元/平方米</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1 000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ind w:firstLineChars="200" w:firstLine="480"/>
              <w:rPr>
                <w:rFonts w:ascii="仿宋" w:eastAsia="仿宋" w:hAnsi="仿宋"/>
                <w:color w:val="000000"/>
                <w:sz w:val="24"/>
              </w:rPr>
            </w:pPr>
            <w:r>
              <w:rPr>
                <w:rFonts w:ascii="仿宋" w:eastAsia="仿宋" w:hAnsi="仿宋" w:hint="eastAsia"/>
                <w:color w:val="000000"/>
                <w:sz w:val="24"/>
              </w:rPr>
              <w:t>进口汽车维修中心</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4000平方米</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0.2万元/平方米</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800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ind w:firstLineChars="200" w:firstLine="480"/>
              <w:rPr>
                <w:rFonts w:ascii="仿宋" w:eastAsia="仿宋" w:hAnsi="仿宋"/>
                <w:color w:val="000000"/>
                <w:sz w:val="24"/>
              </w:rPr>
            </w:pPr>
            <w:r>
              <w:rPr>
                <w:rFonts w:ascii="仿宋" w:eastAsia="仿宋" w:hAnsi="仿宋" w:hint="eastAsia"/>
                <w:color w:val="000000"/>
                <w:sz w:val="24"/>
              </w:rPr>
              <w:t>进口汽车零配件交易中心</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2000平方米</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0.2万元/平方米</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400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ind w:firstLineChars="200" w:firstLine="480"/>
              <w:rPr>
                <w:rFonts w:ascii="仿宋" w:eastAsia="仿宋" w:hAnsi="仿宋"/>
                <w:color w:val="000000"/>
                <w:sz w:val="24"/>
              </w:rPr>
            </w:pPr>
            <w:r>
              <w:rPr>
                <w:rFonts w:ascii="仿宋" w:eastAsia="仿宋" w:hAnsi="仿宋" w:hint="eastAsia"/>
                <w:color w:val="000000"/>
                <w:sz w:val="24"/>
              </w:rPr>
              <w:t>进口汽车、零配件仓库</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2000平方米</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0.2万元/平方米</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400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r>
              <w:rPr>
                <w:rFonts w:ascii="黑体" w:eastAsia="黑体" w:hint="eastAsia"/>
                <w:color w:val="000000"/>
                <w:sz w:val="24"/>
              </w:rPr>
              <w:t>二、土地使用费用</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50亩</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160万元/亩</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8 000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r>
              <w:rPr>
                <w:rFonts w:ascii="黑体" w:eastAsia="黑体" w:hint="eastAsia"/>
                <w:color w:val="000000"/>
                <w:sz w:val="24"/>
              </w:rPr>
              <w:t>三、设备</w:t>
            </w:r>
          </w:p>
        </w:tc>
        <w:tc>
          <w:tcPr>
            <w:tcW w:w="1588"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2127"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1559"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ind w:firstLineChars="200" w:firstLine="480"/>
              <w:rPr>
                <w:rFonts w:ascii="黑体" w:eastAsia="黑体"/>
                <w:color w:val="000000"/>
                <w:sz w:val="24"/>
              </w:rPr>
            </w:pPr>
            <w:r>
              <w:rPr>
                <w:rFonts w:ascii="仿宋" w:eastAsia="仿宋" w:hAnsi="仿宋" w:hint="eastAsia"/>
                <w:color w:val="000000"/>
                <w:sz w:val="24"/>
              </w:rPr>
              <w:t>进口汽车维修设备</w:t>
            </w:r>
          </w:p>
        </w:tc>
        <w:tc>
          <w:tcPr>
            <w:tcW w:w="1588"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7套</w:t>
            </w:r>
          </w:p>
        </w:tc>
        <w:tc>
          <w:tcPr>
            <w:tcW w:w="2127"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200万元/套</w:t>
            </w: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1 400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r>
              <w:rPr>
                <w:rFonts w:ascii="黑体" w:eastAsia="黑体" w:hint="eastAsia"/>
                <w:color w:val="000000"/>
                <w:sz w:val="24"/>
              </w:rPr>
              <w:t>四、运营流动资金</w:t>
            </w:r>
          </w:p>
        </w:tc>
        <w:tc>
          <w:tcPr>
            <w:tcW w:w="1588"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2127"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8 000</w:t>
            </w:r>
          </w:p>
        </w:tc>
      </w:tr>
      <w:tr w:rsidR="00C23EB2" w:rsidTr="00BD2C20">
        <w:trPr>
          <w:jc w:val="center"/>
        </w:trPr>
        <w:tc>
          <w:tcPr>
            <w:tcW w:w="3402"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r>
              <w:rPr>
                <w:rFonts w:ascii="黑体" w:eastAsia="黑体" w:hint="eastAsia"/>
                <w:color w:val="000000"/>
                <w:sz w:val="24"/>
              </w:rPr>
              <w:t>五、投资项目总概算</w:t>
            </w:r>
          </w:p>
        </w:tc>
        <w:tc>
          <w:tcPr>
            <w:tcW w:w="1588"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2127" w:type="dxa"/>
          </w:tcPr>
          <w:p w:rsidR="00C23EB2" w:rsidRDefault="00C23EB2" w:rsidP="00D6683E">
            <w:pPr>
              <w:adjustRightInd w:val="0"/>
              <w:snapToGrid w:val="0"/>
              <w:spacing w:before="0" w:beforeAutospacing="0" w:after="0" w:afterAutospacing="0" w:line="540" w:lineRule="atLeast"/>
              <w:rPr>
                <w:rFonts w:ascii="黑体" w:eastAsia="黑体"/>
                <w:color w:val="000000"/>
                <w:sz w:val="24"/>
              </w:rPr>
            </w:pPr>
          </w:p>
        </w:tc>
        <w:tc>
          <w:tcPr>
            <w:tcW w:w="1559" w:type="dxa"/>
          </w:tcPr>
          <w:p w:rsidR="00C23EB2" w:rsidRDefault="00C23EB2"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20 000</w:t>
            </w:r>
          </w:p>
        </w:tc>
      </w:tr>
    </w:tbl>
    <w:p w:rsidR="000A368E" w:rsidRPr="00212DC7" w:rsidRDefault="000A368E" w:rsidP="00884E3E">
      <w:pPr>
        <w:pStyle w:val="1"/>
        <w:adjustRightInd w:val="0"/>
        <w:snapToGrid w:val="0"/>
        <w:spacing w:beforeLines="100" w:beforeAutospacing="0" w:afterLines="50" w:afterAutospacing="0" w:line="540" w:lineRule="atLeast"/>
        <w:jc w:val="center"/>
        <w:rPr>
          <w:rFonts w:ascii="仿宋" w:eastAsia="仿宋" w:hAnsi="仿宋"/>
          <w:color w:val="000000"/>
          <w:sz w:val="28"/>
          <w:szCs w:val="28"/>
        </w:rPr>
      </w:pPr>
    </w:p>
    <w:p w:rsidR="005B101B" w:rsidRDefault="005B101B" w:rsidP="00D6683E">
      <w:pPr>
        <w:widowControl/>
        <w:spacing w:before="0" w:beforeAutospacing="0" w:after="0" w:afterAutospacing="0" w:line="540" w:lineRule="atLeast"/>
        <w:jc w:val="left"/>
        <w:rPr>
          <w:b/>
          <w:bCs/>
          <w:kern w:val="44"/>
          <w:sz w:val="44"/>
          <w:szCs w:val="44"/>
        </w:rPr>
      </w:pPr>
      <w:r>
        <w:br w:type="page"/>
      </w:r>
    </w:p>
    <w:p w:rsidR="00C23EB2"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sz w:val="36"/>
          <w:szCs w:val="36"/>
        </w:rPr>
      </w:pPr>
      <w:bookmarkStart w:id="16" w:name="_Toc489013231"/>
      <w:r>
        <w:rPr>
          <w:rFonts w:ascii="黑体" w:eastAsia="黑体" w:hAnsi="黑体" w:hint="eastAsia"/>
          <w:sz w:val="36"/>
          <w:szCs w:val="36"/>
        </w:rPr>
        <w:lastRenderedPageBreak/>
        <w:t>第6</w:t>
      </w:r>
      <w:r w:rsidR="002B5AC0" w:rsidRPr="00451018">
        <w:rPr>
          <w:rFonts w:ascii="黑体" w:eastAsia="黑体" w:hAnsi="黑体" w:hint="eastAsia"/>
          <w:sz w:val="36"/>
          <w:szCs w:val="36"/>
        </w:rPr>
        <w:t>章 员工配备</w:t>
      </w:r>
      <w:bookmarkEnd w:id="16"/>
    </w:p>
    <w:p w:rsidR="00C23EB2" w:rsidRDefault="00C23EB2"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Pr>
          <w:rFonts w:ascii="仿宋" w:eastAsia="仿宋" w:hAnsi="仿宋" w:hint="eastAsia"/>
          <w:color w:val="000000"/>
          <w:sz w:val="28"/>
          <w:szCs w:val="28"/>
        </w:rPr>
        <w:t>本</w:t>
      </w:r>
      <w:r w:rsidRPr="00212DC7">
        <w:rPr>
          <w:rFonts w:ascii="仿宋" w:eastAsia="仿宋" w:hAnsi="仿宋" w:hint="eastAsia"/>
          <w:color w:val="000000"/>
          <w:sz w:val="28"/>
          <w:szCs w:val="28"/>
        </w:rPr>
        <w:t>项目</w:t>
      </w:r>
      <w:r>
        <w:rPr>
          <w:rFonts w:ascii="仿宋" w:eastAsia="仿宋" w:hAnsi="仿宋" w:hint="eastAsia"/>
          <w:color w:val="000000"/>
          <w:sz w:val="28"/>
          <w:szCs w:val="28"/>
        </w:rPr>
        <w:t>所需要配备的员工数量是根据未来五年业务量（进口汽车销量与维修养护量）的预测值，并参考</w:t>
      </w:r>
      <w:r w:rsidRPr="00212DC7">
        <w:rPr>
          <w:rFonts w:ascii="仿宋" w:eastAsia="仿宋" w:hAnsi="仿宋" w:hint="eastAsia"/>
          <w:color w:val="000000"/>
          <w:sz w:val="28"/>
          <w:szCs w:val="28"/>
        </w:rPr>
        <w:t>目前岳阳龙头4s店的人员配备情况进行</w:t>
      </w:r>
      <w:r>
        <w:rPr>
          <w:rFonts w:ascii="仿宋" w:eastAsia="仿宋" w:hAnsi="仿宋" w:hint="eastAsia"/>
          <w:color w:val="000000"/>
          <w:sz w:val="28"/>
          <w:szCs w:val="28"/>
        </w:rPr>
        <w:t>预估</w:t>
      </w:r>
      <w:r w:rsidRPr="00212DC7">
        <w:rPr>
          <w:rFonts w:ascii="仿宋" w:eastAsia="仿宋" w:hAnsi="仿宋" w:hint="eastAsia"/>
          <w:color w:val="000000"/>
          <w:sz w:val="28"/>
          <w:szCs w:val="28"/>
        </w:rPr>
        <w:t>。</w:t>
      </w:r>
    </w:p>
    <w:p w:rsidR="00C23EB2" w:rsidRPr="00212DC7" w:rsidRDefault="00C23EB2"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Pr>
          <w:rFonts w:ascii="仿宋" w:eastAsia="仿宋" w:hAnsi="仿宋" w:hint="eastAsia"/>
          <w:color w:val="000000"/>
          <w:sz w:val="28"/>
          <w:szCs w:val="28"/>
        </w:rPr>
        <w:t>有两个因素可能影响未来员工配备比例。一是，随着未来业务量的进一步增长，规模效应可能导致所需要配备的员工数量低于本报告所预估；二是随着自动化程度提高或者维修养护的智能化，资本替代劳动的幅度加大后，导致员工相对于业务量的配备比例低于本建议书的估计。</w:t>
      </w:r>
    </w:p>
    <w:p w:rsidR="00C23EB2" w:rsidRPr="00451018" w:rsidRDefault="00C23EB2" w:rsidP="00884E3E">
      <w:pPr>
        <w:adjustRightInd w:val="0"/>
        <w:snapToGrid w:val="0"/>
        <w:spacing w:before="0" w:beforeAutospacing="0" w:afterLines="50" w:afterAutospacing="0" w:line="540" w:lineRule="atLeast"/>
        <w:jc w:val="center"/>
        <w:rPr>
          <w:rFonts w:ascii="黑体" w:eastAsia="黑体"/>
          <w:color w:val="000000"/>
          <w:sz w:val="24"/>
          <w:szCs w:val="24"/>
        </w:rPr>
      </w:pPr>
      <w:r w:rsidRPr="00451018">
        <w:rPr>
          <w:rFonts w:ascii="黑体" w:eastAsia="黑体" w:hint="eastAsia"/>
          <w:color w:val="000000"/>
          <w:sz w:val="24"/>
          <w:szCs w:val="24"/>
        </w:rPr>
        <w:t>表3：项目人员配备情况</w:t>
      </w:r>
    </w:p>
    <w:tbl>
      <w:tblPr>
        <w:tblStyle w:val="a9"/>
        <w:tblW w:w="0" w:type="auto"/>
        <w:tblLook w:val="04A0"/>
      </w:tblPr>
      <w:tblGrid>
        <w:gridCol w:w="2494"/>
        <w:gridCol w:w="1221"/>
        <w:gridCol w:w="1220"/>
        <w:gridCol w:w="1349"/>
        <w:gridCol w:w="1348"/>
        <w:gridCol w:w="1088"/>
      </w:tblGrid>
      <w:tr w:rsidR="00C23EB2" w:rsidTr="00BD2C20">
        <w:tc>
          <w:tcPr>
            <w:tcW w:w="2660" w:type="dxa"/>
            <w:shd w:val="clear" w:color="auto" w:fill="F2F2F2" w:themeFill="background1" w:themeFillShade="F2"/>
            <w:vAlign w:val="center"/>
          </w:tcPr>
          <w:p w:rsidR="00C23EB2" w:rsidRPr="00404FEF" w:rsidRDefault="00C23EB2" w:rsidP="00D6683E">
            <w:pPr>
              <w:adjustRightInd w:val="0"/>
              <w:snapToGrid w:val="0"/>
              <w:spacing w:before="0" w:beforeAutospacing="0" w:after="0" w:afterAutospacing="0" w:line="540" w:lineRule="atLeast"/>
              <w:ind w:firstLineChars="200" w:firstLine="480"/>
              <w:jc w:val="center"/>
              <w:rPr>
                <w:rFonts w:ascii="黑体" w:eastAsia="黑体" w:hAnsi="黑体"/>
                <w:color w:val="000000"/>
                <w:sz w:val="24"/>
              </w:rPr>
            </w:pPr>
            <w:r w:rsidRPr="00404FEF">
              <w:rPr>
                <w:rFonts w:ascii="黑体" w:eastAsia="黑体" w:hAnsi="黑体" w:hint="eastAsia"/>
                <w:color w:val="000000"/>
                <w:sz w:val="24"/>
              </w:rPr>
              <w:t>业务量</w:t>
            </w:r>
          </w:p>
        </w:tc>
        <w:tc>
          <w:tcPr>
            <w:tcW w:w="1276" w:type="dxa"/>
            <w:shd w:val="clear" w:color="auto" w:fill="F2F2F2" w:themeFill="background1" w:themeFillShade="F2"/>
            <w:vAlign w:val="center"/>
          </w:tcPr>
          <w:p w:rsidR="00C23EB2" w:rsidRPr="00404FEF" w:rsidRDefault="00C23EB2" w:rsidP="00D6683E">
            <w:pPr>
              <w:adjustRightInd w:val="0"/>
              <w:snapToGrid w:val="0"/>
              <w:spacing w:line="540" w:lineRule="atLeast"/>
              <w:jc w:val="center"/>
              <w:rPr>
                <w:rFonts w:ascii="黑体" w:eastAsia="黑体" w:hAnsi="黑体"/>
                <w:color w:val="000000"/>
                <w:sz w:val="24"/>
                <w:szCs w:val="24"/>
              </w:rPr>
            </w:pPr>
            <w:r w:rsidRPr="00404FEF">
              <w:rPr>
                <w:rFonts w:ascii="黑体" w:eastAsia="黑体" w:hAnsi="黑体" w:hint="eastAsia"/>
                <w:color w:val="000000"/>
                <w:sz w:val="24"/>
                <w:szCs w:val="24"/>
              </w:rPr>
              <w:t>2018年</w:t>
            </w:r>
          </w:p>
        </w:tc>
        <w:tc>
          <w:tcPr>
            <w:tcW w:w="1275" w:type="dxa"/>
            <w:shd w:val="clear" w:color="auto" w:fill="F2F2F2" w:themeFill="background1" w:themeFillShade="F2"/>
            <w:vAlign w:val="center"/>
          </w:tcPr>
          <w:p w:rsidR="00C23EB2" w:rsidRPr="00404FEF" w:rsidRDefault="00C23EB2" w:rsidP="00D6683E">
            <w:pPr>
              <w:adjustRightInd w:val="0"/>
              <w:snapToGrid w:val="0"/>
              <w:spacing w:line="540" w:lineRule="atLeast"/>
              <w:jc w:val="center"/>
              <w:rPr>
                <w:rFonts w:ascii="黑体" w:eastAsia="黑体" w:hAnsi="黑体"/>
                <w:color w:val="000000"/>
                <w:sz w:val="24"/>
                <w:szCs w:val="24"/>
              </w:rPr>
            </w:pPr>
            <w:r w:rsidRPr="00404FEF">
              <w:rPr>
                <w:rFonts w:ascii="黑体" w:eastAsia="黑体" w:hAnsi="黑体" w:hint="eastAsia"/>
                <w:color w:val="000000"/>
                <w:sz w:val="24"/>
                <w:szCs w:val="24"/>
              </w:rPr>
              <w:t>2019年</w:t>
            </w:r>
          </w:p>
        </w:tc>
        <w:tc>
          <w:tcPr>
            <w:tcW w:w="1418" w:type="dxa"/>
            <w:shd w:val="clear" w:color="auto" w:fill="F2F2F2" w:themeFill="background1" w:themeFillShade="F2"/>
            <w:vAlign w:val="center"/>
          </w:tcPr>
          <w:p w:rsidR="00C23EB2" w:rsidRPr="00404FEF" w:rsidRDefault="00C23EB2" w:rsidP="00D6683E">
            <w:pPr>
              <w:adjustRightInd w:val="0"/>
              <w:snapToGrid w:val="0"/>
              <w:spacing w:line="540" w:lineRule="atLeast"/>
              <w:jc w:val="center"/>
              <w:rPr>
                <w:rFonts w:ascii="黑体" w:eastAsia="黑体" w:hAnsi="黑体"/>
                <w:color w:val="000000"/>
                <w:sz w:val="24"/>
                <w:szCs w:val="24"/>
              </w:rPr>
            </w:pPr>
            <w:r w:rsidRPr="00404FEF">
              <w:rPr>
                <w:rFonts w:ascii="黑体" w:eastAsia="黑体" w:hAnsi="黑体" w:hint="eastAsia"/>
                <w:color w:val="000000"/>
                <w:sz w:val="24"/>
                <w:szCs w:val="24"/>
              </w:rPr>
              <w:t>2020年</w:t>
            </w:r>
          </w:p>
        </w:tc>
        <w:tc>
          <w:tcPr>
            <w:tcW w:w="1417" w:type="dxa"/>
            <w:shd w:val="clear" w:color="auto" w:fill="F2F2F2" w:themeFill="background1" w:themeFillShade="F2"/>
            <w:vAlign w:val="center"/>
          </w:tcPr>
          <w:p w:rsidR="00C23EB2" w:rsidRPr="00404FEF" w:rsidRDefault="00C23EB2" w:rsidP="00D6683E">
            <w:pPr>
              <w:adjustRightInd w:val="0"/>
              <w:snapToGrid w:val="0"/>
              <w:spacing w:line="540" w:lineRule="atLeast"/>
              <w:jc w:val="center"/>
              <w:rPr>
                <w:rFonts w:ascii="黑体" w:eastAsia="黑体" w:hAnsi="黑体"/>
                <w:color w:val="000000"/>
                <w:sz w:val="24"/>
                <w:szCs w:val="24"/>
              </w:rPr>
            </w:pPr>
            <w:r w:rsidRPr="00404FEF">
              <w:rPr>
                <w:rFonts w:ascii="黑体" w:eastAsia="黑体" w:hAnsi="黑体" w:hint="eastAsia"/>
                <w:color w:val="000000"/>
                <w:sz w:val="24"/>
                <w:szCs w:val="24"/>
              </w:rPr>
              <w:t>2021年</w:t>
            </w:r>
          </w:p>
        </w:tc>
        <w:tc>
          <w:tcPr>
            <w:tcW w:w="1129" w:type="dxa"/>
            <w:shd w:val="clear" w:color="auto" w:fill="F2F2F2" w:themeFill="background1" w:themeFillShade="F2"/>
            <w:vAlign w:val="center"/>
          </w:tcPr>
          <w:p w:rsidR="00C23EB2" w:rsidRPr="00404FEF" w:rsidRDefault="00C23EB2" w:rsidP="00D6683E">
            <w:pPr>
              <w:adjustRightInd w:val="0"/>
              <w:snapToGrid w:val="0"/>
              <w:spacing w:line="540" w:lineRule="atLeast"/>
              <w:jc w:val="center"/>
              <w:rPr>
                <w:rFonts w:ascii="黑体" w:eastAsia="黑体" w:hAnsi="黑体"/>
                <w:color w:val="000000"/>
                <w:sz w:val="24"/>
                <w:szCs w:val="24"/>
              </w:rPr>
            </w:pPr>
            <w:r w:rsidRPr="00404FEF">
              <w:rPr>
                <w:rFonts w:ascii="黑体" w:eastAsia="黑体" w:hAnsi="黑体" w:hint="eastAsia"/>
                <w:color w:val="000000"/>
                <w:sz w:val="24"/>
                <w:szCs w:val="24"/>
              </w:rPr>
              <w:t>2022年</w:t>
            </w:r>
          </w:p>
        </w:tc>
      </w:tr>
      <w:tr w:rsidR="00C23EB2" w:rsidTr="00BD2C20">
        <w:trPr>
          <w:trHeight w:val="416"/>
        </w:trPr>
        <w:tc>
          <w:tcPr>
            <w:tcW w:w="2660" w:type="dxa"/>
            <w:vAlign w:val="center"/>
          </w:tcPr>
          <w:p w:rsidR="00C23EB2" w:rsidRPr="00404FEF" w:rsidRDefault="00C23EB2" w:rsidP="00D6683E">
            <w:pPr>
              <w:adjustRightInd w:val="0"/>
              <w:snapToGrid w:val="0"/>
              <w:spacing w:before="0" w:beforeAutospacing="0" w:after="0" w:afterAutospacing="0" w:line="540" w:lineRule="atLeast"/>
              <w:rPr>
                <w:rFonts w:ascii="黑体" w:eastAsia="黑体" w:hAnsi="黑体"/>
                <w:color w:val="000000"/>
                <w:sz w:val="24"/>
              </w:rPr>
            </w:pPr>
            <w:r w:rsidRPr="00404FEF">
              <w:rPr>
                <w:rFonts w:ascii="黑体" w:eastAsia="黑体" w:hAnsi="黑体" w:hint="eastAsia"/>
                <w:color w:val="000000"/>
                <w:sz w:val="24"/>
              </w:rPr>
              <w:t>进口汽车销量（台）</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2600</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3500</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4500</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5800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7500</w:t>
            </w:r>
          </w:p>
        </w:tc>
      </w:tr>
      <w:tr w:rsidR="00C23EB2" w:rsidTr="00BD2C20">
        <w:tc>
          <w:tcPr>
            <w:tcW w:w="2660" w:type="dxa"/>
            <w:vAlign w:val="center"/>
          </w:tcPr>
          <w:p w:rsidR="00C23EB2" w:rsidRPr="00404FEF" w:rsidRDefault="00C23EB2" w:rsidP="00D6683E">
            <w:pPr>
              <w:adjustRightInd w:val="0"/>
              <w:snapToGrid w:val="0"/>
              <w:spacing w:before="0" w:beforeAutospacing="0" w:after="0" w:afterAutospacing="0" w:line="540" w:lineRule="atLeast"/>
              <w:rPr>
                <w:rFonts w:ascii="黑体" w:eastAsia="黑体" w:hAnsi="黑体"/>
                <w:color w:val="000000"/>
                <w:sz w:val="24"/>
              </w:rPr>
            </w:pPr>
            <w:r w:rsidRPr="00404FEF">
              <w:rPr>
                <w:rFonts w:ascii="黑体" w:eastAsia="黑体" w:hAnsi="黑体" w:hint="eastAsia"/>
                <w:color w:val="000000"/>
                <w:sz w:val="24"/>
              </w:rPr>
              <w:t>进口汽车维修量（台）</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1500</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2300</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3500</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5500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9000</w:t>
            </w:r>
          </w:p>
        </w:tc>
      </w:tr>
      <w:tr w:rsidR="00C23EB2" w:rsidTr="00BD2C20">
        <w:tc>
          <w:tcPr>
            <w:tcW w:w="2660" w:type="dxa"/>
            <w:vAlign w:val="center"/>
          </w:tcPr>
          <w:p w:rsidR="00C23EB2" w:rsidRPr="00404FEF" w:rsidRDefault="00C23EB2" w:rsidP="00D6683E">
            <w:pPr>
              <w:adjustRightInd w:val="0"/>
              <w:snapToGrid w:val="0"/>
              <w:spacing w:before="0" w:beforeAutospacing="0" w:after="0" w:afterAutospacing="0" w:line="540" w:lineRule="atLeast"/>
              <w:rPr>
                <w:rFonts w:ascii="黑体" w:eastAsia="黑体" w:hAnsi="黑体"/>
                <w:color w:val="000000"/>
                <w:sz w:val="24"/>
              </w:rPr>
            </w:pPr>
            <w:r w:rsidRPr="00404FEF">
              <w:rPr>
                <w:rFonts w:ascii="黑体" w:eastAsia="黑体" w:hAnsi="黑体" w:hint="eastAsia"/>
                <w:color w:val="000000"/>
                <w:sz w:val="24"/>
              </w:rPr>
              <w:t>人员配备（人）</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50</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60</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75</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80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100</w:t>
            </w:r>
          </w:p>
        </w:tc>
      </w:tr>
      <w:tr w:rsidR="00C23EB2" w:rsidTr="00BD2C20">
        <w:tc>
          <w:tcPr>
            <w:tcW w:w="2660" w:type="dxa"/>
            <w:vAlign w:val="center"/>
          </w:tcPr>
          <w:p w:rsidR="00C23EB2" w:rsidRPr="00404FEF" w:rsidRDefault="00C23EB2" w:rsidP="00D6683E">
            <w:pPr>
              <w:adjustRightInd w:val="0"/>
              <w:snapToGrid w:val="0"/>
              <w:spacing w:before="0" w:beforeAutospacing="0" w:after="0" w:afterAutospacing="0" w:line="540" w:lineRule="atLeast"/>
              <w:ind w:firstLineChars="100" w:firstLine="240"/>
              <w:rPr>
                <w:rFonts w:ascii="黑体" w:eastAsia="黑体" w:hAnsi="黑体"/>
                <w:color w:val="000000"/>
                <w:sz w:val="24"/>
              </w:rPr>
            </w:pPr>
            <w:r w:rsidRPr="00404FEF">
              <w:rPr>
                <w:rFonts w:ascii="黑体" w:eastAsia="黑体" w:hAnsi="黑体" w:hint="eastAsia"/>
                <w:color w:val="000000"/>
                <w:sz w:val="24"/>
              </w:rPr>
              <w:t>其中：管理人员</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15</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15</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15</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20</w:t>
            </w:r>
          </w:p>
        </w:tc>
      </w:tr>
      <w:tr w:rsidR="00C23EB2" w:rsidTr="00BD2C20">
        <w:tc>
          <w:tcPr>
            <w:tcW w:w="2660" w:type="dxa"/>
            <w:vAlign w:val="center"/>
          </w:tcPr>
          <w:p w:rsidR="00C23EB2" w:rsidRPr="00404FEF" w:rsidRDefault="00C23EB2" w:rsidP="00D6683E">
            <w:pPr>
              <w:adjustRightInd w:val="0"/>
              <w:snapToGrid w:val="0"/>
              <w:spacing w:before="0" w:beforeAutospacing="0" w:after="0" w:afterAutospacing="0" w:line="540" w:lineRule="atLeast"/>
              <w:ind w:firstLineChars="200" w:firstLine="480"/>
              <w:rPr>
                <w:rFonts w:ascii="黑体" w:eastAsia="黑体" w:hAnsi="黑体"/>
                <w:color w:val="000000"/>
                <w:sz w:val="24"/>
              </w:rPr>
            </w:pPr>
            <w:r w:rsidRPr="00404FEF">
              <w:rPr>
                <w:rFonts w:ascii="黑体" w:eastAsia="黑体" w:hAnsi="黑体" w:hint="eastAsia"/>
                <w:color w:val="000000"/>
                <w:sz w:val="24"/>
              </w:rPr>
              <w:t xml:space="preserve">    销售线员工</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15</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20</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25</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30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35</w:t>
            </w:r>
          </w:p>
        </w:tc>
      </w:tr>
      <w:tr w:rsidR="00C23EB2" w:rsidTr="00BD2C20">
        <w:tc>
          <w:tcPr>
            <w:tcW w:w="2660" w:type="dxa"/>
            <w:vAlign w:val="center"/>
          </w:tcPr>
          <w:p w:rsidR="00C23EB2" w:rsidRPr="00404FEF" w:rsidRDefault="00C23EB2" w:rsidP="00D6683E">
            <w:pPr>
              <w:adjustRightInd w:val="0"/>
              <w:snapToGrid w:val="0"/>
              <w:spacing w:before="0" w:beforeAutospacing="0" w:after="0" w:afterAutospacing="0" w:line="540" w:lineRule="atLeast"/>
              <w:ind w:firstLineChars="400" w:firstLine="960"/>
              <w:rPr>
                <w:rFonts w:ascii="黑体" w:eastAsia="黑体" w:hAnsi="黑体"/>
                <w:color w:val="000000"/>
                <w:sz w:val="24"/>
              </w:rPr>
            </w:pPr>
            <w:r w:rsidRPr="00404FEF">
              <w:rPr>
                <w:rFonts w:ascii="黑体" w:eastAsia="黑体" w:hAnsi="黑体" w:hint="eastAsia"/>
                <w:color w:val="000000"/>
                <w:sz w:val="24"/>
              </w:rPr>
              <w:t>维修线员工</w:t>
            </w:r>
          </w:p>
        </w:tc>
        <w:tc>
          <w:tcPr>
            <w:tcW w:w="1276"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20</w:t>
            </w:r>
          </w:p>
        </w:tc>
        <w:tc>
          <w:tcPr>
            <w:tcW w:w="1275"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25</w:t>
            </w:r>
          </w:p>
        </w:tc>
        <w:tc>
          <w:tcPr>
            <w:tcW w:w="1418"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35</w:t>
            </w:r>
          </w:p>
        </w:tc>
        <w:tc>
          <w:tcPr>
            <w:tcW w:w="1417"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40</w:t>
            </w:r>
          </w:p>
        </w:tc>
        <w:tc>
          <w:tcPr>
            <w:tcW w:w="1129" w:type="dxa"/>
            <w:vAlign w:val="center"/>
          </w:tcPr>
          <w:p w:rsidR="00C23EB2" w:rsidRPr="00F36F85" w:rsidRDefault="00C23EB2" w:rsidP="00D6683E">
            <w:pPr>
              <w:adjustRightInd w:val="0"/>
              <w:snapToGrid w:val="0"/>
              <w:spacing w:line="540" w:lineRule="atLeast"/>
              <w:jc w:val="right"/>
              <w:rPr>
                <w:rFonts w:eastAsia="仿宋_GB2312"/>
                <w:color w:val="000000"/>
                <w:sz w:val="24"/>
                <w:szCs w:val="24"/>
              </w:rPr>
            </w:pPr>
            <w:r w:rsidRPr="00F36F85">
              <w:rPr>
                <w:rFonts w:eastAsia="仿宋_GB2312"/>
                <w:color w:val="000000"/>
                <w:sz w:val="24"/>
                <w:szCs w:val="24"/>
              </w:rPr>
              <w:t>45</w:t>
            </w:r>
          </w:p>
        </w:tc>
      </w:tr>
    </w:tbl>
    <w:p w:rsidR="00C23EB2" w:rsidRPr="00212DC7" w:rsidRDefault="007F035E" w:rsidP="00884E3E">
      <w:pPr>
        <w:adjustRightInd w:val="0"/>
        <w:snapToGrid w:val="0"/>
        <w:spacing w:beforeLines="50" w:beforeAutospacing="0" w:afterLines="50" w:afterAutospacing="0" w:line="540" w:lineRule="atLeast"/>
        <w:ind w:firstLineChars="200" w:firstLine="562"/>
        <w:rPr>
          <w:rFonts w:ascii="仿宋" w:eastAsia="仿宋" w:hAnsi="仿宋"/>
          <w:color w:val="000000"/>
          <w:sz w:val="28"/>
          <w:szCs w:val="28"/>
        </w:rPr>
      </w:pPr>
      <w:r w:rsidRPr="007F035E">
        <w:rPr>
          <w:rFonts w:ascii="仿宋" w:eastAsia="仿宋" w:hAnsi="仿宋" w:hint="eastAsia"/>
          <w:b/>
          <w:color w:val="000000"/>
          <w:sz w:val="28"/>
          <w:szCs w:val="28"/>
        </w:rPr>
        <w:t>本地区人力资源供给渠道及价格信息参考。</w:t>
      </w:r>
      <w:r w:rsidR="00C23EB2" w:rsidRPr="00212DC7">
        <w:rPr>
          <w:rFonts w:ascii="仿宋" w:eastAsia="仿宋" w:hAnsi="仿宋" w:hint="eastAsia"/>
          <w:color w:val="000000"/>
          <w:sz w:val="28"/>
          <w:szCs w:val="28"/>
        </w:rPr>
        <w:t>岳阳有湖南理工学院、岳阳职业技术学院、民族职业学院，2017年中等职业教育招生2万人，在校生7.5万人，毕业生2.3万人。普通工人基本月薪为1500元左右，技术工人基本月薪为3000元左右，高级工人基本月薪为4000元左右，养老保险、医疗保险、失业保险、工伤保险、生育保险和住房公积金的公缴比例为21%、9%、2%、0.5%、0.8%、8%。</w:t>
      </w:r>
    </w:p>
    <w:p w:rsidR="002B5AC0" w:rsidRPr="00451018" w:rsidRDefault="00451018" w:rsidP="00884E3E">
      <w:pPr>
        <w:pStyle w:val="1"/>
        <w:adjustRightInd w:val="0"/>
        <w:snapToGrid w:val="0"/>
        <w:spacing w:beforeLines="150" w:beforeAutospacing="0" w:afterLines="50" w:afterAutospacing="0" w:line="540" w:lineRule="atLeast"/>
        <w:jc w:val="center"/>
        <w:rPr>
          <w:rFonts w:ascii="黑体" w:eastAsia="黑体" w:hAnsi="黑体"/>
          <w:sz w:val="36"/>
          <w:szCs w:val="36"/>
        </w:rPr>
      </w:pPr>
      <w:bookmarkStart w:id="17" w:name="_Toc489013232"/>
      <w:bookmarkStart w:id="18" w:name="_Toc479956091"/>
      <w:bookmarkEnd w:id="14"/>
      <w:r>
        <w:rPr>
          <w:rFonts w:ascii="黑体" w:eastAsia="黑体" w:hAnsi="黑体" w:hint="eastAsia"/>
          <w:sz w:val="36"/>
          <w:szCs w:val="36"/>
        </w:rPr>
        <w:lastRenderedPageBreak/>
        <w:t>第7</w:t>
      </w:r>
      <w:r w:rsidR="002B5AC0" w:rsidRPr="00451018">
        <w:rPr>
          <w:rFonts w:ascii="黑体" w:eastAsia="黑体" w:hAnsi="黑体" w:hint="eastAsia"/>
          <w:sz w:val="36"/>
          <w:szCs w:val="36"/>
        </w:rPr>
        <w:t>章 投资方式和资金来源</w:t>
      </w:r>
      <w:bookmarkEnd w:id="17"/>
    </w:p>
    <w:p w:rsidR="002B5AC0" w:rsidRPr="005B101B" w:rsidRDefault="002B5AC0"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5B101B">
        <w:rPr>
          <w:rFonts w:ascii="仿宋_GB2312" w:eastAsia="仿宋_GB2312" w:hAnsi="华文楷体" w:hint="eastAsia"/>
          <w:b/>
          <w:color w:val="000000"/>
          <w:sz w:val="28"/>
          <w:szCs w:val="28"/>
        </w:rPr>
        <w:t>1、投资方式</w:t>
      </w:r>
    </w:p>
    <w:p w:rsidR="005B101B" w:rsidRPr="00212DC7" w:rsidRDefault="002B5AC0"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项目可采取的投资方式</w:t>
      </w:r>
      <w:bookmarkEnd w:id="18"/>
      <w:r w:rsidR="00C0494D" w:rsidRPr="00212DC7">
        <w:rPr>
          <w:rFonts w:ascii="仿宋" w:eastAsia="仿宋" w:hAnsi="仿宋" w:hint="eastAsia"/>
          <w:color w:val="000000"/>
          <w:sz w:val="28"/>
          <w:szCs w:val="28"/>
        </w:rPr>
        <w:t>包括：</w:t>
      </w:r>
      <w:r w:rsidR="002C68BC" w:rsidRPr="00212DC7">
        <w:rPr>
          <w:rFonts w:ascii="仿宋" w:eastAsia="仿宋" w:hAnsi="仿宋" w:hint="eastAsia"/>
          <w:color w:val="000000"/>
          <w:sz w:val="28"/>
          <w:szCs w:val="28"/>
        </w:rPr>
        <w:t>独资、合资、合作等</w:t>
      </w:r>
      <w:r w:rsidR="005B101B" w:rsidRPr="00212DC7">
        <w:rPr>
          <w:rFonts w:ascii="仿宋" w:eastAsia="仿宋" w:hAnsi="仿宋" w:hint="eastAsia"/>
          <w:color w:val="000000"/>
          <w:sz w:val="28"/>
          <w:szCs w:val="28"/>
        </w:rPr>
        <w:t>。</w:t>
      </w:r>
    </w:p>
    <w:p w:rsidR="005B101B" w:rsidRPr="005B101B" w:rsidRDefault="005B101B" w:rsidP="00D6683E">
      <w:pPr>
        <w:adjustRightInd w:val="0"/>
        <w:snapToGrid w:val="0"/>
        <w:spacing w:before="0" w:beforeAutospacing="0" w:after="0" w:afterAutospacing="0" w:line="540" w:lineRule="atLeast"/>
        <w:ind w:firstLineChars="200" w:firstLine="562"/>
        <w:rPr>
          <w:rFonts w:ascii="仿宋_GB2312" w:eastAsia="仿宋_GB2312" w:hAnsi="华文楷体"/>
          <w:b/>
          <w:color w:val="000000"/>
          <w:sz w:val="28"/>
          <w:szCs w:val="28"/>
        </w:rPr>
      </w:pPr>
      <w:r w:rsidRPr="005B101B">
        <w:rPr>
          <w:rFonts w:ascii="仿宋_GB2312" w:eastAsia="仿宋_GB2312" w:hAnsi="华文楷体" w:hint="eastAsia"/>
          <w:b/>
          <w:color w:val="000000"/>
          <w:sz w:val="28"/>
          <w:szCs w:val="28"/>
        </w:rPr>
        <w:t>2、资金来源</w:t>
      </w:r>
    </w:p>
    <w:p w:rsidR="00477D8F" w:rsidRPr="00212DC7" w:rsidRDefault="00C0494D"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投资方式资金来源为自有资金和银行贷款。</w:t>
      </w:r>
    </w:p>
    <w:p w:rsidR="005B101B" w:rsidRDefault="005B101B" w:rsidP="00D6683E">
      <w:pPr>
        <w:widowControl/>
        <w:spacing w:before="0" w:beforeAutospacing="0" w:after="0" w:afterAutospacing="0" w:line="540" w:lineRule="atLeast"/>
        <w:jc w:val="left"/>
        <w:rPr>
          <w:b/>
          <w:bCs/>
          <w:kern w:val="44"/>
          <w:sz w:val="44"/>
          <w:szCs w:val="44"/>
        </w:rPr>
      </w:pPr>
      <w:r>
        <w:br w:type="page"/>
      </w:r>
    </w:p>
    <w:p w:rsidR="00477D8F"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sz w:val="36"/>
          <w:szCs w:val="36"/>
        </w:rPr>
      </w:pPr>
      <w:bookmarkStart w:id="19" w:name="_Toc489013233"/>
      <w:r>
        <w:rPr>
          <w:rFonts w:ascii="黑体" w:eastAsia="黑体" w:hAnsi="黑体" w:hint="eastAsia"/>
          <w:sz w:val="36"/>
          <w:szCs w:val="36"/>
        </w:rPr>
        <w:lastRenderedPageBreak/>
        <w:t>第8</w:t>
      </w:r>
      <w:r w:rsidR="002B5AC0" w:rsidRPr="00451018">
        <w:rPr>
          <w:rFonts w:ascii="黑体" w:eastAsia="黑体" w:hAnsi="黑体" w:hint="eastAsia"/>
          <w:sz w:val="36"/>
          <w:szCs w:val="36"/>
        </w:rPr>
        <w:t>章 效益分析</w:t>
      </w:r>
      <w:bookmarkEnd w:id="19"/>
    </w:p>
    <w:p w:rsidR="00874F2D" w:rsidRPr="00212DC7" w:rsidRDefault="003137A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本项目的经营效益预测涉及到一系列指标的假定。汽车交易特别是进口汽车交易过程中，涉及到的税收环节比较多，为了经营效益预测简化，将经销商可以转嫁给消费者的税种作为成本考虑。只考虑了进口汽车整车的最终利润情况。</w:t>
      </w:r>
    </w:p>
    <w:p w:rsidR="003137AF" w:rsidRPr="00451018" w:rsidRDefault="002B5AC0" w:rsidP="00884E3E">
      <w:pPr>
        <w:pStyle w:val="2"/>
        <w:adjustRightInd w:val="0"/>
        <w:snapToGrid w:val="0"/>
        <w:spacing w:beforeLines="150" w:beforeAutospacing="0" w:afterLines="50" w:afterAutospacing="0" w:line="540" w:lineRule="atLeast"/>
        <w:jc w:val="left"/>
        <w:rPr>
          <w:rFonts w:ascii="黑体" w:eastAsia="黑体" w:hAnsi="黑体"/>
          <w:b w:val="0"/>
          <w:sz w:val="32"/>
          <w:szCs w:val="32"/>
        </w:rPr>
      </w:pPr>
      <w:bookmarkStart w:id="20" w:name="_Toc489013234"/>
      <w:r w:rsidRPr="00451018">
        <w:rPr>
          <w:rFonts w:ascii="黑体" w:eastAsia="黑体" w:hAnsi="黑体" w:hint="eastAsia"/>
          <w:b w:val="0"/>
          <w:sz w:val="32"/>
          <w:szCs w:val="32"/>
        </w:rPr>
        <w:t>8</w:t>
      </w:r>
      <w:r w:rsidR="00CE5A0A" w:rsidRPr="00451018">
        <w:rPr>
          <w:rFonts w:ascii="黑体" w:eastAsia="黑体" w:hAnsi="黑体" w:hint="eastAsia"/>
          <w:b w:val="0"/>
          <w:sz w:val="32"/>
          <w:szCs w:val="32"/>
        </w:rPr>
        <w:t>.1</w:t>
      </w:r>
      <w:r w:rsidR="003137AF" w:rsidRPr="00451018">
        <w:rPr>
          <w:rFonts w:ascii="黑体" w:eastAsia="黑体" w:hAnsi="黑体" w:hint="eastAsia"/>
          <w:b w:val="0"/>
          <w:sz w:val="32"/>
          <w:szCs w:val="32"/>
        </w:rPr>
        <w:t>经济效益</w:t>
      </w:r>
      <w:bookmarkEnd w:id="20"/>
    </w:p>
    <w:p w:rsidR="003137AF" w:rsidRPr="00212DC7" w:rsidRDefault="003137A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经营效益预测中的几项关键指标见表4所示。关键指标的预测值均来源于本地汽车经销市场调研。</w:t>
      </w:r>
    </w:p>
    <w:p w:rsidR="00477D8F" w:rsidRPr="00451018" w:rsidRDefault="002C68BC" w:rsidP="00884E3E">
      <w:pPr>
        <w:adjustRightInd w:val="0"/>
        <w:snapToGrid w:val="0"/>
        <w:spacing w:before="0" w:beforeAutospacing="0" w:afterLines="50" w:afterAutospacing="0" w:line="540" w:lineRule="atLeast"/>
        <w:jc w:val="center"/>
        <w:rPr>
          <w:rFonts w:ascii="黑体" w:eastAsia="黑体"/>
          <w:color w:val="000000"/>
          <w:sz w:val="24"/>
          <w:szCs w:val="24"/>
        </w:rPr>
      </w:pPr>
      <w:r w:rsidRPr="00451018">
        <w:rPr>
          <w:rFonts w:ascii="黑体" w:eastAsia="黑体" w:hint="eastAsia"/>
          <w:color w:val="000000"/>
          <w:sz w:val="24"/>
          <w:szCs w:val="24"/>
        </w:rPr>
        <w:t>表</w:t>
      </w:r>
      <w:r w:rsidR="005B101B" w:rsidRPr="00451018">
        <w:rPr>
          <w:rFonts w:ascii="黑体" w:eastAsia="黑体" w:hint="eastAsia"/>
          <w:color w:val="000000"/>
          <w:sz w:val="24"/>
          <w:szCs w:val="24"/>
        </w:rPr>
        <w:t>4</w:t>
      </w:r>
      <w:r w:rsidRPr="00451018">
        <w:rPr>
          <w:rFonts w:ascii="黑体" w:eastAsia="黑体" w:hint="eastAsia"/>
          <w:color w:val="000000"/>
          <w:sz w:val="24"/>
          <w:szCs w:val="24"/>
        </w:rPr>
        <w:t>：经营预测</w:t>
      </w:r>
      <w:r w:rsidR="00621BEC" w:rsidRPr="00451018">
        <w:rPr>
          <w:rFonts w:ascii="黑体" w:eastAsia="黑体" w:hint="eastAsia"/>
          <w:color w:val="000000"/>
          <w:sz w:val="24"/>
          <w:szCs w:val="24"/>
        </w:rPr>
        <w:t>主要指标说明</w:t>
      </w:r>
    </w:p>
    <w:tbl>
      <w:tblPr>
        <w:tblStyle w:val="a9"/>
        <w:tblW w:w="7732" w:type="dxa"/>
        <w:jc w:val="center"/>
        <w:tblInd w:w="-266" w:type="dxa"/>
        <w:tblLayout w:type="fixed"/>
        <w:tblLook w:val="04A0"/>
      </w:tblPr>
      <w:tblGrid>
        <w:gridCol w:w="4060"/>
        <w:gridCol w:w="3672"/>
      </w:tblGrid>
      <w:tr w:rsidR="00306525" w:rsidTr="003137AF">
        <w:trPr>
          <w:jc w:val="center"/>
        </w:trPr>
        <w:tc>
          <w:tcPr>
            <w:tcW w:w="4060" w:type="dxa"/>
            <w:shd w:val="clear" w:color="auto" w:fill="F2F2F2" w:themeFill="background1" w:themeFillShade="F2"/>
          </w:tcPr>
          <w:p w:rsidR="00306525" w:rsidRDefault="00306525" w:rsidP="00884E3E">
            <w:pPr>
              <w:adjustRightInd w:val="0"/>
              <w:snapToGrid w:val="0"/>
              <w:spacing w:beforeLines="50" w:beforeAutospacing="0" w:afterLines="50" w:afterAutospacing="0" w:line="540" w:lineRule="atLeast"/>
              <w:jc w:val="center"/>
              <w:rPr>
                <w:rFonts w:ascii="黑体" w:eastAsia="黑体"/>
                <w:color w:val="000000"/>
                <w:sz w:val="24"/>
              </w:rPr>
            </w:pPr>
            <w:r>
              <w:rPr>
                <w:rFonts w:ascii="黑体" w:eastAsia="黑体" w:hint="eastAsia"/>
                <w:color w:val="000000"/>
                <w:sz w:val="24"/>
              </w:rPr>
              <w:t>主要指标</w:t>
            </w:r>
          </w:p>
        </w:tc>
        <w:tc>
          <w:tcPr>
            <w:tcW w:w="3672" w:type="dxa"/>
            <w:shd w:val="clear" w:color="auto" w:fill="F2F2F2" w:themeFill="background1" w:themeFillShade="F2"/>
          </w:tcPr>
          <w:p w:rsidR="00306525" w:rsidRDefault="00306525" w:rsidP="00884E3E">
            <w:pPr>
              <w:adjustRightInd w:val="0"/>
              <w:snapToGrid w:val="0"/>
              <w:spacing w:beforeLines="50" w:beforeAutospacing="0" w:afterLines="50" w:afterAutospacing="0" w:line="540" w:lineRule="atLeast"/>
              <w:jc w:val="center"/>
              <w:rPr>
                <w:rFonts w:ascii="黑体" w:eastAsia="黑体"/>
                <w:color w:val="000000"/>
                <w:sz w:val="24"/>
              </w:rPr>
            </w:pPr>
            <w:r>
              <w:rPr>
                <w:rFonts w:ascii="黑体" w:eastAsia="黑体" w:hint="eastAsia"/>
                <w:color w:val="000000"/>
                <w:sz w:val="24"/>
              </w:rPr>
              <w:t>预测数值</w:t>
            </w:r>
          </w:p>
        </w:tc>
      </w:tr>
      <w:tr w:rsidR="00306525" w:rsidTr="00306525">
        <w:trPr>
          <w:jc w:val="center"/>
        </w:trPr>
        <w:tc>
          <w:tcPr>
            <w:tcW w:w="4060" w:type="dxa"/>
          </w:tcPr>
          <w:p w:rsidR="00306525" w:rsidRPr="00212DC7" w:rsidRDefault="000631F5" w:rsidP="00D6683E">
            <w:pPr>
              <w:adjustRightInd w:val="0"/>
              <w:snapToGrid w:val="0"/>
              <w:spacing w:before="0" w:beforeAutospacing="0" w:after="0" w:afterAutospacing="0" w:line="540" w:lineRule="atLeast"/>
              <w:rPr>
                <w:rFonts w:ascii="黑体" w:eastAsia="黑体" w:hAnsi="黑体"/>
                <w:color w:val="000000"/>
                <w:sz w:val="24"/>
              </w:rPr>
            </w:pPr>
            <w:r>
              <w:rPr>
                <w:rFonts w:ascii="黑体" w:eastAsia="黑体" w:hAnsi="黑体" w:hint="eastAsia"/>
                <w:color w:val="000000"/>
                <w:sz w:val="24"/>
              </w:rPr>
              <w:t>一、进口汽车销售</w:t>
            </w:r>
            <w:r w:rsidR="00306525" w:rsidRPr="00212DC7">
              <w:rPr>
                <w:rFonts w:ascii="黑体" w:eastAsia="黑体" w:hAnsi="黑体" w:hint="eastAsia"/>
                <w:color w:val="000000"/>
                <w:sz w:val="24"/>
              </w:rPr>
              <w:t>毛利润</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2万元/台</w:t>
            </w:r>
          </w:p>
        </w:tc>
      </w:tr>
      <w:tr w:rsidR="00306525" w:rsidTr="00306525">
        <w:trPr>
          <w:jc w:val="center"/>
        </w:trPr>
        <w:tc>
          <w:tcPr>
            <w:tcW w:w="4060" w:type="dxa"/>
          </w:tcPr>
          <w:p w:rsidR="00306525" w:rsidRPr="00212DC7" w:rsidRDefault="00306525" w:rsidP="00D6683E">
            <w:pPr>
              <w:adjustRightInd w:val="0"/>
              <w:snapToGrid w:val="0"/>
              <w:spacing w:before="0" w:beforeAutospacing="0" w:after="0" w:afterAutospacing="0" w:line="540" w:lineRule="atLeast"/>
              <w:rPr>
                <w:rFonts w:ascii="黑体" w:eastAsia="黑体" w:hAnsi="黑体"/>
                <w:color w:val="000000"/>
                <w:sz w:val="24"/>
              </w:rPr>
            </w:pPr>
            <w:r w:rsidRPr="00212DC7">
              <w:rPr>
                <w:rFonts w:ascii="黑体" w:eastAsia="黑体" w:hAnsi="黑体" w:hint="eastAsia"/>
                <w:color w:val="000000"/>
                <w:sz w:val="24"/>
              </w:rPr>
              <w:t>二、进口汽车维修毛利润</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0.25万元/台</w:t>
            </w:r>
          </w:p>
        </w:tc>
      </w:tr>
      <w:tr w:rsidR="00306525" w:rsidTr="00306525">
        <w:trPr>
          <w:jc w:val="center"/>
        </w:trPr>
        <w:tc>
          <w:tcPr>
            <w:tcW w:w="4060" w:type="dxa"/>
          </w:tcPr>
          <w:p w:rsidR="00306525" w:rsidRPr="00212DC7" w:rsidRDefault="00306525" w:rsidP="00D6683E">
            <w:pPr>
              <w:adjustRightInd w:val="0"/>
              <w:snapToGrid w:val="0"/>
              <w:spacing w:before="0" w:beforeAutospacing="0" w:after="0" w:afterAutospacing="0" w:line="540" w:lineRule="atLeast"/>
              <w:rPr>
                <w:rFonts w:ascii="黑体" w:eastAsia="黑体"/>
                <w:color w:val="000000"/>
                <w:sz w:val="24"/>
              </w:rPr>
            </w:pPr>
            <w:r w:rsidRPr="00212DC7">
              <w:rPr>
                <w:rFonts w:ascii="黑体" w:eastAsia="黑体" w:hint="eastAsia"/>
                <w:color w:val="000000"/>
                <w:sz w:val="24"/>
              </w:rPr>
              <w:t>三、单位人工成本</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10万元/人.年</w:t>
            </w:r>
          </w:p>
        </w:tc>
      </w:tr>
      <w:tr w:rsidR="00306525" w:rsidTr="00306525">
        <w:trPr>
          <w:jc w:val="center"/>
        </w:trPr>
        <w:tc>
          <w:tcPr>
            <w:tcW w:w="4060" w:type="dxa"/>
          </w:tcPr>
          <w:p w:rsidR="00306525" w:rsidRPr="00212DC7" w:rsidRDefault="00306525" w:rsidP="00D6683E">
            <w:pPr>
              <w:adjustRightInd w:val="0"/>
              <w:snapToGrid w:val="0"/>
              <w:spacing w:before="0" w:beforeAutospacing="0" w:after="0" w:afterAutospacing="0" w:line="540" w:lineRule="atLeast"/>
              <w:rPr>
                <w:rFonts w:ascii="黑体" w:eastAsia="黑体"/>
                <w:color w:val="000000"/>
                <w:sz w:val="24"/>
              </w:rPr>
            </w:pPr>
            <w:r w:rsidRPr="00212DC7">
              <w:rPr>
                <w:rFonts w:ascii="黑体" w:eastAsia="黑体" w:hint="eastAsia"/>
                <w:color w:val="000000"/>
                <w:sz w:val="24"/>
              </w:rPr>
              <w:t>四、折旧</w:t>
            </w:r>
          </w:p>
        </w:tc>
        <w:tc>
          <w:tcPr>
            <w:tcW w:w="3672" w:type="dxa"/>
          </w:tcPr>
          <w:p w:rsidR="00306525" w:rsidRDefault="00267611"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492万元/年</w:t>
            </w:r>
          </w:p>
        </w:tc>
      </w:tr>
      <w:tr w:rsidR="00306525" w:rsidTr="00306525">
        <w:trPr>
          <w:jc w:val="center"/>
        </w:trPr>
        <w:tc>
          <w:tcPr>
            <w:tcW w:w="4060" w:type="dxa"/>
          </w:tcPr>
          <w:p w:rsidR="00306525" w:rsidRDefault="00306525" w:rsidP="00D6683E">
            <w:pPr>
              <w:adjustRightInd w:val="0"/>
              <w:snapToGrid w:val="0"/>
              <w:spacing w:before="0" w:beforeAutospacing="0" w:after="0" w:afterAutospacing="0" w:line="540" w:lineRule="atLeast"/>
              <w:ind w:firstLineChars="200" w:firstLine="480"/>
              <w:rPr>
                <w:rFonts w:ascii="黑体" w:eastAsia="黑体"/>
                <w:color w:val="000000"/>
                <w:sz w:val="24"/>
              </w:rPr>
            </w:pPr>
            <w:r>
              <w:rPr>
                <w:rFonts w:ascii="仿宋" w:eastAsia="仿宋" w:hAnsi="仿宋" w:hint="eastAsia"/>
                <w:color w:val="000000"/>
                <w:sz w:val="24"/>
              </w:rPr>
              <w:t>建筑工程与土地使用费折旧</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212万元/年</w:t>
            </w:r>
          </w:p>
        </w:tc>
      </w:tr>
      <w:tr w:rsidR="00306525" w:rsidTr="00306525">
        <w:trPr>
          <w:jc w:val="center"/>
        </w:trPr>
        <w:tc>
          <w:tcPr>
            <w:tcW w:w="4060" w:type="dxa"/>
          </w:tcPr>
          <w:p w:rsidR="00306525" w:rsidRDefault="00306525" w:rsidP="00D6683E">
            <w:pPr>
              <w:adjustRightInd w:val="0"/>
              <w:snapToGrid w:val="0"/>
              <w:spacing w:before="0" w:beforeAutospacing="0" w:after="0" w:afterAutospacing="0" w:line="540" w:lineRule="atLeast"/>
              <w:ind w:firstLineChars="200" w:firstLine="480"/>
              <w:rPr>
                <w:rFonts w:ascii="仿宋" w:eastAsia="仿宋" w:hAnsi="仿宋"/>
                <w:color w:val="000000"/>
                <w:sz w:val="24"/>
              </w:rPr>
            </w:pPr>
            <w:r>
              <w:rPr>
                <w:rFonts w:ascii="仿宋" w:eastAsia="仿宋" w:hAnsi="仿宋" w:hint="eastAsia"/>
                <w:color w:val="000000"/>
                <w:sz w:val="24"/>
              </w:rPr>
              <w:t>进口汽车维修设备折旧</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280万元/年</w:t>
            </w:r>
          </w:p>
        </w:tc>
      </w:tr>
      <w:tr w:rsidR="00306525" w:rsidTr="00306525">
        <w:trPr>
          <w:jc w:val="center"/>
        </w:trPr>
        <w:tc>
          <w:tcPr>
            <w:tcW w:w="4060" w:type="dxa"/>
          </w:tcPr>
          <w:p w:rsidR="00306525" w:rsidRPr="00212DC7" w:rsidRDefault="00306525" w:rsidP="00D6683E">
            <w:pPr>
              <w:adjustRightInd w:val="0"/>
              <w:snapToGrid w:val="0"/>
              <w:spacing w:before="0" w:beforeAutospacing="0" w:after="0" w:afterAutospacing="0" w:line="540" w:lineRule="atLeast"/>
              <w:rPr>
                <w:rFonts w:ascii="仿宋" w:eastAsia="仿宋" w:hAnsi="仿宋"/>
                <w:color w:val="000000"/>
                <w:sz w:val="24"/>
              </w:rPr>
            </w:pPr>
            <w:r w:rsidRPr="00212DC7">
              <w:rPr>
                <w:rFonts w:ascii="黑体" w:eastAsia="黑体" w:hint="eastAsia"/>
                <w:color w:val="000000"/>
                <w:sz w:val="24"/>
              </w:rPr>
              <w:t>五、税收成本（所得税率）</w:t>
            </w:r>
          </w:p>
        </w:tc>
        <w:tc>
          <w:tcPr>
            <w:tcW w:w="3672" w:type="dxa"/>
          </w:tcPr>
          <w:p w:rsidR="00306525" w:rsidRDefault="00306525" w:rsidP="00D6683E">
            <w:pPr>
              <w:adjustRightInd w:val="0"/>
              <w:snapToGrid w:val="0"/>
              <w:spacing w:before="0" w:beforeAutospacing="0" w:after="0" w:afterAutospacing="0" w:line="540" w:lineRule="atLeast"/>
              <w:jc w:val="right"/>
              <w:rPr>
                <w:rFonts w:ascii="黑体" w:eastAsia="黑体"/>
                <w:color w:val="000000"/>
                <w:sz w:val="24"/>
              </w:rPr>
            </w:pPr>
            <w:r>
              <w:rPr>
                <w:rFonts w:ascii="黑体" w:eastAsia="黑体" w:hint="eastAsia"/>
                <w:color w:val="000000"/>
                <w:sz w:val="24"/>
              </w:rPr>
              <w:t>25%</w:t>
            </w:r>
          </w:p>
        </w:tc>
      </w:tr>
    </w:tbl>
    <w:p w:rsidR="00477D8F" w:rsidRPr="00BA4310" w:rsidRDefault="00BA4310" w:rsidP="00884E3E">
      <w:pPr>
        <w:adjustRightInd w:val="0"/>
        <w:snapToGrid w:val="0"/>
        <w:spacing w:beforeLines="50" w:beforeAutospacing="0" w:afterLines="50" w:afterAutospacing="0" w:line="540" w:lineRule="atLeast"/>
        <w:ind w:firstLineChars="200" w:firstLine="562"/>
        <w:rPr>
          <w:rFonts w:ascii="仿宋" w:eastAsia="仿宋" w:hAnsi="仿宋"/>
          <w:b/>
          <w:color w:val="000000"/>
          <w:sz w:val="28"/>
          <w:szCs w:val="28"/>
        </w:rPr>
      </w:pPr>
      <w:r w:rsidRPr="00BA4310">
        <w:rPr>
          <w:rFonts w:ascii="仿宋" w:eastAsia="仿宋" w:hAnsi="仿宋" w:hint="eastAsia"/>
          <w:b/>
          <w:color w:val="000000"/>
          <w:sz w:val="28"/>
          <w:szCs w:val="28"/>
        </w:rPr>
        <w:t>指标取值的相关</w:t>
      </w:r>
      <w:r w:rsidR="002C68BC" w:rsidRPr="00BA4310">
        <w:rPr>
          <w:rFonts w:ascii="仿宋" w:eastAsia="仿宋" w:hAnsi="仿宋" w:hint="eastAsia"/>
          <w:b/>
          <w:color w:val="000000"/>
          <w:sz w:val="28"/>
          <w:szCs w:val="28"/>
        </w:rPr>
        <w:t>说明：</w:t>
      </w:r>
      <w:r w:rsidR="00E3522A" w:rsidRPr="00BA4310">
        <w:rPr>
          <w:rFonts w:ascii="仿宋" w:eastAsia="仿宋" w:hAnsi="仿宋"/>
          <w:b/>
          <w:color w:val="000000"/>
          <w:sz w:val="28"/>
          <w:szCs w:val="28"/>
        </w:rPr>
        <w:t xml:space="preserve"> </w:t>
      </w:r>
    </w:p>
    <w:p w:rsidR="00306525" w:rsidRPr="00BA4310" w:rsidRDefault="002C68BC"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BA4310">
        <w:rPr>
          <w:rFonts w:ascii="仿宋" w:eastAsia="仿宋" w:hAnsi="仿宋" w:hint="eastAsia"/>
          <w:color w:val="000000"/>
          <w:sz w:val="28"/>
          <w:szCs w:val="28"/>
        </w:rPr>
        <w:t>1、进口汽车销售</w:t>
      </w:r>
      <w:r w:rsidR="00306525" w:rsidRPr="00BA4310">
        <w:rPr>
          <w:rFonts w:ascii="仿宋" w:eastAsia="仿宋" w:hAnsi="仿宋" w:hint="eastAsia"/>
          <w:color w:val="000000"/>
          <w:sz w:val="28"/>
          <w:szCs w:val="28"/>
        </w:rPr>
        <w:t>价格以40万元/台为预测均价，</w:t>
      </w:r>
      <w:r w:rsidR="003C7F9F" w:rsidRPr="00BA4310">
        <w:rPr>
          <w:rFonts w:ascii="仿宋" w:eastAsia="仿宋" w:hAnsi="仿宋" w:hint="eastAsia"/>
          <w:color w:val="000000"/>
          <w:sz w:val="28"/>
          <w:szCs w:val="28"/>
        </w:rPr>
        <w:t>进出口关税、增值税可以向消费者转嫁，为了估算方便，并根据目前市场实际情况，</w:t>
      </w:r>
      <w:r w:rsidR="00306525" w:rsidRPr="00BA4310">
        <w:rPr>
          <w:rFonts w:ascii="仿宋" w:eastAsia="仿宋" w:hAnsi="仿宋" w:hint="eastAsia"/>
          <w:color w:val="000000"/>
          <w:sz w:val="28"/>
          <w:szCs w:val="28"/>
        </w:rPr>
        <w:t>毛利润率取5%，即进口汽车销售单台毛利润为2万元。</w:t>
      </w:r>
    </w:p>
    <w:p w:rsidR="00477D8F" w:rsidRPr="00BA4310" w:rsidRDefault="002C68BC" w:rsidP="00884E3E">
      <w:pPr>
        <w:adjustRightInd w:val="0"/>
        <w:snapToGrid w:val="0"/>
        <w:spacing w:beforeLines="50" w:beforeAutospacing="0" w:afterLines="50" w:afterAutospacing="0" w:line="500" w:lineRule="atLeast"/>
        <w:ind w:firstLineChars="200" w:firstLine="560"/>
        <w:rPr>
          <w:rFonts w:ascii="仿宋" w:eastAsia="仿宋" w:hAnsi="仿宋"/>
          <w:color w:val="000000"/>
          <w:sz w:val="28"/>
          <w:szCs w:val="28"/>
        </w:rPr>
      </w:pPr>
      <w:r w:rsidRPr="00BA4310">
        <w:rPr>
          <w:rFonts w:ascii="仿宋" w:eastAsia="仿宋" w:hAnsi="仿宋" w:hint="eastAsia"/>
          <w:color w:val="000000"/>
          <w:sz w:val="28"/>
          <w:szCs w:val="28"/>
        </w:rPr>
        <w:lastRenderedPageBreak/>
        <w:t>2、进口汽车维修费用为</w:t>
      </w:r>
      <w:r w:rsidR="00306525" w:rsidRPr="00BA4310">
        <w:rPr>
          <w:rFonts w:ascii="仿宋" w:eastAsia="仿宋" w:hAnsi="仿宋" w:hint="eastAsia"/>
          <w:color w:val="000000"/>
          <w:sz w:val="28"/>
          <w:szCs w:val="28"/>
        </w:rPr>
        <w:t>0.</w:t>
      </w:r>
      <w:r w:rsidRPr="00BA4310">
        <w:rPr>
          <w:rFonts w:ascii="仿宋" w:eastAsia="仿宋" w:hAnsi="仿宋" w:hint="eastAsia"/>
          <w:color w:val="000000"/>
          <w:sz w:val="28"/>
          <w:szCs w:val="28"/>
        </w:rPr>
        <w:t>5</w:t>
      </w:r>
      <w:r w:rsidR="00E3522A" w:rsidRPr="00BA4310">
        <w:rPr>
          <w:rFonts w:ascii="仿宋" w:eastAsia="仿宋" w:hAnsi="仿宋" w:hint="eastAsia"/>
          <w:color w:val="000000"/>
          <w:sz w:val="28"/>
          <w:szCs w:val="28"/>
        </w:rPr>
        <w:t>万元</w:t>
      </w:r>
      <w:r w:rsidRPr="00BA4310">
        <w:rPr>
          <w:rFonts w:ascii="仿宋" w:eastAsia="仿宋" w:hAnsi="仿宋" w:hint="eastAsia"/>
          <w:color w:val="000000"/>
          <w:sz w:val="28"/>
          <w:szCs w:val="28"/>
        </w:rPr>
        <w:t>/台.年。</w:t>
      </w:r>
      <w:r w:rsidR="00306525" w:rsidRPr="00BA4310">
        <w:rPr>
          <w:rFonts w:ascii="仿宋" w:eastAsia="仿宋" w:hAnsi="仿宋" w:hint="eastAsia"/>
          <w:color w:val="000000"/>
          <w:sz w:val="28"/>
          <w:szCs w:val="28"/>
        </w:rPr>
        <w:t>扣除零配件成本占比50%，</w:t>
      </w:r>
      <w:r w:rsidR="00E3522A" w:rsidRPr="00BA4310">
        <w:rPr>
          <w:rFonts w:ascii="仿宋" w:eastAsia="仿宋" w:hAnsi="仿宋" w:hint="eastAsia"/>
          <w:color w:val="000000"/>
          <w:sz w:val="28"/>
          <w:szCs w:val="28"/>
        </w:rPr>
        <w:t>进口汽车维修单台毛利润为0.25万元/台.年</w:t>
      </w:r>
    </w:p>
    <w:p w:rsidR="00BA4310" w:rsidRDefault="002C68BC" w:rsidP="00884E3E">
      <w:pPr>
        <w:adjustRightInd w:val="0"/>
        <w:snapToGrid w:val="0"/>
        <w:spacing w:beforeLines="50" w:beforeAutospacing="0" w:afterLines="50" w:afterAutospacing="0" w:line="500" w:lineRule="atLeast"/>
        <w:ind w:firstLineChars="200" w:firstLine="560"/>
        <w:rPr>
          <w:rFonts w:ascii="仿宋" w:eastAsia="仿宋" w:hAnsi="仿宋"/>
          <w:color w:val="000000"/>
          <w:sz w:val="28"/>
          <w:szCs w:val="28"/>
        </w:rPr>
      </w:pPr>
      <w:r w:rsidRPr="00BA4310">
        <w:rPr>
          <w:rFonts w:ascii="仿宋" w:eastAsia="仿宋" w:hAnsi="仿宋" w:hint="eastAsia"/>
          <w:color w:val="000000"/>
          <w:sz w:val="28"/>
          <w:szCs w:val="28"/>
        </w:rPr>
        <w:t>3、</w:t>
      </w:r>
      <w:r w:rsidR="00BA4310">
        <w:rPr>
          <w:rFonts w:ascii="仿宋" w:eastAsia="仿宋" w:hAnsi="仿宋" w:hint="eastAsia"/>
          <w:color w:val="000000"/>
          <w:sz w:val="28"/>
          <w:szCs w:val="28"/>
        </w:rPr>
        <w:t>单位人工成本取值</w:t>
      </w:r>
      <w:r w:rsidR="00BA4310" w:rsidRPr="00BA4310">
        <w:rPr>
          <w:rFonts w:ascii="仿宋" w:eastAsia="仿宋" w:hAnsi="仿宋" w:hint="eastAsia"/>
          <w:color w:val="000000"/>
          <w:sz w:val="28"/>
          <w:szCs w:val="28"/>
        </w:rPr>
        <w:t>10万元/人.年</w:t>
      </w:r>
      <w:r w:rsidR="00BA4310">
        <w:rPr>
          <w:rFonts w:ascii="仿宋" w:eastAsia="仿宋" w:hAnsi="仿宋" w:hint="eastAsia"/>
          <w:color w:val="000000"/>
          <w:sz w:val="28"/>
          <w:szCs w:val="28"/>
        </w:rPr>
        <w:t>，高于岳阳当地的行业平均薪酬水平，主要考虑了以下因素：一是</w:t>
      </w:r>
      <w:r w:rsidR="00CE5A0A">
        <w:rPr>
          <w:rFonts w:ascii="仿宋" w:eastAsia="仿宋" w:hAnsi="仿宋" w:hint="eastAsia"/>
          <w:color w:val="000000"/>
          <w:sz w:val="28"/>
          <w:szCs w:val="28"/>
        </w:rPr>
        <w:t>本项目类似于行业发展的新来者，为了保证服务质量，提升市场竞争力，应该给员工提供具有行业竞争性的薪酬。</w:t>
      </w:r>
      <w:r w:rsidR="00BA4310" w:rsidRPr="00BA4310">
        <w:rPr>
          <w:rFonts w:ascii="仿宋" w:eastAsia="仿宋" w:hAnsi="仿宋" w:hint="eastAsia"/>
          <w:color w:val="000000"/>
          <w:sz w:val="28"/>
          <w:szCs w:val="28"/>
        </w:rPr>
        <w:t>10万元</w:t>
      </w:r>
      <w:r w:rsidR="00BA4310">
        <w:rPr>
          <w:rFonts w:ascii="仿宋" w:eastAsia="仿宋" w:hAnsi="仿宋" w:hint="eastAsia"/>
          <w:color w:val="000000"/>
          <w:sz w:val="28"/>
          <w:szCs w:val="28"/>
        </w:rPr>
        <w:t>包含了社会保障领域的综合费率，</w:t>
      </w:r>
      <w:r w:rsidR="00CE5A0A">
        <w:rPr>
          <w:rFonts w:ascii="仿宋" w:eastAsia="仿宋" w:hAnsi="仿宋" w:hint="eastAsia"/>
          <w:color w:val="000000"/>
          <w:sz w:val="28"/>
          <w:szCs w:val="28"/>
        </w:rPr>
        <w:t>即四险一金，甚至职业年金的实施空间；二是平行进口的方式会给汽车经销与后市场带来冲击，行业薪酬水平未来有较大幅度提升的可能。</w:t>
      </w:r>
    </w:p>
    <w:p w:rsidR="00477D8F" w:rsidRPr="00BA4310" w:rsidRDefault="00BA4310" w:rsidP="00884E3E">
      <w:pPr>
        <w:adjustRightInd w:val="0"/>
        <w:snapToGrid w:val="0"/>
        <w:spacing w:beforeLines="50" w:beforeAutospacing="0" w:afterLines="50" w:afterAutospacing="0" w:line="500" w:lineRule="atLeas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2C68BC" w:rsidRPr="00BA4310">
        <w:rPr>
          <w:rFonts w:ascii="仿宋" w:eastAsia="仿宋" w:hAnsi="仿宋" w:hint="eastAsia"/>
          <w:color w:val="000000"/>
          <w:sz w:val="28"/>
          <w:szCs w:val="28"/>
        </w:rPr>
        <w:t>工程与土地使用费折旧期限</w:t>
      </w:r>
      <w:r w:rsidR="00E60581" w:rsidRPr="00BA4310">
        <w:rPr>
          <w:rFonts w:ascii="仿宋" w:eastAsia="仿宋" w:hAnsi="仿宋" w:hint="eastAsia"/>
          <w:color w:val="000000"/>
          <w:sz w:val="28"/>
          <w:szCs w:val="28"/>
        </w:rPr>
        <w:t>5</w:t>
      </w:r>
      <w:r w:rsidR="002C68BC" w:rsidRPr="00BA4310">
        <w:rPr>
          <w:rFonts w:ascii="仿宋" w:eastAsia="仿宋" w:hAnsi="仿宋" w:hint="eastAsia"/>
          <w:color w:val="000000"/>
          <w:sz w:val="28"/>
          <w:szCs w:val="28"/>
        </w:rPr>
        <w:t>0年，平均折旧法。</w:t>
      </w:r>
    </w:p>
    <w:p w:rsidR="00477D8F" w:rsidRPr="00BA4310" w:rsidRDefault="00BA4310" w:rsidP="00884E3E">
      <w:pPr>
        <w:adjustRightInd w:val="0"/>
        <w:snapToGrid w:val="0"/>
        <w:spacing w:beforeLines="50" w:beforeAutospacing="0" w:afterLines="50" w:afterAutospacing="0" w:line="500" w:lineRule="atLeas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2C68BC" w:rsidRPr="00BA4310">
        <w:rPr>
          <w:rFonts w:ascii="仿宋" w:eastAsia="仿宋" w:hAnsi="仿宋" w:hint="eastAsia"/>
          <w:color w:val="000000"/>
          <w:sz w:val="28"/>
          <w:szCs w:val="28"/>
        </w:rPr>
        <w:t>、进口汽车维修设备折旧期限5年，平均折旧法。</w:t>
      </w:r>
    </w:p>
    <w:p w:rsidR="00C220DA" w:rsidRDefault="003C7F9F" w:rsidP="00884E3E">
      <w:pPr>
        <w:adjustRightInd w:val="0"/>
        <w:snapToGrid w:val="0"/>
        <w:spacing w:beforeLines="50" w:beforeAutospacing="0" w:afterLines="50" w:afterAutospacing="0" w:line="50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根据前述各项指标预测及估算，项目建成运营的五年内（2018-2022年），纯利润分别为3500万元、5000万元、6500万元、8800万元和12000万元左右，在各项指标符合预测值的情况下，项目具备良好的经营效益</w:t>
      </w:r>
      <w:r w:rsidR="003137AF" w:rsidRPr="00212DC7">
        <w:rPr>
          <w:rFonts w:ascii="仿宋" w:eastAsia="仿宋" w:hAnsi="仿宋" w:hint="eastAsia"/>
          <w:color w:val="000000"/>
          <w:sz w:val="28"/>
          <w:szCs w:val="28"/>
        </w:rPr>
        <w:t>（见表5所示）。</w:t>
      </w:r>
    </w:p>
    <w:p w:rsidR="00267611" w:rsidRPr="00C220DA" w:rsidRDefault="00267611" w:rsidP="00884E3E">
      <w:pPr>
        <w:adjustRightInd w:val="0"/>
        <w:snapToGrid w:val="0"/>
        <w:spacing w:beforeLines="50" w:beforeAutospacing="0" w:afterLines="50" w:afterAutospacing="0" w:line="540" w:lineRule="atLeast"/>
        <w:ind w:firstLineChars="200" w:firstLine="480"/>
        <w:jc w:val="center"/>
        <w:rPr>
          <w:rFonts w:ascii="仿宋" w:eastAsia="仿宋" w:hAnsi="仿宋"/>
          <w:color w:val="000000"/>
          <w:sz w:val="28"/>
          <w:szCs w:val="28"/>
        </w:rPr>
      </w:pPr>
      <w:r w:rsidRPr="00451018">
        <w:rPr>
          <w:rFonts w:ascii="黑体" w:eastAsia="黑体" w:hint="eastAsia"/>
          <w:color w:val="000000"/>
          <w:sz w:val="24"/>
          <w:szCs w:val="24"/>
        </w:rPr>
        <w:t>表</w:t>
      </w:r>
      <w:r w:rsidR="005B101B" w:rsidRPr="00451018">
        <w:rPr>
          <w:rFonts w:ascii="黑体" w:eastAsia="黑体" w:hint="eastAsia"/>
          <w:color w:val="000000"/>
          <w:sz w:val="24"/>
          <w:szCs w:val="24"/>
        </w:rPr>
        <w:t>5</w:t>
      </w:r>
      <w:r w:rsidRPr="00451018">
        <w:rPr>
          <w:rFonts w:ascii="黑体" w:eastAsia="黑体" w:hint="eastAsia"/>
          <w:color w:val="000000"/>
          <w:sz w:val="24"/>
          <w:szCs w:val="24"/>
        </w:rPr>
        <w:t>：分年度预测</w:t>
      </w:r>
      <w:r w:rsidR="000A368E" w:rsidRPr="00451018">
        <w:rPr>
          <w:rFonts w:ascii="黑体" w:eastAsia="黑体" w:hint="eastAsia"/>
          <w:color w:val="000000"/>
          <w:sz w:val="24"/>
          <w:szCs w:val="24"/>
        </w:rPr>
        <w:t>（万元）</w:t>
      </w:r>
    </w:p>
    <w:tbl>
      <w:tblPr>
        <w:tblW w:w="8653" w:type="dxa"/>
        <w:jc w:val="center"/>
        <w:tblInd w:w="-267" w:type="dxa"/>
        <w:tblLook w:val="04A0"/>
      </w:tblPr>
      <w:tblGrid>
        <w:gridCol w:w="1509"/>
        <w:gridCol w:w="709"/>
        <w:gridCol w:w="709"/>
        <w:gridCol w:w="709"/>
        <w:gridCol w:w="708"/>
        <w:gridCol w:w="709"/>
        <w:gridCol w:w="709"/>
        <w:gridCol w:w="709"/>
        <w:gridCol w:w="850"/>
        <w:gridCol w:w="616"/>
        <w:gridCol w:w="716"/>
      </w:tblGrid>
      <w:tr w:rsidR="00267611" w:rsidRPr="00267611" w:rsidTr="00212DC7">
        <w:trPr>
          <w:trHeight w:val="360"/>
          <w:jc w:val="center"/>
        </w:trPr>
        <w:tc>
          <w:tcPr>
            <w:tcW w:w="15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67611" w:rsidRPr="00267611" w:rsidRDefault="00267611" w:rsidP="00D6683E">
            <w:pPr>
              <w:widowControl/>
              <w:adjustRightInd w:val="0"/>
              <w:snapToGrid w:val="0"/>
              <w:spacing w:before="0" w:beforeAutospacing="0" w:after="0" w:afterAutospacing="0" w:line="540" w:lineRule="atLeast"/>
              <w:jc w:val="left"/>
              <w:rPr>
                <w:rFonts w:ascii="宋体" w:hAnsi="宋体" w:cs="宋体"/>
                <w:color w:val="000000"/>
                <w:kern w:val="0"/>
                <w:sz w:val="22"/>
              </w:rPr>
            </w:pPr>
            <w:r w:rsidRPr="00267611">
              <w:rPr>
                <w:rFonts w:ascii="宋体" w:hAnsi="宋体" w:cs="宋体" w:hint="eastAsia"/>
                <w:color w:val="000000"/>
                <w:kern w:val="0"/>
                <w:sz w:val="22"/>
              </w:rPr>
              <w:t xml:space="preserve">　</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center"/>
              <w:rPr>
                <w:rFonts w:ascii="仿宋_GB2312" w:eastAsia="仿宋_GB2312" w:hAnsi="宋体" w:cs="宋体"/>
                <w:color w:val="000000"/>
                <w:kern w:val="0"/>
                <w:sz w:val="24"/>
                <w:szCs w:val="24"/>
              </w:rPr>
            </w:pPr>
            <w:r w:rsidRPr="00267611">
              <w:rPr>
                <w:rFonts w:ascii="仿宋_GB2312" w:eastAsia="仿宋_GB2312" w:hAnsi="宋体" w:cs="宋体" w:hint="eastAsia"/>
                <w:color w:val="000000"/>
                <w:kern w:val="0"/>
                <w:sz w:val="24"/>
                <w:szCs w:val="24"/>
              </w:rPr>
              <w:t>2018年</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center"/>
              <w:rPr>
                <w:rFonts w:ascii="仿宋_GB2312" w:eastAsia="仿宋_GB2312" w:hAnsi="宋体" w:cs="宋体"/>
                <w:color w:val="000000"/>
                <w:kern w:val="0"/>
                <w:sz w:val="24"/>
                <w:szCs w:val="24"/>
              </w:rPr>
            </w:pPr>
            <w:r w:rsidRPr="00267611">
              <w:rPr>
                <w:rFonts w:ascii="仿宋_GB2312" w:eastAsia="仿宋_GB2312" w:hAnsi="宋体" w:cs="宋体" w:hint="eastAsia"/>
                <w:color w:val="000000"/>
                <w:kern w:val="0"/>
                <w:sz w:val="24"/>
                <w:szCs w:val="24"/>
              </w:rPr>
              <w:t>2019年</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center"/>
              <w:rPr>
                <w:rFonts w:ascii="仿宋_GB2312" w:eastAsia="仿宋_GB2312" w:hAnsi="宋体" w:cs="宋体"/>
                <w:color w:val="000000"/>
                <w:kern w:val="0"/>
                <w:sz w:val="24"/>
                <w:szCs w:val="24"/>
              </w:rPr>
            </w:pPr>
            <w:r w:rsidRPr="00267611">
              <w:rPr>
                <w:rFonts w:ascii="仿宋_GB2312" w:eastAsia="仿宋_GB2312" w:hAnsi="宋体" w:cs="宋体" w:hint="eastAsia"/>
                <w:color w:val="000000"/>
                <w:kern w:val="0"/>
                <w:sz w:val="24"/>
                <w:szCs w:val="24"/>
              </w:rPr>
              <w:t>2020年</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center"/>
              <w:rPr>
                <w:rFonts w:ascii="仿宋_GB2312" w:eastAsia="仿宋_GB2312" w:hAnsi="宋体" w:cs="宋体"/>
                <w:color w:val="000000"/>
                <w:kern w:val="0"/>
                <w:sz w:val="24"/>
                <w:szCs w:val="24"/>
              </w:rPr>
            </w:pPr>
            <w:r w:rsidRPr="00267611">
              <w:rPr>
                <w:rFonts w:ascii="仿宋_GB2312" w:eastAsia="仿宋_GB2312" w:hAnsi="宋体" w:cs="宋体" w:hint="eastAsia"/>
                <w:color w:val="000000"/>
                <w:kern w:val="0"/>
                <w:sz w:val="24"/>
                <w:szCs w:val="24"/>
              </w:rPr>
              <w:t>2021年</w:t>
            </w:r>
          </w:p>
        </w:tc>
        <w:tc>
          <w:tcPr>
            <w:tcW w:w="133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center"/>
              <w:rPr>
                <w:rFonts w:ascii="仿宋_GB2312" w:eastAsia="仿宋_GB2312" w:hAnsi="宋体" w:cs="宋体"/>
                <w:color w:val="000000"/>
                <w:kern w:val="0"/>
                <w:sz w:val="24"/>
                <w:szCs w:val="24"/>
              </w:rPr>
            </w:pPr>
            <w:r w:rsidRPr="00267611">
              <w:rPr>
                <w:rFonts w:ascii="仿宋_GB2312" w:eastAsia="仿宋_GB2312" w:hAnsi="宋体" w:cs="宋体" w:hint="eastAsia"/>
                <w:color w:val="000000"/>
                <w:kern w:val="0"/>
                <w:sz w:val="24"/>
                <w:szCs w:val="24"/>
              </w:rPr>
              <w:t>2022年</w:t>
            </w:r>
          </w:p>
        </w:tc>
      </w:tr>
      <w:tr w:rsidR="00267611" w:rsidRPr="00267611" w:rsidTr="00212DC7">
        <w:trPr>
          <w:trHeight w:val="360"/>
          <w:jc w:val="center"/>
        </w:trPr>
        <w:tc>
          <w:tcPr>
            <w:tcW w:w="15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7611" w:rsidRPr="00267611" w:rsidRDefault="00267611" w:rsidP="00D6683E">
            <w:pPr>
              <w:widowControl/>
              <w:adjustRightInd w:val="0"/>
              <w:snapToGrid w:val="0"/>
              <w:spacing w:before="0" w:beforeAutospacing="0" w:after="0" w:afterAutospacing="0" w:line="540" w:lineRule="atLeast"/>
              <w:jc w:val="left"/>
              <w:rPr>
                <w:rFonts w:ascii="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267611" w:rsidRPr="003206B2" w:rsidRDefault="00267611" w:rsidP="00D6683E">
            <w:pPr>
              <w:widowControl/>
              <w:adjustRightInd w:val="0"/>
              <w:snapToGrid w:val="0"/>
              <w:spacing w:before="0" w:beforeAutospacing="0" w:after="0" w:afterAutospacing="0" w:line="540" w:lineRule="atLeast"/>
              <w:jc w:val="center"/>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量</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267611" w:rsidRPr="003206B2" w:rsidRDefault="00267611" w:rsidP="00D6683E">
            <w:pPr>
              <w:widowControl/>
              <w:adjustRightInd w:val="0"/>
              <w:snapToGrid w:val="0"/>
              <w:spacing w:before="0" w:beforeAutospacing="0" w:after="0" w:afterAutospacing="0" w:line="540" w:lineRule="atLeast"/>
              <w:jc w:val="left"/>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金额</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267611" w:rsidRPr="003206B2" w:rsidRDefault="00267611" w:rsidP="00D6683E">
            <w:pPr>
              <w:widowControl/>
              <w:adjustRightInd w:val="0"/>
              <w:snapToGrid w:val="0"/>
              <w:spacing w:before="0" w:beforeAutospacing="0" w:after="0" w:afterAutospacing="0" w:line="540" w:lineRule="atLeast"/>
              <w:jc w:val="center"/>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量</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267611" w:rsidRPr="003206B2" w:rsidRDefault="00267611" w:rsidP="00D6683E">
            <w:pPr>
              <w:widowControl/>
              <w:adjustRightInd w:val="0"/>
              <w:snapToGrid w:val="0"/>
              <w:spacing w:before="0" w:beforeAutospacing="0" w:after="0" w:afterAutospacing="0" w:line="540" w:lineRule="atLeast"/>
              <w:jc w:val="left"/>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金额</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267611" w:rsidRPr="003206B2" w:rsidRDefault="00267611" w:rsidP="00D6683E">
            <w:pPr>
              <w:widowControl/>
              <w:adjustRightInd w:val="0"/>
              <w:snapToGrid w:val="0"/>
              <w:spacing w:before="0" w:beforeAutospacing="0" w:after="0" w:afterAutospacing="0" w:line="540" w:lineRule="atLeast"/>
              <w:jc w:val="center"/>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量</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rsidR="00267611" w:rsidRPr="003206B2" w:rsidRDefault="00267611" w:rsidP="00D6683E">
            <w:pPr>
              <w:widowControl/>
              <w:adjustRightInd w:val="0"/>
              <w:snapToGrid w:val="0"/>
              <w:spacing w:before="0" w:beforeAutospacing="0" w:after="0" w:afterAutospacing="0" w:line="540" w:lineRule="atLeast"/>
              <w:jc w:val="left"/>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金额</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267611" w:rsidRPr="003206B2" w:rsidRDefault="00267611" w:rsidP="00D6683E">
            <w:pPr>
              <w:widowControl/>
              <w:adjustRightInd w:val="0"/>
              <w:snapToGrid w:val="0"/>
              <w:spacing w:before="0" w:beforeAutospacing="0" w:after="0" w:afterAutospacing="0" w:line="540" w:lineRule="atLeast"/>
              <w:jc w:val="center"/>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量</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267611" w:rsidRPr="003206B2" w:rsidRDefault="00267611" w:rsidP="00D6683E">
            <w:pPr>
              <w:widowControl/>
              <w:adjustRightInd w:val="0"/>
              <w:snapToGrid w:val="0"/>
              <w:spacing w:before="0" w:beforeAutospacing="0" w:after="0" w:afterAutospacing="0" w:line="540" w:lineRule="atLeast"/>
              <w:jc w:val="left"/>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金额</w:t>
            </w:r>
          </w:p>
        </w:tc>
        <w:tc>
          <w:tcPr>
            <w:tcW w:w="616" w:type="dxa"/>
            <w:tcBorders>
              <w:top w:val="nil"/>
              <w:left w:val="nil"/>
              <w:bottom w:val="single" w:sz="4" w:space="0" w:color="auto"/>
              <w:right w:val="single" w:sz="4" w:space="0" w:color="auto"/>
            </w:tcBorders>
            <w:shd w:val="clear" w:color="auto" w:fill="F2F2F2" w:themeFill="background1" w:themeFillShade="F2"/>
            <w:vAlign w:val="center"/>
            <w:hideMark/>
          </w:tcPr>
          <w:p w:rsidR="00267611" w:rsidRPr="003206B2" w:rsidRDefault="00267611" w:rsidP="00D6683E">
            <w:pPr>
              <w:widowControl/>
              <w:adjustRightInd w:val="0"/>
              <w:snapToGrid w:val="0"/>
              <w:spacing w:before="0" w:beforeAutospacing="0" w:after="0" w:afterAutospacing="0" w:line="540" w:lineRule="atLeast"/>
              <w:jc w:val="center"/>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量</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267611" w:rsidRPr="003206B2" w:rsidRDefault="00267611" w:rsidP="00D6683E">
            <w:pPr>
              <w:widowControl/>
              <w:adjustRightInd w:val="0"/>
              <w:snapToGrid w:val="0"/>
              <w:spacing w:before="0" w:beforeAutospacing="0" w:after="0" w:afterAutospacing="0" w:line="540" w:lineRule="atLeast"/>
              <w:jc w:val="left"/>
              <w:rPr>
                <w:rFonts w:asciiTheme="minorEastAsia" w:eastAsiaTheme="minorEastAsia" w:hAnsiTheme="minorEastAsia" w:cs="宋体"/>
                <w:color w:val="000000"/>
                <w:kern w:val="0"/>
                <w:szCs w:val="21"/>
              </w:rPr>
            </w:pPr>
            <w:r w:rsidRPr="003206B2">
              <w:rPr>
                <w:rFonts w:asciiTheme="minorEastAsia" w:eastAsiaTheme="minorEastAsia" w:hAnsiTheme="minorEastAsia" w:cs="宋体" w:hint="eastAsia"/>
                <w:color w:val="000000"/>
                <w:kern w:val="0"/>
                <w:szCs w:val="21"/>
              </w:rPr>
              <w:t>金额</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销售毛利润</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2600</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5200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3500</w:t>
            </w:r>
          </w:p>
        </w:tc>
        <w:tc>
          <w:tcPr>
            <w:tcW w:w="708"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7000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4500</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9000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5800</w:t>
            </w:r>
          </w:p>
        </w:tc>
        <w:tc>
          <w:tcPr>
            <w:tcW w:w="850"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11600</w:t>
            </w:r>
          </w:p>
        </w:tc>
        <w:tc>
          <w:tcPr>
            <w:tcW w:w="616"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7500</w:t>
            </w:r>
          </w:p>
        </w:tc>
        <w:tc>
          <w:tcPr>
            <w:tcW w:w="716"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15000</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维修毛利润</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1500</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375</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2300</w:t>
            </w:r>
          </w:p>
        </w:tc>
        <w:tc>
          <w:tcPr>
            <w:tcW w:w="708"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575</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875</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5500</w:t>
            </w:r>
          </w:p>
        </w:tc>
        <w:tc>
          <w:tcPr>
            <w:tcW w:w="850"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1375</w:t>
            </w:r>
          </w:p>
        </w:tc>
        <w:tc>
          <w:tcPr>
            <w:tcW w:w="616"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9000</w:t>
            </w:r>
          </w:p>
        </w:tc>
        <w:tc>
          <w:tcPr>
            <w:tcW w:w="716"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2250</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人工成本</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75</w:t>
            </w:r>
          </w:p>
        </w:tc>
        <w:tc>
          <w:tcPr>
            <w:tcW w:w="709"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750</w:t>
            </w:r>
          </w:p>
        </w:tc>
        <w:tc>
          <w:tcPr>
            <w:tcW w:w="709"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80</w:t>
            </w:r>
          </w:p>
        </w:tc>
        <w:tc>
          <w:tcPr>
            <w:tcW w:w="850"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800</w:t>
            </w:r>
          </w:p>
        </w:tc>
        <w:tc>
          <w:tcPr>
            <w:tcW w:w="616" w:type="dxa"/>
            <w:tcBorders>
              <w:top w:val="nil"/>
              <w:left w:val="nil"/>
              <w:bottom w:val="single" w:sz="4" w:space="0" w:color="auto"/>
              <w:right w:val="single" w:sz="4" w:space="0" w:color="auto"/>
            </w:tcBorders>
            <w:shd w:val="clear" w:color="auto" w:fill="auto"/>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100</w:t>
            </w:r>
          </w:p>
        </w:tc>
        <w:tc>
          <w:tcPr>
            <w:tcW w:w="716" w:type="dxa"/>
            <w:tcBorders>
              <w:top w:val="nil"/>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1000</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折旧</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492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492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492</w:t>
            </w: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492</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所得税</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1145.75</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1620.75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2158.25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2920.75</w:t>
            </w: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3939.5</w:t>
            </w:r>
          </w:p>
        </w:tc>
      </w:tr>
      <w:tr w:rsidR="00267611" w:rsidRPr="00267611" w:rsidTr="00212DC7">
        <w:trPr>
          <w:trHeight w:val="360"/>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267611" w:rsidRPr="00212DC7" w:rsidRDefault="00267611" w:rsidP="00D6683E">
            <w:pPr>
              <w:widowControl/>
              <w:adjustRightInd w:val="0"/>
              <w:snapToGrid w:val="0"/>
              <w:spacing w:before="0" w:beforeAutospacing="0" w:after="0" w:afterAutospacing="0" w:line="540" w:lineRule="atLeast"/>
              <w:jc w:val="left"/>
              <w:rPr>
                <w:rFonts w:ascii="黑体" w:eastAsia="黑体" w:hAnsi="黑体" w:cs="宋体"/>
                <w:color w:val="000000"/>
                <w:kern w:val="0"/>
                <w:sz w:val="24"/>
                <w:szCs w:val="24"/>
              </w:rPr>
            </w:pPr>
            <w:r w:rsidRPr="00212DC7">
              <w:rPr>
                <w:rFonts w:ascii="黑体" w:eastAsia="黑体" w:hAnsi="黑体" w:cs="宋体" w:hint="eastAsia"/>
                <w:color w:val="000000"/>
                <w:kern w:val="0"/>
                <w:sz w:val="24"/>
                <w:szCs w:val="24"/>
              </w:rPr>
              <w:t>纯利润</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3437.25</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4862.25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6474.75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8762.25</w:t>
            </w: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7611" w:rsidRPr="003206B2" w:rsidRDefault="00267611" w:rsidP="00D6683E">
            <w:pPr>
              <w:widowControl/>
              <w:adjustRightInd w:val="0"/>
              <w:snapToGrid w:val="0"/>
              <w:spacing w:before="0" w:beforeAutospacing="0" w:after="0" w:afterAutospacing="0" w:line="540" w:lineRule="atLeast"/>
              <w:jc w:val="right"/>
              <w:rPr>
                <w:color w:val="000000"/>
                <w:kern w:val="0"/>
                <w:sz w:val="20"/>
                <w:szCs w:val="20"/>
              </w:rPr>
            </w:pPr>
            <w:r w:rsidRPr="003206B2">
              <w:rPr>
                <w:color w:val="000000"/>
                <w:kern w:val="0"/>
                <w:sz w:val="20"/>
                <w:szCs w:val="20"/>
              </w:rPr>
              <w:t>11818.5</w:t>
            </w:r>
          </w:p>
        </w:tc>
      </w:tr>
    </w:tbl>
    <w:p w:rsidR="00CE5A0A" w:rsidRDefault="00CE5A0A" w:rsidP="00D6683E">
      <w:pPr>
        <w:adjustRightInd w:val="0"/>
        <w:snapToGrid w:val="0"/>
        <w:spacing w:before="0" w:beforeAutospacing="0" w:after="0" w:afterAutospacing="0" w:line="540" w:lineRule="atLeast"/>
        <w:rPr>
          <w:rFonts w:ascii="仿宋_GB2312" w:eastAsia="仿宋_GB2312" w:hAnsi="华文楷体"/>
          <w:b/>
          <w:color w:val="000000"/>
          <w:sz w:val="28"/>
          <w:szCs w:val="28"/>
        </w:rPr>
      </w:pPr>
    </w:p>
    <w:p w:rsidR="00CE5A0A" w:rsidRDefault="00CE5A0A" w:rsidP="00D6683E">
      <w:pPr>
        <w:adjustRightInd w:val="0"/>
        <w:snapToGrid w:val="0"/>
        <w:spacing w:before="0" w:beforeAutospacing="0" w:after="0" w:afterAutospacing="0" w:line="540" w:lineRule="atLeast"/>
        <w:rPr>
          <w:rFonts w:ascii="仿宋_GB2312" w:eastAsia="仿宋_GB2312" w:hAnsi="华文楷体"/>
          <w:b/>
          <w:color w:val="000000"/>
          <w:sz w:val="28"/>
          <w:szCs w:val="28"/>
        </w:rPr>
      </w:pPr>
    </w:p>
    <w:p w:rsidR="003137AF" w:rsidRPr="00451018" w:rsidRDefault="002B5AC0" w:rsidP="00884E3E">
      <w:pPr>
        <w:pStyle w:val="2"/>
        <w:adjustRightInd w:val="0"/>
        <w:snapToGrid w:val="0"/>
        <w:spacing w:beforeLines="150" w:beforeAutospacing="0" w:afterLines="50" w:afterAutospacing="0" w:line="540" w:lineRule="atLeast"/>
        <w:jc w:val="left"/>
        <w:rPr>
          <w:rFonts w:ascii="黑体" w:eastAsia="黑体" w:hAnsi="黑体"/>
          <w:b w:val="0"/>
          <w:sz w:val="32"/>
          <w:szCs w:val="32"/>
        </w:rPr>
      </w:pPr>
      <w:bookmarkStart w:id="21" w:name="_Toc489013235"/>
      <w:r w:rsidRPr="00451018">
        <w:rPr>
          <w:rFonts w:ascii="黑体" w:eastAsia="黑体" w:hAnsi="黑体" w:hint="eastAsia"/>
          <w:b w:val="0"/>
          <w:sz w:val="32"/>
          <w:szCs w:val="32"/>
        </w:rPr>
        <w:t>8</w:t>
      </w:r>
      <w:r w:rsidR="00CE5A0A" w:rsidRPr="00451018">
        <w:rPr>
          <w:rFonts w:ascii="黑体" w:eastAsia="黑体" w:hAnsi="黑体" w:hint="eastAsia"/>
          <w:b w:val="0"/>
          <w:sz w:val="32"/>
          <w:szCs w:val="32"/>
        </w:rPr>
        <w:t>.</w:t>
      </w:r>
      <w:r w:rsidR="003137AF" w:rsidRPr="00451018">
        <w:rPr>
          <w:rFonts w:ascii="黑体" w:eastAsia="黑体" w:hAnsi="黑体" w:hint="eastAsia"/>
          <w:b w:val="0"/>
          <w:sz w:val="32"/>
          <w:szCs w:val="32"/>
        </w:rPr>
        <w:t>2</w:t>
      </w:r>
      <w:r w:rsidR="00CE5A0A" w:rsidRPr="00451018">
        <w:rPr>
          <w:rFonts w:ascii="黑体" w:eastAsia="黑体" w:hAnsi="黑体" w:hint="eastAsia"/>
          <w:b w:val="0"/>
          <w:sz w:val="32"/>
          <w:szCs w:val="32"/>
        </w:rPr>
        <w:t xml:space="preserve"> </w:t>
      </w:r>
      <w:r w:rsidR="003137AF" w:rsidRPr="00451018">
        <w:rPr>
          <w:rFonts w:ascii="黑体" w:eastAsia="黑体" w:hAnsi="黑体" w:hint="eastAsia"/>
          <w:b w:val="0"/>
          <w:sz w:val="32"/>
          <w:szCs w:val="32"/>
        </w:rPr>
        <w:t>社会效益</w:t>
      </w:r>
      <w:bookmarkEnd w:id="21"/>
    </w:p>
    <w:p w:rsidR="003137AF" w:rsidRPr="00212DC7" w:rsidRDefault="003137A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本项目的社会效益体现为以下几个方面。</w:t>
      </w:r>
    </w:p>
    <w:p w:rsidR="003137AF" w:rsidRPr="00212DC7" w:rsidRDefault="003137A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1）</w:t>
      </w:r>
      <w:r w:rsidR="00B63B95" w:rsidRPr="00212DC7">
        <w:rPr>
          <w:rFonts w:ascii="仿宋" w:eastAsia="仿宋" w:hAnsi="仿宋" w:hint="eastAsia"/>
          <w:color w:val="000000"/>
          <w:sz w:val="28"/>
          <w:szCs w:val="28"/>
        </w:rPr>
        <w:t>为中西部地区汽车消费者提供性价比更高的进口新车购买与消费选择渠道。</w:t>
      </w:r>
    </w:p>
    <w:p w:rsidR="00B63B95" w:rsidRPr="00212DC7" w:rsidRDefault="00B63B95"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2）打破汽车经销品牌授权的垄断状况，改善市场主体结构，保障与提升汽车消费者权益。</w:t>
      </w:r>
    </w:p>
    <w:p w:rsidR="00B63B95" w:rsidRPr="00212DC7" w:rsidRDefault="00B63B95"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3）在汽车后服务市场引入竞争性参与者，为汽车的维修与保养增加供给能力与渠道。</w:t>
      </w:r>
    </w:p>
    <w:p w:rsidR="00B63B95" w:rsidRPr="00212DC7" w:rsidRDefault="00B63B95"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4）进一步提升城陵矶区域性航运物流中心的地位，促进城陵矶新港区社会经济发展。</w:t>
      </w:r>
    </w:p>
    <w:p w:rsidR="00CE5A0A" w:rsidRDefault="00CE5A0A" w:rsidP="00D6683E">
      <w:pPr>
        <w:widowControl/>
        <w:spacing w:before="0" w:beforeAutospacing="0" w:after="0" w:afterAutospacing="0" w:line="540" w:lineRule="atLeast"/>
        <w:jc w:val="left"/>
        <w:rPr>
          <w:b/>
          <w:bCs/>
          <w:kern w:val="44"/>
          <w:sz w:val="44"/>
          <w:szCs w:val="44"/>
        </w:rPr>
      </w:pPr>
      <w:r>
        <w:br w:type="page"/>
      </w:r>
    </w:p>
    <w:p w:rsidR="00477D8F" w:rsidRPr="00451018" w:rsidRDefault="00451018" w:rsidP="00884E3E">
      <w:pPr>
        <w:pStyle w:val="1"/>
        <w:adjustRightInd w:val="0"/>
        <w:snapToGrid w:val="0"/>
        <w:spacing w:beforeLines="100" w:beforeAutospacing="0" w:afterLines="50" w:afterAutospacing="0" w:line="540" w:lineRule="atLeast"/>
        <w:jc w:val="center"/>
        <w:rPr>
          <w:rFonts w:ascii="黑体" w:eastAsia="黑体" w:hAnsi="黑体"/>
          <w:sz w:val="36"/>
          <w:szCs w:val="36"/>
        </w:rPr>
      </w:pPr>
      <w:bookmarkStart w:id="22" w:name="_Toc489013236"/>
      <w:r>
        <w:rPr>
          <w:rFonts w:ascii="黑体" w:eastAsia="黑体" w:hAnsi="黑体" w:hint="eastAsia"/>
          <w:sz w:val="36"/>
          <w:szCs w:val="36"/>
        </w:rPr>
        <w:lastRenderedPageBreak/>
        <w:t>第9</w:t>
      </w:r>
      <w:r w:rsidR="002B5AC0" w:rsidRPr="00451018">
        <w:rPr>
          <w:rFonts w:ascii="黑体" w:eastAsia="黑体" w:hAnsi="黑体" w:hint="eastAsia"/>
          <w:sz w:val="36"/>
          <w:szCs w:val="36"/>
        </w:rPr>
        <w:t>章 风险提示</w:t>
      </w:r>
      <w:bookmarkEnd w:id="22"/>
    </w:p>
    <w:p w:rsidR="003C7F9F" w:rsidRPr="00212DC7" w:rsidRDefault="003C7F9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本项目可能</w:t>
      </w:r>
      <w:r w:rsidR="00BC78EF" w:rsidRPr="00212DC7">
        <w:rPr>
          <w:rFonts w:ascii="仿宋" w:eastAsia="仿宋" w:hAnsi="仿宋" w:hint="eastAsia"/>
          <w:color w:val="000000"/>
          <w:sz w:val="28"/>
          <w:szCs w:val="28"/>
        </w:rPr>
        <w:t>存在以下风险：</w:t>
      </w:r>
    </w:p>
    <w:p w:rsidR="00477D8F" w:rsidRPr="00212DC7" w:rsidRDefault="003C7F9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1、</w:t>
      </w:r>
      <w:r w:rsidR="00BC78EF" w:rsidRPr="00212DC7">
        <w:rPr>
          <w:rFonts w:ascii="仿宋" w:eastAsia="仿宋" w:hAnsi="仿宋" w:hint="eastAsia"/>
          <w:color w:val="000000"/>
          <w:sz w:val="28"/>
          <w:szCs w:val="28"/>
        </w:rPr>
        <w:t>消费者对平行进口车接受速度与程度低于预期；</w:t>
      </w:r>
    </w:p>
    <w:p w:rsidR="00BC78EF" w:rsidRPr="00212DC7" w:rsidRDefault="00BC78EF" w:rsidP="00884E3E">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2、岳阳周边如长沙、武汉等地进口汽车口岸对整车进口鼓励政策力度大导致的岳阳城陵矶港业务量增长速度低于预期；</w:t>
      </w:r>
    </w:p>
    <w:p w:rsidR="00BC78EF" w:rsidRPr="00212DC7" w:rsidRDefault="00BC78EF" w:rsidP="000C0A18">
      <w:pPr>
        <w:adjustRightInd w:val="0"/>
        <w:snapToGrid w:val="0"/>
        <w:spacing w:beforeLines="50" w:beforeAutospacing="0" w:afterLines="50" w:afterAutospacing="0" w:line="540" w:lineRule="atLeast"/>
        <w:ind w:firstLineChars="200" w:firstLine="560"/>
        <w:rPr>
          <w:rFonts w:ascii="仿宋" w:eastAsia="仿宋" w:hAnsi="仿宋"/>
          <w:color w:val="000000"/>
          <w:sz w:val="28"/>
          <w:szCs w:val="28"/>
        </w:rPr>
      </w:pPr>
      <w:r w:rsidRPr="00212DC7">
        <w:rPr>
          <w:rFonts w:ascii="仿宋" w:eastAsia="仿宋" w:hAnsi="仿宋" w:hint="eastAsia"/>
          <w:color w:val="000000"/>
          <w:sz w:val="28"/>
          <w:szCs w:val="28"/>
        </w:rPr>
        <w:t>3、项目投资单位内部管理不善，导致进口汽车维修与保养市场竞争处于劣势下，进口汽车售后服务业务量的发展低于预期。</w:t>
      </w:r>
    </w:p>
    <w:sectPr w:rsidR="00BC78EF" w:rsidRPr="00212DC7" w:rsidSect="00AD3091">
      <w:footerReference w:type="default" r:id="rId13"/>
      <w:pgSz w:w="11906" w:h="16838"/>
      <w:pgMar w:top="1440" w:right="1701" w:bottom="1440"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E5" w:rsidRDefault="00537AE5" w:rsidP="00477D8F">
      <w:pPr>
        <w:spacing w:before="0" w:after="0"/>
      </w:pPr>
      <w:r>
        <w:separator/>
      </w:r>
    </w:p>
  </w:endnote>
  <w:endnote w:type="continuationSeparator" w:id="0">
    <w:p w:rsidR="00537AE5" w:rsidRDefault="00537AE5" w:rsidP="00477D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10" w:usb3="00000000" w:csb0="00040000" w:csb1="00000000"/>
  </w:font>
  <w:font w:name="华文楷体">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63003"/>
      <w:docPartObj>
        <w:docPartGallery w:val="Page Numbers (Bottom of Page)"/>
        <w:docPartUnique/>
      </w:docPartObj>
    </w:sdtPr>
    <w:sdtContent>
      <w:p w:rsidR="00AD3091" w:rsidRDefault="000C0A18">
        <w:pPr>
          <w:pStyle w:val="a5"/>
          <w:jc w:val="center"/>
        </w:pPr>
        <w:r>
          <w:fldChar w:fldCharType="begin"/>
        </w:r>
        <w:r w:rsidR="00AD3091">
          <w:instrText>PAGE   \* MERGEFORMAT</w:instrText>
        </w:r>
        <w:r>
          <w:fldChar w:fldCharType="separate"/>
        </w:r>
        <w:r w:rsidR="00AD3091" w:rsidRPr="00AD3091">
          <w:rPr>
            <w:noProof/>
            <w:lang w:val="zh-CN"/>
          </w:rPr>
          <w:t>2</w:t>
        </w:r>
        <w:r>
          <w:fldChar w:fldCharType="end"/>
        </w:r>
      </w:p>
    </w:sdtContent>
  </w:sdt>
  <w:p w:rsidR="002B5AC0" w:rsidRDefault="002B5A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91" w:rsidRDefault="00AD3091">
    <w:pPr>
      <w:pStyle w:val="a5"/>
      <w:jc w:val="center"/>
    </w:pPr>
  </w:p>
  <w:p w:rsidR="00AD3091" w:rsidRDefault="00AD30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77184"/>
      <w:docPartObj>
        <w:docPartGallery w:val="Page Numbers (Bottom of Page)"/>
        <w:docPartUnique/>
      </w:docPartObj>
    </w:sdtPr>
    <w:sdtContent>
      <w:p w:rsidR="00AD3091" w:rsidRDefault="000C0A18">
        <w:pPr>
          <w:pStyle w:val="a5"/>
          <w:jc w:val="center"/>
        </w:pPr>
        <w:r>
          <w:fldChar w:fldCharType="begin"/>
        </w:r>
        <w:r w:rsidR="00AD3091">
          <w:instrText>PAGE   \* MERGEFORMAT</w:instrText>
        </w:r>
        <w:r>
          <w:fldChar w:fldCharType="separate"/>
        </w:r>
        <w:r w:rsidR="00884E3E" w:rsidRPr="00884E3E">
          <w:rPr>
            <w:noProof/>
            <w:lang w:val="zh-CN"/>
          </w:rPr>
          <w:t>I</w:t>
        </w:r>
        <w:r>
          <w:fldChar w:fldCharType="end"/>
        </w:r>
      </w:p>
    </w:sdtContent>
  </w:sdt>
  <w:p w:rsidR="00AD3091" w:rsidRDefault="00AD309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63306"/>
      <w:docPartObj>
        <w:docPartGallery w:val="Page Numbers (Bottom of Page)"/>
        <w:docPartUnique/>
      </w:docPartObj>
    </w:sdtPr>
    <w:sdtContent>
      <w:p w:rsidR="00AD3091" w:rsidRDefault="000C0A18">
        <w:pPr>
          <w:pStyle w:val="a5"/>
          <w:jc w:val="center"/>
        </w:pPr>
        <w:r>
          <w:fldChar w:fldCharType="begin"/>
        </w:r>
        <w:r w:rsidR="00AD3091">
          <w:instrText>PAGE   \* MERGEFORMAT</w:instrText>
        </w:r>
        <w:r>
          <w:fldChar w:fldCharType="separate"/>
        </w:r>
        <w:r w:rsidR="00884E3E" w:rsidRPr="00884E3E">
          <w:rPr>
            <w:noProof/>
            <w:lang w:val="zh-CN"/>
          </w:rPr>
          <w:t>2</w:t>
        </w:r>
        <w:r>
          <w:fldChar w:fldCharType="end"/>
        </w:r>
      </w:p>
    </w:sdtContent>
  </w:sdt>
  <w:p w:rsidR="00AD3091" w:rsidRDefault="00AD30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E5" w:rsidRDefault="00537AE5" w:rsidP="00477D8F">
      <w:pPr>
        <w:spacing w:before="0" w:after="0"/>
      </w:pPr>
      <w:r>
        <w:separator/>
      </w:r>
    </w:p>
  </w:footnote>
  <w:footnote w:type="continuationSeparator" w:id="0">
    <w:p w:rsidR="00537AE5" w:rsidRDefault="00537AE5" w:rsidP="00477D8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E6" w:rsidRDefault="007C74E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71B32"/>
    <w:rsid w:val="00002DD1"/>
    <w:rsid w:val="000063F9"/>
    <w:rsid w:val="0002576A"/>
    <w:rsid w:val="00040E15"/>
    <w:rsid w:val="00041090"/>
    <w:rsid w:val="00051AA1"/>
    <w:rsid w:val="000631F5"/>
    <w:rsid w:val="00064638"/>
    <w:rsid w:val="00067D2F"/>
    <w:rsid w:val="000A368E"/>
    <w:rsid w:val="000C0A18"/>
    <w:rsid w:val="000D4A55"/>
    <w:rsid w:val="00164ECC"/>
    <w:rsid w:val="0016665D"/>
    <w:rsid w:val="00170EAA"/>
    <w:rsid w:val="00195814"/>
    <w:rsid w:val="001A010A"/>
    <w:rsid w:val="001A4570"/>
    <w:rsid w:val="001B4C3E"/>
    <w:rsid w:val="001E0FED"/>
    <w:rsid w:val="001F0D0F"/>
    <w:rsid w:val="00211C7F"/>
    <w:rsid w:val="00212DC7"/>
    <w:rsid w:val="00243B4C"/>
    <w:rsid w:val="00247B9D"/>
    <w:rsid w:val="002500D4"/>
    <w:rsid w:val="00250E23"/>
    <w:rsid w:val="00252304"/>
    <w:rsid w:val="00267611"/>
    <w:rsid w:val="00287C69"/>
    <w:rsid w:val="002B5AC0"/>
    <w:rsid w:val="002C68BC"/>
    <w:rsid w:val="002E1DA7"/>
    <w:rsid w:val="002F3811"/>
    <w:rsid w:val="00306525"/>
    <w:rsid w:val="0030688C"/>
    <w:rsid w:val="003137AF"/>
    <w:rsid w:val="003206B2"/>
    <w:rsid w:val="003400F6"/>
    <w:rsid w:val="00381D0D"/>
    <w:rsid w:val="003C02AD"/>
    <w:rsid w:val="003C489D"/>
    <w:rsid w:val="003C7F9F"/>
    <w:rsid w:val="003D0C1B"/>
    <w:rsid w:val="00404FEF"/>
    <w:rsid w:val="0041263D"/>
    <w:rsid w:val="00420DEA"/>
    <w:rsid w:val="00441328"/>
    <w:rsid w:val="00451018"/>
    <w:rsid w:val="00466D56"/>
    <w:rsid w:val="00471DFB"/>
    <w:rsid w:val="00477D8F"/>
    <w:rsid w:val="00491CB9"/>
    <w:rsid w:val="004B1A0E"/>
    <w:rsid w:val="004B66A4"/>
    <w:rsid w:val="004B687D"/>
    <w:rsid w:val="00537AE5"/>
    <w:rsid w:val="00580E21"/>
    <w:rsid w:val="005B101B"/>
    <w:rsid w:val="00616C72"/>
    <w:rsid w:val="00621BEC"/>
    <w:rsid w:val="00676B3F"/>
    <w:rsid w:val="006873BA"/>
    <w:rsid w:val="006A18E4"/>
    <w:rsid w:val="006D68F8"/>
    <w:rsid w:val="006E08CD"/>
    <w:rsid w:val="00700D95"/>
    <w:rsid w:val="00712F58"/>
    <w:rsid w:val="00745DE6"/>
    <w:rsid w:val="00772D86"/>
    <w:rsid w:val="007C2F7F"/>
    <w:rsid w:val="007C74E6"/>
    <w:rsid w:val="007F035E"/>
    <w:rsid w:val="007F3937"/>
    <w:rsid w:val="0080304A"/>
    <w:rsid w:val="0083770A"/>
    <w:rsid w:val="00850C6A"/>
    <w:rsid w:val="00851D7E"/>
    <w:rsid w:val="00874F2D"/>
    <w:rsid w:val="008776AC"/>
    <w:rsid w:val="00884E3E"/>
    <w:rsid w:val="008C2466"/>
    <w:rsid w:val="008D104F"/>
    <w:rsid w:val="008E520E"/>
    <w:rsid w:val="009115FA"/>
    <w:rsid w:val="0092147D"/>
    <w:rsid w:val="00925768"/>
    <w:rsid w:val="00945D88"/>
    <w:rsid w:val="00981C38"/>
    <w:rsid w:val="0098622D"/>
    <w:rsid w:val="009B04AB"/>
    <w:rsid w:val="00A36B87"/>
    <w:rsid w:val="00A36BA8"/>
    <w:rsid w:val="00A4599E"/>
    <w:rsid w:val="00A562E6"/>
    <w:rsid w:val="00A6500F"/>
    <w:rsid w:val="00A916C9"/>
    <w:rsid w:val="00A92306"/>
    <w:rsid w:val="00AB197F"/>
    <w:rsid w:val="00AB497F"/>
    <w:rsid w:val="00AD0137"/>
    <w:rsid w:val="00AD3091"/>
    <w:rsid w:val="00AE1730"/>
    <w:rsid w:val="00B0189A"/>
    <w:rsid w:val="00B15084"/>
    <w:rsid w:val="00B43652"/>
    <w:rsid w:val="00B63B95"/>
    <w:rsid w:val="00BA4310"/>
    <w:rsid w:val="00BB0516"/>
    <w:rsid w:val="00BC78EF"/>
    <w:rsid w:val="00BF3B7B"/>
    <w:rsid w:val="00C0494D"/>
    <w:rsid w:val="00C15CAF"/>
    <w:rsid w:val="00C220DA"/>
    <w:rsid w:val="00C23EB2"/>
    <w:rsid w:val="00C305F2"/>
    <w:rsid w:val="00C41F6F"/>
    <w:rsid w:val="00C437E8"/>
    <w:rsid w:val="00C8031A"/>
    <w:rsid w:val="00C806C0"/>
    <w:rsid w:val="00C87475"/>
    <w:rsid w:val="00C92964"/>
    <w:rsid w:val="00CC5F0A"/>
    <w:rsid w:val="00CE5A0A"/>
    <w:rsid w:val="00CF6F6B"/>
    <w:rsid w:val="00D31245"/>
    <w:rsid w:val="00D526E0"/>
    <w:rsid w:val="00D64973"/>
    <w:rsid w:val="00D6683E"/>
    <w:rsid w:val="00D70D11"/>
    <w:rsid w:val="00D71B32"/>
    <w:rsid w:val="00D7201B"/>
    <w:rsid w:val="00D87428"/>
    <w:rsid w:val="00D93A65"/>
    <w:rsid w:val="00D97F90"/>
    <w:rsid w:val="00DC6D04"/>
    <w:rsid w:val="00E3522A"/>
    <w:rsid w:val="00E60581"/>
    <w:rsid w:val="00E62B47"/>
    <w:rsid w:val="00E71828"/>
    <w:rsid w:val="00E84186"/>
    <w:rsid w:val="00EA1A97"/>
    <w:rsid w:val="00EC70F7"/>
    <w:rsid w:val="00EE4E3B"/>
    <w:rsid w:val="00EF3A73"/>
    <w:rsid w:val="00F24BD4"/>
    <w:rsid w:val="00F26A56"/>
    <w:rsid w:val="00F36F85"/>
    <w:rsid w:val="00F4749E"/>
    <w:rsid w:val="00F55717"/>
    <w:rsid w:val="00F6101A"/>
    <w:rsid w:val="00F61FD5"/>
    <w:rsid w:val="00F76D9E"/>
    <w:rsid w:val="00F813B7"/>
    <w:rsid w:val="00F85621"/>
    <w:rsid w:val="00FB2BCE"/>
    <w:rsid w:val="01CC46D7"/>
    <w:rsid w:val="02D812CF"/>
    <w:rsid w:val="05E729A9"/>
    <w:rsid w:val="073D218F"/>
    <w:rsid w:val="080A1461"/>
    <w:rsid w:val="08611A4D"/>
    <w:rsid w:val="09134089"/>
    <w:rsid w:val="0BD80575"/>
    <w:rsid w:val="0C05378C"/>
    <w:rsid w:val="0F287ED9"/>
    <w:rsid w:val="171210CE"/>
    <w:rsid w:val="1A712114"/>
    <w:rsid w:val="1E0A7CFF"/>
    <w:rsid w:val="1F55701A"/>
    <w:rsid w:val="1FCC595E"/>
    <w:rsid w:val="22B80153"/>
    <w:rsid w:val="2C985EE1"/>
    <w:rsid w:val="2FBA677A"/>
    <w:rsid w:val="31B15F3C"/>
    <w:rsid w:val="32400853"/>
    <w:rsid w:val="37A1685F"/>
    <w:rsid w:val="38000F01"/>
    <w:rsid w:val="38096D61"/>
    <w:rsid w:val="3B3732C3"/>
    <w:rsid w:val="3CEF0F94"/>
    <w:rsid w:val="3D52051E"/>
    <w:rsid w:val="3D7E5B9C"/>
    <w:rsid w:val="42C440D4"/>
    <w:rsid w:val="4D06754B"/>
    <w:rsid w:val="50911E29"/>
    <w:rsid w:val="52771D9E"/>
    <w:rsid w:val="54D74305"/>
    <w:rsid w:val="57C35E38"/>
    <w:rsid w:val="5A2B5ECB"/>
    <w:rsid w:val="652E74B0"/>
    <w:rsid w:val="65D84BB3"/>
    <w:rsid w:val="675E7EA8"/>
    <w:rsid w:val="68357EB9"/>
    <w:rsid w:val="69D63BC8"/>
    <w:rsid w:val="6BC93F23"/>
    <w:rsid w:val="6E2A6171"/>
    <w:rsid w:val="72CE1F8E"/>
    <w:rsid w:val="74E4026F"/>
    <w:rsid w:val="765243CA"/>
    <w:rsid w:val="788B1089"/>
    <w:rsid w:val="78A5172A"/>
    <w:rsid w:val="79267BE1"/>
    <w:rsid w:val="79415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8F"/>
    <w:pPr>
      <w:widowControl w:val="0"/>
      <w:spacing w:before="100" w:beforeAutospacing="1" w:after="100" w:afterAutospacing="1"/>
      <w:jc w:val="both"/>
    </w:pPr>
    <w:rPr>
      <w:kern w:val="2"/>
      <w:sz w:val="21"/>
      <w:szCs w:val="22"/>
    </w:rPr>
  </w:style>
  <w:style w:type="paragraph" w:styleId="1">
    <w:name w:val="heading 1"/>
    <w:basedOn w:val="a"/>
    <w:next w:val="a"/>
    <w:uiPriority w:val="9"/>
    <w:qFormat/>
    <w:rsid w:val="00477D8F"/>
    <w:pPr>
      <w:keepNext/>
      <w:keepLines/>
      <w:spacing w:before="340" w:after="330" w:line="578" w:lineRule="auto"/>
      <w:outlineLvl w:val="0"/>
    </w:pPr>
    <w:rPr>
      <w:b/>
      <w:bCs/>
      <w:kern w:val="44"/>
      <w:sz w:val="44"/>
      <w:szCs w:val="44"/>
    </w:rPr>
  </w:style>
  <w:style w:type="paragraph" w:styleId="2">
    <w:name w:val="heading 2"/>
    <w:basedOn w:val="a"/>
    <w:next w:val="a0"/>
    <w:uiPriority w:val="9"/>
    <w:qFormat/>
    <w:rsid w:val="00477D8F"/>
    <w:pPr>
      <w:keepNext/>
      <w:keepLines/>
      <w:spacing w:before="240" w:after="240"/>
      <w:jc w:val="center"/>
      <w:outlineLvl w:val="1"/>
    </w:pPr>
    <w:rPr>
      <w:rFonts w:ascii="Arial" w:eastAsia="仿宋" w:hAnsi="Arial"/>
      <w:b/>
      <w:kern w:val="0"/>
      <w:sz w:val="28"/>
      <w:szCs w:val="20"/>
    </w:rPr>
  </w:style>
  <w:style w:type="paragraph" w:styleId="3">
    <w:name w:val="heading 3"/>
    <w:basedOn w:val="a"/>
    <w:next w:val="a0"/>
    <w:link w:val="3Char"/>
    <w:uiPriority w:val="9"/>
    <w:qFormat/>
    <w:rsid w:val="00477D8F"/>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477D8F"/>
    <w:pPr>
      <w:ind w:firstLineChars="200" w:firstLine="420"/>
    </w:pPr>
  </w:style>
  <w:style w:type="paragraph" w:styleId="a4">
    <w:name w:val="Balloon Text"/>
    <w:basedOn w:val="a"/>
    <w:link w:val="Char"/>
    <w:uiPriority w:val="99"/>
    <w:unhideWhenUsed/>
    <w:rsid w:val="00477D8F"/>
    <w:pPr>
      <w:spacing w:before="0" w:after="0"/>
    </w:pPr>
    <w:rPr>
      <w:sz w:val="18"/>
      <w:szCs w:val="18"/>
    </w:rPr>
  </w:style>
  <w:style w:type="paragraph" w:styleId="a5">
    <w:name w:val="footer"/>
    <w:basedOn w:val="a"/>
    <w:link w:val="Char0"/>
    <w:uiPriority w:val="99"/>
    <w:unhideWhenUsed/>
    <w:rsid w:val="00477D8F"/>
    <w:pPr>
      <w:tabs>
        <w:tab w:val="center" w:pos="4153"/>
        <w:tab w:val="right" w:pos="8306"/>
      </w:tabs>
      <w:snapToGrid w:val="0"/>
      <w:jc w:val="left"/>
    </w:pPr>
    <w:rPr>
      <w:sz w:val="18"/>
      <w:szCs w:val="18"/>
    </w:rPr>
  </w:style>
  <w:style w:type="paragraph" w:styleId="a6">
    <w:name w:val="header"/>
    <w:basedOn w:val="a"/>
    <w:link w:val="Char1"/>
    <w:uiPriority w:val="99"/>
    <w:unhideWhenUsed/>
    <w:rsid w:val="00477D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477D8F"/>
    <w:pPr>
      <w:widowControl/>
      <w:jc w:val="left"/>
    </w:pPr>
    <w:rPr>
      <w:rFonts w:ascii="宋体" w:hAnsi="宋体" w:cs="宋体"/>
      <w:kern w:val="0"/>
      <w:sz w:val="24"/>
      <w:szCs w:val="24"/>
    </w:rPr>
  </w:style>
  <w:style w:type="character" w:styleId="a8">
    <w:name w:val="Hyperlink"/>
    <w:basedOn w:val="a1"/>
    <w:uiPriority w:val="99"/>
    <w:unhideWhenUsed/>
    <w:rsid w:val="00477D8F"/>
    <w:rPr>
      <w:color w:val="0000FF"/>
      <w:u w:val="single"/>
    </w:rPr>
  </w:style>
  <w:style w:type="table" w:styleId="a9">
    <w:name w:val="Table Grid"/>
    <w:basedOn w:val="a2"/>
    <w:uiPriority w:val="59"/>
    <w:rsid w:val="0047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5"/>
    <w:uiPriority w:val="99"/>
    <w:rsid w:val="00477D8F"/>
    <w:rPr>
      <w:kern w:val="2"/>
      <w:sz w:val="18"/>
      <w:szCs w:val="18"/>
    </w:rPr>
  </w:style>
  <w:style w:type="character" w:customStyle="1" w:styleId="3Char">
    <w:name w:val="标题 3 Char"/>
    <w:basedOn w:val="a1"/>
    <w:link w:val="3"/>
    <w:uiPriority w:val="9"/>
    <w:rsid w:val="00477D8F"/>
    <w:rPr>
      <w:rFonts w:ascii="宋体" w:eastAsia="宋体" w:hAnsi="宋体" w:cs="宋体"/>
      <w:b/>
      <w:bCs/>
      <w:kern w:val="0"/>
      <w:sz w:val="27"/>
      <w:szCs w:val="27"/>
    </w:rPr>
  </w:style>
  <w:style w:type="character" w:customStyle="1" w:styleId="Char1">
    <w:name w:val="页眉 Char"/>
    <w:basedOn w:val="a1"/>
    <w:link w:val="a6"/>
    <w:uiPriority w:val="99"/>
    <w:semiHidden/>
    <w:rsid w:val="00477D8F"/>
    <w:rPr>
      <w:kern w:val="2"/>
      <w:sz w:val="18"/>
      <w:szCs w:val="18"/>
    </w:rPr>
  </w:style>
  <w:style w:type="paragraph" w:customStyle="1" w:styleId="10">
    <w:name w:val="列出段落1"/>
    <w:basedOn w:val="a"/>
    <w:uiPriority w:val="99"/>
    <w:qFormat/>
    <w:rsid w:val="00477D8F"/>
    <w:pPr>
      <w:spacing w:before="0" w:beforeAutospacing="0" w:after="0" w:afterAutospacing="0"/>
      <w:ind w:firstLine="420"/>
    </w:pPr>
    <w:rPr>
      <w:sz w:val="28"/>
    </w:rPr>
  </w:style>
  <w:style w:type="paragraph" w:customStyle="1" w:styleId="20">
    <w:name w:val="列出段落2"/>
    <w:basedOn w:val="a"/>
    <w:uiPriority w:val="34"/>
    <w:qFormat/>
    <w:rsid w:val="00477D8F"/>
    <w:pPr>
      <w:ind w:firstLineChars="200" w:firstLine="420"/>
    </w:pPr>
  </w:style>
  <w:style w:type="paragraph" w:customStyle="1" w:styleId="111Char181212">
    <w:name w:val="样式 标题 1汉标题 1标题 1 Char + 黑体 18 磅 居中 段前: 12 磅 段后: 12 磅"/>
    <w:basedOn w:val="1"/>
    <w:qFormat/>
    <w:rsid w:val="00477D8F"/>
    <w:pPr>
      <w:spacing w:before="240" w:after="240" w:line="240" w:lineRule="auto"/>
      <w:jc w:val="center"/>
    </w:pPr>
    <w:rPr>
      <w:rFonts w:ascii="黑体" w:eastAsia="黑体" w:hAnsi="黑体" w:cs="宋体"/>
      <w:sz w:val="36"/>
      <w:szCs w:val="20"/>
    </w:rPr>
  </w:style>
  <w:style w:type="character" w:customStyle="1" w:styleId="Char">
    <w:name w:val="批注框文本 Char"/>
    <w:basedOn w:val="a1"/>
    <w:link w:val="a4"/>
    <w:uiPriority w:val="99"/>
    <w:semiHidden/>
    <w:rsid w:val="00477D8F"/>
    <w:rPr>
      <w:kern w:val="2"/>
      <w:sz w:val="18"/>
      <w:szCs w:val="18"/>
    </w:rPr>
  </w:style>
  <w:style w:type="paragraph" w:customStyle="1" w:styleId="reader-word-layer">
    <w:name w:val="reader-word-layer"/>
    <w:basedOn w:val="a"/>
    <w:qFormat/>
    <w:rsid w:val="00477D8F"/>
    <w:pPr>
      <w:widowControl/>
      <w:jc w:val="left"/>
    </w:pPr>
    <w:rPr>
      <w:rFonts w:ascii="宋体" w:hAnsi="宋体" w:cs="宋体"/>
      <w:kern w:val="0"/>
      <w:sz w:val="24"/>
      <w:szCs w:val="24"/>
    </w:rPr>
  </w:style>
  <w:style w:type="paragraph" w:styleId="TOC">
    <w:name w:val="TOC Heading"/>
    <w:basedOn w:val="1"/>
    <w:next w:val="a"/>
    <w:uiPriority w:val="39"/>
    <w:unhideWhenUsed/>
    <w:qFormat/>
    <w:rsid w:val="00850C6A"/>
    <w:pPr>
      <w:widowControl/>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50C6A"/>
  </w:style>
  <w:style w:type="paragraph" w:styleId="21">
    <w:name w:val="toc 2"/>
    <w:basedOn w:val="a"/>
    <w:next w:val="a"/>
    <w:autoRedefine/>
    <w:uiPriority w:val="39"/>
    <w:unhideWhenUsed/>
    <w:rsid w:val="00850C6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847391">
      <w:bodyDiv w:val="1"/>
      <w:marLeft w:val="0"/>
      <w:marRight w:val="0"/>
      <w:marTop w:val="0"/>
      <w:marBottom w:val="0"/>
      <w:divBdr>
        <w:top w:val="none" w:sz="0" w:space="0" w:color="auto"/>
        <w:left w:val="none" w:sz="0" w:space="0" w:color="auto"/>
        <w:bottom w:val="none" w:sz="0" w:space="0" w:color="auto"/>
        <w:right w:val="none" w:sz="0" w:space="0" w:color="auto"/>
      </w:divBdr>
    </w:div>
    <w:div w:id="2133136027">
      <w:bodyDiv w:val="1"/>
      <w:marLeft w:val="0"/>
      <w:marRight w:val="0"/>
      <w:marTop w:val="0"/>
      <w:marBottom w:val="0"/>
      <w:divBdr>
        <w:top w:val="none" w:sz="0" w:space="0" w:color="auto"/>
        <w:left w:val="none" w:sz="0" w:space="0" w:color="auto"/>
        <w:bottom w:val="none" w:sz="0" w:space="0" w:color="auto"/>
        <w:right w:val="none" w:sz="0" w:space="0" w:color="auto"/>
      </w:divBdr>
      <w:divsChild>
        <w:div w:id="979845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3C6EF-A8E7-438F-8FFC-7B44FE14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2017-07-30T08:21:00Z</cp:lastPrinted>
  <dcterms:created xsi:type="dcterms:W3CDTF">2017-07-24T16:48:00Z</dcterms:created>
  <dcterms:modified xsi:type="dcterms:W3CDTF">2017-07-31T02:44:00Z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