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0"/>
        <w:jc w:val="center"/>
      </w:pPr>
      <w:r>
        <w:rPr>
          <w:rFonts w:ascii="方正小标宋_GBK" w:hAnsi="方正小标宋_GBK" w:eastAsia="方正小标宋_GBK" w:cs="方正小标宋_GBK"/>
          <w:b w:val="0"/>
          <w:i w:val="0"/>
          <w:caps w:val="0"/>
          <w:color w:val="FF0000"/>
          <w:spacing w:val="60"/>
          <w:kern w:val="0"/>
          <w:sz w:val="118"/>
          <w:szCs w:val="118"/>
          <w:bdr w:val="none" w:color="auto" w:sz="0" w:space="0"/>
          <w:vertAlign w:val="baseline"/>
          <w:lang w:val="en-US" w:eastAsia="zh-CN" w:bidi="ar"/>
        </w:rPr>
        <w:t>湖南省财政厅文</w:t>
      </w:r>
      <w:r>
        <w:rPr>
          <w:rFonts w:hint="default" w:ascii="方正小标宋_GBK" w:hAnsi="方正小标宋_GBK" w:eastAsia="方正小标宋_GBK" w:cs="方正小标宋_GBK"/>
          <w:b w:val="0"/>
          <w:i w:val="0"/>
          <w:caps w:val="0"/>
          <w:color w:val="FF0000"/>
          <w:spacing w:val="0"/>
          <w:kern w:val="0"/>
          <w:sz w:val="118"/>
          <w:szCs w:val="118"/>
          <w:bdr w:val="none" w:color="auto" w:sz="0" w:space="0"/>
          <w:vertAlign w:val="baseline"/>
          <w:lang w:val="en-US" w:eastAsia="zh-CN" w:bidi="ar"/>
        </w:rPr>
        <w:t>件</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400" w:lineRule="atLeast"/>
        <w:ind w:left="1170" w:right="1170" w:firstLine="0"/>
        <w:jc w:val="both"/>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4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湘财</w:t>
      </w:r>
      <w:r>
        <w:rPr>
          <w:rFonts w:ascii="仿宋_GB2312" w:hAnsi="宋体" w:eastAsia="仿宋_GB2312" w:cs="仿宋_GB2312"/>
          <w:b w:val="0"/>
          <w:i w:val="0"/>
          <w:caps w:val="0"/>
          <w:color w:val="auto"/>
          <w:spacing w:val="0"/>
          <w:kern w:val="0"/>
          <w:sz w:val="32"/>
          <w:szCs w:val="32"/>
          <w:bdr w:val="none" w:color="auto" w:sz="0" w:space="0"/>
          <w:vertAlign w:val="baseline"/>
          <w:lang w:val="en-US" w:eastAsia="zh-CN" w:bidi="ar"/>
        </w:rPr>
        <w:t>绩</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w:t>
      </w:r>
      <w:r>
        <w:rPr>
          <w:rFonts w:hint="default" w:ascii="仿宋_GB2312" w:hAnsi="宋体" w:eastAsia="仿宋_GB2312" w:cs="仿宋_GB2312"/>
          <w:b w:val="0"/>
          <w:i w:val="0"/>
          <w:caps w:val="0"/>
          <w:color w:val="auto"/>
          <w:spacing w:val="0"/>
          <w:kern w:val="0"/>
          <w:sz w:val="32"/>
          <w:szCs w:val="32"/>
          <w:bdr w:val="none" w:color="auto" w:sz="0" w:space="0"/>
          <w:vertAlign w:val="baseline"/>
          <w:lang w:val="en-US" w:eastAsia="zh-CN" w:bidi="ar"/>
        </w:rPr>
        <w:t>2014</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w:t>
      </w:r>
      <w:r>
        <w:rPr>
          <w:rFonts w:hint="default" w:ascii="仿宋_GB2312" w:hAnsi="宋体" w:eastAsia="仿宋_GB2312" w:cs="仿宋_GB2312"/>
          <w:b w:val="0"/>
          <w:i w:val="0"/>
          <w:caps w:val="0"/>
          <w:color w:val="auto"/>
          <w:spacing w:val="0"/>
          <w:kern w:val="0"/>
          <w:sz w:val="32"/>
          <w:szCs w:val="32"/>
          <w:bdr w:val="none" w:color="auto" w:sz="0" w:space="0"/>
          <w:vertAlign w:val="baseline"/>
          <w:lang w:val="en-US" w:eastAsia="zh-CN" w:bidi="ar"/>
        </w:rPr>
        <w:t>27</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eastAsia" w:ascii="宋体" w:hAnsi="宋体" w:eastAsia="宋体" w:cs="宋体"/>
          <w:b w:val="0"/>
          <w:i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方正小标宋_GBK" w:hAnsi="方正小标宋_GBK" w:eastAsia="方正小标宋_GBK" w:cs="方正小标宋_GBK"/>
          <w:b w:val="0"/>
          <w:i w:val="0"/>
          <w:caps w:val="0"/>
          <w:color w:val="auto"/>
          <w:spacing w:val="0"/>
          <w:kern w:val="0"/>
          <w:sz w:val="44"/>
          <w:szCs w:val="4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方正小标宋_GBK" w:hAnsi="方正小标宋_GBK" w:eastAsia="方正小标宋_GBK" w:cs="方正小标宋_GBK"/>
          <w:b w:val="0"/>
          <w:i w:val="0"/>
          <w:caps w:val="0"/>
          <w:color w:val="auto"/>
          <w:spacing w:val="0"/>
          <w:kern w:val="0"/>
          <w:sz w:val="44"/>
          <w:szCs w:val="44"/>
          <w:bdr w:val="none" w:color="auto" w:sz="0" w:space="0"/>
          <w:vertAlign w:val="baseline"/>
          <w:lang w:val="en-US" w:eastAsia="zh-CN" w:bidi="ar"/>
        </w:rPr>
        <w:t>湖</w:t>
      </w:r>
      <w:r>
        <w:rPr>
          <w:rFonts w:hint="default" w:ascii="Times New Roman" w:hAnsi="Times New Roman" w:eastAsia="宋体" w:cs="Times New Roman"/>
          <w:b w:val="0"/>
          <w:i w:val="0"/>
          <w:caps w:val="0"/>
          <w:color w:val="auto"/>
          <w:spacing w:val="0"/>
          <w:kern w:val="0"/>
          <w:sz w:val="44"/>
          <w:szCs w:val="44"/>
          <w:bdr w:val="none" w:color="auto" w:sz="0" w:space="0"/>
          <w:vertAlign w:val="baseline"/>
          <w:lang w:val="en-US" w:eastAsia="zh-CN" w:bidi="ar"/>
        </w:rPr>
        <w:t>南省财政厅关于印发《湖南省预算绩效</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44"/>
          <w:szCs w:val="44"/>
          <w:bdr w:val="none" w:color="auto" w:sz="0" w:space="0"/>
          <w:vertAlign w:val="baseline"/>
          <w:lang w:val="en-US" w:eastAsia="zh-CN" w:bidi="ar"/>
        </w:rPr>
        <w:t>评价结果应用管理办法》的通知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各市州、县市区财政局，各省直部门：</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为加强预算绩效评价结果应用，提高财政资金使用效益，现将《湖南省预算绩效评价结果应用管理办法》印发给你们，请遵照执行。</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附件：湖南省预算绩效评价结果应用管理办法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r>
        <w:rPr>
          <w:rFonts w:hint="default" w:ascii="仿宋_GB2312" w:hAnsi="宋体" w:eastAsia="仿宋_GB2312" w:cs="仿宋_GB2312"/>
          <w:b w:val="0"/>
          <w:i w:val="0"/>
          <w:caps w:val="0"/>
          <w:color w:val="auto"/>
          <w:spacing w:val="0"/>
          <w:kern w:val="0"/>
          <w:sz w:val="32"/>
          <w:szCs w:val="32"/>
          <w:bdr w:val="none" w:color="auto" w:sz="0" w:space="0"/>
          <w:vertAlign w:val="baseline"/>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湖南省财政厅</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2014年11月28日</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br w:type="textWrapping"/>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6"/>
          <w:szCs w:val="36"/>
          <w:bdr w:val="none" w:color="auto" w:sz="0" w:space="0"/>
          <w:vertAlign w:val="baseline"/>
          <w:lang w:val="en-US" w:eastAsia="zh-CN" w:bidi="ar"/>
        </w:rPr>
        <w:t>湖南省预算绩效评价结果应用管理办法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ascii="黑体" w:hAnsi="宋体" w:eastAsia="黑体" w:cs="黑体"/>
          <w:b w:val="0"/>
          <w:i w:val="0"/>
          <w:caps w:val="0"/>
          <w:color w:val="auto"/>
          <w:spacing w:val="0"/>
          <w:kern w:val="0"/>
          <w:sz w:val="32"/>
          <w:szCs w:val="32"/>
          <w:bdr w:val="none" w:color="auto" w:sz="0" w:space="0"/>
          <w:vertAlign w:val="baseline"/>
          <w:lang w:val="en-US" w:eastAsia="zh-CN" w:bidi="ar"/>
        </w:rPr>
        <w:t>第一条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为了加强预算绩效评价结果应用，切实提高财政资金使用效益，根据《财政部关于推进预算绩效管理的指导意见》（财预〔2011〕416号）和《湖南省人民政府关于全面推进预算绩效管理的意见》（湘政发〔2012〕33号）相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第二条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预算绩效评价结果是指绩效评价组织部门在完成绩效评价工作后形成的、全面反映绩效评价对象实际绩效情况的内容、事项、结论等，以绩效评价报告为主要载体。</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第三条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绩效评价组织部门是指作为预算绩效评价主体的财政部门、预算部门(单位)。</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第四条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预算绩效评价结果应用是指财政部门、预算部门（单位）等通过多种形式充分利用绩效评价结果，并将其转化为提高预算资金使用绩效的具体行为活动。绩效评价结果应用方式主要有以下几个方面：结果反馈整改</w:t>
      </w:r>
      <w:r>
        <w:rPr>
          <w:rFonts w:hint="default" w:ascii="仿宋_GB2312" w:hAnsi="宋体" w:eastAsia="仿宋_GB2312" w:cs="仿宋_GB2312"/>
          <w:b w:val="0"/>
          <w:i w:val="0"/>
          <w:caps w:val="0"/>
          <w:color w:val="auto"/>
          <w:spacing w:val="0"/>
          <w:kern w:val="0"/>
          <w:sz w:val="32"/>
          <w:szCs w:val="32"/>
          <w:bdr w:val="none" w:color="auto" w:sz="0" w:space="0"/>
          <w:vertAlign w:val="baseline"/>
          <w:lang w:val="en-US" w:eastAsia="zh-CN" w:bidi="ar"/>
        </w:rPr>
        <w:t>，</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结果报告</w:t>
      </w:r>
      <w:r>
        <w:rPr>
          <w:rFonts w:hint="default" w:ascii="仿宋_GB2312" w:hAnsi="宋体" w:eastAsia="仿宋_GB2312" w:cs="仿宋_GB2312"/>
          <w:b w:val="0"/>
          <w:i w:val="0"/>
          <w:caps w:val="0"/>
          <w:color w:val="auto"/>
          <w:spacing w:val="0"/>
          <w:kern w:val="0"/>
          <w:sz w:val="32"/>
          <w:szCs w:val="32"/>
          <w:bdr w:val="none" w:color="auto" w:sz="0" w:space="0"/>
          <w:vertAlign w:val="baseline"/>
          <w:lang w:val="en-US" w:eastAsia="zh-CN" w:bidi="ar"/>
        </w:rPr>
        <w:t>，</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结果公开</w:t>
      </w:r>
      <w:r>
        <w:rPr>
          <w:rFonts w:hint="default" w:ascii="仿宋_GB2312" w:hAnsi="宋体" w:eastAsia="仿宋_GB2312" w:cs="仿宋_GB2312"/>
          <w:b w:val="0"/>
          <w:i w:val="0"/>
          <w:caps w:val="0"/>
          <w:color w:val="auto"/>
          <w:spacing w:val="0"/>
          <w:kern w:val="0"/>
          <w:sz w:val="32"/>
          <w:szCs w:val="32"/>
          <w:bdr w:val="none" w:color="auto" w:sz="0" w:space="0"/>
          <w:vertAlign w:val="baseline"/>
          <w:lang w:val="en-US" w:eastAsia="zh-CN" w:bidi="ar"/>
        </w:rPr>
        <w:t>，</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结果与预算安排相结合</w:t>
      </w:r>
      <w:r>
        <w:rPr>
          <w:rFonts w:hint="default" w:ascii="仿宋_GB2312" w:hAnsi="宋体" w:eastAsia="仿宋_GB2312" w:cs="仿宋_GB2312"/>
          <w:b w:val="0"/>
          <w:i w:val="0"/>
          <w:caps w:val="0"/>
          <w:color w:val="auto"/>
          <w:spacing w:val="0"/>
          <w:kern w:val="0"/>
          <w:sz w:val="32"/>
          <w:szCs w:val="32"/>
          <w:bdr w:val="none" w:color="auto" w:sz="0" w:space="0"/>
          <w:vertAlign w:val="baseline"/>
          <w:lang w:val="en-US" w:eastAsia="zh-CN" w:bidi="ar"/>
        </w:rPr>
        <w:t>，</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结果纳入政府绩效评估。</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第五条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预算绩效评价结果应用工作中涉及保密事项的必须严守保密工作规定。</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第二章  结果反馈整改</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第六条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绩效评价组织部门以结果反馈意见函的形式，将评价结论、存在的问题和意见建议反馈给预算部门（单位）或资金使用单位。</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第七条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预算部门（单位）或资金使用单位自收到反馈意见函之日起60日内，根据绩效评价组织部门反馈的绩效评价结论及意见进行整改，并将整改落实情况以绩效评价结果整改报告书（参考格式见附件）的形式报绩效评价组织部门。</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720"/>
        <w:jc w:val="both"/>
      </w:pPr>
      <w:r>
        <w:rPr>
          <w:rFonts w:hint="default" w:ascii="Times New Roman" w:hAnsi="Times New Roman" w:eastAsia="宋体" w:cs="Times New Roman"/>
          <w:b w:val="0"/>
          <w:i w:val="0"/>
          <w:caps w:val="0"/>
          <w:color w:val="auto"/>
          <w:spacing w:val="0"/>
          <w:kern w:val="0"/>
          <w:sz w:val="36"/>
          <w:szCs w:val="36"/>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第三章 结果报告</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第八条</w:t>
      </w: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预算部门（单位）要向同级财政部门提交预算绩效评价自评报告，说明预算支出绩效状况、存在问题、纠正措施及建议。</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第九条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财政部门要对预算绩效评价情况进行总结，定期向同级政府和上级财政部门报告。</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第十条</w:t>
      </w: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对党委政府关心、社会公众关注、对经济社会发展有重要影响的重大项目绩效评价结果，财政部门或预算部门（单位）向同级政府进行专题报告，为政府决策提供参考。重点支出、重大投资项目资金的使用绩效情况向同级人大报告。</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第四章 结果公开</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第十一条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按照政府信息公开的有关规定和“谁组织实施、谁进行公开”的原则，财政部门负责公开重点绩效评价和财政再评价结果，预算部门（单位）负责公开预算绩效自评结果。</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第十二条</w:t>
      </w: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预算绩效评价结果公开的内容必须详实、准确， 主要包括预算绩效评价的基本情况、预算绩效评价结论和存在的问题等方面，根据需要可全部公开也可只就评价结论和存在的突出问题进行公开。</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第十三条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预算绩效评价结果逐步与同级审计、纪检监察、和组织人事等部门信息共享，相互利用工作成果，形成部门联动合力。</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第五章 结果与预算安排相结合</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第十四条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财政部门和预算部门（单位）要将预算绩效评价结果作为资金是否列入年度预算或支出项目库、预算调整和以后年度预算编制的重要依据。</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第十五条</w:t>
      </w: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财政部门根据预算绩效评价结果评分或评级，相应在下年度预算安排时给予重点支持、优先保障、减少资金、取消安排等处理。</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第十六条</w:t>
      </w: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对预算绩效评价意见未实施整改或整改不到位的预算部门（单位），在安排下年度资金时相应减少或不予安排。</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第十七条</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涉及到非延续性项目的预算绩效评价结果，经财政部门根据实际情况审定后，作为是否收回预算结余资金的依据。</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第六章 结果纳入政府绩效评估</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第十八条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财政部门应将预算绩效管理纳入同级党委、政府对同级预算部门（单位）和下级党委、政府的绩效评估范围</w:t>
      </w: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根据政府绩效评估要求，负责纳入政府绩效评估的预算绩效管理数据采集工作。</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第十九条</w:t>
      </w:r>
      <w:r>
        <w:rPr>
          <w:rFonts w:hint="default" w:ascii="Times New Roman" w:hAnsi="Times New Roman" w:eastAsia="宋体" w:cs="Times New Roman"/>
          <w:b/>
          <w:i w:val="0"/>
          <w:caps w:val="0"/>
          <w:color w:val="auto"/>
          <w:spacing w:val="0"/>
          <w:kern w:val="0"/>
          <w:sz w:val="32"/>
          <w:szCs w:val="32"/>
          <w:bdr w:val="none" w:color="auto" w:sz="0" w:space="0"/>
          <w:vertAlign w:val="baseline"/>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财政部门要按照同级党委、政府关于政府绩效评估工作的要求，结合本地区预算绩效管理实际，着重从绩效目标申报、预算执行监控、绩效评价实施、资金管理及使用绩效方面设置评估指标。</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center"/>
      </w:pPr>
      <w:bookmarkStart w:id="0" w:name="_GoBack"/>
      <w:bookmarkEnd w:id="0"/>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第二十条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各级财政部门和各预算部门（单位）可结合实际情况制定预算绩效评价结果应用制度。</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第二十一条</w:t>
      </w:r>
      <w:r>
        <w:rPr>
          <w:rFonts w:hint="eastAsia" w:ascii="宋体" w:hAnsi="宋体" w:eastAsia="宋体" w:cs="宋体"/>
          <w:b w:val="0"/>
          <w:i w:val="0"/>
          <w:caps w:val="0"/>
          <w:color w:val="333333"/>
          <w:spacing w:val="0"/>
          <w:kern w:val="0"/>
          <w:sz w:val="24"/>
          <w:szCs w:val="24"/>
          <w:bdr w:val="none" w:color="auto" w:sz="0" w:space="0"/>
          <w:lang w:val="en-US" w:eastAsia="zh-CN" w:bidi="ar"/>
        </w:rPr>
        <w:t> </w:t>
      </w: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本办法自公布之日起30日后施行。</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64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t>附件: 预算绩效评价结果整改报告书</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0"/>
        <w:jc w:val="both"/>
      </w:pPr>
      <w:r>
        <w:rPr>
          <w:rFonts w:hint="default" w:ascii="Times New Roman" w:hAnsi="Times New Roman" w:eastAsia="宋体" w:cs="Times New Roman"/>
          <w:b w:val="0"/>
          <w:i w:val="0"/>
          <w:caps w:val="0"/>
          <w:color w:val="auto"/>
          <w:spacing w:val="0"/>
          <w:kern w:val="0"/>
          <w:sz w:val="32"/>
          <w:szCs w:val="32"/>
          <w:bdr w:val="none" w:color="auto" w:sz="0" w:space="0"/>
          <w:vertAlign w:val="baseline"/>
          <w:lang w:val="en-US" w:eastAsia="zh-CN" w:bidi="ar"/>
        </w:rPr>
        <w:br w:type="textWrapping"/>
      </w: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0"/>
        <w:jc w:val="both"/>
      </w:pPr>
      <w:r>
        <w:rPr>
          <w:rFonts w:hint="eastAsia" w:ascii="黑体" w:hAnsi="宋体" w:eastAsia="黑体" w:cs="黑体"/>
          <w:b w:val="0"/>
          <w:i w:val="0"/>
          <w:caps w:val="0"/>
          <w:color w:val="auto"/>
          <w:spacing w:val="0"/>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0"/>
        <w:jc w:val="center"/>
      </w:pPr>
      <w:r>
        <w:rPr>
          <w:rFonts w:hint="default" w:ascii="方正小标宋_GBK" w:hAnsi="方正小标宋_GBK" w:eastAsia="方正小标宋_GBK" w:cs="方正小标宋_GBK"/>
          <w:b w:val="0"/>
          <w:i w:val="0"/>
          <w:caps w:val="0"/>
          <w:color w:val="auto"/>
          <w:spacing w:val="0"/>
          <w:kern w:val="0"/>
          <w:sz w:val="36"/>
          <w:szCs w:val="36"/>
          <w:bdr w:val="none" w:color="auto" w:sz="0" w:space="0"/>
          <w:vertAlign w:val="baseline"/>
          <w:lang w:val="en-US" w:eastAsia="zh-CN" w:bidi="ar"/>
        </w:rPr>
        <w:t>预算绩效评价结果整改报告书</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240" w:beforeAutospacing="0" w:after="0" w:afterAutospacing="0" w:line="240" w:lineRule="auto"/>
        <w:ind w:left="1170" w:right="1170" w:firstLine="0"/>
        <w:jc w:val="both"/>
      </w:pPr>
      <w:r>
        <w:rPr>
          <w:rFonts w:hint="default" w:ascii="仿宋_GB2312" w:hAnsi="宋体" w:eastAsia="仿宋_GB2312" w:cs="仿宋_GB2312"/>
          <w:b w:val="0"/>
          <w:i w:val="0"/>
          <w:caps w:val="0"/>
          <w:color w:val="auto"/>
          <w:spacing w:val="0"/>
          <w:kern w:val="0"/>
          <w:sz w:val="28"/>
          <w:szCs w:val="28"/>
          <w:bdr w:val="none" w:color="auto" w:sz="0" w:space="0"/>
          <w:vertAlign w:val="baseline"/>
          <w:lang w:val="en-US" w:eastAsia="zh-CN" w:bidi="ar"/>
        </w:rPr>
        <w:t>预算部门（盖章）：</w:t>
      </w:r>
    </w:p>
    <w:tbl>
      <w:tblPr>
        <w:tblW w:w="10680" w:type="dxa"/>
        <w:jc w:val="center"/>
        <w:tblInd w:w="-107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2617"/>
        <w:gridCol w:w="806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12" w:hRule="atLeast"/>
          <w:jc w:val="center"/>
        </w:trPr>
        <w:tc>
          <w:tcPr>
            <w:tcW w:w="261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项目名称</w:t>
            </w:r>
          </w:p>
        </w:tc>
        <w:tc>
          <w:tcPr>
            <w:tcW w:w="80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60"/>
              <w:jc w:val="both"/>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2" w:hRule="atLeast"/>
          <w:jc w:val="center"/>
        </w:trPr>
        <w:tc>
          <w:tcPr>
            <w:tcW w:w="261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评价内容</w:t>
            </w:r>
          </w:p>
        </w:tc>
        <w:tc>
          <w:tcPr>
            <w:tcW w:w="80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60"/>
              <w:jc w:val="both"/>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12" w:hRule="atLeast"/>
          <w:jc w:val="center"/>
        </w:trPr>
        <w:tc>
          <w:tcPr>
            <w:tcW w:w="261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联系人及电话</w:t>
            </w:r>
          </w:p>
        </w:tc>
        <w:tc>
          <w:tcPr>
            <w:tcW w:w="80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60"/>
              <w:jc w:val="both"/>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54" w:hRule="atLeast"/>
          <w:jc w:val="center"/>
        </w:trPr>
        <w:tc>
          <w:tcPr>
            <w:tcW w:w="261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27" w:firstLine="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整</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6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改</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6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情</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56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center"/>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况</w:t>
            </w:r>
          </w:p>
        </w:tc>
        <w:tc>
          <w:tcPr>
            <w:tcW w:w="806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0" w:right="0" w:firstLine="0"/>
              <w:jc w:val="both"/>
            </w:pPr>
            <w:r>
              <w:rPr>
                <w:rFonts w:hint="default" w:ascii="仿宋_GB2312" w:eastAsia="仿宋_GB2312" w:cs="仿宋_GB2312" w:hAnsiTheme="minorHAnsi"/>
                <w:caps w:val="0"/>
                <w:color w:val="auto"/>
                <w:kern w:val="0"/>
                <w:sz w:val="28"/>
                <w:szCs w:val="28"/>
                <w:bdr w:val="none" w:color="auto" w:sz="0" w:space="0"/>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420"/>
        <w:jc w:val="both"/>
      </w:pPr>
      <w:r>
        <w:rPr>
          <w:rFonts w:hint="default" w:ascii="仿宋_GB2312" w:hAnsi="宋体" w:eastAsia="仿宋_GB2312" w:cs="仿宋_GB2312"/>
          <w:b w:val="0"/>
          <w:i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420"/>
        <w:jc w:val="both"/>
      </w:pPr>
      <w:r>
        <w:rPr>
          <w:rFonts w:hint="default" w:ascii="仿宋_GB2312" w:hAnsi="宋体" w:eastAsia="仿宋_GB2312" w:cs="仿宋_GB2312"/>
          <w:b w:val="0"/>
          <w:i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default" w:ascii="Times New Roman" w:hAnsi="Times New Roman" w:eastAsia="宋体" w:cs="Times New Roman"/>
          <w:b w:val="0"/>
          <w:i w:val="0"/>
          <w:caps w:val="0"/>
          <w:color w:val="auto"/>
          <w:spacing w:val="0"/>
          <w:kern w:val="0"/>
          <w:sz w:val="28"/>
          <w:szCs w:val="28"/>
          <w:bdr w:val="none" w:color="auto" w:sz="0" w:space="0"/>
          <w:vertAlign w:val="baseline"/>
          <w:lang w:val="en-US" w:eastAsia="zh-CN" w:bidi="ar"/>
        </w:rPr>
        <w:t>信息公开选项:主动公开</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0"/>
        <w:jc w:val="both"/>
      </w:pPr>
      <w:r>
        <w:rPr>
          <w:rFonts w:hint="default" w:ascii="Times New Roman" w:hAnsi="Times New Roman" w:eastAsia="宋体" w:cs="Times New Roman"/>
          <w:b w:val="0"/>
          <w:i w:val="0"/>
          <w:caps w:val="0"/>
          <w:color w:val="auto"/>
          <w:spacing w:val="0"/>
          <w:kern w:val="0"/>
          <w:sz w:val="28"/>
          <w:szCs w:val="28"/>
          <w:bdr w:val="none" w:color="auto" w:sz="0" w:space="0"/>
          <w:vertAlign w:val="baseline"/>
          <w:lang w:val="en-US" w:eastAsia="zh-CN" w:bidi="ar"/>
        </w:rPr>
        <w:t>   </w:t>
      </w:r>
      <w:r>
        <w:rPr>
          <w:rFonts w:hint="default" w:ascii="仿宋_GB2312" w:hAnsi="宋体" w:eastAsia="仿宋_GB2312" w:cs="仿宋_GB2312"/>
          <w:b w:val="0"/>
          <w:i w:val="0"/>
          <w:caps w:val="0"/>
          <w:color w:val="auto"/>
          <w:spacing w:val="0"/>
          <w:kern w:val="0"/>
          <w:sz w:val="28"/>
          <w:szCs w:val="28"/>
          <w:bdr w:val="none" w:color="auto" w:sz="0" w:space="0"/>
          <w:vertAlign w:val="baseline"/>
          <w:lang w:val="en-US" w:eastAsia="zh-CN" w:bidi="ar"/>
        </w:rPr>
        <w:t>抄送：省审计厅。</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600" w:lineRule="atLeast"/>
        <w:ind w:left="1170" w:right="1170" w:firstLine="392"/>
        <w:jc w:val="both"/>
      </w:pPr>
      <w:r>
        <w:rPr>
          <w:rFonts w:hint="default" w:ascii="Times New Roman" w:hAnsi="Times New Roman" w:eastAsia="宋体" w:cs="Times New Roman"/>
          <w:b w:val="0"/>
          <w:i w:val="0"/>
          <w:caps w:val="0"/>
          <w:color w:val="auto"/>
          <w:spacing w:val="0"/>
          <w:kern w:val="0"/>
          <w:sz w:val="28"/>
          <w:szCs w:val="28"/>
          <w:bdr w:val="none" w:color="auto" w:sz="0" w:space="0"/>
          <w:vertAlign w:val="baseline"/>
          <w:lang w:val="en-US" w:eastAsia="zh-CN" w:bidi="ar"/>
        </w:rPr>
        <w:t>湖</w:t>
      </w:r>
      <w:r>
        <w:rPr>
          <w:rFonts w:hint="default" w:ascii="Times New Roman" w:hAnsi="Times New Roman" w:eastAsia="宋体" w:cs="Times New Roman"/>
          <w:b w:val="0"/>
          <w:i w:val="0"/>
          <w:caps w:val="0"/>
          <w:color w:val="auto"/>
          <w:spacing w:val="-6"/>
          <w:kern w:val="0"/>
          <w:sz w:val="28"/>
          <w:szCs w:val="28"/>
          <w:bdr w:val="none" w:color="auto" w:sz="0" w:space="0"/>
          <w:vertAlign w:val="baseline"/>
          <w:lang w:val="en-US" w:eastAsia="zh-CN" w:bidi="ar"/>
        </w:rPr>
        <w:t>南省财政厅办公室                     2014年11月</w:t>
      </w:r>
      <w:r>
        <w:rPr>
          <w:rFonts w:hint="default" w:ascii="仿宋_GB2312" w:hAnsi="宋体" w:eastAsia="仿宋_GB2312" w:cs="仿宋_GB2312"/>
          <w:b w:val="0"/>
          <w:i w:val="0"/>
          <w:caps w:val="0"/>
          <w:color w:val="auto"/>
          <w:spacing w:val="-6"/>
          <w:kern w:val="0"/>
          <w:sz w:val="28"/>
          <w:szCs w:val="28"/>
          <w:bdr w:val="none" w:color="auto" w:sz="0" w:space="0"/>
          <w:vertAlign w:val="baseline"/>
          <w:lang w:val="en-US" w:eastAsia="zh-CN" w:bidi="ar"/>
        </w:rPr>
        <w:t>28</w:t>
      </w:r>
      <w:r>
        <w:rPr>
          <w:rFonts w:hint="default" w:ascii="Times New Roman" w:hAnsi="Times New Roman" w:eastAsia="宋体" w:cs="Times New Roman"/>
          <w:b w:val="0"/>
          <w:i w:val="0"/>
          <w:caps w:val="0"/>
          <w:color w:val="auto"/>
          <w:spacing w:val="-6"/>
          <w:kern w:val="0"/>
          <w:sz w:val="28"/>
          <w:szCs w:val="28"/>
          <w:bdr w:val="none" w:color="auto" w:sz="0" w:space="0"/>
          <w:vertAlign w:val="baseline"/>
          <w:lang w:val="en-US" w:eastAsia="zh-CN" w:bidi="ar"/>
        </w:rPr>
        <w:t>日印发</w:t>
      </w: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0"/>
        <w:jc w:val="both"/>
      </w:pPr>
      <w:r>
        <w:rPr>
          <w:rFonts w:hint="default" w:ascii="Times New Roman" w:hAnsi="Times New Roman" w:eastAsia="宋体" w:cs="Times New Roman"/>
          <w:b w:val="0"/>
          <w:i w:val="0"/>
          <w:caps w:val="0"/>
          <w:color w:val="auto"/>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2F2"/>
        <w:spacing w:before="0" w:beforeAutospacing="0" w:after="0" w:afterAutospacing="0" w:line="495" w:lineRule="atLeast"/>
        <w:ind w:left="1170" w:right="1170" w:firstLine="0"/>
        <w:jc w:val="left"/>
        <w:rPr>
          <w:rFonts w:ascii="微软雅黑" w:hAnsi="微软雅黑" w:eastAsia="微软雅黑" w:cs="微软雅黑"/>
          <w:b w:val="0"/>
          <w:i w:val="0"/>
          <w:caps w:val="0"/>
          <w:color w:val="999999"/>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bidi w:val="0"/>
        <w:spacing w:before="0" w:beforeAutospacing="0" w:after="0" w:afterAutospacing="0" w:line="240" w:lineRule="auto"/>
        <w:ind w:left="1170" w:right="1170" w:firstLine="420" w:firstLineChars="200"/>
        <w:jc w:val="both"/>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F0E35"/>
    <w:rsid w:val="75CF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2019-09-04T01:26:00Z</dcterms:created>
  <dc:creator>佳丽</dc:creator>
  <cp:lastModifiedBy>佳丽</cp:lastModifiedBy>
  <dcterms:modified xsi:type="dcterms:W3CDTF">2019-09-04T01:30:22Z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