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rPr>
          <w:rFonts w:eastAsia="黑体"/>
          <w:b/>
          <w:kern w:val="2"/>
          <w:sz w:val="36"/>
        </w:rPr>
      </w:pPr>
    </w:p>
    <w:p>
      <w:pPr>
        <w:pStyle w:val="17"/>
        <w:rPr>
          <w:rFonts w:eastAsia="黑体"/>
          <w:b/>
          <w:kern w:val="2"/>
          <w:sz w:val="36"/>
        </w:rPr>
      </w:pP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46" w:afterLines="50"/>
        <w:textAlignment w:val="auto"/>
        <w:rPr>
          <w:rFonts w:eastAsia="黑体"/>
          <w:b/>
          <w:kern w:val="2"/>
          <w:sz w:val="36"/>
        </w:rPr>
      </w:pPr>
    </w:p>
    <w:p>
      <w:pPr>
        <w:pStyle w:val="17"/>
        <w:rPr>
          <w:rFonts w:eastAsia="黑体"/>
          <w:b/>
          <w:kern w:val="2"/>
          <w:sz w:val="18"/>
          <w:szCs w:val="18"/>
        </w:rPr>
      </w:pPr>
    </w:p>
    <w:p>
      <w:pPr>
        <w:pStyle w:val="17"/>
        <w:ind w:right="320"/>
        <w:jc w:val="right"/>
        <w:rPr>
          <w:rFonts w:eastAsia="黑体"/>
          <w:b/>
          <w:kern w:val="2"/>
          <w:sz w:val="36"/>
        </w:rPr>
      </w:pPr>
      <w:r>
        <w:rPr>
          <w:rFonts w:hint="eastAsia" w:ascii="仿宋" w:hAnsi="仿宋" w:eastAsia="仿宋"/>
          <w:color w:val="000000"/>
        </w:rPr>
        <w:t>岳环评</w:t>
      </w:r>
      <w:r>
        <w:rPr>
          <w:rFonts w:hint="eastAsia" w:ascii="仿宋" w:hAnsi="仿宋" w:eastAsia="仿宋" w:cs="仿宋"/>
          <w:color w:val="000000"/>
        </w:rPr>
        <w:t>〔</w:t>
      </w:r>
      <w:r>
        <w:rPr>
          <w:rFonts w:ascii="仿宋" w:hAnsi="仿宋" w:eastAsia="仿宋"/>
          <w:color w:val="000000"/>
        </w:rPr>
        <w:t>20</w:t>
      </w:r>
      <w:r>
        <w:rPr>
          <w:rFonts w:hint="eastAsia" w:ascii="仿宋" w:hAnsi="仿宋" w:eastAsia="仿宋"/>
          <w:color w:val="000000"/>
          <w:lang w:val="en-US" w:eastAsia="zh-CN"/>
        </w:rPr>
        <w:t>21</w:t>
      </w:r>
      <w:r>
        <w:rPr>
          <w:rFonts w:hint="eastAsia" w:ascii="仿宋" w:hAnsi="仿宋" w:eastAsia="仿宋" w:cs="仿宋"/>
          <w:color w:val="000000"/>
        </w:rPr>
        <w:t>〕</w:t>
      </w:r>
      <w:r>
        <w:rPr>
          <w:rFonts w:hint="eastAsia" w:ascii="仿宋" w:hAnsi="仿宋" w:eastAsia="仿宋" w:cs="仿宋"/>
          <w:color w:val="000000"/>
          <w:lang w:val="en-US" w:eastAsia="zh-CN"/>
        </w:rPr>
        <w:t>43</w:t>
      </w:r>
      <w:r>
        <w:rPr>
          <w:rFonts w:hint="eastAsia" w:ascii="仿宋" w:hAnsi="仿宋" w:eastAsia="仿宋"/>
          <w:color w:val="000000"/>
        </w:rPr>
        <w:t>号</w:t>
      </w:r>
    </w:p>
    <w:p>
      <w:pPr>
        <w:widowControl/>
        <w:spacing w:line="360" w:lineRule="auto"/>
        <w:jc w:val="center"/>
        <w:rPr>
          <w:rFonts w:hint="eastAsia" w:ascii="宋体" w:hAnsi="宋体" w:eastAsia="宋体" w:cs="Times New Roman"/>
          <w:b/>
          <w:kern w:val="0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Times New Roman"/>
          <w:b/>
          <w:kern w:val="0"/>
          <w:sz w:val="36"/>
          <w:szCs w:val="36"/>
          <w:lang w:val="en-US" w:eastAsia="zh-CN" w:bidi="ar-SA"/>
        </w:rPr>
        <w:t>关于湖南鹏翔致远智能装备有限公司年生产600台隧道智能装备建设项目环境影响报告书的批复</w:t>
      </w:r>
    </w:p>
    <w:p>
      <w:pPr>
        <w:pStyle w:val="19"/>
        <w:spacing w:line="480" w:lineRule="exact"/>
        <w:rPr>
          <w:rFonts w:eastAsia="仿宋_GB2312"/>
          <w:kern w:val="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 w:ascii="仿宋" w:hAnsi="仿宋" w:eastAsia="仿宋" w:cs="Times New Roman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u w:val="none"/>
          <w:lang w:val="en-US" w:eastAsia="zh-CN"/>
        </w:rPr>
        <w:t>湖南鹏翔致远智能装备有限公司：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u w:val="none"/>
          <w:lang w:val="en-US" w:eastAsia="zh-CN"/>
        </w:rPr>
        <w:t>你公司《关于申请〈年生产600台隧道智能装备建设项目〉批复的报告》、</w:t>
      </w:r>
      <w:r>
        <w:rPr>
          <w:rFonts w:hint="eastAsia" w:ascii="仿宋" w:hAnsi="仿宋" w:eastAsia="仿宋" w:cs="仿宋_GB2312"/>
          <w:sz w:val="32"/>
          <w:szCs w:val="32"/>
          <w:lang w:val="en-US" w:eastAsia="zh-CN" w:bidi="ar"/>
        </w:rPr>
        <w:t>岳阳市生态环境局汨罗分局</w:t>
      </w:r>
      <w:r>
        <w:rPr>
          <w:rFonts w:hint="eastAsia" w:ascii="仿宋" w:hAnsi="仿宋" w:eastAsia="仿宋" w:cs="Times New Roman"/>
          <w:sz w:val="32"/>
          <w:szCs w:val="32"/>
          <w:u w:val="none"/>
          <w:lang w:val="en-US" w:eastAsia="zh-CN"/>
        </w:rPr>
        <w:t>预审意见及有关附件收悉。经研究，批复如下：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u w:val="none"/>
          <w:lang w:val="en-US" w:eastAsia="zh-CN"/>
        </w:rPr>
        <w:t>一、湖南鹏翔致远智能有限公司拟投资25000万元（其中环保投资296万元），在汨罗市弼时镇国家级长沙经济技术开发区汨罗产业园新建年产600台隧道智能装备建设项目。建设地点中心坐标：经度113.143212798，纬度28.480512356。项目用地面积66684m</w:t>
      </w:r>
      <w:r>
        <w:rPr>
          <w:rFonts w:hint="eastAsia" w:ascii="仿宋" w:hAnsi="仿宋" w:eastAsia="仿宋" w:cs="Times New Roman"/>
          <w:sz w:val="32"/>
          <w:szCs w:val="32"/>
          <w:u w:val="none"/>
          <w:vertAlign w:val="superscript"/>
          <w:lang w:val="en-US" w:eastAsia="zh-CN"/>
        </w:rPr>
        <w:t>2</w:t>
      </w:r>
      <w:r>
        <w:rPr>
          <w:rFonts w:hint="eastAsia" w:ascii="仿宋" w:hAnsi="仿宋" w:eastAsia="仿宋" w:cs="Times New Roman"/>
          <w:sz w:val="32"/>
          <w:szCs w:val="32"/>
          <w:u w:val="none"/>
          <w:vertAlign w:val="baseline"/>
          <w:lang w:val="en-US" w:eastAsia="zh-CN"/>
        </w:rPr>
        <w:t>,</w:t>
      </w:r>
      <w:r>
        <w:rPr>
          <w:rFonts w:hint="eastAsia" w:ascii="仿宋" w:hAnsi="仿宋" w:eastAsia="仿宋" w:cs="Times New Roman"/>
          <w:sz w:val="32"/>
          <w:szCs w:val="32"/>
          <w:u w:val="none"/>
          <w:lang w:val="en-US" w:eastAsia="zh-CN"/>
        </w:rPr>
        <w:t>总建筑面积44551.71m</w:t>
      </w:r>
      <w:r>
        <w:rPr>
          <w:rFonts w:hint="eastAsia" w:ascii="仿宋" w:hAnsi="仿宋" w:eastAsia="仿宋" w:cs="Times New Roman"/>
          <w:sz w:val="32"/>
          <w:szCs w:val="32"/>
          <w:u w:val="none"/>
          <w:vertAlign w:val="superscript"/>
          <w:lang w:val="en-US" w:eastAsia="zh-CN"/>
        </w:rPr>
        <w:t>2</w:t>
      </w:r>
      <w:r>
        <w:rPr>
          <w:rFonts w:hint="eastAsia" w:ascii="仿宋" w:hAnsi="仿宋" w:eastAsia="仿宋" w:cs="Times New Roman"/>
          <w:sz w:val="32"/>
          <w:szCs w:val="32"/>
          <w:u w:val="none"/>
          <w:lang w:val="en-US" w:eastAsia="zh-CN"/>
        </w:rPr>
        <w:t>。主要建设内容：主体工程：2</w:t>
      </w:r>
      <w:r>
        <w:rPr>
          <w:rFonts w:hint="eastAsia" w:ascii="仿宋" w:hAnsi="仿宋" w:eastAsia="仿宋" w:cs="Times New Roman"/>
          <w:sz w:val="32"/>
          <w:szCs w:val="32"/>
          <w:u w:val="none"/>
          <w:vertAlign w:val="superscript"/>
          <w:lang w:val="en-US" w:eastAsia="zh-CN"/>
        </w:rPr>
        <w:t>#</w:t>
      </w:r>
      <w:r>
        <w:rPr>
          <w:rFonts w:hint="eastAsia" w:ascii="仿宋" w:hAnsi="仿宋" w:eastAsia="仿宋" w:cs="Times New Roman"/>
          <w:sz w:val="32"/>
          <w:szCs w:val="32"/>
          <w:u w:val="none"/>
          <w:lang w:val="en-US" w:eastAsia="zh-CN"/>
        </w:rPr>
        <w:t>生产厂房（包括焊接区和组装区）、3</w:t>
      </w:r>
      <w:r>
        <w:rPr>
          <w:rFonts w:hint="eastAsia" w:ascii="仿宋" w:hAnsi="仿宋" w:eastAsia="仿宋" w:cs="Times New Roman"/>
          <w:sz w:val="32"/>
          <w:szCs w:val="32"/>
          <w:u w:val="none"/>
          <w:vertAlign w:val="superscript"/>
          <w:lang w:val="en-US" w:eastAsia="zh-CN"/>
        </w:rPr>
        <w:t>#</w:t>
      </w:r>
      <w:r>
        <w:rPr>
          <w:rFonts w:hint="eastAsia" w:ascii="仿宋" w:hAnsi="仿宋" w:eastAsia="仿宋" w:cs="Times New Roman"/>
          <w:sz w:val="32"/>
          <w:szCs w:val="32"/>
          <w:u w:val="none"/>
          <w:lang w:val="en-US" w:eastAsia="zh-CN"/>
        </w:rPr>
        <w:t>喷涂车间（包括打磨区、喷涂区、晾干区）、5</w:t>
      </w:r>
      <w:r>
        <w:rPr>
          <w:rFonts w:hint="eastAsia" w:ascii="仿宋" w:hAnsi="仿宋" w:eastAsia="仿宋" w:cs="Times New Roman"/>
          <w:sz w:val="32"/>
          <w:szCs w:val="32"/>
          <w:u w:val="none"/>
          <w:vertAlign w:val="superscript"/>
          <w:lang w:val="en-US" w:eastAsia="zh-CN"/>
        </w:rPr>
        <w:t>#</w:t>
      </w:r>
      <w:r>
        <w:rPr>
          <w:rFonts w:hint="eastAsia" w:ascii="仿宋" w:hAnsi="仿宋" w:eastAsia="仿宋" w:cs="Times New Roman"/>
          <w:sz w:val="32"/>
          <w:szCs w:val="32"/>
          <w:u w:val="none"/>
          <w:vertAlign w:val="baseline"/>
          <w:lang w:val="en-US" w:eastAsia="zh-CN"/>
        </w:rPr>
        <w:t>生产厂房</w:t>
      </w:r>
      <w:r>
        <w:rPr>
          <w:rFonts w:hint="eastAsia" w:ascii="仿宋" w:hAnsi="仿宋" w:eastAsia="仿宋" w:cs="Times New Roman"/>
          <w:sz w:val="32"/>
          <w:szCs w:val="32"/>
          <w:u w:val="none"/>
          <w:lang w:val="en-US" w:eastAsia="zh-CN"/>
        </w:rPr>
        <w:t>（包括原材料区、下料区）、6</w:t>
      </w:r>
      <w:r>
        <w:rPr>
          <w:rFonts w:hint="eastAsia" w:ascii="仿宋" w:hAnsi="仿宋" w:eastAsia="仿宋" w:cs="Times New Roman"/>
          <w:sz w:val="32"/>
          <w:szCs w:val="32"/>
          <w:u w:val="none"/>
          <w:vertAlign w:val="superscript"/>
          <w:lang w:val="en-US" w:eastAsia="zh-CN"/>
        </w:rPr>
        <w:t>#</w:t>
      </w:r>
      <w:r>
        <w:rPr>
          <w:rFonts w:hint="eastAsia" w:ascii="仿宋" w:hAnsi="仿宋" w:eastAsia="仿宋" w:cs="Times New Roman"/>
          <w:sz w:val="32"/>
          <w:szCs w:val="32"/>
          <w:u w:val="none"/>
          <w:lang w:val="en-US" w:eastAsia="zh-CN"/>
        </w:rPr>
        <w:t>调试车间；储运、辅助及公用工程：1</w:t>
      </w:r>
      <w:r>
        <w:rPr>
          <w:rFonts w:hint="eastAsia" w:ascii="仿宋" w:hAnsi="仿宋" w:eastAsia="仿宋" w:cs="Times New Roman"/>
          <w:sz w:val="32"/>
          <w:szCs w:val="32"/>
          <w:u w:val="none"/>
          <w:vertAlign w:val="superscript"/>
          <w:lang w:val="en-US" w:eastAsia="zh-CN"/>
        </w:rPr>
        <w:t>#</w:t>
      </w:r>
      <w:r>
        <w:rPr>
          <w:rFonts w:hint="eastAsia" w:ascii="仿宋" w:hAnsi="仿宋" w:eastAsia="仿宋" w:cs="Times New Roman"/>
          <w:sz w:val="32"/>
          <w:szCs w:val="32"/>
          <w:u w:val="none"/>
          <w:lang w:val="en-US" w:eastAsia="zh-CN"/>
        </w:rPr>
        <w:t>综合楼、厂内道路及装卸车位、给排水、供电工程等其他配套设施；环保工程：4</w:t>
      </w:r>
      <w:r>
        <w:rPr>
          <w:rFonts w:hint="eastAsia" w:ascii="仿宋" w:hAnsi="仿宋" w:eastAsia="仿宋" w:cs="Times New Roman"/>
          <w:sz w:val="32"/>
          <w:szCs w:val="32"/>
          <w:u w:val="none"/>
          <w:vertAlign w:val="superscript"/>
          <w:lang w:val="en-US" w:eastAsia="zh-CN"/>
        </w:rPr>
        <w:t>#</w:t>
      </w:r>
      <w:r>
        <w:rPr>
          <w:rFonts w:hint="eastAsia" w:ascii="仿宋" w:hAnsi="仿宋" w:eastAsia="仿宋" w:cs="Times New Roman"/>
          <w:sz w:val="32"/>
          <w:szCs w:val="32"/>
          <w:u w:val="none"/>
          <w:lang w:val="en-US" w:eastAsia="zh-CN"/>
        </w:rPr>
        <w:t>危废暂存间和废气、废水处理设施等</w:t>
      </w:r>
      <w:r>
        <w:rPr>
          <w:rFonts w:hint="eastAsia" w:eastAsia="仿宋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Times New Roman"/>
          <w:sz w:val="32"/>
          <w:szCs w:val="32"/>
          <w:u w:val="none"/>
          <w:lang w:val="en-US" w:eastAsia="zh-CN"/>
        </w:rPr>
        <w:t>项目以钢材、丙烯酸聚氨酯面漆、中灰环氧底漆、丙烯酸聚氨酯漆固化剂、丙烯酸漆稀释剂、水性羟丙酸底漆、水性丙烯酸面漆等为主要原辅材料，经下料、切割、钻孔、组装、打磨、调试、除油、喷漆等工序生产生产隧道智能装备，包括隧道智能喷浆机器人、智能凿岩台车、拱架安装台车等。产品方案：年产隧道智能喷浆机器人250台、智能凿岩台车200台、拱架安装台车150台。项目使用的钢材均外委进行表面处理，不在厂区进行脱脂、表调、磷化等表面处理工艺。项目已取得汨罗市发展和改革局备案证明（汨发改备[2021]14号）。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根据</w:t>
      </w:r>
      <w:r>
        <w:rPr>
          <w:rFonts w:hint="eastAsia" w:ascii="仿宋" w:hAnsi="仿宋" w:eastAsia="仿宋" w:cs="Times New Roman"/>
          <w:sz w:val="32"/>
          <w:szCs w:val="32"/>
          <w:u w:val="none"/>
          <w:lang w:val="en-US" w:eastAsia="zh-CN"/>
        </w:rPr>
        <w:t>中石生态环境科技有限公司</w:t>
      </w:r>
      <w:r>
        <w:rPr>
          <w:rFonts w:hint="eastAsia" w:ascii="仿宋" w:hAnsi="仿宋" w:eastAsia="仿宋"/>
          <w:sz w:val="32"/>
          <w:szCs w:val="32"/>
          <w:u w:val="none"/>
        </w:rPr>
        <w:t>编制</w:t>
      </w:r>
      <w:r>
        <w:rPr>
          <w:rFonts w:hint="eastAsia" w:ascii="仿宋" w:hAnsi="仿宋" w:eastAsia="仿宋" w:cs="Times New Roman"/>
          <w:sz w:val="32"/>
          <w:szCs w:val="32"/>
          <w:u w:val="none"/>
          <w:lang w:val="en-US" w:eastAsia="zh-CN"/>
        </w:rPr>
        <w:t>的《湖南鹏翔致远智能装备有限公司年生产600台隧道智能装备建设项目环境影响报告书》（报批稿）基本内容、结论和专家评审意见及岳阳市生态环境局汨罗分局预审意见，综合考虑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，我局原则同意你公司环境影响报告书中所列建设项目的</w:t>
      </w:r>
      <w:r>
        <w:rPr>
          <w:rFonts w:hint="default" w:ascii="仿宋" w:hAnsi="仿宋" w:eastAsia="仿宋"/>
          <w:sz w:val="32"/>
          <w:szCs w:val="32"/>
          <w:u w:val="none"/>
          <w:lang w:val="en-US" w:eastAsia="zh-CN"/>
        </w:rPr>
        <w:t>环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境</w:t>
      </w:r>
      <w:r>
        <w:rPr>
          <w:rFonts w:hint="default" w:ascii="仿宋" w:hAnsi="仿宋" w:eastAsia="仿宋"/>
          <w:sz w:val="32"/>
          <w:szCs w:val="32"/>
          <w:u w:val="none"/>
          <w:lang w:val="en-US" w:eastAsia="zh-CN"/>
        </w:rPr>
        <w:t>影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响评价结论和环境保护对策措施。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二、项目建设和运营必须全面落实环境影响报告书提出的各项环保措施，并着重做好以下工作：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/>
        <w:jc w:val="both"/>
        <w:textAlignment w:val="auto"/>
        <w:rPr>
          <w:rFonts w:hint="default" w:eastAsia="仿宋"/>
          <w:u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（一）加强施工期环境管理。严格落实报告书中提出的要求，做好施工扬尘、废气、噪声、废水、弃渣的防治措施，减少施工期对周边环境的影响，避免造成施工扰民。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项目采用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外购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商品混凝土，施工现场封闭施工，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施工区域和物料堆场设置围挡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严禁物料露天堆放，严禁大风大雨等恶劣天气施工，加强对施工扬尘产尘点的监控管理，配备洒水设备并定期洒水抑尘；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施工现场规范设置洗车平台，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合理安排物料运输路线，严格落实封闭式运输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减少扬尘对周边环境的影响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施工人员生活污水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尽量依托当地现有住宅排放，少数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经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临时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化粪池处理后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集中处理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，不外排。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施工机械和车辆冲洗水经收集隔油沉淀处理后回用，设置雨水收集池，施工期雨污水、</w:t>
      </w:r>
      <w:r>
        <w:rPr>
          <w:rFonts w:hint="default" w:ascii="仿宋" w:hAnsi="仿宋" w:eastAsia="仿宋"/>
          <w:sz w:val="32"/>
          <w:szCs w:val="32"/>
          <w:u w:val="none"/>
        </w:rPr>
        <w:t>混凝土养护废水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和基坑积水等</w:t>
      </w:r>
      <w:r>
        <w:rPr>
          <w:rFonts w:hint="default" w:ascii="仿宋" w:hAnsi="仿宋" w:eastAsia="仿宋"/>
          <w:sz w:val="32"/>
          <w:szCs w:val="32"/>
          <w:u w:val="none"/>
        </w:rPr>
        <w:t>施工废水经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收集</w:t>
      </w:r>
      <w:r>
        <w:rPr>
          <w:rFonts w:hint="default" w:ascii="仿宋" w:hAnsi="仿宋" w:eastAsia="仿宋"/>
          <w:sz w:val="32"/>
          <w:szCs w:val="32"/>
          <w:u w:val="none"/>
        </w:rPr>
        <w:t>沉淀处理后回用</w:t>
      </w:r>
      <w:bookmarkStart w:id="0" w:name="_GoBack"/>
      <w:bookmarkEnd w:id="0"/>
      <w:r>
        <w:rPr>
          <w:rFonts w:hint="default" w:ascii="仿宋" w:hAnsi="仿宋" w:eastAsia="仿宋"/>
          <w:sz w:val="32"/>
          <w:szCs w:val="32"/>
          <w:u w:val="none"/>
        </w:rPr>
        <w:t>于施工现场洒水，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均不外排</w:t>
      </w:r>
      <w:r>
        <w:rPr>
          <w:rFonts w:hint="eastAsia" w:ascii="仿宋" w:hAnsi="仿宋" w:eastAsia="仿宋"/>
          <w:sz w:val="32"/>
          <w:szCs w:val="32"/>
          <w:u w:val="none"/>
        </w:rPr>
        <w:t>；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打桩</w:t>
      </w:r>
      <w:r>
        <w:rPr>
          <w:rFonts w:hint="default" w:ascii="仿宋" w:hAnsi="仿宋" w:eastAsia="仿宋"/>
          <w:sz w:val="32"/>
          <w:szCs w:val="32"/>
          <w:u w:val="none"/>
        </w:rPr>
        <w:t>泥浆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由泥浆车按规范运输处理等。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施工期建筑垃圾由渣土管理部门统一调配，施工人员生活垃圾集中收集送城市垃圾处理场；合理安排施工时段，高噪声施工机械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禁止夜间施工，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尽量选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用低噪声设备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合理进行施工布置，加强施工设备维修保养，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落实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好临时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降噪措施，加强运输车辆、施工机械和设备管理及维护，确保项目施工噪声满足《建筑施工场界环境噪声排放标准》（GB12523-2011）相关要求。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工程建设完成后，及时进行厂区绿化工作。</w:t>
      </w:r>
    </w:p>
    <w:p>
      <w:pPr>
        <w:tabs>
          <w:tab w:val="left" w:pos="851"/>
        </w:tabs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</w:rPr>
        <w:t>（二）</w:t>
      </w:r>
      <w:r>
        <w:rPr>
          <w:rFonts w:hint="eastAsia" w:ascii="仿宋" w:hAnsi="仿宋" w:eastAsia="仿宋"/>
          <w:sz w:val="32"/>
          <w:szCs w:val="32"/>
        </w:rPr>
        <w:t>严格项目原辅材料的准入条件，使用符合环保要求的油漆、稀释剂等原料。</w:t>
      </w:r>
    </w:p>
    <w:p>
      <w:pPr>
        <w:tabs>
          <w:tab w:val="left" w:pos="851"/>
        </w:tabs>
        <w:spacing w:line="360" w:lineRule="auto"/>
        <w:ind w:firstLine="640" w:firstLineChars="200"/>
        <w:rPr>
          <w:rFonts w:hint="eastAsia"/>
          <w:sz w:val="24"/>
          <w:szCs w:val="24"/>
          <w:u w:val="single"/>
        </w:rPr>
      </w:pPr>
      <w:r>
        <w:rPr>
          <w:rFonts w:hint="eastAsia" w:ascii="仿宋" w:hAnsi="仿宋" w:eastAsia="仿宋"/>
          <w:sz w:val="32"/>
          <w:szCs w:val="32"/>
          <w:u w:val="none"/>
        </w:rPr>
        <w:t>（三）废气污染防治工作。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 w:bidi="ar"/>
        </w:rPr>
        <w:t>严格控制项目废气污染，</w:t>
      </w:r>
      <w:r>
        <w:rPr>
          <w:rFonts w:hint="eastAsia" w:ascii="仿宋" w:hAnsi="仿宋" w:eastAsia="仿宋"/>
          <w:sz w:val="32"/>
          <w:szCs w:val="32"/>
        </w:rPr>
        <w:t>合理分区，规范建设废气收集处理系统，</w:t>
      </w:r>
      <w:r>
        <w:rPr>
          <w:rFonts w:hint="eastAsia" w:ascii="仿宋" w:hAnsi="仿宋" w:eastAsia="仿宋"/>
          <w:sz w:val="32"/>
          <w:szCs w:val="32"/>
          <w:u w:val="none"/>
        </w:rPr>
        <w:t>生产车间保持密闭，加强车间现场及污防设施运行管理，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合理布置移动式烟（粉）尘净化器并定期检查维护，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 w:bidi="ar"/>
        </w:rPr>
        <w:t>最大限度减少生产过程中的废气无组织排放,</w:t>
      </w:r>
      <w:r>
        <w:rPr>
          <w:rFonts w:hint="eastAsia" w:ascii="仿宋" w:hAnsi="仿宋" w:eastAsia="仿宋"/>
          <w:sz w:val="32"/>
          <w:szCs w:val="32"/>
          <w:u w:val="none"/>
        </w:rPr>
        <w:t>确保无组织排放废气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分别</w:t>
      </w:r>
      <w:r>
        <w:rPr>
          <w:rFonts w:hint="eastAsia" w:ascii="仿宋" w:hAnsi="仿宋" w:eastAsia="仿宋"/>
          <w:sz w:val="32"/>
          <w:szCs w:val="32"/>
        </w:rPr>
        <w:t>满足《挥发性有机物无组织排放控制标准》（GB37822-2019）附录A表A.1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《表面涂装（汽车制造及维修）挥发性有机物、镍排放标准》（DB43/1356-2017）表3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/>
          <w:sz w:val="32"/>
          <w:szCs w:val="32"/>
        </w:rPr>
        <w:t>《大气污染物综合排放标准》（GB16297-1996）表2中无组织排放监控浓度限值要求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；打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磨废气经收集除尘处理达到《大气污染物综合排放标准》（GB16297-1996）表2二级标准要求后，由15m排气筒外排；</w:t>
      </w:r>
      <w:r>
        <w:rPr>
          <w:rFonts w:hint="eastAsia" w:ascii="仿宋" w:hAnsi="仿宋" w:eastAsia="仿宋"/>
          <w:sz w:val="32"/>
          <w:szCs w:val="32"/>
          <w:u w:val="none"/>
        </w:rPr>
        <w:t>项目除油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等</w:t>
      </w:r>
      <w:r>
        <w:rPr>
          <w:rFonts w:hint="eastAsia" w:ascii="仿宋" w:hAnsi="仿宋" w:eastAsia="仿宋"/>
          <w:sz w:val="32"/>
          <w:szCs w:val="32"/>
          <w:u w:val="none"/>
        </w:rPr>
        <w:t>工序在喷漆房内进行，喷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涂车间保持</w:t>
      </w:r>
      <w:r>
        <w:rPr>
          <w:rFonts w:hint="eastAsia" w:ascii="仿宋" w:hAnsi="仿宋" w:eastAsia="仿宋"/>
          <w:sz w:val="32"/>
          <w:szCs w:val="32"/>
          <w:u w:val="none"/>
        </w:rPr>
        <w:t>密闭，喷漆房和晾干房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有机废气经收集处理达到</w:t>
      </w:r>
      <w:r>
        <w:rPr>
          <w:rFonts w:hint="eastAsia" w:ascii="仿宋" w:hAnsi="仿宋" w:eastAsia="仿宋"/>
          <w:sz w:val="32"/>
          <w:szCs w:val="32"/>
          <w:u w:val="none"/>
        </w:rPr>
        <w:t>《表面涂装（汽车制造及维修）挥发性有机物、镍排放标准》（DB43/1356-2017）表1浓度限值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要求后，由15m排气筒外排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；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 w:bidi="ar"/>
        </w:rPr>
        <w:t>食堂油烟经处理满足《饮食业油烟排放标准》(GB18483-2001)要求后，引至屋顶高空排放。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/>
          <w:sz w:val="32"/>
          <w:szCs w:val="32"/>
          <w:u w:val="none"/>
        </w:rPr>
        <w:t>（四）废水污染防治工作。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 w:bidi="ar"/>
        </w:rPr>
        <w:t>严格按照“雨污分流、清污分流、污污分流”的原则规范建设厂区雨水及污水管网。规范排放口设置管理工作，厂区内除雨水排放口和生活污水排放口外，不得设置其它废水排放口。喷浆机器人调试废水经隔油池处理后回用，不外排。隔油池定期清理。生活污水经处理满足《污水综合排放标准》（GB8978-1996）中三级标准及</w:t>
      </w:r>
      <w:r>
        <w:rPr>
          <w:rFonts w:hint="eastAsia" w:ascii="仿宋" w:hAnsi="仿宋" w:eastAsia="仿宋" w:cs="仿宋_GB2312"/>
          <w:sz w:val="32"/>
          <w:szCs w:val="32"/>
          <w:u w:val="none"/>
          <w:lang w:val="en-US" w:eastAsia="zh-CN" w:bidi="ar"/>
        </w:rPr>
        <w:t>湖南汨罗工业园长沙飞地园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 w:bidi="ar"/>
        </w:rPr>
        <w:t>园区污水厂进水水质要求后，经园区污水管网进入</w:t>
      </w:r>
      <w:r>
        <w:rPr>
          <w:rFonts w:hint="eastAsia" w:ascii="仿宋" w:hAnsi="仿宋" w:eastAsia="仿宋" w:cs="仿宋_GB2312"/>
          <w:sz w:val="32"/>
          <w:szCs w:val="32"/>
          <w:u w:val="none"/>
          <w:lang w:val="en-US" w:eastAsia="zh-CN" w:bidi="ar"/>
        </w:rPr>
        <w:t>湖南汨罗工业园长沙飞地园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 w:bidi="ar"/>
        </w:rPr>
        <w:t>园区污水处理厂处理。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 w:bidi="ar"/>
        </w:rPr>
        <w:t>按照分区防控的原则落实报告书提出的地下水污染防治措施，做好喷涂车间、危险废物暂存间、油漆存放间、调试区、调试废水隔油池、应急事故池等区域的防雨、防腐、防渗工作，避免由于防渗层破损造成污染物下渗污染地下水；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 w:bidi="ar"/>
        </w:rPr>
        <w:t>根据《环境影响评价技术导则地下水环境》(HJ610-2016)要求，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 w:bidi="ar"/>
        </w:rPr>
        <w:t>跟踪监测地下水质情况，确保地下水环境安全。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/>
        </w:rPr>
      </w:pPr>
      <w:r>
        <w:rPr>
          <w:rFonts w:hint="eastAsia" w:ascii="仿宋" w:hAnsi="仿宋" w:eastAsia="仿宋"/>
          <w:sz w:val="32"/>
          <w:szCs w:val="32"/>
          <w:u w:val="none"/>
        </w:rPr>
        <w:t>（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五</w:t>
      </w:r>
      <w:r>
        <w:rPr>
          <w:rFonts w:hint="eastAsia" w:ascii="仿宋" w:hAnsi="仿宋" w:eastAsia="仿宋"/>
          <w:sz w:val="32"/>
          <w:szCs w:val="32"/>
          <w:u w:val="none"/>
        </w:rPr>
        <w:t>）噪声防治工作。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 w:bidi="ar"/>
        </w:rPr>
        <w:t>采用低噪声设备、对产生噪声的设备和工序进行合理布局，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 w:bidi="ar"/>
        </w:rPr>
        <w:t>对各类风机、生产设备及各种泵类等主要噪声源采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 w:bidi="ar"/>
        </w:rPr>
        <w:t>取消声、减振等措施，对各设备设施定期维护保养，确保厂界噪声满足《工业企业厂界环境噪声排放标准》（GB12348-2008）中3类标准要求。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/>
        </w:rPr>
      </w:pPr>
      <w:r>
        <w:rPr>
          <w:rFonts w:hint="eastAsia" w:ascii="仿宋" w:hAnsi="仿宋" w:eastAsia="仿宋"/>
          <w:sz w:val="32"/>
          <w:szCs w:val="32"/>
          <w:u w:val="none"/>
        </w:rPr>
        <w:t>（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六</w:t>
      </w:r>
      <w:r>
        <w:rPr>
          <w:rFonts w:hint="eastAsia" w:ascii="仿宋" w:hAnsi="仿宋" w:eastAsia="仿宋"/>
          <w:sz w:val="32"/>
          <w:szCs w:val="32"/>
          <w:u w:val="none"/>
        </w:rPr>
        <w:t>）固体废物管理工作。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 w:bidi="ar"/>
        </w:rPr>
        <w:t>按“无害化、减量化、资源化”原则，做好固体废物的分类收集和综合利用，建立固体废物产生、处置管理台账；按照《危险废物贮存污染控制标准》（GB18597-2001）及其修改单中相关要求规范设置危废暂存间，废油漆桶、废润滑脂、油泥、漆渣、废过滤棉、含油抹布、废催化剂等危险废物交有危废资质的单位处置，并严格落实转移联单制度；按照《一般工业固体废物贮存、处置场污染控制标准》（GB18599-2001）及其2013年修改单要求规范设置一般工业固体废物暂存间，钢材边角料、废纸箱、粉尘尘渣、焊渣等一般工业固体废物集中收集，外售进行综合利用;生活垃圾经收集交由环卫部门统一处理。</w:t>
      </w:r>
    </w:p>
    <w:p>
      <w:pPr>
        <w:spacing w:line="450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none"/>
        </w:rPr>
        <w:t>（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七</w:t>
      </w:r>
      <w:r>
        <w:rPr>
          <w:rFonts w:hint="eastAsia" w:ascii="仿宋" w:hAnsi="仿宋" w:eastAsia="仿宋"/>
          <w:sz w:val="32"/>
          <w:szCs w:val="32"/>
          <w:u w:val="none"/>
        </w:rPr>
        <w:t>）环境管理和风险防范工作</w:t>
      </w:r>
      <w:r>
        <w:rPr>
          <w:rFonts w:hint="eastAsia" w:ascii="仿宋" w:hAnsi="仿宋" w:eastAsia="仿宋"/>
          <w:sz w:val="32"/>
          <w:szCs w:val="32"/>
          <w:u w:val="single"/>
        </w:rPr>
        <w:t>。</w:t>
      </w:r>
      <w:r>
        <w:rPr>
          <w:rFonts w:hint="eastAsia" w:ascii="仿宋" w:hAnsi="仿宋" w:eastAsia="仿宋"/>
          <w:sz w:val="32"/>
          <w:szCs w:val="32"/>
        </w:rPr>
        <w:t>设置专门的环保机构，配备专职环保管理人员，加强生产设备和污防设施的检修、保养及管理人员培训，建立健全污染防治设施运行管理台帐</w:t>
      </w:r>
      <w:r>
        <w:rPr>
          <w:rFonts w:hint="eastAsia" w:ascii="仿宋" w:hAnsi="仿宋" w:eastAsia="仿宋" w:cs="Times New Roman"/>
          <w:sz w:val="32"/>
          <w:szCs w:val="32"/>
          <w:u w:val="none"/>
          <w:lang w:val="en-US" w:eastAsia="zh-CN" w:bidi="ar"/>
        </w:rPr>
        <w:t>。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 w:bidi="ar"/>
        </w:rPr>
        <w:t>加强日常监管，杜绝生产过程中的跑、冒、滴、漏，</w:t>
      </w:r>
      <w:r>
        <w:rPr>
          <w:rFonts w:hint="eastAsia" w:ascii="仿宋" w:hAnsi="仿宋" w:eastAsia="仿宋"/>
          <w:sz w:val="32"/>
          <w:szCs w:val="32"/>
        </w:rPr>
        <w:t>确保各项污染防治设施的正常运行，各类污染物稳定达标排放。做好运营期环境监测工作，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规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范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 w:bidi="ar"/>
        </w:rPr>
        <w:t>制定事故环境应急预案，严格</w:t>
      </w:r>
      <w:r>
        <w:rPr>
          <w:rFonts w:hint="eastAsia" w:ascii="仿宋" w:hAnsi="仿宋" w:eastAsia="仿宋"/>
          <w:sz w:val="32"/>
          <w:szCs w:val="32"/>
          <w:u w:val="none"/>
        </w:rPr>
        <w:t>落实各项风险防范及应急处理措施，储备应急物资并组织演练，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 w:bidi="ar"/>
        </w:rPr>
        <w:t>杜绝环境风险事故发生，</w:t>
      </w:r>
      <w:r>
        <w:rPr>
          <w:rFonts w:hint="eastAsia" w:ascii="仿宋" w:hAnsi="仿宋" w:eastAsia="仿宋"/>
          <w:sz w:val="32"/>
          <w:szCs w:val="32"/>
          <w:u w:val="none"/>
        </w:rPr>
        <w:t>确保周边环</w:t>
      </w:r>
      <w:r>
        <w:rPr>
          <w:rFonts w:hint="eastAsia" w:ascii="仿宋" w:hAnsi="仿宋" w:eastAsia="仿宋"/>
          <w:sz w:val="32"/>
          <w:szCs w:val="32"/>
        </w:rPr>
        <w:t>境安全。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2" w:lineRule="exact"/>
        <w:ind w:firstLine="64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Times New Roman"/>
          <w:sz w:val="32"/>
          <w:szCs w:val="32"/>
          <w:u w:val="none"/>
          <w:lang w:val="en-US" w:eastAsia="zh-CN"/>
        </w:rPr>
        <w:t>（八）</w:t>
      </w:r>
      <w:r>
        <w:rPr>
          <w:rFonts w:hint="eastAsia" w:ascii="仿宋" w:hAnsi="仿宋" w:eastAsia="仿宋" w:cs="Times New Roman"/>
          <w:spacing w:val="-11"/>
          <w:sz w:val="32"/>
          <w:szCs w:val="32"/>
          <w:u w:val="none"/>
          <w:lang w:val="en-US" w:eastAsia="zh-CN" w:bidi="ar"/>
        </w:rPr>
        <w:t>本项目主要总量控制指标为：</w:t>
      </w:r>
      <w:r>
        <w:rPr>
          <w:rFonts w:hint="eastAsia" w:ascii="仿宋" w:hAnsi="仿宋" w:eastAsia="仿宋" w:cs="Times New Roman"/>
          <w:sz w:val="32"/>
          <w:szCs w:val="32"/>
          <w:u w:val="none"/>
          <w:lang w:val="en-US" w:eastAsia="zh-CN"/>
        </w:rPr>
        <w:t>VOCs</w:t>
      </w:r>
      <w:r>
        <w:rPr>
          <w:rFonts w:hint="eastAsia" w:ascii="仿宋" w:hAnsi="仿宋" w:eastAsia="仿宋" w:cs="Times New Roman"/>
          <w:spacing w:val="-11"/>
          <w:sz w:val="32"/>
          <w:szCs w:val="32"/>
          <w:u w:val="none"/>
          <w:lang w:val="en-US" w:eastAsia="zh-CN" w:bidi="ar"/>
        </w:rPr>
        <w:t>≤0.4吨/年</w:t>
      </w:r>
      <w:r>
        <w:rPr>
          <w:rFonts w:hint="eastAsia" w:ascii="仿宋" w:hAnsi="仿宋" w:eastAsia="仿宋" w:cs="Times New Roman"/>
          <w:sz w:val="32"/>
          <w:szCs w:val="32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82" w:lineRule="exact"/>
        <w:ind w:firstLine="64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三、你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公司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应在收到本批复后15个工作日内，将批复及批准的环评报告文本送至</w:t>
      </w:r>
      <w:r>
        <w:rPr>
          <w:rFonts w:hint="eastAsia" w:ascii="仿宋" w:hAnsi="仿宋" w:eastAsia="仿宋" w:cs="仿宋_GB2312"/>
          <w:sz w:val="32"/>
          <w:szCs w:val="32"/>
          <w:u w:val="none"/>
          <w:lang w:val="en-US" w:eastAsia="zh-CN" w:bidi="ar"/>
        </w:rPr>
        <w:t>岳阳市生态环境局汨罗分局、湖南汨罗工业园长沙飞地园管理中心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和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中石生态环境科技有限公司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2" w:lineRule="exact"/>
        <w:ind w:firstLine="640" w:firstLineChars="200"/>
        <w:textAlignment w:val="auto"/>
        <w:rPr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</w:rPr>
        <w:t>四、请</w:t>
      </w:r>
      <w:r>
        <w:rPr>
          <w:rFonts w:hint="eastAsia" w:ascii="仿宋" w:hAnsi="仿宋" w:eastAsia="仿宋" w:cs="仿宋_GB2312"/>
          <w:sz w:val="32"/>
          <w:szCs w:val="32"/>
          <w:u w:val="none"/>
          <w:lang w:val="en-US" w:eastAsia="zh-CN" w:bidi="ar"/>
        </w:rPr>
        <w:t>岳阳市生态环境局汨罗分局</w:t>
      </w:r>
      <w:r>
        <w:rPr>
          <w:rFonts w:hint="eastAsia" w:ascii="仿宋" w:hAnsi="仿宋" w:eastAsia="仿宋"/>
          <w:sz w:val="32"/>
          <w:szCs w:val="32"/>
          <w:u w:val="none"/>
        </w:rPr>
        <w:t>负责项目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建设期和</w:t>
      </w:r>
      <w:r>
        <w:rPr>
          <w:rFonts w:hint="eastAsia" w:ascii="仿宋" w:hAnsi="仿宋" w:eastAsia="仿宋"/>
          <w:sz w:val="32"/>
          <w:szCs w:val="32"/>
          <w:u w:val="none"/>
        </w:rPr>
        <w:t>运营期的日常环境监管。</w: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bidi w:val="0"/>
        <w:spacing w:line="482" w:lineRule="exact"/>
        <w:ind w:firstLine="585"/>
        <w:rPr>
          <w:rFonts w:ascii="仿宋" w:hAnsi="仿宋" w:eastAsia="仿宋" w:cs="仿宋"/>
          <w:kern w:val="2"/>
          <w:sz w:val="32"/>
          <w:szCs w:val="32"/>
          <w:u w:val="none"/>
        </w:rPr>
      </w:pPr>
    </w:p>
    <w:p>
      <w:pPr>
        <w:pStyle w:val="19"/>
        <w:spacing w:line="520" w:lineRule="exact"/>
        <w:ind w:firstLine="585"/>
        <w:rPr>
          <w:rFonts w:ascii="仿宋" w:hAnsi="仿宋" w:eastAsia="仿宋" w:cs="仿宋"/>
          <w:kern w:val="2"/>
          <w:sz w:val="32"/>
          <w:szCs w:val="32"/>
          <w:u w:val="single"/>
        </w:rPr>
      </w:pPr>
    </w:p>
    <w:p>
      <w:pPr>
        <w:pStyle w:val="19"/>
        <w:spacing w:line="520" w:lineRule="exact"/>
        <w:rPr>
          <w:rFonts w:ascii="仿宋" w:hAnsi="仿宋" w:eastAsia="仿宋" w:cs="仿宋"/>
          <w:kern w:val="2"/>
          <w:sz w:val="32"/>
          <w:szCs w:val="32"/>
          <w:u w:val="single"/>
        </w:rPr>
      </w:pPr>
    </w:p>
    <w:p>
      <w:pPr>
        <w:pStyle w:val="19"/>
        <w:spacing w:line="520" w:lineRule="exact"/>
        <w:rPr>
          <w:rFonts w:ascii="仿宋" w:hAnsi="仿宋" w:eastAsia="仿宋" w:cs="仿宋"/>
          <w:kern w:val="2"/>
          <w:sz w:val="32"/>
          <w:szCs w:val="32"/>
          <w:u w:val="single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0" w:firstLine="4480" w:firstLineChars="1400"/>
        <w:textAlignment w:val="bottom"/>
        <w:rPr>
          <w:rFonts w:ascii="仿宋" w:hAnsi="仿宋" w:eastAsia="仿宋" w:cs="仿宋"/>
          <w:kern w:val="2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none"/>
        </w:rPr>
        <w:t>岳阳市生态环境局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0" w:firstLine="4480" w:firstLineChars="1400"/>
        <w:textAlignment w:val="bottom"/>
        <w:rPr>
          <w:rFonts w:hint="eastAsia" w:ascii="仿宋" w:hAnsi="仿宋" w:eastAsia="仿宋" w:cs="仿宋"/>
          <w:kern w:val="2"/>
          <w:sz w:val="32"/>
          <w:szCs w:val="32"/>
          <w:u w:val="none"/>
        </w:rPr>
      </w:pPr>
      <w:r>
        <w:rPr>
          <w:rFonts w:ascii="仿宋" w:hAnsi="仿宋" w:eastAsia="仿宋" w:cs="仿宋"/>
          <w:kern w:val="2"/>
          <w:sz w:val="32"/>
          <w:szCs w:val="32"/>
          <w:u w:val="none"/>
        </w:rPr>
        <w:t>20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/>
        </w:rPr>
        <w:t>21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</w:rPr>
        <w:t>年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/>
        </w:rPr>
        <w:t>8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</w:rPr>
        <w:t>月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/>
        </w:rPr>
        <w:t>23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</w:rPr>
        <w:t>日</w:t>
      </w: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0" w:firstLine="4480" w:firstLineChars="1400"/>
        <w:textAlignment w:val="bottom"/>
        <w:rPr>
          <w:rFonts w:hint="eastAsia" w:ascii="仿宋" w:hAnsi="仿宋" w:eastAsia="仿宋" w:cs="仿宋"/>
          <w:kern w:val="2"/>
          <w:sz w:val="32"/>
          <w:szCs w:val="32"/>
          <w:u w:val="single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0" w:firstLine="4480" w:firstLineChars="1400"/>
        <w:textAlignment w:val="bottom"/>
        <w:rPr>
          <w:rFonts w:hint="eastAsia" w:ascii="仿宋" w:hAnsi="仿宋" w:eastAsia="仿宋" w:cs="仿宋"/>
          <w:kern w:val="2"/>
          <w:sz w:val="32"/>
          <w:szCs w:val="32"/>
          <w:u w:val="single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0" w:firstLine="4480" w:firstLineChars="1400"/>
        <w:textAlignment w:val="bottom"/>
        <w:rPr>
          <w:rFonts w:hint="eastAsia" w:ascii="仿宋" w:hAnsi="仿宋" w:eastAsia="仿宋" w:cs="仿宋"/>
          <w:kern w:val="2"/>
          <w:sz w:val="32"/>
          <w:szCs w:val="32"/>
          <w:u w:val="single"/>
        </w:rPr>
      </w:pPr>
    </w:p>
    <w:p>
      <w:pPr>
        <w:pStyle w:val="19"/>
        <w:spacing w:line="20" w:lineRule="exact"/>
        <w:ind w:left="0" w:firstLine="4640" w:firstLineChars="1450"/>
        <w:rPr>
          <w:rFonts w:hint="eastAsia" w:ascii="仿宋" w:hAnsi="仿宋" w:eastAsia="仿宋" w:cs="仿宋"/>
          <w:kern w:val="2"/>
          <w:sz w:val="32"/>
          <w:szCs w:val="32"/>
          <w:u w:val="single"/>
        </w:rPr>
      </w:pPr>
    </w:p>
    <w:p>
      <w:pPr>
        <w:pStyle w:val="19"/>
        <w:spacing w:line="20" w:lineRule="exact"/>
        <w:ind w:left="0" w:firstLine="4640" w:firstLineChars="1450"/>
        <w:rPr>
          <w:rFonts w:hint="eastAsia" w:ascii="仿宋" w:hAnsi="仿宋" w:eastAsia="仿宋" w:cs="仿宋"/>
          <w:kern w:val="2"/>
          <w:sz w:val="32"/>
          <w:szCs w:val="32"/>
          <w:u w:val="single"/>
        </w:rPr>
      </w:pPr>
    </w:p>
    <w:p>
      <w:pPr>
        <w:pStyle w:val="19"/>
        <w:spacing w:line="20" w:lineRule="exact"/>
        <w:ind w:left="0" w:firstLine="4640" w:firstLineChars="1450"/>
        <w:rPr>
          <w:rFonts w:hint="eastAsia" w:ascii="仿宋" w:hAnsi="仿宋" w:eastAsia="仿宋" w:cs="仿宋"/>
          <w:kern w:val="2"/>
          <w:sz w:val="32"/>
          <w:szCs w:val="32"/>
          <w:u w:val="single"/>
        </w:rPr>
      </w:pPr>
    </w:p>
    <w:p>
      <w:pPr>
        <w:pStyle w:val="19"/>
        <w:spacing w:line="20" w:lineRule="exact"/>
        <w:ind w:left="0" w:firstLine="4640" w:firstLineChars="1450"/>
        <w:rPr>
          <w:rFonts w:hint="eastAsia" w:ascii="仿宋" w:hAnsi="仿宋" w:eastAsia="仿宋" w:cs="仿宋"/>
          <w:kern w:val="2"/>
          <w:sz w:val="32"/>
          <w:szCs w:val="32"/>
          <w:u w:val="single"/>
        </w:rPr>
      </w:pPr>
    </w:p>
    <w:p>
      <w:pPr>
        <w:pStyle w:val="19"/>
        <w:spacing w:line="20" w:lineRule="exact"/>
        <w:ind w:left="0" w:firstLine="4640" w:firstLineChars="1450"/>
        <w:rPr>
          <w:rFonts w:hint="eastAsia" w:ascii="仿宋" w:hAnsi="仿宋" w:eastAsia="仿宋" w:cs="仿宋"/>
          <w:kern w:val="2"/>
          <w:sz w:val="32"/>
          <w:szCs w:val="32"/>
          <w:u w:val="single"/>
        </w:rPr>
      </w:pPr>
    </w:p>
    <w:p>
      <w:pPr>
        <w:pStyle w:val="19"/>
        <w:spacing w:line="20" w:lineRule="exact"/>
        <w:ind w:left="0" w:firstLine="4640" w:firstLineChars="1450"/>
        <w:rPr>
          <w:rFonts w:hint="eastAsia" w:ascii="仿宋" w:hAnsi="仿宋" w:eastAsia="仿宋" w:cs="仿宋"/>
          <w:kern w:val="2"/>
          <w:sz w:val="32"/>
          <w:szCs w:val="32"/>
          <w:u w:val="single"/>
        </w:rPr>
      </w:pPr>
    </w:p>
    <w:p>
      <w:pPr>
        <w:pStyle w:val="19"/>
        <w:spacing w:line="20" w:lineRule="exact"/>
        <w:ind w:left="0" w:firstLine="4640" w:firstLineChars="1450"/>
        <w:rPr>
          <w:rFonts w:hint="eastAsia" w:ascii="仿宋" w:hAnsi="仿宋" w:eastAsia="仿宋" w:cs="仿宋"/>
          <w:kern w:val="2"/>
          <w:sz w:val="32"/>
          <w:szCs w:val="32"/>
          <w:u w:val="single"/>
        </w:rPr>
      </w:pPr>
    </w:p>
    <w:p>
      <w:pPr>
        <w:pStyle w:val="19"/>
        <w:spacing w:line="20" w:lineRule="exact"/>
        <w:ind w:left="0" w:firstLine="4640" w:firstLineChars="1450"/>
        <w:rPr>
          <w:rFonts w:hint="eastAsia" w:ascii="仿宋" w:hAnsi="仿宋" w:eastAsia="仿宋" w:cs="仿宋"/>
          <w:kern w:val="2"/>
          <w:sz w:val="32"/>
          <w:szCs w:val="32"/>
          <w:u w:val="single"/>
        </w:rPr>
      </w:pPr>
    </w:p>
    <w:p>
      <w:pPr>
        <w:pStyle w:val="19"/>
        <w:spacing w:line="20" w:lineRule="exact"/>
        <w:ind w:left="0" w:firstLine="4640" w:firstLineChars="1450"/>
        <w:rPr>
          <w:rFonts w:hint="eastAsia" w:ascii="仿宋" w:hAnsi="仿宋" w:eastAsia="仿宋" w:cs="仿宋"/>
          <w:kern w:val="2"/>
          <w:sz w:val="32"/>
          <w:szCs w:val="32"/>
          <w:u w:val="single"/>
        </w:rPr>
      </w:pPr>
    </w:p>
    <w:p>
      <w:pPr>
        <w:pStyle w:val="19"/>
        <w:spacing w:line="20" w:lineRule="exact"/>
        <w:ind w:left="0" w:firstLine="4640" w:firstLineChars="1450"/>
        <w:rPr>
          <w:rFonts w:hint="eastAsia" w:ascii="仿宋" w:hAnsi="仿宋" w:eastAsia="仿宋" w:cs="仿宋"/>
          <w:kern w:val="2"/>
          <w:sz w:val="32"/>
          <w:szCs w:val="32"/>
          <w:u w:val="single"/>
        </w:rPr>
      </w:pPr>
    </w:p>
    <w:p>
      <w:pPr>
        <w:pStyle w:val="19"/>
        <w:spacing w:line="20" w:lineRule="exact"/>
        <w:ind w:left="0" w:firstLine="4640" w:firstLineChars="1450"/>
        <w:rPr>
          <w:rFonts w:hint="eastAsia" w:ascii="仿宋" w:hAnsi="仿宋" w:eastAsia="仿宋" w:cs="仿宋"/>
          <w:kern w:val="2"/>
          <w:sz w:val="32"/>
          <w:szCs w:val="32"/>
          <w:u w:val="single"/>
        </w:rPr>
      </w:pPr>
    </w:p>
    <w:p>
      <w:pPr>
        <w:pStyle w:val="1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-119"/>
        <w:jc w:val="both"/>
        <w:textAlignment w:val="top"/>
        <w:rPr>
          <w:rFonts w:eastAsia="仿宋_GB2312"/>
          <w:sz w:val="10"/>
          <w:szCs w:val="10"/>
          <w:u w:val="single"/>
        </w:rPr>
      </w:pPr>
    </w:p>
    <w:sectPr>
      <w:headerReference r:id="rId3" w:type="default"/>
      <w:footerReference r:id="rId4" w:type="default"/>
      <w:pgSz w:w="11906" w:h="16838"/>
      <w:pgMar w:top="1440" w:right="1588" w:bottom="1418" w:left="1588" w:header="851" w:footer="992" w:gutter="0"/>
      <w:cols w:space="720" w:num="1"/>
      <w:titlePg/>
      <w:docGrid w:type="lines" w:linePitch="2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291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73456"/>
    <w:rsid w:val="01BE5D60"/>
    <w:rsid w:val="05F14BC4"/>
    <w:rsid w:val="069C08F2"/>
    <w:rsid w:val="097B53A2"/>
    <w:rsid w:val="0AB11931"/>
    <w:rsid w:val="0BBA4584"/>
    <w:rsid w:val="0FAD0842"/>
    <w:rsid w:val="10EF52D4"/>
    <w:rsid w:val="14C537D5"/>
    <w:rsid w:val="1D8D30B7"/>
    <w:rsid w:val="1EC544F4"/>
    <w:rsid w:val="1FD04237"/>
    <w:rsid w:val="20873CD5"/>
    <w:rsid w:val="22C53093"/>
    <w:rsid w:val="272857E7"/>
    <w:rsid w:val="286E0547"/>
    <w:rsid w:val="30896A5A"/>
    <w:rsid w:val="30B02793"/>
    <w:rsid w:val="30E27522"/>
    <w:rsid w:val="35106717"/>
    <w:rsid w:val="3C367E4D"/>
    <w:rsid w:val="3C8A111B"/>
    <w:rsid w:val="3CAB5906"/>
    <w:rsid w:val="3CD43D5B"/>
    <w:rsid w:val="3E071AD8"/>
    <w:rsid w:val="3EC95323"/>
    <w:rsid w:val="44E35F21"/>
    <w:rsid w:val="45052C64"/>
    <w:rsid w:val="45E20C24"/>
    <w:rsid w:val="4700585C"/>
    <w:rsid w:val="4AAB2EA4"/>
    <w:rsid w:val="4AF67E50"/>
    <w:rsid w:val="4D255DF8"/>
    <w:rsid w:val="4D796760"/>
    <w:rsid w:val="4FC856C2"/>
    <w:rsid w:val="4FF536FB"/>
    <w:rsid w:val="50FE2CAA"/>
    <w:rsid w:val="52257384"/>
    <w:rsid w:val="56A97239"/>
    <w:rsid w:val="56D304A2"/>
    <w:rsid w:val="57437404"/>
    <w:rsid w:val="57697BA5"/>
    <w:rsid w:val="5AB94FF4"/>
    <w:rsid w:val="5BC62AAD"/>
    <w:rsid w:val="5BF423A8"/>
    <w:rsid w:val="5D656988"/>
    <w:rsid w:val="5F7307F7"/>
    <w:rsid w:val="615E0EB9"/>
    <w:rsid w:val="627477BA"/>
    <w:rsid w:val="651B047D"/>
    <w:rsid w:val="688E1720"/>
    <w:rsid w:val="6D6601E2"/>
    <w:rsid w:val="6FA41DEF"/>
    <w:rsid w:val="75051885"/>
    <w:rsid w:val="7AB03D73"/>
    <w:rsid w:val="7C7204EB"/>
    <w:rsid w:val="7D207DDB"/>
    <w:rsid w:val="7F1172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1"/>
  </w:style>
  <w:style w:type="table" w:default="1" w:styleId="7">
    <w:name w:val="Normal Table"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25"/>
    <w:qFormat/>
    <w:uiPriority w:val="0"/>
    <w:pPr>
      <w:spacing w:after="120"/>
    </w:pPr>
  </w:style>
  <w:style w:type="paragraph" w:styleId="3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4">
    <w:name w:val="Balloon Text"/>
    <w:basedOn w:val="1"/>
    <w:link w:val="13"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paragraph" w:customStyle="1" w:styleId="11">
    <w:name w:val="xl27"/>
    <w:basedOn w:val="1"/>
    <w:qFormat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hint="eastAsia" w:ascii="Arial Unicode MS" w:hAnsi="Arial Unicode MS" w:eastAsia="Arial Unicode MS"/>
      <w:sz w:val="21"/>
    </w:rPr>
  </w:style>
  <w:style w:type="character" w:customStyle="1" w:styleId="12">
    <w:name w:val="日期 Char"/>
    <w:basedOn w:val="9"/>
    <w:link w:val="3"/>
    <w:qFormat/>
    <w:uiPriority w:val="99"/>
    <w:rPr>
      <w:szCs w:val="24"/>
    </w:rPr>
  </w:style>
  <w:style w:type="character" w:customStyle="1" w:styleId="13">
    <w:name w:val="批注框文本 Char"/>
    <w:basedOn w:val="9"/>
    <w:link w:val="4"/>
    <w:qFormat/>
    <w:uiPriority w:val="99"/>
    <w:rPr>
      <w:rFonts w:cs="Times New Roman"/>
      <w:kern w:val="2"/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rFonts w:cs="Times New Roman"/>
      <w:kern w:val="2"/>
      <w:sz w:val="18"/>
      <w:szCs w:val="18"/>
    </w:rPr>
  </w:style>
  <w:style w:type="character" w:customStyle="1" w:styleId="15">
    <w:name w:val="页眉 Char"/>
    <w:basedOn w:val="9"/>
    <w:link w:val="6"/>
    <w:qFormat/>
    <w:uiPriority w:val="99"/>
    <w:rPr>
      <w:rFonts w:cs="Times New Roman"/>
      <w:kern w:val="2"/>
      <w:sz w:val="18"/>
      <w:szCs w:val="18"/>
    </w:rPr>
  </w:style>
  <w:style w:type="character" w:customStyle="1" w:styleId="16">
    <w:name w:val="p0 Char"/>
    <w:basedOn w:val="9"/>
    <w:link w:val="17"/>
    <w:qFormat/>
    <w:uiPriority w:val="99"/>
    <w:rPr>
      <w:rFonts w:eastAsia="宋体" w:cs="Times New Roman"/>
      <w:sz w:val="32"/>
      <w:szCs w:val="32"/>
      <w:lang w:val="en-US" w:eastAsia="zh-CN" w:bidi="ar-SA"/>
    </w:rPr>
  </w:style>
  <w:style w:type="paragraph" w:customStyle="1" w:styleId="17">
    <w:name w:val="p0"/>
    <w:basedOn w:val="1"/>
    <w:link w:val="16"/>
    <w:qFormat/>
    <w:uiPriority w:val="99"/>
    <w:pPr>
      <w:widowControl/>
    </w:pPr>
    <w:rPr>
      <w:kern w:val="0"/>
      <w:sz w:val="32"/>
      <w:szCs w:val="32"/>
    </w:rPr>
  </w:style>
  <w:style w:type="paragraph" w:customStyle="1" w:styleId="18">
    <w:name w:val="WPS Plain"/>
    <w:qFormat/>
    <w:uiPriority w:val="99"/>
    <w:rPr>
      <w:rFonts w:ascii="Times New Roman" w:hAnsi="Times New Roman" w:eastAsia="宋体" w:cs="Times New Roman"/>
      <w:lang w:val="en-US" w:eastAsia="zh-CN" w:bidi="ar-SA"/>
    </w:rPr>
  </w:style>
  <w:style w:type="paragraph" w:customStyle="1" w:styleId="19">
    <w:name w:val="0"/>
    <w:basedOn w:val="1"/>
    <w:qFormat/>
    <w:uiPriority w:val="99"/>
    <w:pPr>
      <w:widowControl/>
      <w:snapToGrid w:val="0"/>
      <w:spacing w:line="365" w:lineRule="atLeast"/>
      <w:ind w:left="1"/>
      <w:textAlignment w:val="bottom"/>
    </w:pPr>
    <w:rPr>
      <w:kern w:val="0"/>
      <w:sz w:val="20"/>
      <w:szCs w:val="20"/>
    </w:rPr>
  </w:style>
  <w:style w:type="paragraph" w:customStyle="1" w:styleId="20">
    <w:name w:val="表头字体宋"/>
    <w:basedOn w:val="1"/>
    <w:qFormat/>
    <w:uiPriority w:val="99"/>
    <w:pPr>
      <w:spacing w:line="500" w:lineRule="exact"/>
      <w:jc w:val="center"/>
    </w:pPr>
    <w:rPr>
      <w:rFonts w:ascii="宋体" w:hAnsi="宋体" w:cs="宋体"/>
      <w:b/>
      <w:bCs/>
      <w:sz w:val="24"/>
      <w:szCs w:val="20"/>
    </w:rPr>
  </w:style>
  <w:style w:type="paragraph" w:customStyle="1" w:styleId="21">
    <w:name w:val="表格内容"/>
    <w:basedOn w:val="1"/>
    <w:qFormat/>
    <w:uiPriority w:val="99"/>
    <w:pPr>
      <w:autoSpaceDE w:val="0"/>
      <w:autoSpaceDN w:val="0"/>
      <w:adjustRightInd w:val="0"/>
      <w:spacing w:line="360" w:lineRule="auto"/>
      <w:jc w:val="center"/>
      <w:textAlignment w:val="baseline"/>
    </w:pPr>
    <w:rPr>
      <w:color w:val="000000"/>
      <w:kern w:val="0"/>
      <w:szCs w:val="21"/>
    </w:rPr>
  </w:style>
  <w:style w:type="character" w:customStyle="1" w:styleId="22">
    <w:name w:val="biaoge Char"/>
    <w:link w:val="23"/>
    <w:qFormat/>
    <w:uiPriority w:val="99"/>
    <w:rPr>
      <w:kern w:val="2"/>
      <w:sz w:val="24"/>
    </w:rPr>
  </w:style>
  <w:style w:type="paragraph" w:customStyle="1" w:styleId="23">
    <w:name w:val="biaoge"/>
    <w:basedOn w:val="1"/>
    <w:link w:val="22"/>
    <w:qFormat/>
    <w:uiPriority w:val="99"/>
    <w:pPr>
      <w:jc w:val="center"/>
    </w:pPr>
    <w:rPr>
      <w:sz w:val="24"/>
      <w:szCs w:val="20"/>
    </w:rPr>
  </w:style>
  <w:style w:type="paragraph" w:customStyle="1" w:styleId="24">
    <w:name w:val="文章正文样式"/>
    <w:basedOn w:val="1"/>
    <w:qFormat/>
    <w:uiPriority w:val="0"/>
    <w:pPr>
      <w:spacing w:line="520" w:lineRule="exact"/>
      <w:ind w:firstLine="480" w:firstLineChars="200"/>
      <w:jc w:val="left"/>
    </w:pPr>
    <w:rPr>
      <w:rFonts w:ascii="宋体" w:hAnsi="宋体" w:cs="宋体"/>
      <w:sz w:val="24"/>
    </w:rPr>
  </w:style>
  <w:style w:type="character" w:customStyle="1" w:styleId="25">
    <w:name w:val="正文文本 Char"/>
    <w:basedOn w:val="9"/>
    <w:link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3075</Words>
  <Characters>3260</Characters>
  <Paragraphs>85</Paragraphs>
  <TotalTime>1</TotalTime>
  <ScaleCrop>false</ScaleCrop>
  <LinksUpToDate>false</LinksUpToDate>
  <CharactersWithSpaces>3261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2019-02-01T10:46:00Z</dcterms:created>
  <dc:creator>微软用户</dc:creator>
  <cp:lastModifiedBy>Administrator</cp:lastModifiedBy>
  <cp:lastPrinted>2019-07-22T02:14:00Z</cp:lastPrinted>
  <dcterms:modified xsi:type="dcterms:W3CDTF">2021-08-24T01:40:04Z</dcterms:modified>
  <dc:title>湘 阴 县 大 地 化 工 有 限 公 司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670957A453B141189EFB8BD562396BE1</vt:lpwstr>
  </property>
</Properties>
</file>