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600" w:lineRule="exact"/>
        <w:jc w:val="center"/>
        <w:rPr>
          <w:rFonts w:hint="eastAsia" w:ascii="方正小标宋简体" w:hAnsi="微软雅黑" w:eastAsia="方正小标宋简体" w:cs="微软雅黑"/>
          <w:color w:val="000000" w:themeColor="text1"/>
          <w:sz w:val="44"/>
          <w:szCs w:val="44"/>
        </w:rPr>
      </w:pPr>
    </w:p>
    <w:p>
      <w:pPr>
        <w:pStyle w:val="5"/>
        <w:widowControl/>
        <w:adjustRightInd w:val="0"/>
        <w:snapToGrid w:val="0"/>
        <w:spacing w:line="600" w:lineRule="exact"/>
        <w:jc w:val="center"/>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岳阳市发展和改革委员会</w:t>
      </w:r>
    </w:p>
    <w:p>
      <w:pPr>
        <w:pStyle w:val="5"/>
        <w:widowControl/>
        <w:adjustRightInd w:val="0"/>
        <w:snapToGrid w:val="0"/>
        <w:spacing w:line="600" w:lineRule="exact"/>
        <w:jc w:val="center"/>
        <w:rPr>
          <w:rFonts w:hint="eastAsia" w:ascii="方正小标宋简体" w:hAnsi="方正小标宋简体" w:eastAsia="方正小标宋简体" w:cs="方正小标宋简体"/>
          <w:b w:val="0"/>
          <w:bCs/>
          <w:color w:val="333333"/>
          <w:sz w:val="44"/>
          <w:szCs w:val="44"/>
        </w:rPr>
      </w:pPr>
      <w:r>
        <w:rPr>
          <w:rFonts w:hint="eastAsia" w:ascii="方正小标宋简体" w:hAnsi="方正小标宋简体" w:eastAsia="方正小标宋简体" w:cs="方正小标宋简体"/>
          <w:b w:val="0"/>
          <w:bCs/>
          <w:color w:val="333333"/>
          <w:sz w:val="44"/>
          <w:szCs w:val="44"/>
        </w:rPr>
        <w:t>关于印发《岳阳市工程建设项目远程异地评标</w:t>
      </w:r>
      <w:r>
        <w:rPr>
          <w:rFonts w:hint="eastAsia" w:ascii="方正小标宋简体" w:hAnsi="方正小标宋简体" w:eastAsia="方正小标宋简体" w:cs="方正小标宋简体"/>
          <w:b w:val="0"/>
          <w:bCs/>
          <w:color w:val="333333"/>
          <w:sz w:val="44"/>
          <w:szCs w:val="44"/>
          <w:lang w:eastAsia="zh-CN"/>
        </w:rPr>
        <w:t>实施细则</w:t>
      </w:r>
      <w:r>
        <w:rPr>
          <w:rFonts w:hint="eastAsia" w:ascii="方正小标宋简体" w:hAnsi="方正小标宋简体" w:eastAsia="方正小标宋简体" w:cs="方正小标宋简体"/>
          <w:b w:val="0"/>
          <w:bCs/>
          <w:color w:val="333333"/>
          <w:sz w:val="44"/>
          <w:szCs w:val="44"/>
        </w:rPr>
        <w:t>》的通知</w:t>
      </w: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i w:val="0"/>
          <w:caps w:val="0"/>
          <w:color w:val="auto"/>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i w:val="0"/>
          <w:caps w:val="0"/>
          <w:color w:val="auto"/>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岳发改法规〔</w:t>
      </w:r>
      <w:r>
        <w:rPr>
          <w:rFonts w:hint="eastAsia" w:ascii="仿宋_GB2312" w:hAnsi="仿宋_GB2312" w:eastAsia="仿宋_GB2312" w:cs="仿宋_GB2312"/>
          <w:i w:val="0"/>
          <w:caps w:val="0"/>
          <w:color w:val="auto"/>
          <w:spacing w:val="0"/>
          <w:sz w:val="32"/>
          <w:szCs w:val="32"/>
          <w:shd w:val="clear" w:color="auto" w:fill="FFFFFF"/>
          <w:lang w:val="en-US" w:eastAsia="zh-CN"/>
        </w:rPr>
        <w:t>2021</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316号</w:t>
      </w:r>
    </w:p>
    <w:p>
      <w:pPr>
        <w:pStyle w:val="5"/>
        <w:widowControl/>
        <w:adjustRightInd w:val="0"/>
        <w:snapToGrid w:val="0"/>
        <w:spacing w:line="600" w:lineRule="exact"/>
        <w:rPr>
          <w:rFonts w:hint="eastAsia" w:ascii="仿宋" w:hAnsi="仿宋" w:eastAsia="仿宋" w:cs="方正小标宋简体"/>
          <w:color w:val="333333"/>
          <w:sz w:val="32"/>
          <w:szCs w:val="32"/>
        </w:rPr>
      </w:pPr>
    </w:p>
    <w:p>
      <w:pPr>
        <w:pStyle w:val="5"/>
        <w:widowControl/>
        <w:adjustRightInd w:val="0"/>
        <w:snapToGrid w:val="0"/>
        <w:spacing w:line="6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各县、市、区人民政府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市直各</w:t>
      </w:r>
      <w:r>
        <w:rPr>
          <w:rFonts w:hint="eastAsia" w:ascii="仿宋_GB2312" w:hAnsi="仿宋_GB2312" w:eastAsia="仿宋_GB2312" w:cs="仿宋_GB2312"/>
          <w:color w:val="auto"/>
          <w:kern w:val="0"/>
          <w:sz w:val="32"/>
          <w:szCs w:val="32"/>
          <w:lang w:eastAsia="zh-CN"/>
        </w:rPr>
        <w:t>有关</w:t>
      </w:r>
      <w:r>
        <w:rPr>
          <w:rFonts w:hint="eastAsia" w:ascii="仿宋_GB2312" w:hAnsi="仿宋_GB2312" w:eastAsia="仿宋_GB2312" w:cs="仿宋_GB2312"/>
          <w:color w:val="auto"/>
          <w:kern w:val="0"/>
          <w:sz w:val="32"/>
          <w:szCs w:val="32"/>
        </w:rPr>
        <w:t>单位：</w:t>
      </w:r>
    </w:p>
    <w:p>
      <w:pPr>
        <w:pStyle w:val="5"/>
        <w:widowControl/>
        <w:adjustRightInd w:val="0"/>
        <w:snapToGrid w:val="0"/>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为规范远程异地评标工作，打破空间地域限制，确保评标工作的公平、公正，实现不同地域评标专家的“资源共享”，解决专家资源不足的问题。我们制定了《岳阳市工程建设项目远程异地评标</w:t>
      </w:r>
      <w:r>
        <w:rPr>
          <w:rFonts w:hint="eastAsia" w:ascii="仿宋_GB2312" w:hAnsi="仿宋_GB2312" w:eastAsia="仿宋_GB2312" w:cs="仿宋_GB2312"/>
          <w:color w:val="auto"/>
          <w:kern w:val="0"/>
          <w:sz w:val="32"/>
          <w:szCs w:val="32"/>
          <w:lang w:eastAsia="zh-CN"/>
        </w:rPr>
        <w:t>实施细则</w:t>
      </w:r>
      <w:r>
        <w:rPr>
          <w:rFonts w:hint="eastAsia" w:ascii="仿宋_GB2312" w:hAnsi="仿宋_GB2312" w:eastAsia="仿宋_GB2312" w:cs="仿宋_GB2312"/>
          <w:color w:val="auto"/>
          <w:kern w:val="0"/>
          <w:sz w:val="32"/>
          <w:szCs w:val="32"/>
        </w:rPr>
        <w:t>》，现予公布。请遵照执行。</w:t>
      </w:r>
    </w:p>
    <w:p>
      <w:pPr>
        <w:pStyle w:val="5"/>
        <w:widowControl/>
        <w:adjustRightInd w:val="0"/>
        <w:snapToGrid w:val="0"/>
        <w:spacing w:line="600" w:lineRule="exact"/>
        <w:ind w:firstLine="640" w:firstLineChars="200"/>
        <w:rPr>
          <w:rFonts w:hint="eastAsia" w:ascii="仿宋_GB2312" w:hAnsi="仿宋_GB2312" w:eastAsia="仿宋_GB2312" w:cs="仿宋_GB2312"/>
          <w:color w:val="auto"/>
          <w:sz w:val="32"/>
          <w:szCs w:val="32"/>
        </w:rPr>
      </w:pPr>
    </w:p>
    <w:p>
      <w:pPr>
        <w:pStyle w:val="5"/>
        <w:widowControl/>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岳阳市工程建设项目远程异地评标</w:t>
      </w:r>
      <w:r>
        <w:rPr>
          <w:rFonts w:hint="eastAsia" w:ascii="仿宋_GB2312" w:hAnsi="仿宋_GB2312" w:eastAsia="仿宋_GB2312" w:cs="仿宋_GB2312"/>
          <w:color w:val="auto"/>
          <w:kern w:val="0"/>
          <w:sz w:val="32"/>
          <w:szCs w:val="32"/>
          <w:lang w:eastAsia="zh-CN"/>
        </w:rPr>
        <w:t>实施细则</w:t>
      </w:r>
      <w:r>
        <w:rPr>
          <w:rFonts w:hint="eastAsia" w:ascii="仿宋_GB2312" w:hAnsi="仿宋_GB2312" w:eastAsia="仿宋_GB2312" w:cs="仿宋_GB2312"/>
          <w:color w:val="auto"/>
          <w:sz w:val="32"/>
          <w:szCs w:val="32"/>
          <w:lang w:eastAsia="zh-CN"/>
        </w:rPr>
        <w:t>》</w:t>
      </w:r>
    </w:p>
    <w:p>
      <w:pPr>
        <w:pStyle w:val="5"/>
        <w:widowControl/>
        <w:adjustRightInd w:val="0"/>
        <w:snapToGrid w:val="0"/>
        <w:spacing w:line="600" w:lineRule="exac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color w:val="auto"/>
          <w:kern w:val="0"/>
          <w:sz w:val="32"/>
          <w:szCs w:val="32"/>
          <w:lang w:val="en-US" w:eastAsia="zh-CN" w:bidi="ar-SA"/>
        </w:rPr>
      </w:pP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color w:val="auto"/>
          <w:kern w:val="0"/>
          <w:sz w:val="32"/>
          <w:szCs w:val="32"/>
          <w:lang w:val="en-US" w:eastAsia="zh-CN" w:bidi="ar-SA"/>
        </w:rPr>
      </w:pP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岳阳市发展和改革委员会</w:t>
      </w: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2021年7月27</w:t>
      </w:r>
      <w:bookmarkStart w:id="0" w:name="_GoBack"/>
      <w:bookmarkEnd w:id="0"/>
      <w:r>
        <w:rPr>
          <w:rFonts w:hint="eastAsia" w:ascii="仿宋_GB2312" w:hAnsi="仿宋_GB2312" w:eastAsia="仿宋_GB2312" w:cs="仿宋_GB2312"/>
          <w:color w:val="auto"/>
          <w:kern w:val="0"/>
          <w:sz w:val="32"/>
          <w:szCs w:val="32"/>
          <w:lang w:val="en-US" w:eastAsia="zh-CN" w:bidi="ar-SA"/>
        </w:rPr>
        <w:t>日</w:t>
      </w:r>
    </w:p>
    <w:p>
      <w:pPr>
        <w:keepNext w:val="0"/>
        <w:keepLines w:val="0"/>
        <w:pageBreakBefore w:val="0"/>
        <w:kinsoku/>
        <w:wordWrap/>
        <w:overflowPunct/>
        <w:topLinePunct w:val="0"/>
        <w:autoSpaceDE/>
        <w:autoSpaceDN/>
        <w:bidi w:val="0"/>
        <w:snapToGrid w:val="0"/>
        <w:spacing w:line="440" w:lineRule="atLeast"/>
        <w:jc w:val="center"/>
        <w:textAlignment w:val="auto"/>
        <w:outlineLvl w:val="9"/>
        <w:rPr>
          <w:rFonts w:hint="eastAsia" w:ascii="仿宋_GB2312" w:hAnsi="仿宋_GB2312" w:eastAsia="仿宋_GB2312" w:cs="仿宋_GB2312"/>
          <w:color w:val="auto"/>
          <w:kern w:val="0"/>
          <w:sz w:val="32"/>
          <w:szCs w:val="32"/>
          <w:lang w:val="en-US" w:eastAsia="zh-CN" w:bidi="ar-SA"/>
        </w:rPr>
      </w:pPr>
    </w:p>
    <w:p>
      <w:pPr>
        <w:keepNext w:val="0"/>
        <w:keepLines w:val="0"/>
        <w:pageBreakBefore w:val="0"/>
        <w:kinsoku/>
        <w:wordWrap/>
        <w:overflowPunct/>
        <w:topLinePunct w:val="0"/>
        <w:autoSpaceDE/>
        <w:autoSpaceDN/>
        <w:bidi w:val="0"/>
        <w:snapToGrid w:val="0"/>
        <w:spacing w:line="440" w:lineRule="atLeast"/>
        <w:jc w:val="both"/>
        <w:textAlignment w:val="auto"/>
        <w:outlineLvl w:val="9"/>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both"/>
        <w:textAlignment w:val="auto"/>
        <w:outlineLvl w:val="9"/>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both"/>
        <w:textAlignment w:val="auto"/>
        <w:outlineLvl w:val="9"/>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both"/>
        <w:textAlignment w:val="auto"/>
        <w:outlineLvl w:val="9"/>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both"/>
        <w:textAlignment w:val="auto"/>
        <w:outlineLvl w:val="9"/>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pPr>
    </w:p>
    <w:p>
      <w:pPr>
        <w:keepNext w:val="0"/>
        <w:keepLines w:val="0"/>
        <w:pageBreakBefore w:val="0"/>
        <w:kinsoku/>
        <w:wordWrap/>
        <w:overflowPunct/>
        <w:topLinePunct w:val="0"/>
        <w:autoSpaceDE/>
        <w:autoSpaceDN/>
        <w:bidi w:val="0"/>
        <w:snapToGrid w:val="0"/>
        <w:spacing w:line="440" w:lineRule="atLeast"/>
        <w:jc w:val="both"/>
        <w:textAlignment w:val="auto"/>
        <w:outlineLvl w:val="9"/>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pPr>
      <w:r>
        <w:rPr>
          <w:rFonts w:hint="eastAsia" w:ascii="方正小标宋简体" w:hAnsi="方正小标宋简体" w:eastAsia="方正小标宋简体" w:cs="方正小标宋简体"/>
          <w:i w:val="0"/>
          <w:caps w:val="0"/>
          <w:color w:val="333333"/>
          <w:spacing w:val="0"/>
          <w:sz w:val="32"/>
          <w:szCs w:val="32"/>
          <w:shd w:val="clear" w:color="auto" w:fill="FFFFFF"/>
          <w:lang w:eastAsia="zh-CN"/>
        </w:rPr>
        <w:t>附件</w:t>
      </w:r>
    </w:p>
    <w:p>
      <w:pPr>
        <w:pStyle w:val="2"/>
        <w:widowControl/>
        <w:spacing w:line="600" w:lineRule="exact"/>
        <w:jc w:val="both"/>
        <w:rPr>
          <w:rFonts w:hint="eastAsia" w:ascii="方正小标宋简体" w:hAnsi="微软雅黑" w:eastAsia="方正小标宋简体" w:cs="微软雅黑"/>
          <w:color w:val="000000" w:themeColor="text1"/>
          <w:sz w:val="44"/>
          <w:szCs w:val="44"/>
        </w:rPr>
      </w:pPr>
    </w:p>
    <w:p>
      <w:pPr>
        <w:pStyle w:val="2"/>
        <w:widowControl/>
        <w:spacing w:line="600" w:lineRule="exact"/>
        <w:jc w:val="center"/>
        <w:rPr>
          <w:rFonts w:hint="eastAsia" w:ascii="方正小标宋简体" w:hAnsi="微软雅黑" w:eastAsia="方正小标宋简体" w:cs="微软雅黑"/>
          <w:color w:val="000000" w:themeColor="text1"/>
          <w:sz w:val="44"/>
          <w:szCs w:val="44"/>
        </w:rPr>
      </w:pPr>
      <w:r>
        <w:rPr>
          <w:rFonts w:hint="eastAsia" w:ascii="方正小标宋简体" w:hAnsi="微软雅黑" w:eastAsia="方正小标宋简体" w:cs="微软雅黑"/>
          <w:color w:val="000000" w:themeColor="text1"/>
          <w:sz w:val="44"/>
          <w:szCs w:val="44"/>
        </w:rPr>
        <w:t>岳阳市工程建设项目远程异地评标</w:t>
      </w:r>
    </w:p>
    <w:p>
      <w:pPr>
        <w:pStyle w:val="2"/>
        <w:widowControl/>
        <w:spacing w:line="600" w:lineRule="exact"/>
        <w:jc w:val="center"/>
        <w:rPr>
          <w:rFonts w:hint="eastAsia" w:ascii="方正小标宋简体" w:eastAsia="方正小标宋简体"/>
          <w:color w:val="000000" w:themeColor="text1"/>
          <w:sz w:val="44"/>
          <w:szCs w:val="44"/>
          <w:lang w:eastAsia="zh-CN"/>
        </w:rPr>
      </w:pPr>
      <w:r>
        <w:rPr>
          <w:rFonts w:hint="eastAsia" w:ascii="方正小标宋简体" w:hAnsi="微软雅黑" w:eastAsia="方正小标宋简体" w:cs="微软雅黑"/>
          <w:color w:val="000000" w:themeColor="text1"/>
          <w:sz w:val="44"/>
          <w:szCs w:val="44"/>
          <w:lang w:eastAsia="zh-CN"/>
        </w:rPr>
        <w:t>实施细则</w:t>
      </w:r>
    </w:p>
    <w:p>
      <w:pPr>
        <w:pStyle w:val="2"/>
        <w:widowControl/>
        <w:spacing w:line="600" w:lineRule="exact"/>
        <w:jc w:val="center"/>
        <w:rPr>
          <w:rFonts w:ascii="黑体" w:hAnsi="黑体" w:eastAsia="黑体" w:cs="微软雅黑"/>
          <w:color w:val="000000" w:themeColor="text1"/>
          <w:sz w:val="32"/>
          <w:szCs w:val="32"/>
        </w:rPr>
      </w:pPr>
    </w:p>
    <w:p>
      <w:pPr>
        <w:pStyle w:val="2"/>
        <w:widowControl/>
        <w:spacing w:line="600" w:lineRule="exact"/>
        <w:jc w:val="center"/>
        <w:rPr>
          <w:rFonts w:ascii="黑体" w:hAnsi="黑体" w:eastAsia="黑体"/>
          <w:color w:val="000000" w:themeColor="text1"/>
          <w:sz w:val="32"/>
          <w:szCs w:val="32"/>
        </w:rPr>
      </w:pPr>
      <w:r>
        <w:rPr>
          <w:rFonts w:hint="eastAsia" w:ascii="黑体" w:hAnsi="黑体" w:eastAsia="黑体" w:cs="微软雅黑"/>
          <w:color w:val="000000" w:themeColor="text1"/>
          <w:sz w:val="32"/>
          <w:szCs w:val="32"/>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微软雅黑" w:eastAsia="仿宋_GB2312" w:cs="微软雅黑"/>
          <w:color w:val="000000" w:themeColor="text1"/>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color w:val="auto"/>
        </w:rPr>
      </w:pPr>
      <w:r>
        <w:rPr>
          <w:rFonts w:hint="eastAsia" w:ascii="仿宋_GB2312" w:hAnsi="微软雅黑" w:eastAsia="仿宋_GB2312" w:cs="微软雅黑"/>
          <w:color w:val="000000" w:themeColor="text1"/>
          <w:sz w:val="32"/>
          <w:szCs w:val="32"/>
        </w:rPr>
        <w:t xml:space="preserve">第一条  </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为</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保障</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远程异地评标</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活动统一</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规范</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和有序进行</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提升全市公共资源</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交易</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场所设施、评标专家及评标系统等</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资源</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利用效率，依据</w:t>
      </w:r>
      <w:r>
        <w:rPr>
          <w:rFonts w:hint="eastAsia" w:ascii="仿宋_GB2312" w:hAnsi="微软雅黑" w:eastAsia="仿宋_GB2312" w:cs="微软雅黑"/>
          <w:color w:val="auto"/>
          <w:sz w:val="32"/>
          <w:szCs w:val="32"/>
        </w:rPr>
        <w:t>《中华人民共和国招标投标法》</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《电子招标投标办法》《湖南省综合评标专家库和评标专家管理办法》《湖南省公共资源交易监督管理办法》</w:t>
      </w:r>
      <w:r>
        <w:rPr>
          <w:rFonts w:hint="eastAsia" w:ascii="仿宋_GB2312" w:hAnsi="微软雅黑" w:eastAsia="仿宋_GB2312" w:cs="微软雅黑"/>
          <w:color w:val="auto"/>
          <w:sz w:val="32"/>
          <w:szCs w:val="32"/>
        </w:rPr>
        <w:t>《湖南省工程建设项目远程异地评标暂行管理办法》</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等文件精神，结合我市实际，</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制定本细则。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Times New Roman" w:eastAsia="仿宋_GB2312" w:cs="仿宋_GB2312"/>
          <w:b w:val="0"/>
          <w:i w:val="0"/>
          <w:caps w:val="0"/>
          <w:color w:val="auto"/>
          <w:spacing w:val="0"/>
          <w:kern w:val="0"/>
          <w:sz w:val="32"/>
          <w:szCs w:val="32"/>
          <w:shd w:val="clear" w:fill="FFFFFF"/>
          <w:lang w:val="en-US" w:eastAsia="zh-CN" w:bidi="ar"/>
        </w:rPr>
      </w:pPr>
      <w:r>
        <w:rPr>
          <w:rFonts w:hint="eastAsia" w:ascii="仿宋_GB2312" w:hAnsi="微软雅黑" w:eastAsia="仿宋_GB2312" w:cs="微软雅黑"/>
          <w:color w:val="auto"/>
          <w:sz w:val="32"/>
          <w:szCs w:val="32"/>
        </w:rPr>
        <w:t xml:space="preserve">第二条  </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本细则所指远程异地评标是指依托互联网信息技术，通过利用电子招标投标系统和远程异地评标系统，</w:t>
      </w:r>
      <w:r>
        <w:rPr>
          <w:rFonts w:hint="default" w:ascii="仿宋_GB2312" w:hAnsi="Times New Roman" w:eastAsia="仿宋_GB2312" w:cs="仿宋_GB2312"/>
          <w:b w:val="0"/>
          <w:i w:val="0"/>
          <w:caps w:val="0"/>
          <w:color w:val="auto"/>
          <w:spacing w:val="0"/>
          <w:kern w:val="0"/>
          <w:sz w:val="32"/>
          <w:szCs w:val="32"/>
          <w:shd w:val="clear" w:fill="FFFFFF"/>
          <w:lang w:val="en-US" w:eastAsia="zh-CN" w:bidi="ar"/>
        </w:rPr>
        <w:t xml:space="preserve"> </w:t>
      </w: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通过远程调度、专家身份认证、视频语音实时交互和在线监管等，构建远程异地评标协调系统，在省综合评标专家库中抽取本地专家和异地专家，组建评标委员会，在两个及以上评标场地完成项目评标的活动。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Times New Roman" w:eastAsia="仿宋_GB2312" w:cs="仿宋_GB2312"/>
          <w:b w:val="0"/>
          <w:i w:val="0"/>
          <w:caps w:val="0"/>
          <w:color w:val="auto"/>
          <w:spacing w:val="0"/>
          <w:kern w:val="0"/>
          <w:sz w:val="32"/>
          <w:szCs w:val="32"/>
          <w:shd w:val="clear" w:fill="FFFFFF"/>
          <w:lang w:val="en-US" w:eastAsia="zh-CN" w:bidi="ar"/>
        </w:rPr>
      </w:pP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第三条  进入市公共资源交易平台交易，且具备电子招标条件的项目适用本细则。</w:t>
      </w:r>
    </w:p>
    <w:p>
      <w:pPr>
        <w:pStyle w:val="2"/>
        <w:widowControl/>
        <w:spacing w:line="600" w:lineRule="exact"/>
        <w:jc w:val="center"/>
        <w:rPr>
          <w:rFonts w:hint="eastAsia" w:ascii="黑体" w:hAnsi="黑体" w:eastAsia="黑体" w:cs="微软雅黑"/>
          <w:color w:val="000000" w:themeColor="text1"/>
          <w:sz w:val="32"/>
          <w:szCs w:val="32"/>
          <w:lang w:val="en-US" w:eastAsia="zh-CN"/>
        </w:rPr>
      </w:pPr>
    </w:p>
    <w:p>
      <w:pPr>
        <w:pStyle w:val="2"/>
        <w:widowControl/>
        <w:spacing w:line="600" w:lineRule="exact"/>
        <w:jc w:val="center"/>
        <w:rPr>
          <w:rFonts w:hint="eastAsia" w:ascii="黑体" w:hAnsi="黑体" w:eastAsia="黑体" w:cs="微软雅黑"/>
          <w:color w:val="000000" w:themeColor="text1"/>
          <w:sz w:val="32"/>
          <w:szCs w:val="32"/>
        </w:rPr>
      </w:pPr>
      <w:r>
        <w:rPr>
          <w:rFonts w:hint="eastAsia" w:ascii="黑体" w:hAnsi="黑体" w:eastAsia="黑体" w:cs="微软雅黑"/>
          <w:color w:val="000000" w:themeColor="text1"/>
          <w:sz w:val="32"/>
          <w:szCs w:val="32"/>
          <w:lang w:val="en-US" w:eastAsia="zh-CN"/>
        </w:rPr>
        <w:t xml:space="preserve"> </w:t>
      </w:r>
      <w:r>
        <w:rPr>
          <w:rFonts w:hint="eastAsia" w:ascii="黑体" w:hAnsi="黑体" w:eastAsia="黑体" w:cs="微软雅黑"/>
          <w:color w:val="000000" w:themeColor="text1"/>
          <w:sz w:val="32"/>
          <w:szCs w:val="32"/>
        </w:rPr>
        <w:t xml:space="preserve">第二章 适用范围 </w:t>
      </w:r>
    </w:p>
    <w:p>
      <w:pPr>
        <w:pStyle w:val="2"/>
        <w:widowControl/>
        <w:spacing w:line="600" w:lineRule="exact"/>
        <w:jc w:val="center"/>
        <w:rPr>
          <w:rFonts w:hint="eastAsia" w:ascii="黑体" w:hAnsi="黑体" w:eastAsia="黑体" w:cs="微软雅黑"/>
          <w:color w:val="000000" w:themeColor="text1"/>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Times New Roman" w:eastAsia="仿宋_GB2312" w:cs="仿宋_GB2312"/>
          <w:b w:val="0"/>
          <w:i w:val="0"/>
          <w:caps w:val="0"/>
          <w:color w:val="auto"/>
          <w:spacing w:val="0"/>
          <w:kern w:val="0"/>
          <w:sz w:val="32"/>
          <w:szCs w:val="32"/>
          <w:shd w:val="clear" w:fill="FFFFFF"/>
          <w:lang w:val="en-US" w:eastAsia="zh-CN" w:bidi="ar"/>
        </w:rPr>
      </w:pP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第四条  本市行政区域内依法必须招标的工程建设项目，符合下列条件之一的，应当采用远程异地评标，由项目行政监督部门在招标文件备案中予以明确，市公管办（县市区招监委）负责审核汇总，定期推送至市公共资源交易中心及时办理场地预约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Times New Roman" w:eastAsia="仿宋_GB2312" w:cs="仿宋_GB2312"/>
          <w:b w:val="0"/>
          <w:i w:val="0"/>
          <w:caps w:val="0"/>
          <w:color w:val="auto"/>
          <w:spacing w:val="0"/>
          <w:kern w:val="0"/>
          <w:sz w:val="32"/>
          <w:szCs w:val="32"/>
          <w:shd w:val="clear" w:fill="FFFFFF"/>
          <w:lang w:val="en-US" w:eastAsia="zh-CN" w:bidi="ar"/>
        </w:rPr>
      </w:pP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（一）合同金额较大的项目，具体范围和标准如下：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Times New Roman" w:eastAsia="仿宋_GB2312" w:cs="仿宋_GB2312"/>
          <w:b w:val="0"/>
          <w:i w:val="0"/>
          <w:caps w:val="0"/>
          <w:color w:val="auto"/>
          <w:spacing w:val="0"/>
          <w:kern w:val="0"/>
          <w:sz w:val="32"/>
          <w:szCs w:val="32"/>
          <w:shd w:val="clear" w:fill="FFFFFF"/>
          <w:lang w:val="en-US" w:eastAsia="zh-CN" w:bidi="ar"/>
        </w:rPr>
      </w:pP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工业项目：单项合同估算价5000万元及以上的施工项目（含设计施工总承包）；单项合同估算价2000万元及以上的货物项目；单项合同估算价1000万元及以上的勘察、设计、监理等服务项目。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firstLineChars="200"/>
        <w:jc w:val="left"/>
        <w:rPr>
          <w:rFonts w:hint="eastAsia" w:ascii="仿宋_GB2312" w:hAnsi="Times New Roman" w:eastAsia="仿宋_GB2312" w:cs="仿宋_GB2312"/>
          <w:b w:val="0"/>
          <w:i w:val="0"/>
          <w:caps w:val="0"/>
          <w:color w:val="auto"/>
          <w:spacing w:val="0"/>
          <w:kern w:val="0"/>
          <w:sz w:val="32"/>
          <w:szCs w:val="32"/>
          <w:shd w:val="clear" w:fill="FFFFFF"/>
          <w:lang w:val="en-US" w:eastAsia="zh-CN" w:bidi="ar"/>
        </w:rPr>
      </w:pPr>
      <w:r>
        <w:rPr>
          <w:rFonts w:hint="eastAsia" w:ascii="仿宋_GB2312" w:hAnsi="Times New Roman" w:eastAsia="仿宋_GB2312" w:cs="仿宋_GB2312"/>
          <w:b w:val="0"/>
          <w:i w:val="0"/>
          <w:caps w:val="0"/>
          <w:color w:val="auto"/>
          <w:spacing w:val="0"/>
          <w:kern w:val="0"/>
          <w:sz w:val="32"/>
          <w:szCs w:val="32"/>
          <w:shd w:val="clear" w:fill="FFFFFF"/>
          <w:lang w:val="en-US" w:eastAsia="zh-CN" w:bidi="ar"/>
        </w:rPr>
        <w:t>房屋建筑和市政基础设施工程建设项目：工程总承包、施工单项合同估算价4000万元及以上的施工类项目；设备、材料等单项合同估算价1000万元及以上的采购类项目；工程勘察单项合同估算价200万元及以上、工程设计单项合同估算价500万元及以上、监理服务单项合同估算价500万元及以上、全过程工程咨询单项合同估算价1500万元及以上的服务类项目。</w:t>
      </w:r>
    </w:p>
    <w:p>
      <w:pPr>
        <w:widowControl/>
        <w:spacing w:line="600" w:lineRule="exact"/>
        <w:ind w:firstLine="640" w:firstLineChars="200"/>
        <w:jc w:val="left"/>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交通项目：采用综合评分法（BOT、EPC招标项目除外），标的金额</w:t>
      </w:r>
      <w:r>
        <w:rPr>
          <w:rFonts w:hint="eastAsia" w:ascii="仿宋_GB2312" w:hAnsi="微软雅黑" w:eastAsia="仿宋_GB2312" w:cs="微软雅黑"/>
          <w:color w:val="auto"/>
          <w:sz w:val="32"/>
          <w:szCs w:val="32"/>
          <w:lang w:val="en-US" w:eastAsia="zh-CN"/>
        </w:rPr>
        <w:t>15</w:t>
      </w:r>
      <w:r>
        <w:rPr>
          <w:rFonts w:hint="eastAsia" w:ascii="仿宋_GB2312" w:hAnsi="微软雅黑" w:eastAsia="仿宋_GB2312" w:cs="微软雅黑"/>
          <w:color w:val="auto"/>
          <w:sz w:val="32"/>
          <w:szCs w:val="32"/>
          <w:u w:val="none"/>
        </w:rPr>
        <w:t>000</w:t>
      </w:r>
      <w:r>
        <w:rPr>
          <w:rFonts w:hint="eastAsia" w:ascii="仿宋_GB2312" w:hAnsi="微软雅黑" w:eastAsia="仿宋_GB2312" w:cs="微软雅黑"/>
          <w:color w:val="auto"/>
          <w:sz w:val="32"/>
          <w:szCs w:val="32"/>
        </w:rPr>
        <w:t>万元及以上的施工项目、</w:t>
      </w:r>
      <w:r>
        <w:rPr>
          <w:rFonts w:hint="eastAsia" w:ascii="仿宋_GB2312" w:hAnsi="微软雅黑" w:eastAsia="仿宋_GB2312" w:cs="微软雅黑"/>
          <w:color w:val="auto"/>
          <w:sz w:val="32"/>
          <w:szCs w:val="32"/>
          <w:lang w:val="en-US" w:eastAsia="zh-CN"/>
        </w:rPr>
        <w:t>5</w:t>
      </w:r>
      <w:r>
        <w:rPr>
          <w:rFonts w:hint="eastAsia" w:ascii="仿宋_GB2312" w:hAnsi="微软雅黑" w:eastAsia="仿宋_GB2312" w:cs="微软雅黑"/>
          <w:color w:val="auto"/>
          <w:sz w:val="32"/>
          <w:szCs w:val="32"/>
        </w:rPr>
        <w:t>00万元及以上的设计项目、</w:t>
      </w:r>
      <w:r>
        <w:rPr>
          <w:rFonts w:hint="eastAsia" w:ascii="仿宋_GB2312" w:hAnsi="微软雅黑" w:eastAsia="仿宋_GB2312" w:cs="微软雅黑"/>
          <w:color w:val="auto"/>
          <w:sz w:val="32"/>
          <w:szCs w:val="32"/>
          <w:lang w:val="en-US" w:eastAsia="zh-CN"/>
        </w:rPr>
        <w:t>5</w:t>
      </w:r>
      <w:r>
        <w:rPr>
          <w:rFonts w:hint="eastAsia" w:ascii="仿宋_GB2312" w:hAnsi="微软雅黑" w:eastAsia="仿宋_GB2312" w:cs="微软雅黑"/>
          <w:color w:val="auto"/>
          <w:sz w:val="32"/>
          <w:szCs w:val="32"/>
        </w:rPr>
        <w:t>00万元及以上的监理项目。</w:t>
      </w:r>
    </w:p>
    <w:p>
      <w:pPr>
        <w:pStyle w:val="2"/>
        <w:widowControl/>
        <w:spacing w:line="600" w:lineRule="exact"/>
        <w:ind w:firstLine="480"/>
        <w:jc w:val="left"/>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auto"/>
          <w:sz w:val="32"/>
          <w:szCs w:val="32"/>
        </w:rPr>
        <w:t>水利项目：工程估算总投资10000万元及以上的</w:t>
      </w:r>
      <w:r>
        <w:rPr>
          <w:rFonts w:hint="eastAsia" w:ascii="仿宋_GB2312" w:hAnsi="微软雅黑" w:eastAsia="仿宋_GB2312" w:cs="微软雅黑"/>
          <w:color w:val="000000" w:themeColor="text1"/>
          <w:sz w:val="32"/>
          <w:szCs w:val="32"/>
        </w:rPr>
        <w:t>勘察、设计、监理、特许经营及其他服务的采购项目；单项合同估算价3000万元及以上的工程总承包项目；单项合同估算价2000万元及以上的施工项目；单项合同估算价500万元及以上的设备、材料等货物的采购项目；单项合同估算价200万元（含采用费率报价的相当金额）及以上的勘察、设计、监理等服务采购项目。</w:t>
      </w:r>
    </w:p>
    <w:p>
      <w:pPr>
        <w:pStyle w:val="2"/>
        <w:widowControl/>
        <w:spacing w:line="600" w:lineRule="exact"/>
        <w:ind w:firstLine="480"/>
        <w:jc w:val="left"/>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（二）本地区评标专家资源不足，二级专业专家人数少于30人。</w:t>
      </w:r>
    </w:p>
    <w:p>
      <w:pPr>
        <w:pStyle w:val="2"/>
        <w:widowControl/>
        <w:spacing w:line="600" w:lineRule="exact"/>
        <w:ind w:firstLine="480"/>
        <w:jc w:val="left"/>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（三）行政监督部门认定需要远程异地评标的其他项目。</w:t>
      </w:r>
    </w:p>
    <w:p>
      <w:pPr>
        <w:pStyle w:val="2"/>
        <w:widowControl/>
        <w:spacing w:line="600" w:lineRule="exact"/>
        <w:ind w:firstLine="480"/>
        <w:jc w:val="left"/>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第五条  招标人自行申请远程异地评标的，可以采用远程异地评标</w:t>
      </w:r>
      <w:r>
        <w:rPr>
          <w:rFonts w:hint="eastAsia" w:ascii="仿宋_GB2312" w:hAnsi="微软雅黑" w:eastAsia="仿宋_GB2312" w:cs="微软雅黑"/>
          <w:color w:val="000000" w:themeColor="text1"/>
          <w:sz w:val="32"/>
          <w:szCs w:val="32"/>
          <w:lang w:eastAsia="zh-CN"/>
        </w:rPr>
        <w:t>，</w:t>
      </w:r>
      <w:r>
        <w:rPr>
          <w:rFonts w:hint="eastAsia" w:ascii="仿宋_GB2312" w:hAnsi="微软雅黑" w:eastAsia="仿宋_GB2312" w:cs="微软雅黑"/>
          <w:color w:val="000000" w:themeColor="text1"/>
          <w:sz w:val="32"/>
          <w:szCs w:val="32"/>
        </w:rPr>
        <w:t>鼓励开展跨市、跨省远程异地评标。</w:t>
      </w:r>
    </w:p>
    <w:p>
      <w:pPr>
        <w:pStyle w:val="2"/>
        <w:widowControl/>
        <w:spacing w:line="600" w:lineRule="exact"/>
        <w:jc w:val="center"/>
        <w:rPr>
          <w:rFonts w:ascii="仿宋_GB2312" w:hAnsi="微软雅黑" w:eastAsia="仿宋_GB2312" w:cs="微软雅黑"/>
          <w:color w:val="000000" w:themeColor="text1"/>
          <w:sz w:val="32"/>
          <w:szCs w:val="32"/>
        </w:rPr>
      </w:pPr>
    </w:p>
    <w:p>
      <w:pPr>
        <w:pStyle w:val="2"/>
        <w:widowControl/>
        <w:spacing w:line="600" w:lineRule="exact"/>
        <w:jc w:val="center"/>
        <w:rPr>
          <w:rFonts w:ascii="黑体" w:hAnsi="黑体" w:eastAsia="黑体" w:cs="微软雅黑"/>
          <w:color w:val="000000" w:themeColor="text1"/>
          <w:sz w:val="32"/>
          <w:szCs w:val="32"/>
        </w:rPr>
      </w:pPr>
      <w:r>
        <w:rPr>
          <w:rFonts w:hint="eastAsia" w:ascii="黑体" w:hAnsi="黑体" w:eastAsia="黑体" w:cs="微软雅黑"/>
          <w:color w:val="000000" w:themeColor="text1"/>
          <w:sz w:val="32"/>
          <w:szCs w:val="32"/>
        </w:rPr>
        <w:t>第</w:t>
      </w:r>
      <w:r>
        <w:rPr>
          <w:rFonts w:hint="eastAsia" w:ascii="黑体" w:hAnsi="黑体" w:eastAsia="黑体" w:cs="微软雅黑"/>
          <w:color w:val="000000" w:themeColor="text1"/>
          <w:sz w:val="32"/>
          <w:szCs w:val="32"/>
          <w:lang w:eastAsia="zh-CN"/>
        </w:rPr>
        <w:t>三</w:t>
      </w:r>
      <w:r>
        <w:rPr>
          <w:rFonts w:hint="eastAsia" w:ascii="黑体" w:hAnsi="黑体" w:eastAsia="黑体" w:cs="微软雅黑"/>
          <w:color w:val="000000" w:themeColor="text1"/>
          <w:sz w:val="32"/>
          <w:szCs w:val="32"/>
        </w:rPr>
        <w:t>章  组织管理</w:t>
      </w:r>
    </w:p>
    <w:p>
      <w:pPr>
        <w:pStyle w:val="2"/>
        <w:widowControl/>
        <w:spacing w:line="600" w:lineRule="exact"/>
        <w:jc w:val="left"/>
        <w:rPr>
          <w:rFonts w:ascii="仿宋_GB2312" w:hAnsi="微软雅黑" w:eastAsia="仿宋_GB2312" w:cs="微软雅黑"/>
          <w:color w:val="000000" w:themeColor="text1"/>
          <w:sz w:val="32"/>
          <w:szCs w:val="32"/>
        </w:rPr>
      </w:pPr>
    </w:p>
    <w:p>
      <w:pPr>
        <w:pStyle w:val="2"/>
        <w:widowControl/>
        <w:spacing w:line="600" w:lineRule="exact"/>
        <w:ind w:firstLine="640" w:firstLineChars="200"/>
        <w:jc w:val="left"/>
        <w:rPr>
          <w:rFonts w:ascii="仿宋_GB2312" w:hAnsi="微软雅黑" w:eastAsia="仿宋_GB2312" w:cs="微软雅黑"/>
          <w:color w:val="auto"/>
          <w:sz w:val="32"/>
          <w:szCs w:val="32"/>
        </w:rPr>
      </w:pPr>
      <w:r>
        <w:rPr>
          <w:rFonts w:hint="eastAsia" w:ascii="仿宋_GB2312" w:hAnsi="微软雅黑" w:eastAsia="仿宋_GB2312" w:cs="微软雅黑"/>
          <w:color w:val="000000" w:themeColor="text1"/>
          <w:sz w:val="32"/>
          <w:szCs w:val="32"/>
        </w:rPr>
        <w:t>第</w:t>
      </w:r>
      <w:r>
        <w:rPr>
          <w:rFonts w:hint="eastAsia" w:ascii="仿宋_GB2312" w:hAnsi="微软雅黑" w:eastAsia="仿宋_GB2312" w:cs="微软雅黑"/>
          <w:color w:val="000000" w:themeColor="text1"/>
          <w:sz w:val="32"/>
          <w:szCs w:val="32"/>
          <w:lang w:eastAsia="zh-CN"/>
        </w:rPr>
        <w:t>六</w:t>
      </w:r>
      <w:r>
        <w:rPr>
          <w:rFonts w:hint="eastAsia" w:ascii="仿宋_GB2312" w:hAnsi="微软雅黑" w:eastAsia="仿宋_GB2312" w:cs="微软雅黑"/>
          <w:color w:val="000000" w:themeColor="text1"/>
          <w:sz w:val="32"/>
          <w:szCs w:val="32"/>
        </w:rPr>
        <w:t xml:space="preserve">条 </w:t>
      </w:r>
      <w:r>
        <w:rPr>
          <w:rFonts w:hint="eastAsia" w:ascii="仿宋_GB2312" w:hAnsi="微软雅黑" w:eastAsia="仿宋_GB2312" w:cs="微软雅黑"/>
          <w:color w:val="auto"/>
          <w:sz w:val="32"/>
          <w:szCs w:val="32"/>
        </w:rPr>
        <w:t xml:space="preserve"> </w:t>
      </w:r>
      <w:r>
        <w:rPr>
          <w:rFonts w:hint="eastAsia" w:ascii="仿宋_GB2312" w:hAnsi="微软雅黑" w:eastAsia="仿宋_GB2312" w:cs="微软雅黑"/>
          <w:color w:val="auto"/>
          <w:sz w:val="32"/>
          <w:szCs w:val="32"/>
          <w:lang w:eastAsia="zh-CN"/>
        </w:rPr>
        <w:t>市</w:t>
      </w:r>
      <w:r>
        <w:rPr>
          <w:rFonts w:hint="eastAsia" w:ascii="仿宋_GB2312" w:hAnsi="微软雅黑" w:eastAsia="仿宋_GB2312" w:cs="微软雅黑"/>
          <w:color w:val="auto"/>
          <w:sz w:val="32"/>
          <w:szCs w:val="32"/>
        </w:rPr>
        <w:t>公管办负责本行政区域内远程异地评标工作协调推进和综合监管。</w:t>
      </w:r>
    </w:p>
    <w:p>
      <w:pPr>
        <w:pStyle w:val="2"/>
        <w:widowControl/>
        <w:spacing w:line="600" w:lineRule="exact"/>
        <w:ind w:firstLine="640" w:firstLineChars="200"/>
        <w:rPr>
          <w:rFonts w:hint="eastAsia"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w:t>
      </w:r>
      <w:r>
        <w:rPr>
          <w:rFonts w:hint="eastAsia" w:ascii="仿宋_GB2312" w:hAnsi="微软雅黑" w:eastAsia="仿宋_GB2312" w:cs="微软雅黑"/>
          <w:color w:val="000000" w:themeColor="text1"/>
          <w:sz w:val="32"/>
          <w:szCs w:val="32"/>
          <w:lang w:eastAsia="zh-CN"/>
        </w:rPr>
        <w:t>七</w:t>
      </w:r>
      <w:r>
        <w:rPr>
          <w:rFonts w:hint="eastAsia" w:ascii="仿宋_GB2312" w:hAnsi="微软雅黑" w:eastAsia="仿宋_GB2312" w:cs="微软雅黑"/>
          <w:color w:val="000000" w:themeColor="text1"/>
          <w:sz w:val="32"/>
          <w:szCs w:val="32"/>
        </w:rPr>
        <w:t>条  市公共资源交易中心负责本地远程异地评标具体组织实施及运行操作,按照远程异地评标的场地设施标准要求，配备和维护软硬件设施。</w:t>
      </w:r>
    </w:p>
    <w:p>
      <w:pPr>
        <w:pStyle w:val="2"/>
        <w:widowControl/>
        <w:spacing w:line="600" w:lineRule="exact"/>
        <w:ind w:firstLine="640" w:firstLineChars="200"/>
        <w:rPr>
          <w:rFonts w:ascii="仿宋_GB2312" w:hAnsi="微软雅黑" w:eastAsia="仿宋_GB2312" w:cs="微软雅黑"/>
          <w:color w:val="auto"/>
          <w:sz w:val="32"/>
          <w:szCs w:val="32"/>
        </w:rPr>
      </w:pPr>
      <w:r>
        <w:rPr>
          <w:rFonts w:hint="eastAsia" w:ascii="仿宋_GB2312" w:hAnsi="微软雅黑" w:eastAsia="仿宋_GB2312" w:cs="微软雅黑"/>
          <w:color w:val="000000" w:themeColor="text1"/>
          <w:sz w:val="32"/>
          <w:szCs w:val="32"/>
        </w:rPr>
        <w:t>第</w:t>
      </w:r>
      <w:r>
        <w:rPr>
          <w:rFonts w:hint="eastAsia" w:ascii="仿宋_GB2312" w:hAnsi="微软雅黑" w:eastAsia="仿宋_GB2312" w:cs="微软雅黑"/>
          <w:color w:val="000000" w:themeColor="text1"/>
          <w:sz w:val="32"/>
          <w:szCs w:val="32"/>
          <w:lang w:eastAsia="zh-CN"/>
        </w:rPr>
        <w:t>八</w:t>
      </w:r>
      <w:r>
        <w:rPr>
          <w:rFonts w:hint="eastAsia" w:ascii="仿宋_GB2312" w:hAnsi="微软雅黑" w:eastAsia="仿宋_GB2312" w:cs="微软雅黑"/>
          <w:color w:val="000000" w:themeColor="text1"/>
          <w:sz w:val="32"/>
          <w:szCs w:val="32"/>
        </w:rPr>
        <w:t>条  我市远程异地评标系统包括：湖南省公共资源交易远程异地评标调度系统、易采虹5G远程异地评标调度系统。</w:t>
      </w:r>
      <w:r>
        <w:rPr>
          <w:rFonts w:hint="eastAsia" w:ascii="仿宋_GB2312" w:hAnsi="微软雅黑" w:eastAsia="仿宋_GB2312" w:cs="微软雅黑"/>
          <w:color w:val="auto"/>
          <w:sz w:val="32"/>
          <w:szCs w:val="32"/>
        </w:rPr>
        <w:t>采取远程异地评标的项目，由招标人在项目入场登记时</w:t>
      </w:r>
      <w:r>
        <w:rPr>
          <w:rFonts w:hint="eastAsia" w:ascii="仿宋_GB2312" w:hAnsi="微软雅黑" w:eastAsia="仿宋_GB2312" w:cs="微软雅黑"/>
          <w:color w:val="auto"/>
          <w:sz w:val="32"/>
          <w:szCs w:val="32"/>
          <w:lang w:eastAsia="zh-CN"/>
        </w:rPr>
        <w:t>随机</w:t>
      </w:r>
      <w:r>
        <w:rPr>
          <w:rFonts w:hint="eastAsia" w:ascii="仿宋_GB2312" w:hAnsi="微软雅黑" w:eastAsia="仿宋_GB2312" w:cs="微软雅黑"/>
          <w:color w:val="auto"/>
          <w:sz w:val="32"/>
          <w:szCs w:val="32"/>
        </w:rPr>
        <w:t>选择远程异地评标系统。</w:t>
      </w:r>
    </w:p>
    <w:p>
      <w:pPr>
        <w:pStyle w:val="2"/>
        <w:widowControl/>
        <w:spacing w:line="600" w:lineRule="exact"/>
        <w:ind w:firstLine="640" w:firstLineChars="200"/>
        <w:jc w:val="left"/>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w:t>
      </w:r>
      <w:r>
        <w:rPr>
          <w:rFonts w:hint="eastAsia" w:ascii="仿宋_GB2312" w:hAnsi="微软雅黑" w:eastAsia="仿宋_GB2312" w:cs="微软雅黑"/>
          <w:color w:val="000000" w:themeColor="text1"/>
          <w:sz w:val="32"/>
          <w:szCs w:val="32"/>
          <w:lang w:eastAsia="zh-CN"/>
        </w:rPr>
        <w:t>九</w:t>
      </w:r>
      <w:r>
        <w:rPr>
          <w:rFonts w:hint="eastAsia" w:ascii="仿宋_GB2312" w:hAnsi="微软雅黑" w:eastAsia="仿宋_GB2312" w:cs="微软雅黑"/>
          <w:color w:val="000000" w:themeColor="text1"/>
          <w:sz w:val="32"/>
          <w:szCs w:val="32"/>
        </w:rPr>
        <w:t>条  远程异地评标不改变项目监管关系，由项目行政监督部门负责远程异地评标的监督工作，并依法依规处理投诉、查处违法违规行为。</w:t>
      </w:r>
    </w:p>
    <w:p>
      <w:pPr>
        <w:pStyle w:val="2"/>
        <w:widowControl/>
        <w:spacing w:after="240" w:line="600" w:lineRule="exact"/>
        <w:jc w:val="left"/>
        <w:rPr>
          <w:rFonts w:ascii="仿宋_GB2312" w:hAnsi="微软雅黑" w:eastAsia="仿宋_GB2312" w:cs="微软雅黑"/>
          <w:color w:val="000000" w:themeColor="text1"/>
          <w:sz w:val="32"/>
          <w:szCs w:val="32"/>
        </w:rPr>
      </w:pPr>
    </w:p>
    <w:p>
      <w:pPr>
        <w:pStyle w:val="2"/>
        <w:widowControl/>
        <w:spacing w:line="600" w:lineRule="exact"/>
        <w:jc w:val="center"/>
        <w:rPr>
          <w:rFonts w:ascii="黑体" w:hAnsi="黑体" w:eastAsia="黑体" w:cs="微软雅黑"/>
          <w:color w:val="000000" w:themeColor="text1"/>
          <w:sz w:val="32"/>
          <w:szCs w:val="32"/>
        </w:rPr>
      </w:pPr>
      <w:r>
        <w:rPr>
          <w:rFonts w:hint="eastAsia" w:ascii="黑体" w:hAnsi="黑体" w:eastAsia="黑体" w:cs="微软雅黑"/>
          <w:color w:val="000000" w:themeColor="text1"/>
          <w:sz w:val="32"/>
          <w:szCs w:val="32"/>
        </w:rPr>
        <w:t>第</w:t>
      </w:r>
      <w:r>
        <w:rPr>
          <w:rFonts w:hint="eastAsia" w:ascii="黑体" w:hAnsi="黑体" w:eastAsia="黑体" w:cs="微软雅黑"/>
          <w:color w:val="000000" w:themeColor="text1"/>
          <w:sz w:val="32"/>
          <w:szCs w:val="32"/>
          <w:lang w:eastAsia="zh-CN"/>
        </w:rPr>
        <w:t>四</w:t>
      </w:r>
      <w:r>
        <w:rPr>
          <w:rFonts w:hint="eastAsia" w:ascii="黑体" w:hAnsi="黑体" w:eastAsia="黑体" w:cs="微软雅黑"/>
          <w:color w:val="000000" w:themeColor="text1"/>
          <w:sz w:val="32"/>
          <w:szCs w:val="32"/>
        </w:rPr>
        <w:t>章  场地和设施安排</w:t>
      </w:r>
    </w:p>
    <w:p>
      <w:pPr>
        <w:pStyle w:val="2"/>
        <w:widowControl/>
        <w:spacing w:line="600" w:lineRule="exact"/>
        <w:jc w:val="center"/>
        <w:rPr>
          <w:rFonts w:ascii="黑体" w:hAnsi="黑体" w:eastAsia="黑体" w:cs="微软雅黑"/>
          <w:color w:val="000000" w:themeColor="text1"/>
          <w:sz w:val="32"/>
          <w:szCs w:val="32"/>
        </w:rPr>
      </w:pPr>
    </w:p>
    <w:p>
      <w:pPr>
        <w:pStyle w:val="2"/>
        <w:widowControl/>
        <w:spacing w:line="600" w:lineRule="exact"/>
        <w:jc w:val="left"/>
        <w:rPr>
          <w:rFonts w:ascii="仿宋_GB2312" w:hAnsi="微软雅黑" w:eastAsia="仿宋_GB2312" w:cs="微软雅黑"/>
          <w:color w:val="auto"/>
          <w:sz w:val="32"/>
          <w:szCs w:val="32"/>
        </w:rPr>
      </w:pPr>
      <w:r>
        <w:rPr>
          <w:rFonts w:hint="eastAsia" w:ascii="黑体" w:hAnsi="黑体" w:eastAsia="黑体" w:cs="微软雅黑"/>
          <w:color w:val="000000" w:themeColor="text1"/>
          <w:sz w:val="32"/>
          <w:szCs w:val="32"/>
        </w:rPr>
        <w:t xml:space="preserve">    </w:t>
      </w:r>
      <w:r>
        <w:rPr>
          <w:rFonts w:hint="eastAsia" w:ascii="仿宋_GB2312" w:hAnsi="微软雅黑" w:eastAsia="仿宋_GB2312" w:cs="微软雅黑"/>
          <w:color w:val="000000" w:themeColor="text1"/>
          <w:sz w:val="32"/>
          <w:szCs w:val="32"/>
        </w:rPr>
        <w:t xml:space="preserve">第十条  </w:t>
      </w:r>
      <w:r>
        <w:rPr>
          <w:rFonts w:hint="eastAsia" w:ascii="仿宋_GB2312" w:hAnsi="仿宋_GB2312" w:eastAsia="仿宋_GB2312" w:cs="仿宋_GB2312"/>
          <w:color w:val="000000" w:themeColor="text1"/>
          <w:sz w:val="32"/>
          <w:szCs w:val="32"/>
        </w:rPr>
        <w:t>远程异地评标项目应按照公共资源交易受理程序办理场地预约手续。远程异地评标场地分主场和副场，项目进场受理所在地的评标现</w:t>
      </w:r>
      <w:r>
        <w:rPr>
          <w:rFonts w:hint="eastAsia" w:ascii="仿宋_GB2312" w:hAnsi="微软雅黑" w:eastAsia="仿宋_GB2312" w:cs="微软雅黑"/>
          <w:color w:val="000000" w:themeColor="text1"/>
          <w:sz w:val="32"/>
          <w:szCs w:val="32"/>
        </w:rPr>
        <w:t>场为主场，所在地以外的其他评标现场为副场,主、副场均应当设在各级公共资源交易中心。副场选择方式可通过远程异地评标调度系统随机产生，</w:t>
      </w:r>
      <w:r>
        <w:rPr>
          <w:rFonts w:hint="eastAsia" w:ascii="仿宋_GB2312" w:hAnsi="微软雅黑" w:eastAsia="仿宋_GB2312" w:cs="微软雅黑"/>
          <w:color w:val="auto"/>
          <w:sz w:val="32"/>
          <w:szCs w:val="32"/>
        </w:rPr>
        <w:t>省内远程异地评标副场数量不超过两个，跨省远程异地评标副场数量为1个。允许采取主场开标、副场评标的远程异地评标方式，该方式副场数量为1个。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jc w:val="center"/>
        <w:rPr>
          <w:rFonts w:hint="eastAsia" w:ascii="黑体" w:hAnsi="宋体" w:eastAsia="黑体" w:cs="黑体"/>
          <w:b w:val="0"/>
          <w:i w:val="0"/>
          <w:caps w:val="0"/>
          <w:color w:val="333333"/>
          <w:spacing w:val="0"/>
          <w:kern w:val="0"/>
          <w:sz w:val="32"/>
          <w:szCs w:val="32"/>
          <w:shd w:val="clear" w:fill="FFFFFF"/>
          <w:lang w:val="en-US" w:eastAsia="zh-CN" w:bidi="ar"/>
        </w:rPr>
      </w:pPr>
    </w:p>
    <w:p>
      <w:pPr>
        <w:pStyle w:val="2"/>
        <w:widowControl/>
        <w:spacing w:line="600" w:lineRule="exact"/>
        <w:ind w:firstLine="2560" w:firstLineChars="800"/>
        <w:jc w:val="both"/>
        <w:rPr>
          <w:rFonts w:ascii="黑体" w:hAnsi="黑体" w:eastAsia="黑体" w:cs="微软雅黑"/>
          <w:color w:val="000000" w:themeColor="text1"/>
          <w:sz w:val="32"/>
          <w:szCs w:val="32"/>
        </w:rPr>
      </w:pPr>
      <w:r>
        <w:rPr>
          <w:rFonts w:hint="eastAsia" w:ascii="黑体" w:hAnsi="黑体" w:eastAsia="黑体" w:cs="微软雅黑"/>
          <w:color w:val="000000" w:themeColor="text1"/>
          <w:sz w:val="32"/>
          <w:szCs w:val="32"/>
        </w:rPr>
        <w:t>第</w:t>
      </w:r>
      <w:r>
        <w:rPr>
          <w:rFonts w:hint="eastAsia" w:ascii="黑体" w:hAnsi="黑体" w:eastAsia="黑体" w:cs="微软雅黑"/>
          <w:color w:val="000000" w:themeColor="text1"/>
          <w:sz w:val="32"/>
          <w:szCs w:val="32"/>
          <w:lang w:eastAsia="zh-CN"/>
        </w:rPr>
        <w:t>五</w:t>
      </w:r>
      <w:r>
        <w:rPr>
          <w:rFonts w:hint="eastAsia" w:ascii="黑体" w:hAnsi="黑体" w:eastAsia="黑体" w:cs="微软雅黑"/>
          <w:color w:val="000000" w:themeColor="text1"/>
          <w:sz w:val="32"/>
          <w:szCs w:val="32"/>
        </w:rPr>
        <w:t>章  评标评审</w:t>
      </w:r>
    </w:p>
    <w:p>
      <w:pPr>
        <w:pStyle w:val="2"/>
        <w:widowControl/>
        <w:spacing w:line="600" w:lineRule="exact"/>
        <w:jc w:val="center"/>
        <w:rPr>
          <w:rFonts w:ascii="黑体" w:hAnsi="黑体" w:eastAsia="黑体" w:cs="微软雅黑"/>
          <w:color w:val="000000" w:themeColor="text1"/>
          <w:sz w:val="32"/>
          <w:szCs w:val="32"/>
        </w:rPr>
      </w:pPr>
    </w:p>
    <w:p>
      <w:pPr>
        <w:pStyle w:val="2"/>
        <w:widowControl/>
        <w:spacing w:line="600" w:lineRule="exact"/>
        <w:ind w:firstLine="640" w:firstLineChars="200"/>
        <w:rPr>
          <w:rFonts w:ascii="仿宋_GB2312" w:hAnsi="微软雅黑" w:eastAsia="仿宋_GB2312" w:cs="微软雅黑"/>
          <w:color w:val="auto"/>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一</w:t>
      </w:r>
      <w:r>
        <w:rPr>
          <w:rFonts w:hint="eastAsia" w:ascii="仿宋_GB2312" w:hAnsi="微软雅黑" w:eastAsia="仿宋_GB2312" w:cs="微软雅黑"/>
          <w:color w:val="000000" w:themeColor="text1"/>
          <w:sz w:val="32"/>
          <w:szCs w:val="32"/>
        </w:rPr>
        <w:t>条  评标专家的抽取。省内远程异地评标，统一由主场按照《湖南省综合评标专家库和评标专家管理办法》随机抽取主场和副场所在地的评标专家，主场评标专家人数最多不超过所有评标专家人数</w:t>
      </w:r>
      <w:r>
        <w:rPr>
          <w:rFonts w:hint="eastAsia" w:ascii="仿宋_GB2312" w:hAnsi="微软雅黑" w:eastAsia="仿宋_GB2312" w:cs="微软雅黑"/>
          <w:color w:val="auto"/>
          <w:sz w:val="32"/>
          <w:szCs w:val="32"/>
        </w:rPr>
        <w:t>的三分之一。跨省远程异地评标，主场专家按照当地评标专家库和评标专家管理规定随机抽取，副场专家由主场行业行政监管部门、招标</w:t>
      </w:r>
      <w:r>
        <w:rPr>
          <w:rFonts w:hint="eastAsia" w:ascii="仿宋_GB2312" w:hAnsi="微软雅黑" w:eastAsia="仿宋_GB2312" w:cs="微软雅黑"/>
          <w:color w:val="auto"/>
          <w:sz w:val="32"/>
          <w:szCs w:val="32"/>
          <w:lang w:eastAsia="zh-CN"/>
        </w:rPr>
        <w:t>人</w:t>
      </w:r>
      <w:r>
        <w:rPr>
          <w:rFonts w:hint="eastAsia" w:ascii="仿宋_GB2312" w:hAnsi="微软雅黑" w:eastAsia="仿宋_GB2312" w:cs="微软雅黑"/>
          <w:color w:val="auto"/>
          <w:sz w:val="32"/>
          <w:szCs w:val="32"/>
        </w:rPr>
        <w:t>联合委托副场交易中心按照当地评标专家库和评标专家管理规定随机抽取。</w:t>
      </w:r>
    </w:p>
    <w:p>
      <w:pPr>
        <w:pStyle w:val="2"/>
        <w:widowControl/>
        <w:spacing w:line="600" w:lineRule="exact"/>
        <w:ind w:firstLine="640" w:firstLineChars="200"/>
        <w:rPr>
          <w:rFonts w:ascii="仿宋_GB2312" w:hAnsi="微软雅黑" w:eastAsia="仿宋_GB2312" w:cs="微软雅黑"/>
          <w:color w:val="auto"/>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二</w:t>
      </w:r>
      <w:r>
        <w:rPr>
          <w:rFonts w:hint="eastAsia" w:ascii="仿宋_GB2312" w:hAnsi="微软雅黑" w:eastAsia="仿宋_GB2312" w:cs="微软雅黑"/>
          <w:color w:val="000000" w:themeColor="text1"/>
          <w:sz w:val="32"/>
          <w:szCs w:val="32"/>
        </w:rPr>
        <w:t>条  评标专家在确认参加评标后，因出现临时请假不能出席、因故不能完成评标、因回避或迟到超过规定时间被取消当次评标资格等情况时，可启用应急专家库补抽。省内远程异地评标，由主场专家抽取人员通知招标人进行补抽</w:t>
      </w:r>
      <w:r>
        <w:rPr>
          <w:rFonts w:hint="eastAsia" w:ascii="仿宋_GB2312" w:hAnsi="微软雅黑" w:eastAsia="仿宋_GB2312" w:cs="微软雅黑"/>
          <w:color w:val="auto"/>
          <w:sz w:val="32"/>
          <w:szCs w:val="32"/>
        </w:rPr>
        <w:t>。跨省远程异地评标，主场专家补抽，由主场专家抽取人员通知招标人进行补抽，副场专家补抽，由主场行业行政监管部门、招标</w:t>
      </w:r>
      <w:r>
        <w:rPr>
          <w:rFonts w:hint="eastAsia" w:ascii="仿宋_GB2312" w:hAnsi="微软雅黑" w:eastAsia="仿宋_GB2312" w:cs="微软雅黑"/>
          <w:color w:val="auto"/>
          <w:sz w:val="32"/>
          <w:szCs w:val="32"/>
          <w:lang w:eastAsia="zh-CN"/>
        </w:rPr>
        <w:t>人</w:t>
      </w:r>
      <w:r>
        <w:rPr>
          <w:rFonts w:hint="eastAsia" w:ascii="仿宋_GB2312" w:hAnsi="微软雅黑" w:eastAsia="仿宋_GB2312" w:cs="微软雅黑"/>
          <w:color w:val="auto"/>
          <w:sz w:val="32"/>
          <w:szCs w:val="32"/>
        </w:rPr>
        <w:t>联合委托副场交易中心补抽。主场所在地公共资源交易中心负责相关协调、联络工作。</w:t>
      </w:r>
    </w:p>
    <w:p>
      <w:pPr>
        <w:pStyle w:val="2"/>
        <w:widowControl/>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三</w:t>
      </w:r>
      <w:r>
        <w:rPr>
          <w:rFonts w:hint="eastAsia" w:ascii="仿宋_GB2312" w:hAnsi="微软雅黑" w:eastAsia="仿宋_GB2312" w:cs="微软雅黑"/>
          <w:color w:val="000000" w:themeColor="text1"/>
          <w:sz w:val="32"/>
          <w:szCs w:val="32"/>
        </w:rPr>
        <w:t xml:space="preserve">条  </w:t>
      </w:r>
      <w:r>
        <w:rPr>
          <w:rFonts w:hint="eastAsia" w:ascii="仿宋_GB2312" w:hAnsi="仿宋_GB2312" w:eastAsia="仿宋_GB2312" w:cs="仿宋_GB2312"/>
          <w:color w:val="000000" w:themeColor="text1"/>
          <w:sz w:val="32"/>
          <w:szCs w:val="32"/>
        </w:rPr>
        <w:t>远程异地评标主、副场公共资源交易中心各自负责本地评标委员会成员身份核验和签到工作，统一保管其通讯工具，指引评标专家至远程异地评标室，并为远程异地评标提供技术协助和服务。</w:t>
      </w:r>
    </w:p>
    <w:p>
      <w:pPr>
        <w:pStyle w:val="2"/>
        <w:widowControl/>
        <w:spacing w:line="600" w:lineRule="exact"/>
        <w:ind w:firstLine="640" w:firstLineChars="200"/>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四</w:t>
      </w:r>
      <w:r>
        <w:rPr>
          <w:rFonts w:hint="eastAsia" w:ascii="仿宋_GB2312" w:hAnsi="微软雅黑" w:eastAsia="仿宋_GB2312" w:cs="微软雅黑"/>
          <w:color w:val="000000" w:themeColor="text1"/>
          <w:sz w:val="32"/>
          <w:szCs w:val="32"/>
        </w:rPr>
        <w:t xml:space="preserve">条  </w:t>
      </w:r>
      <w:r>
        <w:rPr>
          <w:rFonts w:hint="eastAsia" w:ascii="仿宋_GB2312" w:hAnsi="仿宋_GB2312" w:eastAsia="仿宋_GB2312" w:cs="仿宋_GB2312"/>
          <w:color w:val="000000" w:themeColor="text1"/>
          <w:sz w:val="32"/>
          <w:szCs w:val="32"/>
        </w:rPr>
        <w:t>评标委员会的主任评委原则上在主场评标专家中推选，采用主场开标、副场评标的，主任评委在副场评标专家中推选。评标委员会成员应当按照法律法规规定和招标文件要求，独立公正评标，主、副场的评标委员会成员在评标过程中具有同等权利和义务，</w:t>
      </w:r>
      <w:r>
        <w:rPr>
          <w:rFonts w:hint="eastAsia" w:ascii="仿宋_GB2312" w:hAnsi="微软雅黑" w:eastAsia="仿宋_GB2312" w:cs="微软雅黑"/>
          <w:color w:val="000000" w:themeColor="text1"/>
          <w:sz w:val="32"/>
          <w:szCs w:val="32"/>
        </w:rPr>
        <w:t>如遇评审意见不一致时，由主任评委组织评标委员会成员进行远程在线协商讨论，无法统一意见的，应当通过电子交易系统进行投票表决，主场和副场应当对表决过程进行监控和记录。</w:t>
      </w:r>
    </w:p>
    <w:p>
      <w:pPr>
        <w:pStyle w:val="2"/>
        <w:widowControl/>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五</w:t>
      </w:r>
      <w:r>
        <w:rPr>
          <w:rFonts w:hint="eastAsia" w:ascii="仿宋_GB2312" w:hAnsi="微软雅黑" w:eastAsia="仿宋_GB2312" w:cs="微软雅黑"/>
          <w:color w:val="000000" w:themeColor="text1"/>
          <w:sz w:val="32"/>
          <w:szCs w:val="32"/>
        </w:rPr>
        <w:t xml:space="preserve">条  </w:t>
      </w:r>
      <w:r>
        <w:rPr>
          <w:rFonts w:hint="eastAsia" w:ascii="仿宋_GB2312" w:hAnsi="仿宋_GB2312" w:eastAsia="仿宋_GB2312" w:cs="仿宋_GB2312"/>
          <w:color w:val="000000" w:themeColor="text1"/>
          <w:sz w:val="32"/>
          <w:szCs w:val="32"/>
        </w:rPr>
        <w:t>评标委员会成员应当对评标资料</w:t>
      </w:r>
      <w:r>
        <w:rPr>
          <w:rFonts w:hint="eastAsia" w:ascii="仿宋_GB2312" w:hAnsi="仿宋_GB2312" w:eastAsia="仿宋_GB2312" w:cs="仿宋_GB2312"/>
          <w:color w:val="000000" w:themeColor="text1"/>
          <w:sz w:val="32"/>
          <w:szCs w:val="32"/>
          <w:lang w:eastAsia="zh-CN"/>
        </w:rPr>
        <w:t>复核后</w:t>
      </w:r>
      <w:r>
        <w:rPr>
          <w:rFonts w:hint="eastAsia" w:ascii="仿宋_GB2312" w:hAnsi="仿宋_GB2312" w:eastAsia="仿宋_GB2312" w:cs="仿宋_GB2312"/>
          <w:color w:val="000000" w:themeColor="text1"/>
          <w:sz w:val="32"/>
          <w:szCs w:val="32"/>
        </w:rPr>
        <w:t>进行电子签名，完成评标报告后方可离场。</w:t>
      </w:r>
    </w:p>
    <w:p>
      <w:pPr>
        <w:pStyle w:val="2"/>
        <w:widowControl/>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六</w:t>
      </w:r>
      <w:r>
        <w:rPr>
          <w:rFonts w:hint="eastAsia" w:ascii="仿宋_GB2312" w:hAnsi="微软雅黑" w:eastAsia="仿宋_GB2312" w:cs="微软雅黑"/>
          <w:color w:val="000000" w:themeColor="text1"/>
          <w:sz w:val="32"/>
          <w:szCs w:val="32"/>
        </w:rPr>
        <w:t xml:space="preserve">条  </w:t>
      </w:r>
      <w:r>
        <w:rPr>
          <w:rFonts w:hint="eastAsia" w:ascii="仿宋_GB2312" w:hAnsi="仿宋_GB2312" w:eastAsia="仿宋_GB2312" w:cs="仿宋_GB2312"/>
          <w:color w:val="000000" w:themeColor="text1"/>
          <w:sz w:val="32"/>
          <w:szCs w:val="32"/>
        </w:rPr>
        <w:t>远程异地评标需要对评标结果进行复核的，招标人应当按有关规定报行政监督部门同意后，组织原评标委员会成员（不少于三分之二）进行远程异地或者集中复核。</w:t>
      </w:r>
    </w:p>
    <w:p>
      <w:pPr>
        <w:pStyle w:val="2"/>
        <w:widowControl/>
        <w:spacing w:line="600" w:lineRule="exact"/>
        <w:ind w:firstLine="640" w:firstLineChars="200"/>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七</w:t>
      </w:r>
      <w:r>
        <w:rPr>
          <w:rFonts w:hint="eastAsia" w:ascii="仿宋_GB2312" w:hAnsi="微软雅黑" w:eastAsia="仿宋_GB2312" w:cs="微软雅黑"/>
          <w:color w:val="000000" w:themeColor="text1"/>
          <w:sz w:val="32"/>
          <w:szCs w:val="32"/>
        </w:rPr>
        <w:t xml:space="preserve">条  </w:t>
      </w:r>
      <w:r>
        <w:rPr>
          <w:rFonts w:hint="eastAsia" w:ascii="仿宋_GB2312" w:hAnsi="仿宋_GB2312" w:eastAsia="仿宋_GB2312" w:cs="仿宋_GB2312"/>
          <w:color w:val="000000" w:themeColor="text1"/>
          <w:sz w:val="32"/>
          <w:szCs w:val="32"/>
        </w:rPr>
        <w:t>远程异地评标活动结束后，应由主场公共资源交易中心将主、副场评标项目</w:t>
      </w:r>
      <w:r>
        <w:rPr>
          <w:rFonts w:hint="eastAsia" w:ascii="仿宋_GB2312" w:hAnsi="微软雅黑" w:eastAsia="仿宋_GB2312" w:cs="微软雅黑"/>
          <w:color w:val="000000" w:themeColor="text1"/>
          <w:sz w:val="32"/>
          <w:szCs w:val="32"/>
        </w:rPr>
        <w:t>的视频监控、桌面监控的音视频数据和评标电子资料备份，统一存档、管理，保存期限不少于5年。招标人依法需要保存资料档案的，公共资源交易中心应向其提供。远程异地评标的项目计入主场公共资源交易中心交易数据统计。</w:t>
      </w:r>
    </w:p>
    <w:p>
      <w:pPr>
        <w:pStyle w:val="2"/>
        <w:widowControl/>
        <w:spacing w:line="600" w:lineRule="exact"/>
        <w:ind w:firstLine="640" w:firstLineChars="200"/>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八</w:t>
      </w:r>
      <w:r>
        <w:rPr>
          <w:rFonts w:hint="eastAsia" w:ascii="仿宋_GB2312" w:hAnsi="微软雅黑" w:eastAsia="仿宋_GB2312" w:cs="微软雅黑"/>
          <w:color w:val="000000" w:themeColor="text1"/>
          <w:sz w:val="32"/>
          <w:szCs w:val="32"/>
        </w:rPr>
        <w:t xml:space="preserve">条  </w:t>
      </w:r>
      <w:r>
        <w:rPr>
          <w:rFonts w:hint="eastAsia" w:ascii="仿宋_GB2312" w:hAnsi="仿宋_GB2312" w:eastAsia="仿宋_GB2312" w:cs="仿宋_GB2312"/>
          <w:color w:val="000000" w:themeColor="text1"/>
          <w:sz w:val="32"/>
          <w:szCs w:val="32"/>
        </w:rPr>
        <w:t>行政监督部门、招标人对评标专家考评由主场负责，公共资源交易中心对评标专家考评由主、副场分别考评，由副场推送至主场汇总。</w:t>
      </w:r>
    </w:p>
    <w:p>
      <w:pPr>
        <w:pStyle w:val="2"/>
        <w:widowControl/>
        <w:spacing w:line="600" w:lineRule="exact"/>
        <w:ind w:firstLine="640" w:firstLineChars="200"/>
        <w:rPr>
          <w:rFonts w:ascii="仿宋_GB2312" w:eastAsia="仿宋_GB2312"/>
          <w:color w:val="000000" w:themeColor="text1"/>
          <w:sz w:val="32"/>
          <w:szCs w:val="32"/>
        </w:rPr>
      </w:pPr>
    </w:p>
    <w:p>
      <w:pPr>
        <w:pStyle w:val="2"/>
        <w:widowControl/>
        <w:spacing w:line="600" w:lineRule="exact"/>
        <w:jc w:val="center"/>
        <w:rPr>
          <w:rFonts w:ascii="黑体" w:hAnsi="黑体" w:eastAsia="黑体" w:cs="微软雅黑"/>
          <w:color w:val="000000" w:themeColor="text1"/>
          <w:sz w:val="32"/>
          <w:szCs w:val="32"/>
        </w:rPr>
      </w:pPr>
      <w:r>
        <w:rPr>
          <w:rFonts w:hint="eastAsia" w:ascii="黑体" w:hAnsi="黑体" w:eastAsia="黑体" w:cs="微软雅黑"/>
          <w:color w:val="000000" w:themeColor="text1"/>
          <w:sz w:val="32"/>
          <w:szCs w:val="32"/>
        </w:rPr>
        <w:t>第</w:t>
      </w:r>
      <w:r>
        <w:rPr>
          <w:rFonts w:hint="eastAsia" w:ascii="黑体" w:hAnsi="黑体" w:eastAsia="黑体" w:cs="微软雅黑"/>
          <w:color w:val="000000" w:themeColor="text1"/>
          <w:sz w:val="32"/>
          <w:szCs w:val="32"/>
          <w:lang w:eastAsia="zh-CN"/>
        </w:rPr>
        <w:t>六</w:t>
      </w:r>
      <w:r>
        <w:rPr>
          <w:rFonts w:hint="eastAsia" w:ascii="黑体" w:hAnsi="黑体" w:eastAsia="黑体" w:cs="微软雅黑"/>
          <w:color w:val="000000" w:themeColor="text1"/>
          <w:sz w:val="32"/>
          <w:szCs w:val="32"/>
        </w:rPr>
        <w:t>章  专家劳务报酬支付</w:t>
      </w:r>
    </w:p>
    <w:p>
      <w:pPr>
        <w:pStyle w:val="2"/>
        <w:widowControl/>
        <w:spacing w:line="600" w:lineRule="exact"/>
        <w:jc w:val="center"/>
        <w:rPr>
          <w:rFonts w:ascii="黑体" w:hAnsi="黑体" w:eastAsia="黑体" w:cs="微软雅黑"/>
          <w:color w:val="000000" w:themeColor="text1"/>
          <w:sz w:val="32"/>
          <w:szCs w:val="32"/>
        </w:rPr>
      </w:pPr>
    </w:p>
    <w:p>
      <w:pPr>
        <w:pStyle w:val="2"/>
        <w:widowControl/>
        <w:spacing w:line="600" w:lineRule="exact"/>
        <w:ind w:firstLine="640" w:firstLineChars="200"/>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第十</w:t>
      </w:r>
      <w:r>
        <w:rPr>
          <w:rFonts w:hint="eastAsia" w:ascii="仿宋_GB2312" w:hAnsi="微软雅黑" w:eastAsia="仿宋_GB2312" w:cs="微软雅黑"/>
          <w:color w:val="000000" w:themeColor="text1"/>
          <w:sz w:val="32"/>
          <w:szCs w:val="32"/>
          <w:lang w:eastAsia="zh-CN"/>
        </w:rPr>
        <w:t>九</w:t>
      </w:r>
      <w:r>
        <w:rPr>
          <w:rFonts w:hint="eastAsia" w:ascii="仿宋_GB2312" w:hAnsi="微软雅黑" w:eastAsia="仿宋_GB2312" w:cs="微软雅黑"/>
          <w:color w:val="000000" w:themeColor="text1"/>
          <w:sz w:val="32"/>
          <w:szCs w:val="32"/>
        </w:rPr>
        <w:t>条  远程异地评标的评标专家劳务报酬由主场招标人按照主场所在地相关法律、法规、文件规定执行。由招标人或其委托的招标代理机构在评标工作结束后10个工作日内，根据评标专家在交易系统签到时填写的银行账号信息统一支付。</w:t>
      </w:r>
    </w:p>
    <w:p>
      <w:pPr>
        <w:pStyle w:val="2"/>
        <w:widowControl/>
        <w:spacing w:line="600" w:lineRule="exact"/>
        <w:ind w:firstLine="640" w:firstLineChars="200"/>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第二十条  市公共资源交易中心应为评标专家劳务费转账支付及其相关事宜提供必要的条件和协助。</w:t>
      </w:r>
    </w:p>
    <w:p>
      <w:pPr>
        <w:pStyle w:val="2"/>
        <w:widowControl/>
        <w:spacing w:line="600" w:lineRule="exact"/>
        <w:ind w:firstLine="640" w:firstLineChars="200"/>
        <w:rPr>
          <w:rFonts w:ascii="仿宋_GB2312" w:eastAsia="仿宋_GB2312"/>
          <w:color w:val="000000" w:themeColor="text1"/>
          <w:sz w:val="32"/>
          <w:szCs w:val="32"/>
        </w:rPr>
      </w:pPr>
    </w:p>
    <w:p>
      <w:pPr>
        <w:pStyle w:val="2"/>
        <w:widowControl/>
        <w:spacing w:line="600" w:lineRule="exact"/>
        <w:jc w:val="center"/>
        <w:rPr>
          <w:rFonts w:ascii="黑体" w:hAnsi="黑体" w:eastAsia="黑体" w:cs="微软雅黑"/>
          <w:color w:val="000000" w:themeColor="text1"/>
          <w:sz w:val="32"/>
          <w:szCs w:val="32"/>
        </w:rPr>
      </w:pPr>
      <w:r>
        <w:rPr>
          <w:rFonts w:hint="eastAsia" w:ascii="黑体" w:hAnsi="黑体" w:eastAsia="黑体" w:cs="微软雅黑"/>
          <w:color w:val="000000" w:themeColor="text1"/>
          <w:sz w:val="32"/>
          <w:szCs w:val="32"/>
        </w:rPr>
        <w:t>第</w:t>
      </w:r>
      <w:r>
        <w:rPr>
          <w:rFonts w:hint="eastAsia" w:ascii="黑体" w:hAnsi="黑体" w:eastAsia="黑体" w:cs="微软雅黑"/>
          <w:color w:val="000000" w:themeColor="text1"/>
          <w:sz w:val="32"/>
          <w:szCs w:val="32"/>
          <w:lang w:eastAsia="zh-CN"/>
        </w:rPr>
        <w:t>七</w:t>
      </w:r>
      <w:r>
        <w:rPr>
          <w:rFonts w:hint="eastAsia" w:ascii="黑体" w:hAnsi="黑体" w:eastAsia="黑体" w:cs="微软雅黑"/>
          <w:color w:val="000000" w:themeColor="text1"/>
          <w:sz w:val="32"/>
          <w:szCs w:val="32"/>
        </w:rPr>
        <w:t>章  应急措施</w:t>
      </w:r>
    </w:p>
    <w:p>
      <w:pPr>
        <w:pStyle w:val="2"/>
        <w:widowControl/>
        <w:spacing w:line="600" w:lineRule="exact"/>
        <w:jc w:val="center"/>
        <w:rPr>
          <w:rFonts w:ascii="黑体" w:hAnsi="黑体" w:eastAsia="黑体" w:cs="微软雅黑"/>
          <w:color w:val="000000" w:themeColor="text1"/>
          <w:sz w:val="32"/>
          <w:szCs w:val="32"/>
        </w:rPr>
      </w:pPr>
    </w:p>
    <w:p>
      <w:pPr>
        <w:pStyle w:val="2"/>
        <w:widowControl/>
        <w:spacing w:line="600" w:lineRule="exact"/>
        <w:ind w:firstLine="640" w:firstLineChars="200"/>
        <w:rPr>
          <w:rFonts w:ascii="仿宋_GB2312" w:hAnsi="微软雅黑" w:eastAsia="仿宋_GB2312" w:cs="微软雅黑"/>
          <w:color w:val="000000" w:themeColor="text1"/>
          <w:sz w:val="32"/>
          <w:szCs w:val="32"/>
        </w:rPr>
      </w:pPr>
      <w:r>
        <w:rPr>
          <w:rFonts w:hint="eastAsia" w:ascii="仿宋_GB2312" w:hAnsi="微软雅黑" w:eastAsia="仿宋_GB2312" w:cs="微软雅黑"/>
          <w:color w:val="000000" w:themeColor="text1"/>
          <w:sz w:val="32"/>
          <w:szCs w:val="32"/>
        </w:rPr>
        <w:t>第二十</w:t>
      </w:r>
      <w:r>
        <w:rPr>
          <w:rFonts w:hint="eastAsia" w:ascii="仿宋_GB2312" w:hAnsi="微软雅黑" w:eastAsia="仿宋_GB2312" w:cs="微软雅黑"/>
          <w:color w:val="000000" w:themeColor="text1"/>
          <w:sz w:val="32"/>
          <w:szCs w:val="32"/>
          <w:lang w:eastAsia="zh-CN"/>
        </w:rPr>
        <w:t>一</w:t>
      </w:r>
      <w:r>
        <w:rPr>
          <w:rFonts w:hint="eastAsia" w:ascii="仿宋_GB2312" w:hAnsi="微软雅黑" w:eastAsia="仿宋_GB2312" w:cs="微软雅黑"/>
          <w:color w:val="000000" w:themeColor="text1"/>
          <w:sz w:val="32"/>
          <w:szCs w:val="32"/>
        </w:rPr>
        <w:t>条  市公共资源交易中心应制定远程异地评标应急处理预案，完善远程异地评标安全管理及保密等制度，确保远程异地评标的稳定性、连续性和完整性。应严格执行招投标服务流程，建立远程异地评标管理台账，确保环节把关、过程留痕。</w:t>
      </w:r>
    </w:p>
    <w:p>
      <w:pPr>
        <w:pStyle w:val="2"/>
        <w:widowControl/>
        <w:spacing w:line="600" w:lineRule="exact"/>
        <w:ind w:firstLine="640" w:firstLineChars="200"/>
        <w:rPr>
          <w:rFonts w:ascii="仿宋_GB2312" w:hAnsi="微软雅黑" w:eastAsia="仿宋_GB2312" w:cs="微软雅黑"/>
          <w:color w:val="000000" w:themeColor="text1"/>
          <w:sz w:val="32"/>
          <w:szCs w:val="32"/>
        </w:rPr>
      </w:pPr>
    </w:p>
    <w:p>
      <w:pPr>
        <w:pStyle w:val="2"/>
        <w:widowControl/>
        <w:spacing w:line="600" w:lineRule="exact"/>
        <w:jc w:val="center"/>
        <w:rPr>
          <w:rFonts w:ascii="黑体" w:hAnsi="黑体" w:eastAsia="黑体" w:cs="微软雅黑"/>
          <w:color w:val="000000" w:themeColor="text1"/>
          <w:sz w:val="32"/>
          <w:szCs w:val="32"/>
        </w:rPr>
      </w:pPr>
      <w:r>
        <w:rPr>
          <w:rFonts w:hint="eastAsia" w:ascii="黑体" w:hAnsi="黑体" w:eastAsia="黑体" w:cs="微软雅黑"/>
          <w:color w:val="000000" w:themeColor="text1"/>
          <w:sz w:val="32"/>
          <w:szCs w:val="32"/>
        </w:rPr>
        <w:t>第</w:t>
      </w:r>
      <w:r>
        <w:rPr>
          <w:rFonts w:hint="eastAsia" w:ascii="黑体" w:hAnsi="黑体" w:eastAsia="黑体" w:cs="微软雅黑"/>
          <w:color w:val="000000" w:themeColor="text1"/>
          <w:sz w:val="32"/>
          <w:szCs w:val="32"/>
          <w:lang w:eastAsia="zh-CN"/>
        </w:rPr>
        <w:t>八</w:t>
      </w:r>
      <w:r>
        <w:rPr>
          <w:rFonts w:hint="eastAsia" w:ascii="黑体" w:hAnsi="黑体" w:eastAsia="黑体" w:cs="微软雅黑"/>
          <w:color w:val="000000" w:themeColor="text1"/>
          <w:sz w:val="32"/>
          <w:szCs w:val="32"/>
        </w:rPr>
        <w:t>章  附则</w:t>
      </w:r>
    </w:p>
    <w:p>
      <w:pPr>
        <w:pStyle w:val="2"/>
        <w:widowControl/>
        <w:spacing w:line="600" w:lineRule="exact"/>
        <w:jc w:val="center"/>
        <w:rPr>
          <w:rFonts w:ascii="黑体" w:hAnsi="黑体" w:eastAsia="黑体" w:cs="微软雅黑"/>
          <w:color w:val="000000" w:themeColor="text1"/>
          <w:sz w:val="32"/>
          <w:szCs w:val="32"/>
        </w:rPr>
      </w:pPr>
    </w:p>
    <w:p>
      <w:pPr>
        <w:pStyle w:val="2"/>
        <w:widowControl/>
        <w:spacing w:line="600" w:lineRule="exact"/>
        <w:ind w:firstLine="640" w:firstLineChars="200"/>
        <w:rPr>
          <w:rFonts w:hint="eastAsia" w:eastAsia="仿宋_GB2312"/>
          <w:color w:val="000000" w:themeColor="text1"/>
          <w:lang w:val="en-US" w:eastAsia="zh-CN"/>
        </w:rPr>
      </w:pPr>
      <w:r>
        <w:rPr>
          <w:rFonts w:hint="eastAsia" w:ascii="仿宋_GB2312" w:hAnsi="微软雅黑" w:eastAsia="仿宋_GB2312" w:cs="微软雅黑"/>
          <w:color w:val="000000" w:themeColor="text1"/>
          <w:sz w:val="32"/>
          <w:szCs w:val="32"/>
        </w:rPr>
        <w:t>第二十</w:t>
      </w:r>
      <w:r>
        <w:rPr>
          <w:rFonts w:hint="eastAsia" w:ascii="仿宋_GB2312" w:hAnsi="微软雅黑" w:eastAsia="仿宋_GB2312" w:cs="微软雅黑"/>
          <w:color w:val="000000" w:themeColor="text1"/>
          <w:sz w:val="32"/>
          <w:szCs w:val="32"/>
          <w:lang w:eastAsia="zh-CN"/>
        </w:rPr>
        <w:t>二</w:t>
      </w:r>
      <w:r>
        <w:rPr>
          <w:rFonts w:hint="eastAsia" w:ascii="仿宋_GB2312" w:hAnsi="微软雅黑" w:eastAsia="仿宋_GB2312" w:cs="微软雅黑"/>
          <w:color w:val="000000" w:themeColor="text1"/>
          <w:sz w:val="32"/>
          <w:szCs w:val="32"/>
        </w:rPr>
        <w:t>条  本</w:t>
      </w:r>
      <w:r>
        <w:rPr>
          <w:rFonts w:hint="eastAsia" w:ascii="仿宋_GB2312" w:hAnsi="微软雅黑" w:eastAsia="仿宋_GB2312" w:cs="微软雅黑"/>
          <w:color w:val="000000" w:themeColor="text1"/>
          <w:sz w:val="32"/>
          <w:szCs w:val="32"/>
          <w:lang w:eastAsia="zh-CN"/>
        </w:rPr>
        <w:t>细则</w:t>
      </w:r>
      <w:r>
        <w:rPr>
          <w:rFonts w:hint="eastAsia" w:ascii="仿宋_GB2312" w:hAnsi="微软雅黑" w:eastAsia="仿宋_GB2312" w:cs="微软雅黑"/>
          <w:color w:val="000000" w:themeColor="text1"/>
          <w:sz w:val="32"/>
          <w:szCs w:val="32"/>
        </w:rPr>
        <w:t>自</w:t>
      </w:r>
      <w:r>
        <w:rPr>
          <w:rFonts w:hint="eastAsia" w:ascii="仿宋_GB2312" w:hAnsi="微软雅黑" w:eastAsia="仿宋_GB2312" w:cs="微软雅黑"/>
          <w:color w:val="000000" w:themeColor="text1"/>
          <w:sz w:val="32"/>
          <w:szCs w:val="32"/>
          <w:lang w:val="en-US" w:eastAsia="zh-CN"/>
        </w:rPr>
        <w:t>2021</w:t>
      </w:r>
      <w:r>
        <w:rPr>
          <w:rFonts w:hint="eastAsia" w:ascii="仿宋_GB2312" w:hAnsi="微软雅黑" w:eastAsia="仿宋_GB2312" w:cs="微软雅黑"/>
          <w:color w:val="000000" w:themeColor="text1"/>
          <w:sz w:val="32"/>
          <w:szCs w:val="32"/>
        </w:rPr>
        <w:t>年</w:t>
      </w:r>
      <w:r>
        <w:rPr>
          <w:rFonts w:hint="eastAsia" w:ascii="仿宋_GB2312" w:hAnsi="微软雅黑" w:eastAsia="仿宋_GB2312" w:cs="微软雅黑"/>
          <w:color w:val="000000" w:themeColor="text1"/>
          <w:sz w:val="32"/>
          <w:szCs w:val="32"/>
          <w:lang w:val="en-US" w:eastAsia="zh-CN"/>
        </w:rPr>
        <w:t>8</w:t>
      </w:r>
      <w:r>
        <w:rPr>
          <w:rFonts w:hint="eastAsia" w:ascii="仿宋_GB2312" w:hAnsi="微软雅黑" w:eastAsia="仿宋_GB2312" w:cs="微软雅黑"/>
          <w:color w:val="000000" w:themeColor="text1"/>
          <w:sz w:val="32"/>
          <w:szCs w:val="32"/>
        </w:rPr>
        <w:t>月</w:t>
      </w:r>
      <w:r>
        <w:rPr>
          <w:rFonts w:hint="eastAsia" w:ascii="仿宋_GB2312" w:hAnsi="微软雅黑" w:eastAsia="仿宋_GB2312" w:cs="微软雅黑"/>
          <w:color w:val="000000" w:themeColor="text1"/>
          <w:sz w:val="32"/>
          <w:szCs w:val="32"/>
          <w:lang w:val="en-US" w:eastAsia="zh-CN"/>
        </w:rPr>
        <w:t>1</w:t>
      </w:r>
      <w:r>
        <w:rPr>
          <w:rFonts w:hint="eastAsia" w:ascii="仿宋_GB2312" w:hAnsi="微软雅黑" w:eastAsia="仿宋_GB2312" w:cs="微软雅黑"/>
          <w:color w:val="000000" w:themeColor="text1"/>
          <w:sz w:val="32"/>
          <w:szCs w:val="32"/>
        </w:rPr>
        <w:t>日起试行两年。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7FA333"/>
    <w:rsid w:val="0006234A"/>
    <w:rsid w:val="00076B68"/>
    <w:rsid w:val="000A34FA"/>
    <w:rsid w:val="000B22A9"/>
    <w:rsid w:val="00114DCF"/>
    <w:rsid w:val="001F0998"/>
    <w:rsid w:val="002D2A7C"/>
    <w:rsid w:val="003450DC"/>
    <w:rsid w:val="00380BC8"/>
    <w:rsid w:val="00500DFF"/>
    <w:rsid w:val="006A606D"/>
    <w:rsid w:val="006E739E"/>
    <w:rsid w:val="006E7AEE"/>
    <w:rsid w:val="0071049A"/>
    <w:rsid w:val="007B195E"/>
    <w:rsid w:val="007B37B4"/>
    <w:rsid w:val="007C31ED"/>
    <w:rsid w:val="0083065E"/>
    <w:rsid w:val="008414B1"/>
    <w:rsid w:val="00975497"/>
    <w:rsid w:val="00A81CF2"/>
    <w:rsid w:val="00B00D9D"/>
    <w:rsid w:val="00B60F6C"/>
    <w:rsid w:val="00B810ED"/>
    <w:rsid w:val="00BC22F1"/>
    <w:rsid w:val="00BD5579"/>
    <w:rsid w:val="00BE7864"/>
    <w:rsid w:val="00C1200E"/>
    <w:rsid w:val="00C30F12"/>
    <w:rsid w:val="00C968EE"/>
    <w:rsid w:val="00CC72A6"/>
    <w:rsid w:val="00E26BA9"/>
    <w:rsid w:val="00EB328D"/>
    <w:rsid w:val="00F020E9"/>
    <w:rsid w:val="00F55F18"/>
    <w:rsid w:val="00F72D68"/>
    <w:rsid w:val="00F8779C"/>
    <w:rsid w:val="02C516C2"/>
    <w:rsid w:val="05695692"/>
    <w:rsid w:val="05903F7D"/>
    <w:rsid w:val="066D10C4"/>
    <w:rsid w:val="06B4331B"/>
    <w:rsid w:val="08E72624"/>
    <w:rsid w:val="09747601"/>
    <w:rsid w:val="0F4445D2"/>
    <w:rsid w:val="106E723E"/>
    <w:rsid w:val="108D4358"/>
    <w:rsid w:val="136D60FE"/>
    <w:rsid w:val="13751D87"/>
    <w:rsid w:val="14CD50E4"/>
    <w:rsid w:val="18885F3E"/>
    <w:rsid w:val="19196660"/>
    <w:rsid w:val="1E1101F7"/>
    <w:rsid w:val="1F910584"/>
    <w:rsid w:val="203E64B7"/>
    <w:rsid w:val="22BC693C"/>
    <w:rsid w:val="234C6E27"/>
    <w:rsid w:val="271A1650"/>
    <w:rsid w:val="2B5F39EB"/>
    <w:rsid w:val="33792356"/>
    <w:rsid w:val="391E574C"/>
    <w:rsid w:val="3966185C"/>
    <w:rsid w:val="3E476423"/>
    <w:rsid w:val="3EDA4665"/>
    <w:rsid w:val="46BF6AAE"/>
    <w:rsid w:val="471274E7"/>
    <w:rsid w:val="47E905A8"/>
    <w:rsid w:val="4A30238B"/>
    <w:rsid w:val="4BEF2944"/>
    <w:rsid w:val="4C6611CF"/>
    <w:rsid w:val="4FAF84FC"/>
    <w:rsid w:val="50920BF5"/>
    <w:rsid w:val="57295925"/>
    <w:rsid w:val="57B74486"/>
    <w:rsid w:val="5B3BF858"/>
    <w:rsid w:val="626B45F3"/>
    <w:rsid w:val="694A6669"/>
    <w:rsid w:val="6D882216"/>
    <w:rsid w:val="6FEA4063"/>
    <w:rsid w:val="700A1729"/>
    <w:rsid w:val="70D95425"/>
    <w:rsid w:val="72E346D4"/>
    <w:rsid w:val="73E87893"/>
    <w:rsid w:val="75753710"/>
    <w:rsid w:val="75AC5C0A"/>
    <w:rsid w:val="79FF5D90"/>
    <w:rsid w:val="7C43574D"/>
    <w:rsid w:val="7C65403C"/>
    <w:rsid w:val="7FFB38C9"/>
    <w:rsid w:val="B5EBDD7A"/>
    <w:rsid w:val="BEF3FE3D"/>
    <w:rsid w:val="BFF302D9"/>
    <w:rsid w:val="CFFF1FD8"/>
    <w:rsid w:val="DD7FA333"/>
    <w:rsid w:val="DFF1DAC8"/>
    <w:rsid w:val="EFF1D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486</Words>
  <Characters>2773</Characters>
  <Lines>23</Lines>
  <Paragraphs>6</Paragraphs>
  <TotalTime>13</TotalTime>
  <ScaleCrop>false</ScaleCrop>
  <LinksUpToDate>false</LinksUpToDate>
  <CharactersWithSpaces>3253</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2021-05-17T03:24:00Z</dcterms:created>
  <dc:creator>xjkp</dc:creator>
  <cp:lastModifiedBy>西子</cp:lastModifiedBy>
  <cp:lastPrinted>2021-07-23T08:15:00Z</cp:lastPrinted>
  <dcterms:modified xsi:type="dcterms:W3CDTF">2021-11-22T09:18:45Z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499EDEA97CCD475FB7666E6F71C78125</vt:lpwstr>
  </property>
</Properties>
</file>