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hint="eastAsia"/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84"/>
          <w:szCs w:val="84"/>
        </w:rPr>
      </w:pPr>
    </w:p>
    <w:p>
      <w:pPr>
        <w:pStyle w:val="10"/>
        <w:jc w:val="center"/>
        <w:rPr>
          <w:color w:val="auto"/>
          <w:sz w:val="84"/>
          <w:szCs w:val="84"/>
        </w:rPr>
      </w:pPr>
    </w:p>
    <w:p>
      <w:pPr>
        <w:pStyle w:val="10"/>
        <w:jc w:val="center"/>
        <w:rPr>
          <w:color w:val="auto"/>
          <w:sz w:val="84"/>
          <w:szCs w:val="84"/>
        </w:rPr>
      </w:pPr>
      <w:r>
        <w:rPr>
          <w:rFonts w:hint="eastAsia"/>
          <w:color w:val="auto"/>
          <w:sz w:val="84"/>
          <w:szCs w:val="84"/>
        </w:rPr>
        <w:t>2021年度</w:t>
      </w:r>
    </w:p>
    <w:p>
      <w:pPr>
        <w:pStyle w:val="10"/>
        <w:jc w:val="center"/>
        <w:rPr>
          <w:rFonts w:hint="eastAsia"/>
          <w:color w:val="auto"/>
          <w:sz w:val="84"/>
          <w:szCs w:val="84"/>
          <w:lang w:val="en-US" w:eastAsia="zh-CN"/>
        </w:rPr>
      </w:pPr>
      <w:r>
        <w:rPr>
          <w:rFonts w:hint="eastAsia"/>
          <w:color w:val="auto"/>
          <w:sz w:val="84"/>
          <w:szCs w:val="84"/>
          <w:lang w:val="en-US" w:eastAsia="zh-CN"/>
        </w:rPr>
        <w:t>岳阳市住房保障服务中心</w:t>
      </w:r>
    </w:p>
    <w:p>
      <w:pPr>
        <w:pStyle w:val="10"/>
        <w:jc w:val="center"/>
        <w:rPr>
          <w:color w:val="auto"/>
          <w:sz w:val="84"/>
          <w:szCs w:val="84"/>
        </w:rPr>
      </w:pPr>
      <w:r>
        <w:rPr>
          <w:rFonts w:hint="eastAsia"/>
          <w:color w:val="auto"/>
          <w:sz w:val="84"/>
          <w:szCs w:val="84"/>
        </w:rPr>
        <w:t>部门决算</w:t>
      </w:r>
    </w:p>
    <w:p>
      <w:pPr>
        <w:pStyle w:val="10"/>
        <w:jc w:val="center"/>
        <w:rPr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56"/>
          <w:szCs w:val="56"/>
        </w:rPr>
      </w:pPr>
    </w:p>
    <w:p>
      <w:pPr>
        <w:pStyle w:val="10"/>
        <w:jc w:val="center"/>
        <w:rPr>
          <w:color w:val="auto"/>
          <w:sz w:val="32"/>
          <w:szCs w:val="32"/>
        </w:rPr>
      </w:pPr>
    </w:p>
    <w:p>
      <w:pPr>
        <w:pStyle w:val="10"/>
        <w:jc w:val="center"/>
        <w:rPr>
          <w:color w:val="auto"/>
          <w:sz w:val="32"/>
          <w:szCs w:val="32"/>
        </w:rPr>
      </w:pPr>
    </w:p>
    <w:p>
      <w:pPr>
        <w:pStyle w:val="10"/>
        <w:jc w:val="center"/>
        <w:rPr>
          <w:color w:val="auto"/>
          <w:sz w:val="32"/>
          <w:szCs w:val="32"/>
        </w:rPr>
      </w:pPr>
    </w:p>
    <w:p>
      <w:pPr>
        <w:pStyle w:val="10"/>
        <w:jc w:val="center"/>
        <w:rPr>
          <w:color w:val="auto"/>
          <w:sz w:val="32"/>
          <w:szCs w:val="32"/>
        </w:rPr>
      </w:pPr>
    </w:p>
    <w:p>
      <w:pPr>
        <w:pStyle w:val="10"/>
        <w:spacing w:line="500" w:lineRule="exact"/>
        <w:jc w:val="both"/>
        <w:rPr>
          <w:b/>
          <w:color w:val="auto"/>
          <w:sz w:val="36"/>
          <w:szCs w:val="28"/>
        </w:rPr>
      </w:pPr>
    </w:p>
    <w:p>
      <w:pPr>
        <w:pStyle w:val="10"/>
        <w:spacing w:line="500" w:lineRule="exact"/>
        <w:jc w:val="center"/>
        <w:rPr>
          <w:b/>
          <w:color w:val="auto"/>
          <w:sz w:val="36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color w:val="auto"/>
          <w:sz w:val="36"/>
          <w:szCs w:val="28"/>
        </w:rPr>
      </w:pPr>
      <w:r>
        <w:rPr>
          <w:rFonts w:hint="eastAsia"/>
          <w:b/>
          <w:color w:val="auto"/>
          <w:sz w:val="36"/>
          <w:szCs w:val="28"/>
        </w:rPr>
        <w:t>目录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第一部分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岳阳市住房保障服务中心</w:t>
      </w:r>
      <w:r>
        <w:rPr>
          <w:rFonts w:hint="eastAsia"/>
          <w:b/>
          <w:color w:val="auto"/>
          <w:sz w:val="28"/>
          <w:szCs w:val="28"/>
        </w:rPr>
        <w:t>单位概况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一、部门职责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二、机构设置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color w:val="auto"/>
          <w:sz w:val="28"/>
          <w:szCs w:val="28"/>
        </w:rPr>
      </w:pPr>
      <w:r>
        <w:rPr>
          <w:rFonts w:hint="eastAsia" w:hAnsi="仿宋_GB2312"/>
          <w:b/>
          <w:color w:val="auto"/>
          <w:sz w:val="28"/>
          <w:szCs w:val="28"/>
        </w:rPr>
        <w:t>第二部分</w:t>
      </w:r>
      <w:r>
        <w:rPr>
          <w:rFonts w:hint="eastAsia" w:hAnsi="仿宋_GB2312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color w:val="auto"/>
          <w:sz w:val="28"/>
          <w:szCs w:val="28"/>
        </w:rPr>
        <w:t>20</w:t>
      </w:r>
      <w:r>
        <w:rPr>
          <w:rFonts w:hint="eastAsia" w:hAnsi="仿宋_GB2312"/>
          <w:b/>
          <w:color w:val="auto"/>
          <w:sz w:val="28"/>
          <w:szCs w:val="28"/>
        </w:rPr>
        <w:t>21年度部门决算表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一、收入支出决算总表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二、收入决算表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三、支出决算表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四、财政拨款收入支出决算总表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五、一般公共预算财政拨款支出决算表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color w:val="auto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七、一般公共预算财政拨款“三公”经费支出决算表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八、政府性基金预算财政拨款收入支出决算表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color w:val="auto"/>
          <w:sz w:val="28"/>
          <w:szCs w:val="28"/>
        </w:rPr>
        <w:t>九、国有资本经营预算财政拨款支出决算表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color w:val="auto"/>
          <w:sz w:val="28"/>
          <w:szCs w:val="28"/>
        </w:rPr>
      </w:pPr>
      <w:r>
        <w:rPr>
          <w:rFonts w:hint="eastAsia" w:hAnsi="仿宋_GB2312"/>
          <w:b/>
          <w:color w:val="auto"/>
          <w:sz w:val="28"/>
          <w:szCs w:val="28"/>
        </w:rPr>
        <w:t>第三部分</w:t>
      </w:r>
      <w:r>
        <w:rPr>
          <w:rFonts w:hint="eastAsia" w:hAnsi="仿宋_GB2312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color w:val="auto"/>
          <w:sz w:val="28"/>
          <w:szCs w:val="28"/>
        </w:rPr>
        <w:t>20</w:t>
      </w:r>
      <w:r>
        <w:rPr>
          <w:rFonts w:hint="eastAsia" w:hAnsi="仿宋_GB2312"/>
          <w:b/>
          <w:color w:val="auto"/>
          <w:sz w:val="28"/>
          <w:szCs w:val="28"/>
        </w:rPr>
        <w:t>21年度部门决算情况说明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color w:val="auto"/>
          <w:sz w:val="28"/>
          <w:szCs w:val="28"/>
        </w:rPr>
      </w:pPr>
      <w:r>
        <w:rPr>
          <w:rFonts w:cs="仿宋_GB2312" w:asciiTheme="minorEastAsia" w:hAnsiTheme="minorEastAsia" w:eastAsiaTheme="minorEastAsia"/>
          <w:color w:val="auto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sz w:val="28"/>
          <w:szCs w:val="28"/>
        </w:rPr>
      </w:pPr>
      <w:r>
        <w:rPr>
          <w:rFonts w:ascii="仿宋_GB2312" w:hAnsi="仿宋_GB2312" w:cs="仿宋_GB2312"/>
          <w:color w:val="auto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cs="仿宋_GB2312"/>
          <w:color w:val="auto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cs="仿宋_GB2312"/>
          <w:color w:val="auto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cs="仿宋_GB2312"/>
          <w:color w:val="auto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cs="仿宋_GB2312"/>
          <w:color w:val="auto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cs="仿宋_GB2312"/>
          <w:color w:val="auto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auto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auto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color w:val="auto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color w:val="auto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color w:val="auto"/>
          <w:sz w:val="28"/>
          <w:szCs w:val="28"/>
        </w:rPr>
      </w:pPr>
      <w:r>
        <w:rPr>
          <w:rFonts w:hint="eastAsia" w:ascii="仿宋_GB2312" w:hAnsi="仿宋_GB2312" w:cs="仿宋_GB2312" w:eastAsiaTheme="minorEastAsia"/>
          <w:color w:val="auto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</w:rPr>
        <w:t>政府采购支出说明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color w:val="auto"/>
          <w:sz w:val="28"/>
          <w:szCs w:val="28"/>
        </w:rPr>
      </w:pPr>
      <w:r>
        <w:rPr>
          <w:rFonts w:hint="eastAsia" w:ascii="仿宋_GB2312" w:hAnsi="仿宋_GB2312" w:cs="仿宋_GB2312" w:eastAsiaTheme="minorEastAsia"/>
          <w:color w:val="auto"/>
          <w:sz w:val="28"/>
          <w:szCs w:val="28"/>
        </w:rPr>
        <w:t>十三、国有资产占用情况说明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color w:val="auto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color w:val="auto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color w:val="auto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auto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auto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auto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84"/>
          <w:szCs w:val="84"/>
        </w:rPr>
      </w:pPr>
      <w:r>
        <w:rPr>
          <w:rFonts w:hint="eastAsia"/>
          <w:color w:val="auto"/>
          <w:sz w:val="84"/>
          <w:szCs w:val="84"/>
        </w:rPr>
        <w:t>第一部分</w:t>
      </w:r>
      <w:r>
        <w:rPr>
          <w:color w:val="auto"/>
          <w:sz w:val="84"/>
          <w:szCs w:val="84"/>
        </w:rPr>
        <w:t xml:space="preserve"> </w:t>
      </w:r>
    </w:p>
    <w:p>
      <w:pPr>
        <w:pStyle w:val="10"/>
        <w:jc w:val="center"/>
        <w:rPr>
          <w:color w:val="auto"/>
          <w:sz w:val="84"/>
          <w:szCs w:val="84"/>
        </w:rPr>
      </w:pPr>
    </w:p>
    <w:p>
      <w:pPr>
        <w:pStyle w:val="10"/>
        <w:jc w:val="center"/>
        <w:rPr>
          <w:rFonts w:hint="eastAsia"/>
          <w:color w:val="auto"/>
          <w:sz w:val="84"/>
          <w:szCs w:val="84"/>
          <w:lang w:val="en-US" w:eastAsia="zh-CN"/>
        </w:rPr>
      </w:pPr>
      <w:r>
        <w:rPr>
          <w:rFonts w:hint="eastAsia"/>
          <w:color w:val="auto"/>
          <w:sz w:val="84"/>
          <w:szCs w:val="84"/>
          <w:lang w:val="en-US" w:eastAsia="zh-CN"/>
        </w:rPr>
        <w:t>岳阳市住房保障服务中心</w:t>
      </w:r>
    </w:p>
    <w:p>
      <w:pPr>
        <w:pStyle w:val="10"/>
        <w:jc w:val="center"/>
        <w:rPr>
          <w:color w:val="auto"/>
          <w:sz w:val="84"/>
          <w:szCs w:val="84"/>
        </w:rPr>
      </w:pPr>
      <w:r>
        <w:rPr>
          <w:rFonts w:hint="eastAsia"/>
          <w:color w:val="auto"/>
          <w:sz w:val="84"/>
          <w:szCs w:val="84"/>
        </w:rPr>
        <w:t>单位概况</w:t>
      </w: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pStyle w:val="11"/>
        <w:ind w:left="0" w:leftChars="0" w:firstLine="0" w:firstLineChars="0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76" w:lineRule="exact"/>
        <w:ind w:firstLineChars="0"/>
        <w:jc w:val="left"/>
        <w:textAlignment w:val="auto"/>
        <w:rPr>
          <w:rFonts w:ascii="黑体" w:hAnsi="黑体" w:eastAsia="黑体"/>
          <w:snapToGrid w:val="0"/>
          <w:color w:val="auto"/>
          <w:sz w:val="32"/>
          <w:szCs w:val="32"/>
        </w:rPr>
      </w:pPr>
      <w:r>
        <w:rPr>
          <w:rFonts w:ascii="黑体" w:hAnsi="黑体" w:eastAsia="黑体"/>
          <w:snapToGrid w:val="0"/>
          <w:color w:val="auto"/>
          <w:sz w:val="32"/>
          <w:szCs w:val="32"/>
        </w:rPr>
        <w:t>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firstLine="800" w:firstLineChars="250"/>
        <w:jc w:val="left"/>
        <w:textAlignment w:val="auto"/>
        <w:rPr>
          <w:rFonts w:asciiTheme="minorEastAsia" w:hAnsiTheme="minorEastAsia"/>
          <w:snapToGrid w:val="0"/>
          <w:color w:val="auto"/>
          <w:sz w:val="32"/>
          <w:szCs w:val="32"/>
        </w:rPr>
      </w:pPr>
      <w:r>
        <w:rPr>
          <w:rFonts w:hint="eastAsia" w:asciiTheme="minorEastAsia" w:hAnsiTheme="minorEastAsia"/>
          <w:snapToGrid w:val="0"/>
          <w:color w:val="auto"/>
          <w:sz w:val="32"/>
          <w:szCs w:val="32"/>
        </w:rPr>
        <w:t>（一）</w:t>
      </w:r>
      <w:r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/>
        </w:rPr>
        <w:t>贯彻执行国家、省、市住房保障的法律、法规、规章和政策。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firstLine="800" w:firstLineChars="250"/>
        <w:jc w:val="left"/>
        <w:textAlignment w:val="auto"/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/>
        </w:rPr>
      </w:pPr>
      <w:r>
        <w:rPr>
          <w:rFonts w:hint="eastAsia" w:asciiTheme="minorEastAsia" w:hAnsiTheme="minorEastAsia"/>
          <w:snapToGrid w:val="0"/>
          <w:color w:val="auto"/>
          <w:sz w:val="32"/>
          <w:szCs w:val="32"/>
        </w:rPr>
        <w:t>（二）</w:t>
      </w:r>
      <w:r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/>
        </w:rPr>
        <w:t>参与拟订全市住房保障的地方性法规、规章、政策和发展战略。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left="638" w:leftChars="304" w:firstLine="160" w:firstLineChars="50"/>
        <w:jc w:val="left"/>
        <w:textAlignment w:val="auto"/>
        <w:rPr>
          <w:rFonts w:asciiTheme="minorEastAsia" w:hAnsiTheme="minorEastAsia"/>
          <w:snapToGrid w:val="0"/>
          <w:color w:val="auto"/>
          <w:sz w:val="32"/>
          <w:szCs w:val="32"/>
        </w:rPr>
      </w:pPr>
      <w:r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/>
        </w:rPr>
        <w:t>（</w:t>
      </w:r>
      <w:r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en-US" w:eastAsia="zh-CN"/>
        </w:rPr>
        <w:t>三）</w:t>
      </w:r>
      <w:r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/>
        </w:rPr>
        <w:t>按权限承担住房保障服务工作。指导县市区开展住房保障服务工作等。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6" w:lineRule="exact"/>
        <w:textAlignment w:val="auto"/>
        <w:rPr>
          <w:rFonts w:hint="eastAsia" w:ascii="黑体" w:hAnsi="黑体" w:eastAsia="黑体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auto"/>
          <w:kern w:val="0"/>
          <w:sz w:val="32"/>
          <w:szCs w:val="32"/>
        </w:rPr>
        <w:t>二、机构设置及决算单位构成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6" w:lineRule="exact"/>
        <w:textAlignment w:val="auto"/>
        <w:rPr>
          <w:rFonts w:hint="eastAsia" w:ascii="黑体" w:hAnsi="黑体" w:eastAsia="黑体"/>
          <w:bCs/>
          <w:snapToGrid w:val="0"/>
          <w:color w:val="auto"/>
          <w:ker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rPr>
          <w:rFonts w:hint="eastAsia" w:asciiTheme="minorEastAsia" w:hAnsiTheme="minorEastAsia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snapToGrid w:val="0"/>
          <w:color w:val="auto"/>
          <w:kern w:val="0"/>
          <w:sz w:val="32"/>
          <w:szCs w:val="32"/>
        </w:rPr>
        <w:t>（一）内设机构设置。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岳阳市住房保障服务中心</w:t>
      </w:r>
      <w:r>
        <w:rPr>
          <w:rFonts w:hint="eastAsia" w:asciiTheme="minorEastAsia" w:hAnsiTheme="minorEastAsia"/>
          <w:bCs/>
          <w:snapToGrid w:val="0"/>
          <w:color w:val="auto"/>
          <w:kern w:val="0"/>
          <w:sz w:val="32"/>
          <w:szCs w:val="32"/>
        </w:rPr>
        <w:t>单位内设机构包括：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编委核定，我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内设科室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个，所属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正科级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个。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内设科室分别是办公室、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住房保障服务科、公租房服务科、直管公房服务科、配售房服务科、房屋服务科、工程科、人事科、信息档案科、计财审计科、信访科共11个科室。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所属事业单位分别是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市住房保障服务中心岳阳楼区分中心、市住房保障服务中心经开区分中心、市住房保障服务中心南湖新区分中心、市住房保障服务中心城陵矶新港区分中心、市公共租赁房屋运营服务中心、市直管公房运营服务中心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jc w:val="left"/>
        <w:textAlignment w:val="auto"/>
        <w:rPr>
          <w:rFonts w:hint="eastAsia" w:ascii="仿宋" w:hAnsi="Times New Roman" w:eastAsia="仿宋" w:cs="仿宋"/>
          <w:snapToGrid w:val="0"/>
          <w:color w:val="auto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</w:rPr>
        <w:t>决算单位构成。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岳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"/>
        </w:rPr>
        <w:t>阳市住房保障服务中心2021年部门决算汇总公开单位构成包括：岳阳市住房保障服务中心本级（我中心无二级预算单位，因此，纳入2021年部门决算编制范围的为岳阳市住房保障服务中心单位本级）</w:t>
      </w:r>
    </w:p>
    <w:p>
      <w:pPr>
        <w:jc w:val="center"/>
        <w:rPr>
          <w:rFonts w:ascii="黑体" w:hAnsi="黑体" w:eastAsia="黑体"/>
          <w:color w:val="auto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auto"/>
          <w:sz w:val="28"/>
          <w:szCs w:val="28"/>
        </w:rPr>
      </w:pPr>
    </w:p>
    <w:p>
      <w:pPr>
        <w:jc w:val="both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72"/>
          <w:szCs w:val="72"/>
        </w:rPr>
      </w:pPr>
      <w:r>
        <w:rPr>
          <w:rFonts w:hint="eastAsia" w:ascii="黑体" w:hAnsi="黑体" w:eastAsia="黑体" w:cs="黑体"/>
          <w:color w:val="auto"/>
          <w:sz w:val="72"/>
          <w:szCs w:val="72"/>
        </w:rPr>
        <w:t>第二部分</w:t>
      </w:r>
    </w:p>
    <w:p>
      <w:pPr>
        <w:jc w:val="center"/>
        <w:rPr>
          <w:rFonts w:hint="eastAsia" w:ascii="黑体" w:hAnsi="黑体" w:eastAsia="黑体" w:cs="黑体"/>
          <w:color w:val="auto"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72"/>
          <w:szCs w:val="72"/>
        </w:rPr>
      </w:pPr>
      <w:r>
        <w:rPr>
          <w:rFonts w:hint="eastAsia" w:ascii="黑体" w:hAnsi="黑体" w:eastAsia="黑体" w:cs="黑体"/>
          <w:color w:val="auto"/>
          <w:sz w:val="72"/>
          <w:szCs w:val="72"/>
        </w:rPr>
        <w:t>部门决算表</w:t>
      </w:r>
    </w:p>
    <w:p>
      <w:pPr>
        <w:jc w:val="center"/>
        <w:rPr>
          <w:rFonts w:hint="eastAsia" w:ascii="黑体" w:hAnsi="黑体" w:eastAsia="黑体" w:cs="黑体"/>
          <w:color w:val="auto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color w:val="auto"/>
          <w:sz w:val="72"/>
          <w:szCs w:val="72"/>
          <w:lang w:eastAsia="zh-CN"/>
        </w:rPr>
        <w:t>（见附件）</w:t>
      </w: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center"/>
        <w:rPr>
          <w:color w:val="auto"/>
          <w:sz w:val="72"/>
          <w:szCs w:val="72"/>
        </w:rPr>
      </w:pPr>
    </w:p>
    <w:p>
      <w:pPr>
        <w:jc w:val="left"/>
        <w:rPr>
          <w:rFonts w:asciiTheme="minorEastAsia" w:hAnsiTheme="minorEastAsia"/>
          <w:color w:val="auto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0"/>
        <w:jc w:val="both"/>
        <w:rPr>
          <w:color w:val="auto"/>
          <w:sz w:val="72"/>
          <w:szCs w:val="72"/>
        </w:rPr>
      </w:pPr>
    </w:p>
    <w:p>
      <w:pPr>
        <w:pStyle w:val="10"/>
        <w:jc w:val="both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pStyle w:val="10"/>
        <w:jc w:val="both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pStyle w:val="10"/>
        <w:jc w:val="both"/>
        <w:rPr>
          <w:rFonts w:hint="eastAsia" w:eastAsia="黑体"/>
          <w:color w:val="auto"/>
          <w:sz w:val="72"/>
          <w:szCs w:val="72"/>
          <w:lang w:eastAsia="zh-CN"/>
        </w:rPr>
      </w:pPr>
    </w:p>
    <w:p>
      <w:pPr>
        <w:pStyle w:val="10"/>
        <w:jc w:val="center"/>
        <w:rPr>
          <w:color w:val="auto"/>
          <w:sz w:val="72"/>
          <w:szCs w:val="72"/>
        </w:rPr>
      </w:pPr>
      <w:r>
        <w:rPr>
          <w:rFonts w:hint="eastAsia"/>
          <w:color w:val="auto"/>
          <w:sz w:val="72"/>
          <w:szCs w:val="72"/>
        </w:rPr>
        <w:t>第三部分</w:t>
      </w:r>
    </w:p>
    <w:p>
      <w:pPr>
        <w:pStyle w:val="10"/>
        <w:jc w:val="center"/>
        <w:rPr>
          <w:color w:val="auto"/>
          <w:sz w:val="70"/>
          <w:szCs w:val="70"/>
        </w:rPr>
      </w:pPr>
    </w:p>
    <w:p>
      <w:pPr>
        <w:pStyle w:val="10"/>
        <w:jc w:val="center"/>
        <w:rPr>
          <w:color w:val="auto"/>
          <w:sz w:val="70"/>
          <w:szCs w:val="70"/>
        </w:rPr>
      </w:pPr>
      <w:r>
        <w:rPr>
          <w:color w:val="auto"/>
          <w:sz w:val="70"/>
          <w:szCs w:val="70"/>
        </w:rPr>
        <w:t>20</w:t>
      </w:r>
      <w:r>
        <w:rPr>
          <w:rFonts w:hint="eastAsia"/>
          <w:color w:val="auto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auto"/>
          <w:kern w:val="0"/>
          <w:sz w:val="70"/>
          <w:szCs w:val="70"/>
        </w:rPr>
      </w:pPr>
      <w:r>
        <w:rPr>
          <w:color w:val="auto"/>
          <w:sz w:val="70"/>
          <w:szCs w:val="70"/>
        </w:rPr>
        <w:br w:type="page"/>
      </w:r>
    </w:p>
    <w:p>
      <w:pPr>
        <w:pStyle w:val="10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一、收入支出决算总体情况说明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2021年度收、支总计12852.31万元。与上年相比，减少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22157.49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%，主要是因为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保障房建设资金减少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二、收入决算情况说明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2021年度收入合计6549.54万元，其中：财政拨款收入5986.52万元，占91.40%；上级补助收入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%；事业收入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%；经营收入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%；附属单位上缴收入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%；其他收入563.02万元，占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三、支出决算情况说明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2021年度支出合计12741.08万元，其中：基本支出3533.28万元，占27.73%；项目支出9207.8万元，占72.27%；上缴上级支出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%；经营支出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%；对附属单位补助支出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四、财政拨款收入支出决算总体情况说明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2021年度财政拨款收、支总计12289.29万元，与上年相比，减少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21890.91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万元,减少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64.05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%，主要是因为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保障房建设资金减少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五、一般公共预算财政拨款支出决算情况说明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（一）财政拨款支出决算总体情况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2021年度财政拨款支出12,289.29万元，占本年支出合计的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%，与上年相比，财政拨款支出减少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15588.11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55.92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%，主要是因为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保障房建设项目资金减少</w:t>
      </w:r>
    </w:p>
    <w:p>
      <w:pPr>
        <w:pStyle w:val="10"/>
        <w:ind w:firstLine="480" w:firstLineChars="15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（二）财政拨款支出决算结构情况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2021年度财政拨款支出12,289.29万元，主要用于以下方面：社会保障和就业支出71.44万元，占0.58%；卫生健康支出33.67万元，占0.27%;城乡社区支出1442.01万元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占11.73%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农林水支出259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占2.11%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;资源勘探工业信息等支出1180.4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占9.61%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;住房保障支出9109.8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占74.13%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;其他支出192.98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占1.57%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（三）财政拨款支出决算具体情况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2021年度财政拨款支出年初预算数为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2106.99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万元，支出决算数为12,289.29万元，完成年初预算的583.26%，其中：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1、社会保障和就业支出（类）行政事业单位养老支出（款）机关事业单位基本养老保险缴费支出（项）。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65.61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万元，支出决算为65.61万元，完成年初预算的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%，决算数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年初预算数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2、社会保障和就业支出（类）残疾人事业（款）其他残疾人事业支出（项）。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万元，支出决算为5.83万元，完成年初预算的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%，决算数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年初预算数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、卫生健康支出（类）行政事业单位医疗（款）  事业单位医疗（项）。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33.67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万元，支出决算为33.67万元，完成年初预算的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%，决算数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年初预算数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、城乡社区支出（类）城乡社区管理事务（款）其他城乡社区管理事务支出（项）。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年初预算为594.04万元，支出决算为594.04万元，完成年初预算的100%，决算数等于年初预算数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、城乡社区支出（类）城乡社区规划与管理（款）城乡社区规划与管理（项）。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年初预算为30万元，支出决算为30万元，完成年初预算的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%，决算数等于年初预算数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、城乡社区支出（类）其他城乡社区支出（款）  其他城乡社区支出（项）。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万元，支出决算为817.97万元，决算数大于年初预算数的主要原因是：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追加预算以及非税收入超收安排，用于支付养老保险缺口等人员开支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、农林水支出（类）其他农林水支出（款）其他农林水支出（项）。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万元，支出决算为259万元，决算数大于年初预算数的主要原因是：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非税收入超收安排，用于支付年终奖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、资源勘探工业信息等支出（类）建筑业（款）机关服务（项）。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1328.64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万元，支出决算为1180.4万元，完成年初预算的88.84%，决算数小于年初预算数的主要原因是：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预算调整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、住房保障支出（类）保障性安居工程支出（款）公共租赁住房（项）。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万元，支出决算为5099.8万元，决算数大于年初预算数的主要原因是：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保障房建设年初没有预算安排，按上级下达指标调整预算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、住房保障支出（类）保障性安居工程支出（款）其他保障性安居工程支出（项）。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万元，支出决算为4010万元，决算数大于年初预算数的主要原因是：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保障房建设年初没有预算安排，按上级下达指标调整预算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、其他支出（类）其他支出（款）其他支出（项）。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万元，支出决算为192.98万元，决算数大于年初预算数的主要原因是：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上年结余，用于其他商品和服务支出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六、一般公共预算财政拨款基本支出决算情况说明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2021年度财政拨款基本支出3179.49万元，其中：人员经费2103.73万元，占基本支出的66.17%%,主要包括主要包括基本工资、津贴补贴、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公用经费1,075.77万元，占基本支出的33.83%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七、一般公共预算财政拨款“三公”经费支出决算情况说明</w:t>
      </w:r>
    </w:p>
    <w:p>
      <w:pPr>
        <w:pStyle w:val="1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（一）“三公”经费财政拨款支出决算总体情况说明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2021年度“三公”经费财政拨款支出预算为9万元，支出决算为2.86万元，完成预算的31.78%，其中：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与上年相比减少（增加）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公务接待费支出预算为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万元，减少的主要原因是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加强管理，响应过苦日子政策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公务用车购置费支出预算为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万元，与上年相比减少（增加）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公务用车运行维护费支出预算为9万元，支出决算为2.86万元，完成预算的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31.78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%，决算数小于预算数的主要原因是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加强用车管理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厉行节约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（二）“三公”经费财政拨款支出决算具体情况说明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2021年度“三公”经费财政拨款支出决算中，公务接待费支出决算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%,因公出国（境）费支出决算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%,公务用车购置费及运行维护费支出决算2.86万元，占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%。其中：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1、因公出国（境）费支出决算为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万元，全年安排因公出国（境）团组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人次,</w:t>
      </w:r>
    </w:p>
    <w:p>
      <w:pPr>
        <w:pStyle w:val="1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2、公务接待费支出决算为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万元，全年共接待来访团组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个、来宾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3、公务用车购置费及运行维护费支出决算为2.86万元，其中：公务用车购置费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万元。公务用车运行维护费2.86万元，主要是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保险、维修、加油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支出，截止2021年12月31日，我单位开支财政拨款的公务用车保有量为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八、政府性基金预算收入支出决算情况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/>
          <w:color w:val="auto"/>
          <w:sz w:val="32"/>
          <w:szCs w:val="32"/>
        </w:rPr>
        <w:t>本单位无政府性基金收支</w:t>
      </w:r>
    </w:p>
    <w:p>
      <w:pPr>
        <w:pStyle w:val="10"/>
        <w:numPr>
          <w:ilvl w:val="0"/>
          <w:numId w:val="3"/>
        </w:numPr>
        <w:rPr>
          <w:rFonts w:hint="eastAsia" w:hAnsi="黑体"/>
          <w:b/>
          <w:color w:val="auto"/>
          <w:sz w:val="32"/>
          <w:szCs w:val="32"/>
          <w:lang w:eastAsia="zh-CN"/>
        </w:rPr>
      </w:pPr>
      <w:r>
        <w:rPr>
          <w:rFonts w:hint="eastAsia" w:hAnsi="黑体"/>
          <w:b/>
          <w:color w:val="auto"/>
          <w:sz w:val="32"/>
          <w:szCs w:val="32"/>
        </w:rPr>
        <w:t>国有资本经营预算财政拨款支出决算</w:t>
      </w:r>
      <w:r>
        <w:rPr>
          <w:rFonts w:hint="eastAsia" w:hAnsi="黑体"/>
          <w:b/>
          <w:color w:val="auto"/>
          <w:sz w:val="32"/>
          <w:szCs w:val="32"/>
          <w:lang w:eastAsia="zh-CN"/>
        </w:rPr>
        <w:t>情况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b/>
          <w:i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color w:val="auto"/>
          <w:sz w:val="32"/>
          <w:szCs w:val="32"/>
        </w:rPr>
        <w:t>本单位无国有资本经营预算财政拨款支出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十、机关运行经费支出说明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本部门2021年度机关运行经费支出1,075.77万元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比上年决算数减少729.53 万元，降低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加强管理，厉行节约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十一、一般性支出情况说明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2021年本部门开支会议费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万元；开支培训费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万元，用于开展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党中央政策、精神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培训，人数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为中心全体干部职工151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人，内容为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十九届五中全会精神宣讲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十二、政府采购支出说明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本部门2021年度政府采购支出总额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万元，其中：政府采购货物支出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万元、政府采购工程支出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万元、政府采购服务支出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万元。授予中小企业合同金额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万元，占政府采购支出总额的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%，其中：授予小微企业合同金额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万元，占授予中小企业合同金额的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%；货物采购授予中小企业合同金额占货物支出金额的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%，工程采购授予中小企业合同金额占工程支出金额的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%，服务采购授予中小企业合同金额占服务支出金额的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十三、国有资产占用情况说明</w:t>
      </w:r>
    </w:p>
    <w:p>
      <w:pPr>
        <w:pStyle w:val="1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截至2021年12月31日，部门（单位）共有车辆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辆，其中，主要领导干部用车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辆，机要通信用车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辆、应急保障用车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辆、执法执勤用车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辆、特种专业技术用车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辆、其他用车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辆，其他用车主要是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单位公务用车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；单位价值50万元以上通用设备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台（套）；单位价值100万元以上专用设备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台（套）。</w:t>
      </w:r>
    </w:p>
    <w:p>
      <w:pPr>
        <w:pStyle w:val="1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  <w:lang w:eastAsia="zh-CN"/>
        </w:rPr>
        <w:t>十四、</w:t>
      </w:r>
      <w:r>
        <w:rPr>
          <w:rFonts w:hint="eastAsia" w:hAnsi="黑体"/>
          <w:b/>
          <w:color w:val="auto"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（1）绩效管理评价工作开展情况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根据预算绩效管理要求，我部门组织对2021 年度一般公共预算项目支出全面开展绩效自评，其中，一级项目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个，二级项目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个，共涉及资金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12741.07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万元，占一般公共预算项目支出总额的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%。组织对2021年度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个政府性基金预算项目支出开展绩效自评，共涉及资金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万元，占政府性基金预算项目支出总额的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%。组织对2021 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个国有资本经营预算项目支出开展绩效自评，共涉及资金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万元，占国有资本经营预算项目支出总额的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组织对“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部门整体支出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非税执收成本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”等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个项目开展了部门评价，涉及一般公共预算支出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12741.07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万元，政府性基金预算支出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万元，国有资本经营预算支出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万元。从评价情况来看，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完成了公租房租金收缴，完成 了对磨子山、枫桥湖和斗蓬山拆迁，启动G240迁88户，完成棚户区改造370户，完成 了公租房管理维修，每个单位配备消防栓，组织公租房租赁补贴资格审查、发放，组织经济适用房补贴资格审查、发放，湘北雅园、洛王潘家、花果畈和东井岭公租房正在建设中。2021年圆满完成绩效目标。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中心机关1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个单位开展整体支出绩效评价，涉及一般公共预算支12741.07万元，政府性基金预算支出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完成了公租房租金收缴，完成 了对磨子山、枫桥湖和斗蓬山拆迁，启动G240迁88户，完成棚户区改造370户，完成 了公租房管理维修，每个单位配备消防栓，组织公租房租赁补贴资格审查、发放，组织经济适用房补贴资格审查、发放，湘北雅园、洛王潘家、花果畈和东井岭公租房正在建设中。2021年圆满完成绩效目标。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（2）部门决算中项目绩效自评结果。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非税执收成本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项目绩效自评综述：根据年初设定的绩效目标，项目绩效自评得分为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分。项目全年预算数为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1242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万元，执行数为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1242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%。项目绩效目标完成情况：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完成对所辖公租房的管理、维修维护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；。发现的主要问题及原因：一是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房源分散、管理难度大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房屋老旧、维修维护任务重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。下一步改进措施：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加快信息化建设，将房源信息、房屋状况及时更新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（3）部门评价项目绩效评价结果。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部门评价项目数量3个以内的，至少将1 个部门评价报告向社会公开；部门评价项目数量大于3 个的，至少将2 个部门评价报告向社会公开。报告框架可参考《项目支出绩效评价办法》（财预〔2020〕10 号）中《项目支出绩效评价报告（参考提纲）》、《湖南省预算支出绩效评价管理办法》（湘财绩〔2020〕7号）。</w:t>
      </w:r>
    </w:p>
    <w:p>
      <w:pPr>
        <w:pStyle w:val="10"/>
        <w:rPr>
          <w:rFonts w:hint="eastAsia" w:ascii="仿宋_GB2312" w:hAnsi="仿宋_GB2312" w:eastAsia="仿宋_GB2312" w:cs="仿宋_GB2312"/>
          <w:color w:val="auto"/>
          <w:sz w:val="72"/>
          <w:szCs w:val="72"/>
        </w:rPr>
      </w:pPr>
    </w:p>
    <w:p>
      <w:pPr>
        <w:pStyle w:val="10"/>
        <w:jc w:val="both"/>
        <w:rPr>
          <w:rFonts w:hint="eastAsia" w:ascii="仿宋_GB2312" w:hAnsi="仿宋_GB2312" w:eastAsia="仿宋_GB2312" w:cs="仿宋_GB2312"/>
          <w:color w:val="auto"/>
          <w:sz w:val="72"/>
          <w:szCs w:val="72"/>
        </w:rPr>
      </w:pPr>
    </w:p>
    <w:p>
      <w:pPr>
        <w:pStyle w:val="10"/>
        <w:jc w:val="both"/>
        <w:rPr>
          <w:color w:val="auto"/>
          <w:sz w:val="72"/>
          <w:szCs w:val="72"/>
        </w:rPr>
      </w:pPr>
    </w:p>
    <w:p>
      <w:pPr>
        <w:pStyle w:val="10"/>
        <w:jc w:val="both"/>
        <w:rPr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both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rFonts w:hint="eastAsia"/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  <w:r>
        <w:rPr>
          <w:rFonts w:hint="eastAsia"/>
          <w:color w:val="auto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  <w:r>
        <w:rPr>
          <w:rFonts w:hint="eastAsia" w:ascii="黑体" w:eastAsia="黑体" w:cs="黑体"/>
          <w:color w:val="auto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auto"/>
          <w:kern w:val="0"/>
          <w:sz w:val="70"/>
          <w:szCs w:val="70"/>
        </w:rPr>
      </w:pPr>
      <w:r>
        <w:rPr>
          <w:rFonts w:ascii="黑体" w:eastAsia="黑体" w:cs="黑体"/>
          <w:color w:val="auto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二、机关运行经费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</w:p>
    <w:p>
      <w:pPr>
        <w:pStyle w:val="10"/>
        <w:jc w:val="center"/>
        <w:rPr>
          <w:color w:val="auto"/>
          <w:sz w:val="72"/>
          <w:szCs w:val="72"/>
        </w:rPr>
      </w:pPr>
      <w:r>
        <w:rPr>
          <w:rFonts w:hint="eastAsia"/>
          <w:color w:val="auto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  <w:r>
        <w:rPr>
          <w:rFonts w:hint="eastAsia" w:ascii="黑体" w:eastAsia="黑体" w:cs="黑体"/>
          <w:color w:val="auto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auto"/>
          <w:kern w:val="0"/>
          <w:sz w:val="70"/>
          <w:szCs w:val="70"/>
        </w:rPr>
      </w:pPr>
      <w:r>
        <w:rPr>
          <w:rFonts w:ascii="黑体" w:eastAsia="黑体" w:cs="黑体"/>
          <w:color w:val="auto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auto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auto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auto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auto"/>
          <w:kern w:val="0"/>
          <w:sz w:val="32"/>
          <w:szCs w:val="32"/>
        </w:rPr>
      </w:pPr>
      <w:r>
        <w:rPr>
          <w:rFonts w:cs="黑体" w:asciiTheme="minorEastAsia" w:hAnsiTheme="minorEastAsia"/>
          <w:color w:val="auto"/>
          <w:kern w:val="0"/>
          <w:sz w:val="32"/>
          <w:szCs w:val="32"/>
        </w:rPr>
        <w:t>………</w:t>
      </w:r>
    </w:p>
    <w:p>
      <w:pPr>
        <w:ind w:firstLine="640" w:firstLineChars="200"/>
        <w:jc w:val="left"/>
        <w:rPr>
          <w:rFonts w:cs="黑体" w:asciiTheme="minorEastAsia" w:hAnsiTheme="minorEastAsia"/>
          <w:color w:val="auto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3765055"/>
    <w:rsid w:val="03D43BBF"/>
    <w:rsid w:val="05633A58"/>
    <w:rsid w:val="06B411F0"/>
    <w:rsid w:val="071E49F2"/>
    <w:rsid w:val="08075D95"/>
    <w:rsid w:val="087403E0"/>
    <w:rsid w:val="09612974"/>
    <w:rsid w:val="0BE32DF7"/>
    <w:rsid w:val="0BE56081"/>
    <w:rsid w:val="0BEC54D4"/>
    <w:rsid w:val="0CC61829"/>
    <w:rsid w:val="0DDD5C45"/>
    <w:rsid w:val="0E1F40ED"/>
    <w:rsid w:val="0FB52D79"/>
    <w:rsid w:val="135D5339"/>
    <w:rsid w:val="138B0A21"/>
    <w:rsid w:val="13BE003E"/>
    <w:rsid w:val="14031CB6"/>
    <w:rsid w:val="145374DE"/>
    <w:rsid w:val="14A00783"/>
    <w:rsid w:val="15792308"/>
    <w:rsid w:val="164679E9"/>
    <w:rsid w:val="17A87124"/>
    <w:rsid w:val="181770DC"/>
    <w:rsid w:val="182D791F"/>
    <w:rsid w:val="18412580"/>
    <w:rsid w:val="18D94089"/>
    <w:rsid w:val="19207BE5"/>
    <w:rsid w:val="1A8C26EA"/>
    <w:rsid w:val="1CCD0F3F"/>
    <w:rsid w:val="20426484"/>
    <w:rsid w:val="21A13896"/>
    <w:rsid w:val="22122BD6"/>
    <w:rsid w:val="230C24B2"/>
    <w:rsid w:val="23D623A7"/>
    <w:rsid w:val="2415370E"/>
    <w:rsid w:val="253B71F5"/>
    <w:rsid w:val="25F625EF"/>
    <w:rsid w:val="262F3767"/>
    <w:rsid w:val="26797846"/>
    <w:rsid w:val="27DB542D"/>
    <w:rsid w:val="28C91BCC"/>
    <w:rsid w:val="298B7982"/>
    <w:rsid w:val="2A360342"/>
    <w:rsid w:val="2A615574"/>
    <w:rsid w:val="2D4E18CB"/>
    <w:rsid w:val="2E300E93"/>
    <w:rsid w:val="2FCF4BE8"/>
    <w:rsid w:val="2FD153E3"/>
    <w:rsid w:val="30142538"/>
    <w:rsid w:val="3084247E"/>
    <w:rsid w:val="30A13C84"/>
    <w:rsid w:val="31AC00B3"/>
    <w:rsid w:val="33E5662C"/>
    <w:rsid w:val="35252367"/>
    <w:rsid w:val="358B6BC5"/>
    <w:rsid w:val="35D11417"/>
    <w:rsid w:val="366364DD"/>
    <w:rsid w:val="370B6762"/>
    <w:rsid w:val="38486B69"/>
    <w:rsid w:val="38CA1E02"/>
    <w:rsid w:val="38DB65B0"/>
    <w:rsid w:val="39E645E7"/>
    <w:rsid w:val="3A2C3BA2"/>
    <w:rsid w:val="3B496837"/>
    <w:rsid w:val="3B511179"/>
    <w:rsid w:val="3C0A23BF"/>
    <w:rsid w:val="3D033196"/>
    <w:rsid w:val="3E810063"/>
    <w:rsid w:val="3F3332EA"/>
    <w:rsid w:val="4376314C"/>
    <w:rsid w:val="43963643"/>
    <w:rsid w:val="45B82EAD"/>
    <w:rsid w:val="45F9639D"/>
    <w:rsid w:val="462704F9"/>
    <w:rsid w:val="46B32B36"/>
    <w:rsid w:val="46EB1116"/>
    <w:rsid w:val="48ED43E7"/>
    <w:rsid w:val="49137CE0"/>
    <w:rsid w:val="491B22EE"/>
    <w:rsid w:val="4A10046E"/>
    <w:rsid w:val="4B4D55C2"/>
    <w:rsid w:val="4B532CA7"/>
    <w:rsid w:val="4BC95063"/>
    <w:rsid w:val="4D862922"/>
    <w:rsid w:val="4DC801CA"/>
    <w:rsid w:val="4F0A03D0"/>
    <w:rsid w:val="4F3A73EC"/>
    <w:rsid w:val="4FFF6289"/>
    <w:rsid w:val="50646D22"/>
    <w:rsid w:val="508B56E3"/>
    <w:rsid w:val="50F227A8"/>
    <w:rsid w:val="51393AAF"/>
    <w:rsid w:val="51C10FC5"/>
    <w:rsid w:val="53A068DB"/>
    <w:rsid w:val="54EF1797"/>
    <w:rsid w:val="561917F1"/>
    <w:rsid w:val="58566E5C"/>
    <w:rsid w:val="589B0A6B"/>
    <w:rsid w:val="58E8288D"/>
    <w:rsid w:val="5BC25EED"/>
    <w:rsid w:val="5DBC3226"/>
    <w:rsid w:val="5DF05AFA"/>
    <w:rsid w:val="5E825A58"/>
    <w:rsid w:val="5FF73C85"/>
    <w:rsid w:val="6054616B"/>
    <w:rsid w:val="60A907EA"/>
    <w:rsid w:val="60F04FDD"/>
    <w:rsid w:val="6145544E"/>
    <w:rsid w:val="62B719D5"/>
    <w:rsid w:val="63033A05"/>
    <w:rsid w:val="64C7075E"/>
    <w:rsid w:val="657B2869"/>
    <w:rsid w:val="65915AA9"/>
    <w:rsid w:val="65B85FC2"/>
    <w:rsid w:val="67630A97"/>
    <w:rsid w:val="685E6822"/>
    <w:rsid w:val="6A2524A9"/>
    <w:rsid w:val="6A9E5BCF"/>
    <w:rsid w:val="6B6C36AF"/>
    <w:rsid w:val="6E1F5665"/>
    <w:rsid w:val="6E302AA0"/>
    <w:rsid w:val="6E4F064E"/>
    <w:rsid w:val="6FA37837"/>
    <w:rsid w:val="6FBE15B7"/>
    <w:rsid w:val="711F1A79"/>
    <w:rsid w:val="71F5150F"/>
    <w:rsid w:val="721C7D8E"/>
    <w:rsid w:val="73B01B09"/>
    <w:rsid w:val="73CD6B7D"/>
    <w:rsid w:val="75474366"/>
    <w:rsid w:val="75BD0C95"/>
    <w:rsid w:val="765C6B13"/>
    <w:rsid w:val="768E7C4F"/>
    <w:rsid w:val="77296C37"/>
    <w:rsid w:val="783B115F"/>
    <w:rsid w:val="7A0A4CFC"/>
    <w:rsid w:val="7BAE603C"/>
    <w:rsid w:val="7DC93D0C"/>
    <w:rsid w:val="7E9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1452</Words>
  <Characters>8281</Characters>
  <Lines>69</Lines>
  <Paragraphs>19</Paragraphs>
  <TotalTime>6</TotalTime>
  <ScaleCrop>false</ScaleCrop>
  <LinksUpToDate>false</LinksUpToDate>
  <CharactersWithSpaces>9714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WPS_1652324067</cp:lastModifiedBy>
  <cp:lastPrinted>2022-09-21T02:00:00Z</cp:lastPrinted>
  <dcterms:modified xsi:type="dcterms:W3CDTF">2022-09-22T02:12:26Z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19D00C0CEFF44A34A8D826E78CB873DB</vt:lpwstr>
  </property>
</Properties>
</file>