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both"/>
        <w:rPr>
          <w:rFonts w:hint="default" w:eastAsia="方正小标宋简体"/>
          <w:bCs/>
          <w:color w:val="auto"/>
          <w:sz w:val="42"/>
          <w:szCs w:val="42"/>
          <w:lang w:val="en-US" w:eastAsia="zh-CN"/>
        </w:rPr>
      </w:pPr>
      <w:r>
        <w:rPr>
          <w:rFonts w:hint="eastAsia" w:eastAsia="方正小标宋简体"/>
          <w:bCs/>
          <w:color w:val="auto"/>
          <w:sz w:val="42"/>
          <w:szCs w:val="42"/>
          <w:lang w:eastAsia="zh-CN"/>
        </w:rPr>
        <w:t>附件</w:t>
      </w:r>
      <w:r>
        <w:rPr>
          <w:rFonts w:hint="eastAsia" w:eastAsia="方正小标宋简体"/>
          <w:bCs/>
          <w:color w:val="auto"/>
          <w:sz w:val="42"/>
          <w:szCs w:val="4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eastAsia="方正小标宋简体"/>
          <w:bCs/>
          <w:color w:val="auto"/>
          <w:sz w:val="46"/>
          <w:szCs w:val="46"/>
        </w:rPr>
      </w:pPr>
    </w:p>
    <w:p>
      <w:pPr>
        <w:spacing w:line="800" w:lineRule="exact"/>
        <w:jc w:val="center"/>
        <w:rPr>
          <w:rFonts w:eastAsia="方正小标宋简体"/>
          <w:bCs/>
          <w:color w:val="auto"/>
          <w:sz w:val="46"/>
          <w:szCs w:val="46"/>
        </w:rPr>
      </w:pPr>
      <w:r>
        <w:rPr>
          <w:rFonts w:hint="eastAsia" w:eastAsia="方正小标宋简体"/>
          <w:bCs/>
          <w:color w:val="auto"/>
          <w:sz w:val="46"/>
          <w:szCs w:val="46"/>
        </w:rPr>
        <w:t>岳阳市</w:t>
      </w:r>
      <w:r>
        <w:rPr>
          <w:rFonts w:eastAsia="方正小标宋简体"/>
          <w:bCs/>
          <w:color w:val="auto"/>
          <w:sz w:val="46"/>
          <w:szCs w:val="46"/>
        </w:rPr>
        <w:t>202</w:t>
      </w:r>
      <w:r>
        <w:rPr>
          <w:rFonts w:hint="eastAsia" w:eastAsia="方正小标宋简体"/>
          <w:bCs/>
          <w:color w:val="auto"/>
          <w:sz w:val="46"/>
          <w:szCs w:val="46"/>
          <w:lang w:val="en-US" w:eastAsia="zh-CN"/>
        </w:rPr>
        <w:t>1</w:t>
      </w:r>
      <w:r>
        <w:rPr>
          <w:rFonts w:hint="eastAsia" w:eastAsia="方正小标宋简体"/>
          <w:bCs/>
          <w:color w:val="auto"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color w:val="auto"/>
          <w:sz w:val="46"/>
          <w:szCs w:val="46"/>
        </w:rPr>
      </w:pPr>
      <w:r>
        <w:rPr>
          <w:rFonts w:hint="eastAsia" w:eastAsia="方正小标宋简体"/>
          <w:bCs/>
          <w:color w:val="auto"/>
          <w:sz w:val="46"/>
          <w:szCs w:val="46"/>
        </w:rPr>
        <w:t>绩效评价自评报告</w:t>
      </w:r>
    </w:p>
    <w:p>
      <w:pPr>
        <w:rPr>
          <w:rFonts w:eastAsia="仿宋_GB2312"/>
          <w:b/>
          <w:color w:val="auto"/>
          <w:sz w:val="32"/>
        </w:rPr>
      </w:pPr>
    </w:p>
    <w:p>
      <w:pPr>
        <w:rPr>
          <w:rFonts w:eastAsia="仿宋_GB2312"/>
          <w:b/>
          <w:color w:val="auto"/>
          <w:sz w:val="32"/>
        </w:rPr>
      </w:pPr>
    </w:p>
    <w:p>
      <w:pPr>
        <w:spacing w:beforeLines="50" w:line="348" w:lineRule="auto"/>
        <w:ind w:firstLine="476" w:firstLineChars="150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部门(单位)名称：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岳阳市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洋溪湖水利工程服务中心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       </w:t>
      </w:r>
    </w:p>
    <w:p>
      <w:pPr>
        <w:spacing w:beforeLines="50" w:line="348" w:lineRule="auto"/>
        <w:ind w:firstLine="476" w:firstLineChars="150"/>
        <w:rPr>
          <w:rFonts w:hint="eastAsia" w:ascii="仿宋" w:hAnsi="仿宋" w:eastAsia="仿宋" w:cs="仿宋"/>
          <w:color w:val="auto"/>
          <w:spacing w:val="2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预</w:t>
      </w:r>
      <w:r>
        <w:rPr>
          <w:rFonts w:hint="eastAsia" w:ascii="仿宋" w:hAnsi="仿宋" w:eastAsia="仿宋" w:cs="仿宋"/>
          <w:color w:val="auto"/>
          <w:spacing w:val="30"/>
          <w:sz w:val="32"/>
          <w:szCs w:val="32"/>
        </w:rPr>
        <w:t xml:space="preserve"> 算 编 码：</w:t>
      </w:r>
      <w:r>
        <w:rPr>
          <w:rFonts w:hint="eastAsia" w:ascii="仿宋" w:hAnsi="仿宋" w:eastAsia="仿宋" w:cs="仿宋"/>
          <w:color w:val="auto"/>
          <w:spacing w:val="2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pacing w:val="20"/>
          <w:sz w:val="32"/>
          <w:szCs w:val="32"/>
          <w:u w:val="single"/>
          <w:lang w:val="en-US" w:eastAsia="zh-CN"/>
        </w:rPr>
        <w:t>302002</w:t>
      </w:r>
      <w:r>
        <w:rPr>
          <w:rFonts w:hint="eastAsia" w:ascii="仿宋" w:hAnsi="仿宋" w:eastAsia="仿宋" w:cs="仿宋"/>
          <w:color w:val="auto"/>
          <w:spacing w:val="20"/>
          <w:sz w:val="32"/>
          <w:szCs w:val="32"/>
          <w:u w:val="single"/>
        </w:rPr>
        <w:t xml:space="preserve">                         </w:t>
      </w:r>
    </w:p>
    <w:p>
      <w:pPr>
        <w:spacing w:beforeLines="50" w:line="348" w:lineRule="auto"/>
        <w:ind w:firstLine="476" w:firstLineChars="1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color w:val="auto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color w:val="auto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color w:val="auto"/>
          <w:sz w:val="32"/>
        </w:rPr>
      </w:pPr>
    </w:p>
    <w:p>
      <w:pPr>
        <w:spacing w:line="348" w:lineRule="auto"/>
        <w:jc w:val="center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报告日期：</w:t>
      </w:r>
      <w:r>
        <w:rPr>
          <w:rFonts w:eastAsia="仿宋_GB2312"/>
          <w:color w:val="auto"/>
          <w:sz w:val="32"/>
        </w:rPr>
        <w:t xml:space="preserve"> 202</w:t>
      </w:r>
      <w:r>
        <w:rPr>
          <w:rFonts w:hint="eastAsia" w:eastAsia="仿宋_GB2312"/>
          <w:color w:val="auto"/>
          <w:sz w:val="32"/>
          <w:lang w:val="en-US" w:eastAsia="zh-CN"/>
        </w:rPr>
        <w:t>2</w:t>
      </w:r>
      <w:r>
        <w:rPr>
          <w:rFonts w:hint="eastAsia" w:eastAsia="仿宋_GB2312"/>
          <w:color w:val="auto"/>
          <w:sz w:val="32"/>
        </w:rPr>
        <w:t>年</w:t>
      </w:r>
      <w:r>
        <w:rPr>
          <w:rFonts w:eastAsia="仿宋_GB2312"/>
          <w:color w:val="auto"/>
          <w:sz w:val="32"/>
        </w:rPr>
        <w:t xml:space="preserve"> 6 </w:t>
      </w:r>
      <w:r>
        <w:rPr>
          <w:rFonts w:hint="eastAsia" w:eastAsia="仿宋_GB2312"/>
          <w:color w:val="auto"/>
          <w:sz w:val="32"/>
        </w:rPr>
        <w:t>月</w:t>
      </w:r>
      <w:r>
        <w:rPr>
          <w:rFonts w:eastAsia="仿宋_GB2312"/>
          <w:color w:val="auto"/>
          <w:sz w:val="32"/>
        </w:rPr>
        <w:t>1</w:t>
      </w:r>
      <w:r>
        <w:rPr>
          <w:rFonts w:hint="eastAsia" w:eastAsia="仿宋_GB2312"/>
          <w:color w:val="auto"/>
          <w:sz w:val="32"/>
          <w:lang w:val="en-US" w:eastAsia="zh-CN"/>
        </w:rPr>
        <w:t>5</w:t>
      </w:r>
      <w:r>
        <w:rPr>
          <w:rFonts w:hint="eastAsia" w:eastAsia="仿宋_GB2312"/>
          <w:color w:val="auto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47" w:right="1588" w:bottom="1247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color w:val="auto"/>
          <w:sz w:val="32"/>
        </w:rPr>
        <w:t>岳阳市财政</w:t>
      </w:r>
      <w:r>
        <w:rPr>
          <w:rFonts w:hint="eastAsia" w:eastAsia="仿宋_GB2312"/>
          <w:color w:val="auto"/>
          <w:sz w:val="32"/>
          <w:szCs w:val="32"/>
        </w:rPr>
        <w:t>局（制）</w:t>
      </w:r>
    </w:p>
    <w:tbl>
      <w:tblPr>
        <w:tblStyle w:val="8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995"/>
        <w:gridCol w:w="150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陈敏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8092204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人员编制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6"/>
            <w:vAlign w:val="center"/>
          </w:tcPr>
          <w:p>
            <w:pPr>
              <w:autoSpaceDN w:val="0"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协调临湘市和云溪区冶湖撇洪地区边界水事纠纷，调度冶湖撇洪地区水事，管理冶湖撇洪地区“三闸三排”水利工程。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2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6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搞好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冶湖撇洪地区水事调度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协调好临湘市和云溪区冶湖撇洪地区边界水事纠纷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搞好冶湖撇洪地区防洪排涝调度工作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6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在局党组的正解领导下，市防御中心的具体指导下，原洋溪湖服务中心在水事调度、矛盾调处、设备管护、防汛排涝等方面尽职尽责，确保了临湘市、云溪区边界地区冶湖撇洪渠流域的度汛安全，维护了一方稳定。现就有关工作情况汇报如下：</w:t>
            </w:r>
          </w:p>
          <w:p>
            <w:pPr>
              <w:widowControl/>
              <w:numPr>
                <w:ilvl w:val="0"/>
                <w:numId w:val="0"/>
              </w:num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 w:bidi="ar-SA"/>
              </w:rPr>
              <w:t>一是抓好维修养护防汛备汛工作。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经历2020年大汛之后，我中心认真组织工程设施、设备的冬修工作。在完成常规维护任务的同时，重点对2台电机返厂大修，6台电机返厂检测维护；8台水泵更换易损件；土矶头电排变电站及户外高压设备安全隐患整改，共投入维修养护经费54.63万元，在汛前基本完成维修养护任务。4月21日机组空载试运行正常，4月29日三处泵站机组设备满负载试运行正常，为迎战今年防洪排涝工作作好了坚实准备。</w:t>
            </w:r>
          </w:p>
          <w:p>
            <w:pPr>
              <w:widowControl/>
              <w:numPr>
                <w:ilvl w:val="0"/>
                <w:numId w:val="0"/>
              </w:num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 w:bidi="ar-SA"/>
              </w:rPr>
              <w:t>二是科学调度协调防洪排涝工作。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及时掌握雨水情信息，协调两调蓄湖周边春季工农业生产用水，科学调控汛期撇洪渠水位，有效保障干旱期撇洪渠上游工农业生产用水需要。认真抓好日常防汛值班、开机排渍值班和工程巡查，及时做好电排设备突发故障的抢修处置。根据调度方案，我中心所辖电排分别于5月2日、5月4日、5月24日开机排渍。今年入汛后长江水位上涨较早，汛期发生多轮强降雨，防汛排涝消耗较大。曾家汊分洪闸执行分洪调度1次，分洪调蓄水量约620万立方米，电排机组故障停机3台次，经紧急抢修恢复。排涝工作至9月18日结束，三处电排累计运行6518台时，外排水量约6800万立方米，消耗排渍电费78.15万元。汛期未发生群众上访或12345热线投诉情况，较好地完成今年度防汛排涝任务。</w:t>
            </w:r>
          </w:p>
          <w:p>
            <w:pPr>
              <w:widowControl/>
              <w:numPr>
                <w:ilvl w:val="0"/>
                <w:numId w:val="0"/>
              </w:num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 w:bidi="ar-SA"/>
              </w:rPr>
              <w:t>三是逐步衔接长江补水工程运行管理工作。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机构改革后，开展了1次长江补水工程工程现状、管理现状、试运行情况的实地调研，为工程移交后的运行管理工作开展，做好前期基础资料准备。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115.62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115.62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115.62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40.92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36.90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4.02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74.70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0.69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0.69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其中：</w:t>
            </w:r>
            <w:bookmarkStart w:id="0" w:name="_GoBack"/>
            <w:bookmarkEnd w:id="0"/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139.07</w:t>
            </w:r>
          </w:p>
        </w:tc>
        <w:tc>
          <w:tcPr>
            <w:tcW w:w="24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139.07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目标1：搞好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冶湖撇洪地区水事调度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协调好临湘市和云溪区冶湖撇洪地区边界水事纠纷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搞好冶湖撇洪地区防洪排涝调度工作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1、抓好维修养护防汛备汛工作。         2、科学调度协调防洪排涝工作。           3、逐步衔接长江补水工程运行管理工作。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水利工程维修养护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电排3处、水闸3处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水利工程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运行管理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水利工程设施正常运行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安全度汛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全年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安全渡汛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水利工程运行维护管理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严格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控制在预算内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保障垸区内工农业生产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促进当地经济发展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保障垸区内人民生命财产</w:t>
            </w:r>
          </w:p>
        </w:tc>
        <w:tc>
          <w:tcPr>
            <w:tcW w:w="268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确保当地社会和谐发展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不影响调蓄湖泊水质</w:t>
            </w:r>
          </w:p>
        </w:tc>
        <w:tc>
          <w:tcPr>
            <w:tcW w:w="26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不影响当地生态环境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安全度汛</w:t>
            </w:r>
          </w:p>
        </w:tc>
        <w:tc>
          <w:tcPr>
            <w:tcW w:w="26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全年较好应对自然灾害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受益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区域范围内人民群众</w:t>
            </w:r>
          </w:p>
        </w:tc>
        <w:tc>
          <w:tcPr>
            <w:tcW w:w="26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≥90%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7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佘鹏</w:t>
            </w:r>
          </w:p>
        </w:tc>
        <w:tc>
          <w:tcPr>
            <w:tcW w:w="2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27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16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姚浩</w:t>
            </w:r>
          </w:p>
        </w:tc>
        <w:tc>
          <w:tcPr>
            <w:tcW w:w="233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副主任</w:t>
            </w:r>
          </w:p>
        </w:tc>
        <w:tc>
          <w:tcPr>
            <w:tcW w:w="270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310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江锰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岳阳市洋溪湖水利工程服务中心</w:t>
            </w:r>
          </w:p>
        </w:tc>
        <w:tc>
          <w:tcPr>
            <w:tcW w:w="310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60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60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</w:t>
            </w:r>
          </w:p>
          <w:p>
            <w:pPr>
              <w:autoSpaceDN w:val="0"/>
              <w:spacing w:line="320" w:lineRule="exact"/>
              <w:ind w:firstLine="4800" w:firstLineChars="20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60" w:hRule="atLeast"/>
          <w:jc w:val="center"/>
        </w:trPr>
        <w:tc>
          <w:tcPr>
            <w:tcW w:w="9800" w:type="dxa"/>
            <w:gridSpan w:val="18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</w:t>
            </w:r>
          </w:p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填报人（签名）：     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     联系电话：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8092204</w:t>
      </w:r>
    </w:p>
    <w:tbl>
      <w:tblPr>
        <w:tblStyle w:val="8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五、评价报告综述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一、单位概况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（一）单位基本情况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1、人员编制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岳阳市洋溪湖水利工程服务中心系市财政全额预算拨款事业单位，于2021年实行国库集中支付。截止2021年12月31日，实际在编在岗干部职工共有5人，其中：事业编5人。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2、机构设置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本单位系岳阳市水利局二级机构，内部未设职能科室和下属机构。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（二）单位整体支出规模、使用方向和主要内容、涉及范围等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根据《关于批复2021年市本级部门预算的通知》，岳阳市洋溪湖水利工程服务中心年度部门收支预算共计115.62万元，其中一般预算拨款115.62万元。其中在职人员的正常工资开支、社会保障缴费等人员经费36.90万元；按照财政规定的标准列支的公用经费4.02万元，洋溪湖电排经费74.7万元。</w:t>
            </w:r>
          </w:p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单位整体支出管理及使用情况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（一）部门整体经费支出情况分析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1、基本支出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2021年度单位基本支出40.92万元，使用内容为人员经费和日常公用经费。其中人员经费支出36.9万元，主要用于发放事业人员工资及津补贴等；一般商品和服务支出4.02万元，主要用于保障单位正常运转所需开支的办公费、差旅费、招待费等。基本开支来自于年初预算拨款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2、项目支出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2021年度项目支出共计74.7万元，主要用于电排水利工程维护、电排排渍电费、电排工作经费支出。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（二）“三公”经费支出情况分析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2021年“三公”经费支出共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计0.69万元，其中公务接待费0.69万元，占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比100%；无公务用车运行维护费、无公务车辆购置费和因公出国费。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（三）固定资产情况分析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截至2021年12月31日，固定资产总额为139.07万元。</w:t>
            </w:r>
          </w:p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三、单位专项组织实施情况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（一）专项组织情况分析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按照绩效自评要求，我单位组织成立了绩效评价工作小组，组织学习国家法律法规，贯彻落实相关政策，制定了部门整体支出绩效评价实施方案，设计了绩效评价指标体系。核查了2021年市级财政预算批复执行及部门整体支出情况，着重核查了“三公”经费及资产管理、内控制度。对内设机构，根据职能和年初制定的绩效考核目标，进行了实地绩效考评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（二）专项管理情况分析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1、严格预算支出管理。在支出预算编制上，人员经费按照配置定额，逐人核定编制，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公用经费分类分档，按定额编制；根据“总量控制、计划管理”的要求从严控制行政经费，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压缩公务费开支，严格控制“三公”经费，资产的配置严格政府采购，按照预算科目和项目资金的规定使用财政资金，保障部门整体支出的规范化、制度化。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2、财务管理按制度运行。根据国家法律法规，省市相关文件规定，重新修订了《岳阳市洋溪湖财务管理制度》，各项支出并严格按照省市相关文件和《制度》执行，防范风险，保证财政资金的安全和高效运行。</w:t>
            </w:r>
          </w:p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四、单位整体支出绩效情况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 xml:space="preserve">一是抓好维修养护防汛备汛工作。        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 xml:space="preserve">二是科学调度协调防洪排涝工作。           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三是逐步衔接长江补水工程运行管理工作。</w:t>
            </w:r>
          </w:p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五、存在的主要问题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一是预算管理制度不够健全，相应的管理制度没有得到有效执行；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二是资产管理不够规范，管理制度未得到有效执行，存在闲置资产；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三是预算编制不够合理，一般预算经费较少，而支出较大，存在资金缺口。</w:t>
            </w:r>
          </w:p>
          <w:p>
            <w:pPr>
              <w:spacing w:line="56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六、改进措施和有关建议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一是完善相关管理制度，强化行政管理职能，确保制度贯彻落实；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二是加强资产管理，提高固定资产使用效率；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三是加强预算管理，定期做好预算执行情况分析。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right"/>
              <w:rPr>
                <w:rFonts w:hint="eastAsia" w:eastAsia="楷体_GB2312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  <w:t>岳阳市洋溪湖水利工程服务中心</w:t>
            </w:r>
          </w:p>
        </w:tc>
      </w:tr>
    </w:tbl>
    <w:p>
      <w:pPr>
        <w:spacing w:line="348" w:lineRule="auto"/>
        <w:rPr>
          <w:rFonts w:eastAsia="楷体_GB2312"/>
          <w:bCs/>
          <w:color w:val="auto"/>
          <w:sz w:val="28"/>
          <w:szCs w:val="28"/>
        </w:rPr>
      </w:pPr>
    </w:p>
    <w:p>
      <w:pPr>
        <w:adjustRightInd w:val="0"/>
        <w:snapToGrid w:val="0"/>
        <w:spacing w:beforeLines="50"/>
        <w:contextualSpacing/>
        <w:rPr>
          <w:color w:val="auto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4"/>
        <w:szCs w:val="24"/>
      </w:rPr>
    </w:pPr>
    <w:r>
      <w:rPr>
        <w:rStyle w:val="11"/>
        <w:sz w:val="24"/>
        <w:szCs w:val="24"/>
      </w:rPr>
      <w:t xml:space="preserve">— </w:t>
    </w:r>
    <w:r>
      <w:rPr>
        <w:rStyle w:val="11"/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rStyle w:val="11"/>
        <w:sz w:val="24"/>
        <w:szCs w:val="24"/>
      </w:rPr>
      <w:fldChar w:fldCharType="separate"/>
    </w:r>
    <w:r>
      <w:rPr>
        <w:rStyle w:val="11"/>
        <w:sz w:val="24"/>
        <w:szCs w:val="24"/>
      </w:rPr>
      <w:t>1</w:t>
    </w:r>
    <w:r>
      <w:rPr>
        <w:rStyle w:val="11"/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BD7A6C"/>
    <w:multiLevelType w:val="singleLevel"/>
    <w:tmpl w:val="C5BD7A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8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2MzNiNDRlNWM0MjgyNTczNjI4ZWQ2OTgxYWVhOGI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3608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360E1"/>
    <w:rsid w:val="001403A1"/>
    <w:rsid w:val="0014369C"/>
    <w:rsid w:val="00145559"/>
    <w:rsid w:val="00146AA7"/>
    <w:rsid w:val="001507F9"/>
    <w:rsid w:val="00150E9F"/>
    <w:rsid w:val="001515A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25E9"/>
    <w:rsid w:val="0017567A"/>
    <w:rsid w:val="00175AC5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6A1B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36A4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2810"/>
    <w:rsid w:val="002E4165"/>
    <w:rsid w:val="002E4E40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2F7BD7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32ABE"/>
    <w:rsid w:val="00341400"/>
    <w:rsid w:val="00341977"/>
    <w:rsid w:val="00341EF7"/>
    <w:rsid w:val="00342F27"/>
    <w:rsid w:val="00343E6F"/>
    <w:rsid w:val="003543F8"/>
    <w:rsid w:val="00354D3E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49F0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58D1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84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E7CD2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579F9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3FE"/>
    <w:rsid w:val="005F7A92"/>
    <w:rsid w:val="00603DB7"/>
    <w:rsid w:val="00604230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6C55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4CE4"/>
    <w:rsid w:val="006D6164"/>
    <w:rsid w:val="006D6579"/>
    <w:rsid w:val="006E09A9"/>
    <w:rsid w:val="006E2301"/>
    <w:rsid w:val="006E23D9"/>
    <w:rsid w:val="006E2B71"/>
    <w:rsid w:val="006E2C64"/>
    <w:rsid w:val="006E372B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876BE"/>
    <w:rsid w:val="00790480"/>
    <w:rsid w:val="00791532"/>
    <w:rsid w:val="007916A4"/>
    <w:rsid w:val="00794023"/>
    <w:rsid w:val="007945C7"/>
    <w:rsid w:val="0079766E"/>
    <w:rsid w:val="007A10EC"/>
    <w:rsid w:val="007A29E2"/>
    <w:rsid w:val="007A3188"/>
    <w:rsid w:val="007A5A03"/>
    <w:rsid w:val="007A6B3C"/>
    <w:rsid w:val="007B089E"/>
    <w:rsid w:val="007B58F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D7DCB"/>
    <w:rsid w:val="007E0262"/>
    <w:rsid w:val="007E0A1F"/>
    <w:rsid w:val="007E583B"/>
    <w:rsid w:val="007E5C08"/>
    <w:rsid w:val="007F068E"/>
    <w:rsid w:val="007F08C7"/>
    <w:rsid w:val="007F1741"/>
    <w:rsid w:val="007F2BE9"/>
    <w:rsid w:val="007F3A95"/>
    <w:rsid w:val="007F4269"/>
    <w:rsid w:val="007F4498"/>
    <w:rsid w:val="007F4880"/>
    <w:rsid w:val="007F6A5A"/>
    <w:rsid w:val="007F76E8"/>
    <w:rsid w:val="00800186"/>
    <w:rsid w:val="0080137E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6E5"/>
    <w:rsid w:val="008809FE"/>
    <w:rsid w:val="00880B6B"/>
    <w:rsid w:val="008822AF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27CB"/>
    <w:rsid w:val="008A37EF"/>
    <w:rsid w:val="008A3D61"/>
    <w:rsid w:val="008A4D06"/>
    <w:rsid w:val="008A545F"/>
    <w:rsid w:val="008A5A2E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0F84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1CC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499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373F8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671A3"/>
    <w:rsid w:val="00A71017"/>
    <w:rsid w:val="00A71859"/>
    <w:rsid w:val="00A74CE7"/>
    <w:rsid w:val="00A76A54"/>
    <w:rsid w:val="00A77408"/>
    <w:rsid w:val="00A8029A"/>
    <w:rsid w:val="00A80F53"/>
    <w:rsid w:val="00A83B3A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5C8F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1250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3DF"/>
    <w:rsid w:val="00B11C82"/>
    <w:rsid w:val="00B12E4C"/>
    <w:rsid w:val="00B130EE"/>
    <w:rsid w:val="00B13FB3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78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E5C6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26507"/>
    <w:rsid w:val="00C30131"/>
    <w:rsid w:val="00C30AEC"/>
    <w:rsid w:val="00C35D38"/>
    <w:rsid w:val="00C35D9D"/>
    <w:rsid w:val="00C3778D"/>
    <w:rsid w:val="00C4168B"/>
    <w:rsid w:val="00C4231F"/>
    <w:rsid w:val="00C42C0F"/>
    <w:rsid w:val="00C44F7C"/>
    <w:rsid w:val="00C453ED"/>
    <w:rsid w:val="00C5175A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2F03"/>
    <w:rsid w:val="00C86372"/>
    <w:rsid w:val="00C87798"/>
    <w:rsid w:val="00C93D94"/>
    <w:rsid w:val="00C95085"/>
    <w:rsid w:val="00C95BB0"/>
    <w:rsid w:val="00C9770C"/>
    <w:rsid w:val="00CA0E84"/>
    <w:rsid w:val="00CA459F"/>
    <w:rsid w:val="00CA49E0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2B2"/>
    <w:rsid w:val="00D47B1F"/>
    <w:rsid w:val="00D533BC"/>
    <w:rsid w:val="00D53F3B"/>
    <w:rsid w:val="00D54AE2"/>
    <w:rsid w:val="00D55442"/>
    <w:rsid w:val="00D565E2"/>
    <w:rsid w:val="00D57CE5"/>
    <w:rsid w:val="00D608D8"/>
    <w:rsid w:val="00D61A2E"/>
    <w:rsid w:val="00D67582"/>
    <w:rsid w:val="00D7011D"/>
    <w:rsid w:val="00D70652"/>
    <w:rsid w:val="00D71ABC"/>
    <w:rsid w:val="00D732D0"/>
    <w:rsid w:val="00D73BEB"/>
    <w:rsid w:val="00D750EC"/>
    <w:rsid w:val="00D761A8"/>
    <w:rsid w:val="00D768A5"/>
    <w:rsid w:val="00D776C0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3D19"/>
    <w:rsid w:val="00DF52C3"/>
    <w:rsid w:val="00DF6FA6"/>
    <w:rsid w:val="00DF76B2"/>
    <w:rsid w:val="00E00CF9"/>
    <w:rsid w:val="00E012C4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1B85"/>
    <w:rsid w:val="00E7262A"/>
    <w:rsid w:val="00E74FBE"/>
    <w:rsid w:val="00E76A67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070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5F7B"/>
    <w:rsid w:val="00EF77F1"/>
    <w:rsid w:val="00EF7F6D"/>
    <w:rsid w:val="00F030EE"/>
    <w:rsid w:val="00F051EF"/>
    <w:rsid w:val="00F063D9"/>
    <w:rsid w:val="00F102EF"/>
    <w:rsid w:val="00F11C21"/>
    <w:rsid w:val="00F1284B"/>
    <w:rsid w:val="00F134C1"/>
    <w:rsid w:val="00F13EA0"/>
    <w:rsid w:val="00F1546D"/>
    <w:rsid w:val="00F15D7C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26A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0A59"/>
    <w:rsid w:val="00F81454"/>
    <w:rsid w:val="00F819E0"/>
    <w:rsid w:val="00F81CBB"/>
    <w:rsid w:val="00F853EC"/>
    <w:rsid w:val="00F8549E"/>
    <w:rsid w:val="00F87499"/>
    <w:rsid w:val="00F905B2"/>
    <w:rsid w:val="00F92370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2AF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12500E6"/>
    <w:rsid w:val="028768E2"/>
    <w:rsid w:val="02C379AC"/>
    <w:rsid w:val="02CA6181"/>
    <w:rsid w:val="09B4673D"/>
    <w:rsid w:val="0D822487"/>
    <w:rsid w:val="100C3C22"/>
    <w:rsid w:val="110C5010"/>
    <w:rsid w:val="11C718A1"/>
    <w:rsid w:val="120E1DEC"/>
    <w:rsid w:val="12317495"/>
    <w:rsid w:val="12802DB1"/>
    <w:rsid w:val="14B07999"/>
    <w:rsid w:val="152077A4"/>
    <w:rsid w:val="16897C30"/>
    <w:rsid w:val="177B18F2"/>
    <w:rsid w:val="1816336E"/>
    <w:rsid w:val="18C84512"/>
    <w:rsid w:val="190A26C5"/>
    <w:rsid w:val="19EC50C1"/>
    <w:rsid w:val="1A1105A8"/>
    <w:rsid w:val="1D8266C4"/>
    <w:rsid w:val="1DCD20F4"/>
    <w:rsid w:val="1E096570"/>
    <w:rsid w:val="1E32305C"/>
    <w:rsid w:val="1E56741B"/>
    <w:rsid w:val="20C71096"/>
    <w:rsid w:val="2211363C"/>
    <w:rsid w:val="2250370A"/>
    <w:rsid w:val="22C20ED2"/>
    <w:rsid w:val="23D153F5"/>
    <w:rsid w:val="25166B67"/>
    <w:rsid w:val="25684725"/>
    <w:rsid w:val="265A40D6"/>
    <w:rsid w:val="26D35913"/>
    <w:rsid w:val="270B205E"/>
    <w:rsid w:val="27F63F10"/>
    <w:rsid w:val="29017CC4"/>
    <w:rsid w:val="295A0943"/>
    <w:rsid w:val="29617483"/>
    <w:rsid w:val="2A5D5C69"/>
    <w:rsid w:val="2AA75E30"/>
    <w:rsid w:val="2AAC34CA"/>
    <w:rsid w:val="2C9B3641"/>
    <w:rsid w:val="2D3A1241"/>
    <w:rsid w:val="2D7E5793"/>
    <w:rsid w:val="2DC51DF1"/>
    <w:rsid w:val="2E110C5E"/>
    <w:rsid w:val="2E1D77B6"/>
    <w:rsid w:val="2E806273"/>
    <w:rsid w:val="30CC1C42"/>
    <w:rsid w:val="33693AAA"/>
    <w:rsid w:val="338A5C15"/>
    <w:rsid w:val="35907C3F"/>
    <w:rsid w:val="36F90E1D"/>
    <w:rsid w:val="39622C46"/>
    <w:rsid w:val="3A4C1376"/>
    <w:rsid w:val="3ABD587F"/>
    <w:rsid w:val="3AF47979"/>
    <w:rsid w:val="3BF74DD6"/>
    <w:rsid w:val="3C386FAC"/>
    <w:rsid w:val="3C480383"/>
    <w:rsid w:val="3CB5785F"/>
    <w:rsid w:val="3D2946CC"/>
    <w:rsid w:val="3E991F13"/>
    <w:rsid w:val="3F747080"/>
    <w:rsid w:val="404E65D0"/>
    <w:rsid w:val="40DF7012"/>
    <w:rsid w:val="41C537DA"/>
    <w:rsid w:val="41DB3216"/>
    <w:rsid w:val="44650D4A"/>
    <w:rsid w:val="461C02F6"/>
    <w:rsid w:val="4632528D"/>
    <w:rsid w:val="463255DC"/>
    <w:rsid w:val="47383E08"/>
    <w:rsid w:val="48A04E07"/>
    <w:rsid w:val="498B418B"/>
    <w:rsid w:val="49E05673"/>
    <w:rsid w:val="4AE157D8"/>
    <w:rsid w:val="4B1450EC"/>
    <w:rsid w:val="4D2C1E00"/>
    <w:rsid w:val="4E4F2351"/>
    <w:rsid w:val="4F0029D6"/>
    <w:rsid w:val="4FEA2E16"/>
    <w:rsid w:val="50611F9F"/>
    <w:rsid w:val="5062205A"/>
    <w:rsid w:val="516C4399"/>
    <w:rsid w:val="54816D04"/>
    <w:rsid w:val="553165E0"/>
    <w:rsid w:val="55515A87"/>
    <w:rsid w:val="556524D7"/>
    <w:rsid w:val="560F64F4"/>
    <w:rsid w:val="5A0F6F86"/>
    <w:rsid w:val="5A3261BE"/>
    <w:rsid w:val="5C2D6AD2"/>
    <w:rsid w:val="5CC3355C"/>
    <w:rsid w:val="5CEC77C3"/>
    <w:rsid w:val="5D2B0966"/>
    <w:rsid w:val="5F5E550F"/>
    <w:rsid w:val="5FC2414F"/>
    <w:rsid w:val="61225252"/>
    <w:rsid w:val="61E01A4A"/>
    <w:rsid w:val="62DA2292"/>
    <w:rsid w:val="63696542"/>
    <w:rsid w:val="636C2246"/>
    <w:rsid w:val="649A04EC"/>
    <w:rsid w:val="67264707"/>
    <w:rsid w:val="67972391"/>
    <w:rsid w:val="6B220371"/>
    <w:rsid w:val="6C042109"/>
    <w:rsid w:val="6C083394"/>
    <w:rsid w:val="734E26B2"/>
    <w:rsid w:val="73A416DA"/>
    <w:rsid w:val="74DD07C0"/>
    <w:rsid w:val="75010811"/>
    <w:rsid w:val="76842AA2"/>
    <w:rsid w:val="76E56B9A"/>
    <w:rsid w:val="77AB0643"/>
    <w:rsid w:val="77DB3933"/>
    <w:rsid w:val="77E9287B"/>
    <w:rsid w:val="78AD184A"/>
    <w:rsid w:val="7A2376D6"/>
    <w:rsid w:val="7A2C47DB"/>
    <w:rsid w:val="7AED3724"/>
    <w:rsid w:val="7B464A8D"/>
    <w:rsid w:val="7BB86C54"/>
    <w:rsid w:val="7C9C0B77"/>
    <w:rsid w:val="7D843D54"/>
    <w:rsid w:val="7E7E0675"/>
    <w:rsid w:val="7ED50879"/>
    <w:rsid w:val="7F4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标题 3 Char Char"/>
    <w:qFormat/>
    <w:uiPriority w:val="99"/>
    <w:rPr>
      <w:rFonts w:eastAsia="楷体_GB2312"/>
      <w:b/>
      <w:kern w:val="2"/>
      <w:sz w:val="24"/>
      <w:lang w:val="en-US" w:eastAsia="zh-CN"/>
    </w:rPr>
  </w:style>
  <w:style w:type="paragraph" w:customStyle="1" w:styleId="15">
    <w:name w:val="Char"/>
    <w:basedOn w:val="1"/>
    <w:qFormat/>
    <w:uiPriority w:val="99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6">
    <w:name w:val="Body Text Indent 2 Char"/>
    <w:basedOn w:val="10"/>
    <w:link w:val="3"/>
    <w:qFormat/>
    <w:locked/>
    <w:uiPriority w:val="99"/>
    <w:rPr>
      <w:rFonts w:ascii="仿宋_GB2312" w:hAnsi="Calibri" w:eastAsia="仿宋_GB2312" w:cs="Times New Roman"/>
      <w:sz w:val="24"/>
      <w:szCs w:val="24"/>
    </w:rPr>
  </w:style>
  <w:style w:type="paragraph" w:customStyle="1" w:styleId="17">
    <w:name w:val="Char1"/>
    <w:basedOn w:val="1"/>
    <w:qFormat/>
    <w:uiPriority w:val="99"/>
    <w:rPr>
      <w:rFonts w:ascii="仿宋_GB2312" w:eastAsia="仿宋_GB2312"/>
      <w:sz w:val="32"/>
    </w:rPr>
  </w:style>
  <w:style w:type="paragraph" w:customStyle="1" w:styleId="18">
    <w:name w:val="Char Char Char Char Char Char Char Char Char Char Char Char1 Char Char Char Char"/>
    <w:basedOn w:val="1"/>
    <w:qFormat/>
    <w:uiPriority w:val="99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9">
    <w:name w:val="Balloon Text Char"/>
    <w:basedOn w:val="10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7</Pages>
  <Words>3122</Words>
  <Characters>3302</Characters>
  <Lines>0</Lines>
  <Paragraphs>0</Paragraphs>
  <TotalTime>11</TotalTime>
  <ScaleCrop>false</ScaleCrop>
  <LinksUpToDate>false</LinksUpToDate>
  <CharactersWithSpaces>3826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Administrator</cp:lastModifiedBy>
  <cp:lastPrinted>2022-09-26T02:10:00Z</cp:lastPrinted>
  <dcterms:modified xsi:type="dcterms:W3CDTF">2022-09-26T02:12:13Z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F2E01549BC5A4FF184BE62C3362F34C2</vt:lpwstr>
  </property>
</Properties>
</file>