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color w:val="000000" w:themeColor="text1"/>
          <w:spacing w:val="10"/>
          <w:sz w:val="32"/>
          <w:szCs w:val="32"/>
          <w14:textFill>
            <w14:solidFill>
              <w14:schemeClr w14:val="tx1"/>
            </w14:solidFill>
          </w14:textFill>
        </w:rPr>
      </w:pPr>
      <w:r>
        <w:rPr>
          <w:rFonts w:hint="eastAsia" w:ascii="黑体" w:hAnsi="黑体" w:eastAsia="黑体" w:cs="黑体"/>
          <w:color w:val="000000" w:themeColor="text1"/>
          <w:spacing w:val="10"/>
          <w:sz w:val="32"/>
          <w:szCs w:val="32"/>
          <w14:textFill>
            <w14:solidFill>
              <w14:schemeClr w14:val="tx1"/>
            </w14:solidFill>
          </w14:textFill>
        </w:rPr>
        <w:t>附件1</w:t>
      </w:r>
    </w:p>
    <w:p>
      <w:pPr>
        <w:spacing w:line="700" w:lineRule="exact"/>
        <w:jc w:val="right"/>
        <w:rPr>
          <w:rFonts w:ascii="方正小标宋简体" w:hAnsi="方正小标宋简体" w:eastAsia="方正小标宋简体" w:cs="方正小标宋简体"/>
          <w:color w:val="000000" w:themeColor="text1"/>
          <w:spacing w:val="2"/>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pacing w:val="2"/>
          <w:sz w:val="42"/>
          <w:szCs w:val="42"/>
          <w14:textFill>
            <w14:solidFill>
              <w14:schemeClr w14:val="tx1"/>
            </w14:solidFill>
          </w14:textFill>
        </w:rPr>
        <w:t>2022年度预算单位整体支出绩效评价基础数据表</w:t>
      </w:r>
    </w:p>
    <w:p>
      <w:pPr>
        <w:spacing w:line="115" w:lineRule="exact"/>
        <w:rPr>
          <w:color w:val="000000" w:themeColor="text1"/>
          <w14:textFill>
            <w14:solidFill>
              <w14:schemeClr w14:val="tx1"/>
            </w14:solidFill>
          </w14:textFill>
        </w:rPr>
      </w:pPr>
    </w:p>
    <w:tbl>
      <w:tblPr>
        <w:tblStyle w:val="8"/>
        <w:tblW w:w="941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30"/>
        <w:gridCol w:w="650"/>
        <w:gridCol w:w="885"/>
        <w:gridCol w:w="1019"/>
        <w:gridCol w:w="1215"/>
        <w:gridCol w:w="568"/>
        <w:gridCol w:w="935"/>
        <w:gridCol w:w="6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530" w:type="dxa"/>
            <w:tcBorders>
              <w:bottom w:val="nil"/>
            </w:tcBorders>
            <w:vAlign w:val="center"/>
          </w:tcPr>
          <w:p>
            <w:pPr>
              <w:spacing w:before="33" w:line="240" w:lineRule="exact"/>
              <w:ind w:right="118"/>
              <w:jc w:val="center"/>
              <w:rPr>
                <w:rFonts w:asciiTheme="majorEastAsia" w:hAnsiTheme="majorEastAsia" w:eastAsiaTheme="majorEastAsia" w:cstheme="majorEastAsia"/>
                <w:color w:val="000000" w:themeColor="text1"/>
                <w:spacing w:val="2"/>
                <w:sz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14:textFill>
                  <w14:solidFill>
                    <w14:schemeClr w14:val="tx1"/>
                  </w14:solidFill>
                </w14:textFill>
              </w:rPr>
              <w:t>预算单位名称</w:t>
            </w:r>
          </w:p>
        </w:tc>
        <w:tc>
          <w:tcPr>
            <w:tcW w:w="5272" w:type="dxa"/>
            <w:gridSpan w:val="6"/>
          </w:tcPr>
          <w:p>
            <w:pPr>
              <w:spacing w:before="103" w:line="240" w:lineRule="exact"/>
              <w:ind w:left="708"/>
              <w:jc w:val="center"/>
              <w:rPr>
                <w:rFonts w:asciiTheme="majorEastAsia" w:hAnsiTheme="majorEastAsia" w:eastAsiaTheme="majorEastAsia" w:cstheme="majorEastAsia"/>
                <w:color w:val="000000" w:themeColor="text1"/>
                <w:spacing w:val="-2"/>
                <w:sz w:val="20"/>
                <w:szCs w:val="20"/>
                <w14:textFill>
                  <w14:solidFill>
                    <w14:schemeClr w14:val="tx1"/>
                  </w14:solidFill>
                </w14:textFill>
              </w:rPr>
            </w:pPr>
            <w:r>
              <w:rPr>
                <w:rFonts w:hint="eastAsia" w:ascii="Arial"/>
                <w:color w:val="000000" w:themeColor="text1"/>
                <w14:textFill>
                  <w14:solidFill>
                    <w14:schemeClr w14:val="tx1"/>
                  </w14:solidFill>
                </w14:textFill>
              </w:rPr>
              <w:t>岳阳市生态环境局本级</w:t>
            </w:r>
          </w:p>
        </w:tc>
        <w:tc>
          <w:tcPr>
            <w:tcW w:w="611" w:type="dxa"/>
          </w:tcPr>
          <w:p>
            <w:pPr>
              <w:spacing w:before="103" w:line="240" w:lineRule="exact"/>
              <w:ind w:left="708"/>
              <w:jc w:val="center"/>
              <w:rPr>
                <w:rFonts w:ascii="Arial"/>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3530" w:type="dxa"/>
            <w:vMerge w:val="restart"/>
            <w:tcBorders>
              <w:bottom w:val="nil"/>
            </w:tcBorders>
          </w:tcPr>
          <w:p>
            <w:pPr>
              <w:spacing w:before="262" w:line="240" w:lineRule="exact"/>
              <w:ind w:left="575"/>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14:textFill>
                  <w14:solidFill>
                    <w14:schemeClr w14:val="tx1"/>
                  </w14:solidFill>
                </w14:textFill>
              </w:rPr>
              <w:t>财政供养人员情况(人)</w:t>
            </w:r>
          </w:p>
        </w:tc>
        <w:tc>
          <w:tcPr>
            <w:tcW w:w="1535" w:type="dxa"/>
            <w:gridSpan w:val="2"/>
          </w:tcPr>
          <w:p>
            <w:pPr>
              <w:spacing w:before="103" w:line="240" w:lineRule="exact"/>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14:textFill>
                  <w14:solidFill>
                    <w14:schemeClr w14:val="tx1"/>
                  </w14:solidFill>
                </w14:textFill>
              </w:rPr>
              <w:t>编制数</w:t>
            </w:r>
          </w:p>
        </w:tc>
        <w:tc>
          <w:tcPr>
            <w:tcW w:w="2234" w:type="dxa"/>
            <w:gridSpan w:val="2"/>
          </w:tcPr>
          <w:p>
            <w:pPr>
              <w:spacing w:before="83" w:line="240" w:lineRule="exact"/>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14:textFill>
                  <w14:solidFill>
                    <w14:schemeClr w14:val="tx1"/>
                  </w14:solidFill>
                </w14:textFill>
              </w:rPr>
              <w:t>2022年实际在职人数</w:t>
            </w:r>
          </w:p>
        </w:tc>
        <w:tc>
          <w:tcPr>
            <w:tcW w:w="1503" w:type="dxa"/>
            <w:gridSpan w:val="2"/>
          </w:tcPr>
          <w:p>
            <w:pPr>
              <w:spacing w:before="103" w:line="240" w:lineRule="exact"/>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14:textFill>
                  <w14:solidFill>
                    <w14:schemeClr w14:val="tx1"/>
                  </w14:solidFill>
                </w14:textFill>
              </w:rPr>
              <w:t>控制率</w:t>
            </w:r>
          </w:p>
        </w:tc>
        <w:tc>
          <w:tcPr>
            <w:tcW w:w="611" w:type="dxa"/>
          </w:tcPr>
          <w:p>
            <w:pPr>
              <w:spacing w:before="103" w:line="240" w:lineRule="exact"/>
              <w:ind w:left="708"/>
              <w:jc w:val="center"/>
              <w:rPr>
                <w:rFonts w:asciiTheme="majorEastAsia" w:hAnsiTheme="majorEastAsia" w:eastAsiaTheme="majorEastAsia" w:cstheme="majorEastAsia"/>
                <w:color w:val="000000" w:themeColor="text1"/>
                <w:spacing w:val="-2"/>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530" w:type="dxa"/>
            <w:vMerge w:val="continue"/>
            <w:tcBorders>
              <w:top w:val="nil"/>
            </w:tcBorders>
          </w:tcPr>
          <w:p>
            <w:pPr>
              <w:spacing w:line="240" w:lineRule="exact"/>
              <w:jc w:val="left"/>
              <w:rPr>
                <w:rFonts w:asciiTheme="majorEastAsia" w:hAnsiTheme="majorEastAsia" w:eastAsiaTheme="majorEastAsia" w:cstheme="majorEastAsia"/>
                <w:color w:val="000000" w:themeColor="text1"/>
                <w:sz w:val="24"/>
                <w14:textFill>
                  <w14:solidFill>
                    <w14:schemeClr w14:val="tx1"/>
                  </w14:solidFill>
                </w14:textFill>
              </w:rPr>
            </w:pPr>
          </w:p>
        </w:tc>
        <w:tc>
          <w:tcPr>
            <w:tcW w:w="1535" w:type="dxa"/>
            <w:gridSpan w:val="2"/>
          </w:tcPr>
          <w:p>
            <w:pPr>
              <w:spacing w:line="240" w:lineRule="exact"/>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73</w:t>
            </w:r>
          </w:p>
        </w:tc>
        <w:tc>
          <w:tcPr>
            <w:tcW w:w="2234" w:type="dxa"/>
            <w:gridSpan w:val="2"/>
          </w:tcPr>
          <w:p>
            <w:pPr>
              <w:spacing w:line="240" w:lineRule="exact"/>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86</w:t>
            </w:r>
          </w:p>
        </w:tc>
        <w:tc>
          <w:tcPr>
            <w:tcW w:w="1503" w:type="dxa"/>
            <w:gridSpan w:val="2"/>
          </w:tcPr>
          <w:p>
            <w:pPr>
              <w:spacing w:line="240" w:lineRule="exact"/>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100%</w:t>
            </w:r>
          </w:p>
        </w:tc>
        <w:tc>
          <w:tcPr>
            <w:tcW w:w="611" w:type="dxa"/>
          </w:tcPr>
          <w:p>
            <w:pPr>
              <w:spacing w:line="240" w:lineRule="exact"/>
              <w:jc w:val="center"/>
              <w:rPr>
                <w:rFonts w:asciiTheme="majorEastAsia" w:hAnsiTheme="majorEastAsia" w:eastAsiaTheme="majorEastAsia" w:cstheme="majorEastAsia"/>
                <w:color w:val="000000" w:themeColor="text1"/>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530" w:type="dxa"/>
          </w:tcPr>
          <w:p>
            <w:pPr>
              <w:spacing w:before="140" w:line="240" w:lineRule="exact"/>
              <w:ind w:left="68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4"/>
                <w:sz w:val="24"/>
                <w14:textFill>
                  <w14:solidFill>
                    <w14:schemeClr w14:val="tx1"/>
                  </w14:solidFill>
                </w14:textFill>
              </w:rPr>
              <w:t>经费控制情况(万元)</w:t>
            </w:r>
          </w:p>
        </w:tc>
        <w:tc>
          <w:tcPr>
            <w:tcW w:w="1535" w:type="dxa"/>
            <w:gridSpan w:val="2"/>
          </w:tcPr>
          <w:p>
            <w:pPr>
              <w:spacing w:before="119" w:line="240" w:lineRule="exact"/>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14:textFill>
                  <w14:solidFill>
                    <w14:schemeClr w14:val="tx1"/>
                  </w14:solidFill>
                </w14:textFill>
              </w:rPr>
              <w:t>2021年决算数</w:t>
            </w:r>
          </w:p>
        </w:tc>
        <w:tc>
          <w:tcPr>
            <w:tcW w:w="2234" w:type="dxa"/>
            <w:gridSpan w:val="2"/>
          </w:tcPr>
          <w:p>
            <w:pPr>
              <w:spacing w:before="119" w:line="240" w:lineRule="exact"/>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14:textFill>
                  <w14:solidFill>
                    <w14:schemeClr w14:val="tx1"/>
                  </w14:solidFill>
                </w14:textFill>
              </w:rPr>
              <w:t>2022年预算数</w:t>
            </w:r>
          </w:p>
        </w:tc>
        <w:tc>
          <w:tcPr>
            <w:tcW w:w="1503" w:type="dxa"/>
            <w:gridSpan w:val="2"/>
          </w:tcPr>
          <w:p>
            <w:pPr>
              <w:spacing w:before="76" w:line="240" w:lineRule="exact"/>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4"/>
                <w:sz w:val="24"/>
                <w14:textFill>
                  <w14:solidFill>
                    <w14:schemeClr w14:val="tx1"/>
                  </w14:solidFill>
                </w14:textFill>
              </w:rPr>
              <w:t>2022年决算数</w:t>
            </w:r>
          </w:p>
        </w:tc>
        <w:tc>
          <w:tcPr>
            <w:tcW w:w="611" w:type="dxa"/>
          </w:tcPr>
          <w:p>
            <w:pPr>
              <w:spacing w:before="76" w:line="240" w:lineRule="exact"/>
              <w:jc w:val="center"/>
              <w:rPr>
                <w:rFonts w:asciiTheme="majorEastAsia" w:hAnsiTheme="majorEastAsia" w:eastAsiaTheme="majorEastAsia" w:cstheme="majorEastAsia"/>
                <w:color w:val="000000" w:themeColor="text1"/>
                <w:spacing w:val="-4"/>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530" w:type="dxa"/>
          </w:tcPr>
          <w:p>
            <w:pPr>
              <w:spacing w:before="141" w:line="240" w:lineRule="exact"/>
              <w:ind w:left="11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14:textFill>
                  <w14:solidFill>
                    <w14:schemeClr w14:val="tx1"/>
                  </w14:solidFill>
                </w14:textFill>
              </w:rPr>
              <w:t>三公经费</w:t>
            </w:r>
          </w:p>
        </w:tc>
        <w:tc>
          <w:tcPr>
            <w:tcW w:w="1535" w:type="dxa"/>
            <w:gridSpan w:val="2"/>
          </w:tcPr>
          <w:p>
            <w:pPr>
              <w:spacing w:line="240" w:lineRule="exact"/>
              <w:jc w:val="center"/>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21.47</w:t>
            </w:r>
          </w:p>
        </w:tc>
        <w:tc>
          <w:tcPr>
            <w:tcW w:w="2234" w:type="dxa"/>
            <w:gridSpan w:val="2"/>
          </w:tcPr>
          <w:p>
            <w:pPr>
              <w:spacing w:line="240" w:lineRule="exact"/>
              <w:jc w:val="center"/>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70.00</w:t>
            </w:r>
          </w:p>
        </w:tc>
        <w:tc>
          <w:tcPr>
            <w:tcW w:w="1503" w:type="dxa"/>
            <w:gridSpan w:val="2"/>
          </w:tcPr>
          <w:p>
            <w:pPr>
              <w:spacing w:line="240" w:lineRule="exact"/>
              <w:jc w:val="center"/>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37.22</w:t>
            </w:r>
          </w:p>
        </w:tc>
        <w:tc>
          <w:tcPr>
            <w:tcW w:w="611" w:type="dxa"/>
          </w:tcPr>
          <w:p>
            <w:pPr>
              <w:spacing w:line="240" w:lineRule="exact"/>
              <w:jc w:val="center"/>
              <w:rPr>
                <w:rFonts w:asciiTheme="majorEastAsia" w:hAnsiTheme="majorEastAsia" w:eastAsiaTheme="majorEastAsia" w:cstheme="majorEastAsia"/>
                <w:b/>
                <w:bCs/>
                <w:color w:val="000000" w:themeColor="text1"/>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530" w:type="dxa"/>
          </w:tcPr>
          <w:p>
            <w:pPr>
              <w:spacing w:before="149" w:line="240" w:lineRule="exact"/>
              <w:ind w:left="41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1、公务用车购置和维护经费</w:t>
            </w:r>
          </w:p>
        </w:tc>
        <w:tc>
          <w:tcPr>
            <w:tcW w:w="1535"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13.00</w:t>
            </w:r>
          </w:p>
        </w:tc>
        <w:tc>
          <w:tcPr>
            <w:tcW w:w="2234"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50.00</w:t>
            </w:r>
          </w:p>
        </w:tc>
        <w:tc>
          <w:tcPr>
            <w:tcW w:w="1503"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32.83</w:t>
            </w: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530" w:type="dxa"/>
          </w:tcPr>
          <w:p>
            <w:pPr>
              <w:spacing w:before="81" w:line="240" w:lineRule="exact"/>
              <w:ind w:left="81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14:textFill>
                  <w14:solidFill>
                    <w14:schemeClr w14:val="tx1"/>
                  </w14:solidFill>
                </w14:textFill>
              </w:rPr>
              <w:t>其中：公车购置</w:t>
            </w:r>
          </w:p>
        </w:tc>
        <w:tc>
          <w:tcPr>
            <w:tcW w:w="1535"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0.00</w:t>
            </w:r>
          </w:p>
        </w:tc>
        <w:tc>
          <w:tcPr>
            <w:tcW w:w="2234"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20.00</w:t>
            </w:r>
          </w:p>
        </w:tc>
        <w:tc>
          <w:tcPr>
            <w:tcW w:w="1503"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19.58</w:t>
            </w: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530" w:type="dxa"/>
          </w:tcPr>
          <w:p>
            <w:pPr>
              <w:spacing w:before="91" w:line="240" w:lineRule="exact"/>
              <w:ind w:left="142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14:textFill>
                  <w14:solidFill>
                    <w14:schemeClr w14:val="tx1"/>
                  </w14:solidFill>
                </w14:textFill>
              </w:rPr>
              <w:t>公车运行维护</w:t>
            </w:r>
          </w:p>
        </w:tc>
        <w:tc>
          <w:tcPr>
            <w:tcW w:w="1535"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13.00</w:t>
            </w:r>
          </w:p>
        </w:tc>
        <w:tc>
          <w:tcPr>
            <w:tcW w:w="2234"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30.00</w:t>
            </w:r>
          </w:p>
        </w:tc>
        <w:tc>
          <w:tcPr>
            <w:tcW w:w="1503"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13.25</w:t>
            </w: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3530" w:type="dxa"/>
          </w:tcPr>
          <w:p>
            <w:pPr>
              <w:spacing w:before="81" w:line="240" w:lineRule="exact"/>
              <w:ind w:left="38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14:textFill>
                  <w14:solidFill>
                    <w14:schemeClr w14:val="tx1"/>
                  </w14:solidFill>
                </w14:textFill>
              </w:rPr>
              <w:t>2、出国经费</w:t>
            </w:r>
          </w:p>
        </w:tc>
        <w:tc>
          <w:tcPr>
            <w:tcW w:w="1535"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0.00</w:t>
            </w:r>
          </w:p>
        </w:tc>
        <w:tc>
          <w:tcPr>
            <w:tcW w:w="2234"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0.00</w:t>
            </w:r>
          </w:p>
        </w:tc>
        <w:tc>
          <w:tcPr>
            <w:tcW w:w="1503"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0.00</w:t>
            </w: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530" w:type="dxa"/>
          </w:tcPr>
          <w:p>
            <w:pPr>
              <w:spacing w:before="82" w:line="240" w:lineRule="exact"/>
              <w:ind w:left="38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14:textFill>
                  <w14:solidFill>
                    <w14:schemeClr w14:val="tx1"/>
                  </w14:solidFill>
                </w14:textFill>
              </w:rPr>
              <w:t>3、公务接待</w:t>
            </w:r>
          </w:p>
        </w:tc>
        <w:tc>
          <w:tcPr>
            <w:tcW w:w="1535"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8.47</w:t>
            </w:r>
          </w:p>
        </w:tc>
        <w:tc>
          <w:tcPr>
            <w:tcW w:w="2234"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20.00</w:t>
            </w:r>
          </w:p>
        </w:tc>
        <w:tc>
          <w:tcPr>
            <w:tcW w:w="1503"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4.39</w:t>
            </w: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530" w:type="dxa"/>
          </w:tcPr>
          <w:p>
            <w:pPr>
              <w:spacing w:before="143" w:line="240" w:lineRule="exact"/>
              <w:ind w:left="8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19"/>
                <w:sz w:val="24"/>
                <w14:textFill>
                  <w14:solidFill>
                    <w14:schemeClr w14:val="tx1"/>
                  </w14:solidFill>
                </w14:textFill>
              </w:rPr>
              <w:t>项目支出：</w:t>
            </w:r>
          </w:p>
        </w:tc>
        <w:tc>
          <w:tcPr>
            <w:tcW w:w="1535" w:type="dxa"/>
            <w:gridSpan w:val="2"/>
          </w:tcPr>
          <w:p>
            <w:pPr>
              <w:spacing w:line="24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3480.40</w:t>
            </w:r>
          </w:p>
        </w:tc>
        <w:tc>
          <w:tcPr>
            <w:tcW w:w="2234" w:type="dxa"/>
            <w:gridSpan w:val="2"/>
          </w:tcPr>
          <w:p>
            <w:pPr>
              <w:spacing w:line="24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1199.3</w:t>
            </w:r>
          </w:p>
        </w:tc>
        <w:tc>
          <w:tcPr>
            <w:tcW w:w="1503" w:type="dxa"/>
            <w:gridSpan w:val="2"/>
          </w:tcPr>
          <w:p>
            <w:pPr>
              <w:spacing w:line="24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2089.40</w:t>
            </w:r>
          </w:p>
        </w:tc>
        <w:tc>
          <w:tcPr>
            <w:tcW w:w="611" w:type="dxa"/>
          </w:tcPr>
          <w:p>
            <w:pPr>
              <w:spacing w:line="240" w:lineRule="exact"/>
              <w:jc w:val="center"/>
              <w:rPr>
                <w:rFonts w:asciiTheme="majorEastAsia" w:hAnsiTheme="majorEastAsia" w:eastAsiaTheme="majorEastAsia" w:cstheme="majorEastAsia"/>
                <w:b/>
                <w:bCs/>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3530" w:type="dxa"/>
          </w:tcPr>
          <w:p>
            <w:pPr>
              <w:spacing w:before="133" w:line="240" w:lineRule="exact"/>
              <w:ind w:left="38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14:textFill>
                  <w14:solidFill>
                    <w14:schemeClr w14:val="tx1"/>
                  </w14:solidFill>
                </w14:textFill>
              </w:rPr>
              <w:t>1、业务工作经费</w:t>
            </w:r>
          </w:p>
        </w:tc>
        <w:tc>
          <w:tcPr>
            <w:tcW w:w="1535"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2449.82</w:t>
            </w:r>
          </w:p>
        </w:tc>
        <w:tc>
          <w:tcPr>
            <w:tcW w:w="2234"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326.3</w:t>
            </w:r>
          </w:p>
        </w:tc>
        <w:tc>
          <w:tcPr>
            <w:tcW w:w="1503"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1344.19</w:t>
            </w: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530" w:type="dxa"/>
          </w:tcPr>
          <w:p>
            <w:pPr>
              <w:spacing w:before="143" w:line="240" w:lineRule="exact"/>
              <w:ind w:left="38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14:textFill>
                  <w14:solidFill>
                    <w14:schemeClr w14:val="tx1"/>
                  </w14:solidFill>
                </w14:textFill>
              </w:rPr>
              <w:t>2、运行维护经费</w:t>
            </w:r>
          </w:p>
        </w:tc>
        <w:tc>
          <w:tcPr>
            <w:tcW w:w="1535"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1162.82</w:t>
            </w:r>
          </w:p>
        </w:tc>
        <w:tc>
          <w:tcPr>
            <w:tcW w:w="2234"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0</w:t>
            </w:r>
          </w:p>
        </w:tc>
        <w:tc>
          <w:tcPr>
            <w:tcW w:w="1503"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0</w:t>
            </w: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530" w:type="dxa"/>
          </w:tcPr>
          <w:p>
            <w:pPr>
              <w:spacing w:line="240" w:lineRule="exact"/>
              <w:jc w:val="left"/>
              <w:rPr>
                <w:rFonts w:asciiTheme="majorEastAsia" w:hAnsiTheme="majorEastAsia" w:eastAsiaTheme="majorEastAsia" w:cstheme="majorEastAsia"/>
                <w:color w:val="000000" w:themeColor="text1"/>
                <w:sz w:val="24"/>
                <w14:textFill>
                  <w14:solidFill>
                    <w14:schemeClr w14:val="tx1"/>
                  </w14:solidFill>
                </w14:textFill>
              </w:rPr>
            </w:pPr>
          </w:p>
        </w:tc>
        <w:tc>
          <w:tcPr>
            <w:tcW w:w="1535" w:type="dxa"/>
            <w:gridSpan w:val="2"/>
          </w:tcPr>
          <w:p>
            <w:pPr>
              <w:spacing w:line="240" w:lineRule="exact"/>
              <w:jc w:val="center"/>
              <w:rPr>
                <w:rFonts w:asciiTheme="majorEastAsia" w:hAnsiTheme="majorEastAsia" w:eastAsiaTheme="majorEastAsia" w:cstheme="majorEastAsia"/>
              </w:rPr>
            </w:pPr>
          </w:p>
        </w:tc>
        <w:tc>
          <w:tcPr>
            <w:tcW w:w="2234" w:type="dxa"/>
            <w:gridSpan w:val="2"/>
          </w:tcPr>
          <w:p>
            <w:pPr>
              <w:spacing w:line="240" w:lineRule="exact"/>
              <w:jc w:val="center"/>
              <w:rPr>
                <w:rFonts w:asciiTheme="majorEastAsia" w:hAnsiTheme="majorEastAsia" w:eastAsiaTheme="majorEastAsia" w:cstheme="majorEastAsia"/>
              </w:rPr>
            </w:pPr>
          </w:p>
        </w:tc>
        <w:tc>
          <w:tcPr>
            <w:tcW w:w="1503" w:type="dxa"/>
            <w:gridSpan w:val="2"/>
          </w:tcPr>
          <w:p>
            <w:pPr>
              <w:spacing w:line="240" w:lineRule="exact"/>
              <w:jc w:val="center"/>
              <w:rPr>
                <w:rFonts w:asciiTheme="majorEastAsia" w:hAnsiTheme="majorEastAsia" w:eastAsiaTheme="majorEastAsia" w:cstheme="majorEastAsia"/>
              </w:rPr>
            </w:pP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3530" w:type="dxa"/>
          </w:tcPr>
          <w:p>
            <w:pPr>
              <w:spacing w:before="93" w:line="240" w:lineRule="exact"/>
              <w:ind w:firstLine="488" w:firstLineChars="200"/>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14:textFill>
                  <w14:solidFill>
                    <w14:schemeClr w14:val="tx1"/>
                  </w14:solidFill>
                </w14:textFill>
              </w:rPr>
              <w:t>3、市级专项资金</w:t>
            </w:r>
            <w:r>
              <w:rPr>
                <w:rFonts w:hint="eastAsia" w:asciiTheme="majorEastAsia" w:hAnsiTheme="majorEastAsia" w:eastAsiaTheme="majorEastAsia" w:cstheme="majorEastAsia"/>
                <w:color w:val="000000" w:themeColor="text1"/>
                <w:spacing w:val="2"/>
                <w:szCs w:val="21"/>
                <w14:textFill>
                  <w14:solidFill>
                    <w14:schemeClr w14:val="tx1"/>
                  </w14:solidFill>
                </w14:textFill>
              </w:rPr>
              <w:t>(一个专项一行)</w:t>
            </w:r>
          </w:p>
        </w:tc>
        <w:tc>
          <w:tcPr>
            <w:tcW w:w="1535" w:type="dxa"/>
            <w:gridSpan w:val="2"/>
          </w:tcPr>
          <w:p>
            <w:pPr>
              <w:spacing w:line="240" w:lineRule="exact"/>
              <w:jc w:val="center"/>
              <w:rPr>
                <w:rFonts w:asciiTheme="majorEastAsia" w:hAnsiTheme="majorEastAsia" w:eastAsiaTheme="majorEastAsia" w:cstheme="majorEastAsia"/>
              </w:rPr>
            </w:pPr>
          </w:p>
        </w:tc>
        <w:tc>
          <w:tcPr>
            <w:tcW w:w="2234" w:type="dxa"/>
            <w:gridSpan w:val="2"/>
          </w:tcPr>
          <w:p>
            <w:pPr>
              <w:spacing w:line="240" w:lineRule="exact"/>
              <w:jc w:val="center"/>
              <w:rPr>
                <w:rFonts w:asciiTheme="majorEastAsia" w:hAnsiTheme="majorEastAsia" w:eastAsiaTheme="majorEastAsia" w:cstheme="majorEastAsia"/>
              </w:rPr>
            </w:pPr>
          </w:p>
        </w:tc>
        <w:tc>
          <w:tcPr>
            <w:tcW w:w="1503" w:type="dxa"/>
            <w:gridSpan w:val="2"/>
          </w:tcPr>
          <w:p>
            <w:pPr>
              <w:spacing w:line="240" w:lineRule="exact"/>
              <w:jc w:val="center"/>
              <w:rPr>
                <w:rFonts w:asciiTheme="majorEastAsia" w:hAnsiTheme="majorEastAsia" w:eastAsiaTheme="majorEastAsia" w:cstheme="majorEastAsia"/>
              </w:rPr>
            </w:pP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530" w:type="dxa"/>
          </w:tcPr>
          <w:p>
            <w:pPr>
              <w:spacing w:line="240" w:lineRule="exact"/>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环境监测、监控及监察能力建设</w:t>
            </w:r>
          </w:p>
        </w:tc>
        <w:tc>
          <w:tcPr>
            <w:tcW w:w="1535" w:type="dxa"/>
            <w:gridSpan w:val="2"/>
          </w:tcPr>
          <w:p>
            <w:pPr>
              <w:spacing w:line="240" w:lineRule="exact"/>
              <w:jc w:val="center"/>
              <w:rPr>
                <w:rFonts w:asciiTheme="majorEastAsia" w:hAnsiTheme="majorEastAsia" w:eastAsiaTheme="majorEastAsia" w:cstheme="majorEastAsia"/>
              </w:rPr>
            </w:pPr>
            <w:r>
              <w:rPr>
                <w:rFonts w:asciiTheme="majorEastAsia" w:hAnsiTheme="majorEastAsia" w:eastAsiaTheme="majorEastAsia" w:cstheme="majorEastAsia"/>
              </w:rPr>
              <w:t>383</w:t>
            </w:r>
            <w:r>
              <w:rPr>
                <w:rFonts w:hint="eastAsia" w:asciiTheme="majorEastAsia" w:hAnsiTheme="majorEastAsia" w:eastAsiaTheme="majorEastAsia" w:cstheme="majorEastAsia"/>
              </w:rPr>
              <w:t>.00</w:t>
            </w:r>
          </w:p>
        </w:tc>
        <w:tc>
          <w:tcPr>
            <w:tcW w:w="2234"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268.00</w:t>
            </w:r>
          </w:p>
        </w:tc>
        <w:tc>
          <w:tcPr>
            <w:tcW w:w="1503"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150.86</w:t>
            </w: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530" w:type="dxa"/>
          </w:tcPr>
          <w:p>
            <w:pPr>
              <w:spacing w:line="240" w:lineRule="exact"/>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环境监察、监测等运行经费</w:t>
            </w:r>
          </w:p>
        </w:tc>
        <w:tc>
          <w:tcPr>
            <w:tcW w:w="1535" w:type="dxa"/>
            <w:gridSpan w:val="2"/>
          </w:tcPr>
          <w:p>
            <w:pPr>
              <w:spacing w:line="240" w:lineRule="exact"/>
              <w:jc w:val="center"/>
              <w:rPr>
                <w:rFonts w:asciiTheme="majorEastAsia" w:hAnsiTheme="majorEastAsia" w:eastAsiaTheme="majorEastAsia" w:cstheme="majorEastAsia"/>
              </w:rPr>
            </w:pPr>
            <w:r>
              <w:rPr>
                <w:rFonts w:asciiTheme="majorEastAsia" w:hAnsiTheme="majorEastAsia" w:eastAsiaTheme="majorEastAsia" w:cstheme="majorEastAsia"/>
              </w:rPr>
              <w:t>647.58</w:t>
            </w:r>
          </w:p>
        </w:tc>
        <w:tc>
          <w:tcPr>
            <w:tcW w:w="2234" w:type="dxa"/>
            <w:gridSpan w:val="2"/>
          </w:tcPr>
          <w:p>
            <w:pPr>
              <w:spacing w:line="240" w:lineRule="exact"/>
              <w:jc w:val="center"/>
              <w:rPr>
                <w:rFonts w:asciiTheme="majorEastAsia" w:hAnsiTheme="majorEastAsia" w:eastAsiaTheme="majorEastAsia" w:cstheme="majorEastAsia"/>
              </w:rPr>
            </w:pPr>
            <w:r>
              <w:rPr>
                <w:rFonts w:asciiTheme="majorEastAsia" w:hAnsiTheme="majorEastAsia" w:eastAsiaTheme="majorEastAsia" w:cstheme="majorEastAsia"/>
              </w:rPr>
              <w:t>605.00</w:t>
            </w:r>
          </w:p>
        </w:tc>
        <w:tc>
          <w:tcPr>
            <w:tcW w:w="1503"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594.35</w:t>
            </w: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530" w:type="dxa"/>
          </w:tcPr>
          <w:p>
            <w:pPr>
              <w:spacing w:before="85" w:line="240" w:lineRule="exact"/>
              <w:ind w:firstLine="492" w:firstLineChars="200"/>
              <w:jc w:val="left"/>
              <w:rPr>
                <w:rFonts w:asciiTheme="majorEastAsia" w:hAnsiTheme="majorEastAsia" w:eastAsiaTheme="majorEastAsia" w:cstheme="majorEastAsia"/>
                <w:color w:val="000000" w:themeColor="text1"/>
                <w:spacing w:val="3"/>
                <w:sz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14:textFill>
                  <w14:solidFill>
                    <w14:schemeClr w14:val="tx1"/>
                  </w14:solidFill>
                </w14:textFill>
              </w:rPr>
              <w:t>4、上级转移支付</w:t>
            </w:r>
            <w:r>
              <w:rPr>
                <w:rFonts w:hint="eastAsia" w:asciiTheme="majorEastAsia" w:hAnsiTheme="majorEastAsia" w:eastAsiaTheme="majorEastAsia" w:cstheme="majorEastAsia"/>
                <w:color w:val="000000" w:themeColor="text1"/>
                <w:spacing w:val="2"/>
                <w:szCs w:val="21"/>
                <w14:textFill>
                  <w14:solidFill>
                    <w14:schemeClr w14:val="tx1"/>
                  </w14:solidFill>
                </w14:textFill>
              </w:rPr>
              <w:t>(一个专项一行）</w:t>
            </w:r>
          </w:p>
        </w:tc>
        <w:tc>
          <w:tcPr>
            <w:tcW w:w="1535"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0.00</w:t>
            </w:r>
          </w:p>
        </w:tc>
        <w:tc>
          <w:tcPr>
            <w:tcW w:w="2234"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0.00</w:t>
            </w:r>
          </w:p>
        </w:tc>
        <w:tc>
          <w:tcPr>
            <w:tcW w:w="1503"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0.00</w:t>
            </w: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530" w:type="dxa"/>
          </w:tcPr>
          <w:p>
            <w:pPr>
              <w:spacing w:before="85" w:line="240" w:lineRule="exact"/>
              <w:ind w:left="9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14:textFill>
                  <w14:solidFill>
                    <w14:schemeClr w14:val="tx1"/>
                  </w14:solidFill>
                </w14:textFill>
              </w:rPr>
              <w:t>公用经费</w:t>
            </w:r>
          </w:p>
        </w:tc>
        <w:tc>
          <w:tcPr>
            <w:tcW w:w="1535" w:type="dxa"/>
            <w:gridSpan w:val="2"/>
          </w:tcPr>
          <w:p>
            <w:pPr>
              <w:spacing w:line="24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119.86</w:t>
            </w:r>
          </w:p>
        </w:tc>
        <w:tc>
          <w:tcPr>
            <w:tcW w:w="2234" w:type="dxa"/>
            <w:gridSpan w:val="2"/>
          </w:tcPr>
          <w:p>
            <w:pPr>
              <w:spacing w:line="24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186.08</w:t>
            </w:r>
          </w:p>
        </w:tc>
        <w:tc>
          <w:tcPr>
            <w:tcW w:w="1503" w:type="dxa"/>
            <w:gridSpan w:val="2"/>
          </w:tcPr>
          <w:p>
            <w:pPr>
              <w:spacing w:line="24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219.19</w:t>
            </w:r>
          </w:p>
        </w:tc>
        <w:tc>
          <w:tcPr>
            <w:tcW w:w="611" w:type="dxa"/>
          </w:tcPr>
          <w:p>
            <w:pPr>
              <w:spacing w:line="240" w:lineRule="exact"/>
              <w:jc w:val="center"/>
              <w:rPr>
                <w:rFonts w:asciiTheme="majorEastAsia" w:hAnsiTheme="majorEastAsia" w:eastAsiaTheme="majorEastAsia" w:cstheme="majorEastAsia"/>
                <w:b/>
                <w:bCs/>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530" w:type="dxa"/>
          </w:tcPr>
          <w:p>
            <w:pPr>
              <w:spacing w:before="85" w:line="240" w:lineRule="exact"/>
              <w:ind w:left="38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14:textFill>
                  <w14:solidFill>
                    <w14:schemeClr w14:val="tx1"/>
                  </w14:solidFill>
                </w14:textFill>
              </w:rPr>
              <w:t>其中：办公经费</w:t>
            </w:r>
          </w:p>
        </w:tc>
        <w:tc>
          <w:tcPr>
            <w:tcW w:w="1535"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39.13</w:t>
            </w:r>
          </w:p>
        </w:tc>
        <w:tc>
          <w:tcPr>
            <w:tcW w:w="2234"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156.08</w:t>
            </w:r>
          </w:p>
        </w:tc>
        <w:tc>
          <w:tcPr>
            <w:tcW w:w="1503"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198.26</w:t>
            </w: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530" w:type="dxa"/>
          </w:tcPr>
          <w:p>
            <w:pPr>
              <w:spacing w:before="135" w:line="240" w:lineRule="exact"/>
              <w:ind w:left="111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14:textFill>
                  <w14:solidFill>
                    <w14:schemeClr w14:val="tx1"/>
                  </w14:solidFill>
                </w14:textFill>
              </w:rPr>
              <w:t>水费、电费、差旅费</w:t>
            </w:r>
          </w:p>
        </w:tc>
        <w:tc>
          <w:tcPr>
            <w:tcW w:w="1535"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52.32</w:t>
            </w:r>
          </w:p>
        </w:tc>
        <w:tc>
          <w:tcPr>
            <w:tcW w:w="2234"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20.00</w:t>
            </w:r>
          </w:p>
        </w:tc>
        <w:tc>
          <w:tcPr>
            <w:tcW w:w="1503"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16.72</w:t>
            </w: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530" w:type="dxa"/>
          </w:tcPr>
          <w:p>
            <w:pPr>
              <w:spacing w:before="144" w:line="240" w:lineRule="exact"/>
              <w:ind w:left="112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14:textFill>
                  <w14:solidFill>
                    <w14:schemeClr w14:val="tx1"/>
                  </w14:solidFill>
                </w14:textFill>
              </w:rPr>
              <w:t>会议费、培训费</w:t>
            </w:r>
          </w:p>
        </w:tc>
        <w:tc>
          <w:tcPr>
            <w:tcW w:w="1535"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28.41</w:t>
            </w:r>
          </w:p>
        </w:tc>
        <w:tc>
          <w:tcPr>
            <w:tcW w:w="2234"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10.00</w:t>
            </w:r>
          </w:p>
        </w:tc>
        <w:tc>
          <w:tcPr>
            <w:tcW w:w="1503" w:type="dxa"/>
            <w:gridSpan w:val="2"/>
          </w:tcPr>
          <w:p>
            <w:pPr>
              <w:spacing w:line="240" w:lineRule="exact"/>
              <w:jc w:val="center"/>
              <w:rPr>
                <w:rFonts w:asciiTheme="majorEastAsia" w:hAnsiTheme="majorEastAsia" w:eastAsiaTheme="majorEastAsia" w:cstheme="majorEastAsia"/>
              </w:rPr>
            </w:pPr>
            <w:r>
              <w:rPr>
                <w:rFonts w:hint="eastAsia" w:asciiTheme="majorEastAsia" w:hAnsiTheme="majorEastAsia" w:eastAsiaTheme="majorEastAsia" w:cstheme="majorEastAsia"/>
              </w:rPr>
              <w:t>4.21</w:t>
            </w: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3530" w:type="dxa"/>
          </w:tcPr>
          <w:p>
            <w:pPr>
              <w:spacing w:before="145" w:line="240" w:lineRule="exact"/>
              <w:ind w:left="10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14:textFill>
                  <w14:solidFill>
                    <w14:schemeClr w14:val="tx1"/>
                  </w14:solidFill>
                </w14:textFill>
              </w:rPr>
              <w:t>政府采购金额</w:t>
            </w:r>
          </w:p>
        </w:tc>
        <w:tc>
          <w:tcPr>
            <w:tcW w:w="1535" w:type="dxa"/>
            <w:gridSpan w:val="2"/>
          </w:tcPr>
          <w:p>
            <w:pPr>
              <w:spacing w:line="24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2,368.21</w:t>
            </w:r>
          </w:p>
        </w:tc>
        <w:tc>
          <w:tcPr>
            <w:tcW w:w="2234" w:type="dxa"/>
            <w:gridSpan w:val="2"/>
          </w:tcPr>
          <w:p>
            <w:pPr>
              <w:spacing w:line="24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7983.00</w:t>
            </w:r>
          </w:p>
        </w:tc>
        <w:tc>
          <w:tcPr>
            <w:tcW w:w="1503" w:type="dxa"/>
            <w:gridSpan w:val="2"/>
          </w:tcPr>
          <w:p>
            <w:pPr>
              <w:spacing w:line="24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1,657.56</w:t>
            </w:r>
          </w:p>
        </w:tc>
        <w:tc>
          <w:tcPr>
            <w:tcW w:w="611" w:type="dxa"/>
          </w:tcPr>
          <w:p>
            <w:pPr>
              <w:spacing w:line="240" w:lineRule="exact"/>
              <w:jc w:val="center"/>
              <w:rPr>
                <w:rFonts w:asciiTheme="majorEastAsia" w:hAnsiTheme="majorEastAsia" w:eastAsiaTheme="majorEastAsia" w:cstheme="majorEastAsia"/>
                <w:b/>
                <w:bCs/>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530" w:type="dxa"/>
          </w:tcPr>
          <w:p>
            <w:pPr>
              <w:spacing w:before="145" w:line="240" w:lineRule="exact"/>
              <w:ind w:left="114"/>
              <w:jc w:val="left"/>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14:textFill>
                  <w14:solidFill>
                    <w14:schemeClr w14:val="tx1"/>
                  </w14:solidFill>
                </w14:textFill>
              </w:rPr>
              <w:t>部门基本支出预算调整</w:t>
            </w:r>
          </w:p>
        </w:tc>
        <w:tc>
          <w:tcPr>
            <w:tcW w:w="1535" w:type="dxa"/>
            <w:gridSpan w:val="2"/>
          </w:tcPr>
          <w:p>
            <w:pPr>
              <w:spacing w:line="24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1,228.65</w:t>
            </w:r>
          </w:p>
        </w:tc>
        <w:tc>
          <w:tcPr>
            <w:tcW w:w="2234" w:type="dxa"/>
            <w:gridSpan w:val="2"/>
          </w:tcPr>
          <w:p>
            <w:pPr>
              <w:spacing w:line="24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887.57</w:t>
            </w:r>
          </w:p>
        </w:tc>
        <w:tc>
          <w:tcPr>
            <w:tcW w:w="1503" w:type="dxa"/>
            <w:gridSpan w:val="2"/>
          </w:tcPr>
          <w:p>
            <w:pPr>
              <w:spacing w:line="24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1,938.60</w:t>
            </w:r>
          </w:p>
        </w:tc>
        <w:tc>
          <w:tcPr>
            <w:tcW w:w="611" w:type="dxa"/>
          </w:tcPr>
          <w:p>
            <w:pPr>
              <w:spacing w:line="240" w:lineRule="exact"/>
              <w:jc w:val="center"/>
              <w:rPr>
                <w:rFonts w:asciiTheme="majorEastAsia" w:hAnsiTheme="majorEastAsia" w:eastAsiaTheme="majorEastAsia" w:cstheme="majorEastAsia"/>
                <w:b/>
                <w:bCs/>
                <w:color w:val="FF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3530" w:type="dxa"/>
            <w:vMerge w:val="restart"/>
            <w:tcBorders>
              <w:bottom w:val="nil"/>
            </w:tcBorders>
            <w:vAlign w:val="center"/>
          </w:tcPr>
          <w:p>
            <w:pPr>
              <w:spacing w:before="65" w:line="240" w:lineRule="exact"/>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1"/>
                <w:position w:val="14"/>
                <w:sz w:val="24"/>
                <w14:textFill>
                  <w14:solidFill>
                    <w14:schemeClr w14:val="tx1"/>
                  </w14:solidFill>
                </w14:textFill>
              </w:rPr>
              <w:t>楼堂馆所控制情况</w:t>
            </w:r>
          </w:p>
          <w:p>
            <w:pPr>
              <w:spacing w:line="240" w:lineRule="exact"/>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14:textFill>
                  <w14:solidFill>
                    <w14:schemeClr w14:val="tx1"/>
                  </w14:solidFill>
                </w14:textFill>
              </w:rPr>
              <w:t>(2022年完工项目)</w:t>
            </w:r>
          </w:p>
        </w:tc>
        <w:tc>
          <w:tcPr>
            <w:tcW w:w="650" w:type="dxa"/>
            <w:vAlign w:val="center"/>
          </w:tcPr>
          <w:p>
            <w:pPr>
              <w:spacing w:line="240" w:lineRule="exact"/>
              <w:jc w:val="center"/>
              <w:rPr>
                <w:rFonts w:asciiTheme="majorEastAsia" w:hAnsiTheme="majorEastAsia" w:eastAsiaTheme="majorEastAsia" w:cstheme="majorEastAsia"/>
                <w:color w:val="000000" w:themeColor="text1"/>
                <w:sz w:val="20"/>
                <w:szCs w:val="20"/>
                <w14:textFill>
                  <w14:solidFill>
                    <w14:schemeClr w14:val="tx1"/>
                  </w14:solidFill>
                </w14:textFill>
              </w:rPr>
            </w:pPr>
            <w:r>
              <w:rPr>
                <w:rFonts w:hint="eastAsia" w:asciiTheme="majorEastAsia" w:hAnsiTheme="majorEastAsia" w:eastAsiaTheme="majorEastAsia" w:cstheme="majorEastAsia"/>
                <w:color w:val="000000" w:themeColor="text1"/>
                <w:sz w:val="20"/>
                <w:szCs w:val="20"/>
                <w14:textFill>
                  <w14:solidFill>
                    <w14:schemeClr w14:val="tx1"/>
                  </w14:solidFill>
                </w14:textFill>
              </w:rPr>
              <w:t>批复规模</w:t>
            </w:r>
          </w:p>
          <w:p>
            <w:pPr>
              <w:spacing w:line="240" w:lineRule="exact"/>
              <w:jc w:val="center"/>
              <w:rPr>
                <w:rFonts w:asciiTheme="majorEastAsia" w:hAnsiTheme="majorEastAsia" w:eastAsiaTheme="majorEastAsia" w:cstheme="majorEastAsia"/>
                <w:color w:val="000000" w:themeColor="text1"/>
                <w:sz w:val="20"/>
                <w:szCs w:val="20"/>
                <w14:textFill>
                  <w14:solidFill>
                    <w14:schemeClr w14:val="tx1"/>
                  </w14:solidFill>
                </w14:textFill>
              </w:rPr>
            </w:pPr>
            <w:r>
              <w:rPr>
                <w:rFonts w:hint="eastAsia" w:asciiTheme="majorEastAsia" w:hAnsiTheme="majorEastAsia" w:eastAsiaTheme="majorEastAsia" w:cstheme="majorEastAsia"/>
                <w:color w:val="000000" w:themeColor="text1"/>
                <w:sz w:val="20"/>
                <w:szCs w:val="20"/>
                <w14:textFill>
                  <w14:solidFill>
                    <w14:schemeClr w14:val="tx1"/>
                  </w14:solidFill>
                </w14:textFill>
              </w:rPr>
              <w:t>(m²)</w:t>
            </w:r>
          </w:p>
        </w:tc>
        <w:tc>
          <w:tcPr>
            <w:tcW w:w="885" w:type="dxa"/>
            <w:vAlign w:val="center"/>
          </w:tcPr>
          <w:p>
            <w:pPr>
              <w:spacing w:line="240" w:lineRule="exact"/>
              <w:jc w:val="center"/>
              <w:rPr>
                <w:rFonts w:asciiTheme="majorEastAsia" w:hAnsiTheme="majorEastAsia" w:eastAsiaTheme="majorEastAsia" w:cstheme="majorEastAsia"/>
                <w:color w:val="000000" w:themeColor="text1"/>
                <w:sz w:val="20"/>
                <w:szCs w:val="20"/>
                <w14:textFill>
                  <w14:solidFill>
                    <w14:schemeClr w14:val="tx1"/>
                  </w14:solidFill>
                </w14:textFill>
              </w:rPr>
            </w:pPr>
            <w:r>
              <w:rPr>
                <w:rFonts w:hint="eastAsia" w:asciiTheme="majorEastAsia" w:hAnsiTheme="majorEastAsia" w:eastAsiaTheme="majorEastAsia" w:cstheme="majorEastAsia"/>
                <w:color w:val="000000" w:themeColor="text1"/>
                <w:sz w:val="20"/>
                <w:szCs w:val="20"/>
                <w14:textFill>
                  <w14:solidFill>
                    <w14:schemeClr w14:val="tx1"/>
                  </w14:solidFill>
                </w14:textFill>
              </w:rPr>
              <w:t>实际规</w:t>
            </w:r>
          </w:p>
          <w:p>
            <w:pPr>
              <w:spacing w:line="240" w:lineRule="exact"/>
              <w:jc w:val="center"/>
              <w:rPr>
                <w:rFonts w:asciiTheme="majorEastAsia" w:hAnsiTheme="majorEastAsia" w:eastAsiaTheme="majorEastAsia" w:cstheme="majorEastAsia"/>
                <w:color w:val="000000" w:themeColor="text1"/>
                <w:sz w:val="20"/>
                <w:szCs w:val="20"/>
                <w14:textFill>
                  <w14:solidFill>
                    <w14:schemeClr w14:val="tx1"/>
                  </w14:solidFill>
                </w14:textFill>
              </w:rPr>
            </w:pPr>
            <w:r>
              <w:rPr>
                <w:rFonts w:hint="eastAsia" w:asciiTheme="majorEastAsia" w:hAnsiTheme="majorEastAsia" w:eastAsiaTheme="majorEastAsia" w:cstheme="majorEastAsia"/>
                <w:color w:val="000000" w:themeColor="text1"/>
                <w:sz w:val="20"/>
                <w:szCs w:val="20"/>
                <w14:textFill>
                  <w14:solidFill>
                    <w14:schemeClr w14:val="tx1"/>
                  </w14:solidFill>
                </w14:textFill>
              </w:rPr>
              <w:t>模(m²)</w:t>
            </w:r>
          </w:p>
        </w:tc>
        <w:tc>
          <w:tcPr>
            <w:tcW w:w="1019" w:type="dxa"/>
            <w:vAlign w:val="center"/>
          </w:tcPr>
          <w:p>
            <w:pPr>
              <w:spacing w:line="240" w:lineRule="exact"/>
              <w:jc w:val="center"/>
              <w:rPr>
                <w:rFonts w:asciiTheme="majorEastAsia" w:hAnsiTheme="majorEastAsia" w:eastAsiaTheme="majorEastAsia" w:cstheme="majorEastAsia"/>
                <w:color w:val="000000" w:themeColor="text1"/>
                <w:sz w:val="20"/>
                <w:szCs w:val="20"/>
                <w14:textFill>
                  <w14:solidFill>
                    <w14:schemeClr w14:val="tx1"/>
                  </w14:solidFill>
                </w14:textFill>
              </w:rPr>
            </w:pPr>
            <w:r>
              <w:rPr>
                <w:rFonts w:hint="eastAsia" w:asciiTheme="majorEastAsia" w:hAnsiTheme="majorEastAsia" w:eastAsiaTheme="majorEastAsia" w:cstheme="majorEastAsia"/>
                <w:color w:val="000000" w:themeColor="text1"/>
                <w:sz w:val="20"/>
                <w:szCs w:val="20"/>
                <w14:textFill>
                  <w14:solidFill>
                    <w14:schemeClr w14:val="tx1"/>
                  </w14:solidFill>
                </w14:textFill>
              </w:rPr>
              <w:t>规模控制率</w:t>
            </w:r>
          </w:p>
        </w:tc>
        <w:tc>
          <w:tcPr>
            <w:tcW w:w="1215" w:type="dxa"/>
            <w:vAlign w:val="center"/>
          </w:tcPr>
          <w:p>
            <w:pPr>
              <w:spacing w:line="240" w:lineRule="exact"/>
              <w:jc w:val="center"/>
              <w:rPr>
                <w:rFonts w:asciiTheme="majorEastAsia" w:hAnsiTheme="majorEastAsia" w:eastAsiaTheme="majorEastAsia" w:cstheme="majorEastAsia"/>
                <w:color w:val="000000" w:themeColor="text1"/>
                <w:sz w:val="20"/>
                <w:szCs w:val="20"/>
                <w14:textFill>
                  <w14:solidFill>
                    <w14:schemeClr w14:val="tx1"/>
                  </w14:solidFill>
                </w14:textFill>
              </w:rPr>
            </w:pPr>
            <w:r>
              <w:rPr>
                <w:rFonts w:hint="eastAsia" w:asciiTheme="majorEastAsia" w:hAnsiTheme="majorEastAsia" w:eastAsiaTheme="majorEastAsia" w:cstheme="majorEastAsia"/>
                <w:color w:val="000000" w:themeColor="text1"/>
                <w:sz w:val="20"/>
                <w:szCs w:val="20"/>
                <w14:textFill>
                  <w14:solidFill>
                    <w14:schemeClr w14:val="tx1"/>
                  </w14:solidFill>
                </w14:textFill>
              </w:rPr>
              <w:t>预算投资</w:t>
            </w:r>
          </w:p>
          <w:p>
            <w:pPr>
              <w:spacing w:line="240" w:lineRule="exact"/>
              <w:jc w:val="center"/>
              <w:rPr>
                <w:rFonts w:asciiTheme="majorEastAsia" w:hAnsiTheme="majorEastAsia" w:eastAsiaTheme="majorEastAsia" w:cstheme="majorEastAsia"/>
                <w:color w:val="000000" w:themeColor="text1"/>
                <w:sz w:val="20"/>
                <w:szCs w:val="20"/>
                <w14:textFill>
                  <w14:solidFill>
                    <w14:schemeClr w14:val="tx1"/>
                  </w14:solidFill>
                </w14:textFill>
              </w:rPr>
            </w:pPr>
            <w:r>
              <w:rPr>
                <w:rFonts w:hint="eastAsia" w:asciiTheme="majorEastAsia" w:hAnsiTheme="majorEastAsia" w:eastAsiaTheme="majorEastAsia" w:cstheme="majorEastAsia"/>
                <w:color w:val="000000" w:themeColor="text1"/>
                <w:sz w:val="20"/>
                <w:szCs w:val="20"/>
                <w14:textFill>
                  <w14:solidFill>
                    <w14:schemeClr w14:val="tx1"/>
                  </w14:solidFill>
                </w14:textFill>
              </w:rPr>
              <w:t>(万元)</w:t>
            </w:r>
          </w:p>
        </w:tc>
        <w:tc>
          <w:tcPr>
            <w:tcW w:w="568" w:type="dxa"/>
            <w:vAlign w:val="center"/>
          </w:tcPr>
          <w:p>
            <w:pPr>
              <w:spacing w:line="240" w:lineRule="exact"/>
              <w:jc w:val="center"/>
              <w:rPr>
                <w:rFonts w:asciiTheme="majorEastAsia" w:hAnsiTheme="majorEastAsia" w:eastAsiaTheme="majorEastAsia" w:cstheme="majorEastAsia"/>
                <w:color w:val="000000" w:themeColor="text1"/>
                <w:sz w:val="20"/>
                <w:szCs w:val="20"/>
                <w14:textFill>
                  <w14:solidFill>
                    <w14:schemeClr w14:val="tx1"/>
                  </w14:solidFill>
                </w14:textFill>
              </w:rPr>
            </w:pPr>
            <w:r>
              <w:rPr>
                <w:rFonts w:hint="eastAsia" w:asciiTheme="majorEastAsia" w:hAnsiTheme="majorEastAsia" w:eastAsiaTheme="majorEastAsia" w:cstheme="majorEastAsia"/>
                <w:color w:val="000000" w:themeColor="text1"/>
                <w:sz w:val="20"/>
                <w:szCs w:val="20"/>
                <w14:textFill>
                  <w14:solidFill>
                    <w14:schemeClr w14:val="tx1"/>
                  </w14:solidFill>
                </w14:textFill>
              </w:rPr>
              <w:t>实际</w:t>
            </w:r>
          </w:p>
          <w:p>
            <w:pPr>
              <w:spacing w:line="240" w:lineRule="exact"/>
              <w:jc w:val="center"/>
              <w:rPr>
                <w:rFonts w:asciiTheme="majorEastAsia" w:hAnsiTheme="majorEastAsia" w:eastAsiaTheme="majorEastAsia" w:cstheme="majorEastAsia"/>
                <w:color w:val="000000" w:themeColor="text1"/>
                <w:sz w:val="20"/>
                <w:szCs w:val="20"/>
                <w14:textFill>
                  <w14:solidFill>
                    <w14:schemeClr w14:val="tx1"/>
                  </w14:solidFill>
                </w14:textFill>
              </w:rPr>
            </w:pPr>
            <w:r>
              <w:rPr>
                <w:rFonts w:hint="eastAsia" w:asciiTheme="majorEastAsia" w:hAnsiTheme="majorEastAsia" w:eastAsiaTheme="majorEastAsia" w:cstheme="majorEastAsia"/>
                <w:color w:val="000000" w:themeColor="text1"/>
                <w:sz w:val="20"/>
                <w:szCs w:val="20"/>
                <w14:textFill>
                  <w14:solidFill>
                    <w14:schemeClr w14:val="tx1"/>
                  </w14:solidFill>
                </w14:textFill>
              </w:rPr>
              <w:t>投资</w:t>
            </w:r>
          </w:p>
          <w:p>
            <w:pPr>
              <w:spacing w:line="240" w:lineRule="exact"/>
              <w:jc w:val="center"/>
              <w:rPr>
                <w:rFonts w:asciiTheme="majorEastAsia" w:hAnsiTheme="majorEastAsia" w:eastAsiaTheme="majorEastAsia" w:cstheme="majorEastAsia"/>
                <w:color w:val="000000" w:themeColor="text1"/>
                <w:sz w:val="20"/>
                <w:szCs w:val="20"/>
                <w14:textFill>
                  <w14:solidFill>
                    <w14:schemeClr w14:val="tx1"/>
                  </w14:solidFill>
                </w14:textFill>
              </w:rPr>
            </w:pPr>
            <w:r>
              <w:rPr>
                <w:rFonts w:hint="eastAsia" w:asciiTheme="majorEastAsia" w:hAnsiTheme="majorEastAsia" w:eastAsiaTheme="majorEastAsia" w:cstheme="majorEastAsia"/>
                <w:color w:val="000000" w:themeColor="text1"/>
                <w:sz w:val="20"/>
                <w:szCs w:val="20"/>
                <w14:textFill>
                  <w14:solidFill>
                    <w14:schemeClr w14:val="tx1"/>
                  </w14:solidFill>
                </w14:textFill>
              </w:rPr>
              <w:t>(万元)</w:t>
            </w:r>
          </w:p>
        </w:tc>
        <w:tc>
          <w:tcPr>
            <w:tcW w:w="935" w:type="dxa"/>
            <w:vAlign w:val="center"/>
          </w:tcPr>
          <w:p>
            <w:pPr>
              <w:spacing w:line="240" w:lineRule="exact"/>
              <w:jc w:val="center"/>
              <w:rPr>
                <w:rFonts w:asciiTheme="majorEastAsia" w:hAnsiTheme="majorEastAsia" w:eastAsiaTheme="majorEastAsia" w:cstheme="majorEastAsia"/>
                <w:color w:val="000000" w:themeColor="text1"/>
                <w:sz w:val="20"/>
                <w:szCs w:val="20"/>
                <w14:textFill>
                  <w14:solidFill>
                    <w14:schemeClr w14:val="tx1"/>
                  </w14:solidFill>
                </w14:textFill>
              </w:rPr>
            </w:pPr>
            <w:r>
              <w:rPr>
                <w:rFonts w:hint="eastAsia" w:asciiTheme="majorEastAsia" w:hAnsiTheme="majorEastAsia" w:eastAsiaTheme="majorEastAsia" w:cstheme="majorEastAsia"/>
                <w:color w:val="000000" w:themeColor="text1"/>
                <w:sz w:val="20"/>
                <w:szCs w:val="20"/>
                <w14:textFill>
                  <w14:solidFill>
                    <w14:schemeClr w14:val="tx1"/>
                  </w14:solidFill>
                </w14:textFill>
              </w:rPr>
              <w:t>投资概</w:t>
            </w:r>
          </w:p>
          <w:p>
            <w:pPr>
              <w:spacing w:line="240" w:lineRule="exact"/>
              <w:jc w:val="center"/>
              <w:rPr>
                <w:rFonts w:asciiTheme="majorEastAsia" w:hAnsiTheme="majorEastAsia" w:eastAsiaTheme="majorEastAsia" w:cstheme="majorEastAsia"/>
                <w:color w:val="000000" w:themeColor="text1"/>
                <w:sz w:val="20"/>
                <w:szCs w:val="20"/>
                <w14:textFill>
                  <w14:solidFill>
                    <w14:schemeClr w14:val="tx1"/>
                  </w14:solidFill>
                </w14:textFill>
              </w:rPr>
            </w:pPr>
            <w:r>
              <w:rPr>
                <w:rFonts w:hint="eastAsia" w:asciiTheme="majorEastAsia" w:hAnsiTheme="majorEastAsia" w:eastAsiaTheme="majorEastAsia" w:cstheme="majorEastAsia"/>
                <w:color w:val="000000" w:themeColor="text1"/>
                <w:sz w:val="20"/>
                <w:szCs w:val="20"/>
                <w14:textFill>
                  <w14:solidFill>
                    <w14:schemeClr w14:val="tx1"/>
                  </w14:solidFill>
                </w14:textFill>
              </w:rPr>
              <w:t>算控制</w:t>
            </w:r>
          </w:p>
          <w:p>
            <w:pPr>
              <w:spacing w:line="240" w:lineRule="exact"/>
              <w:jc w:val="center"/>
              <w:rPr>
                <w:rFonts w:asciiTheme="majorEastAsia" w:hAnsiTheme="majorEastAsia" w:eastAsiaTheme="majorEastAsia" w:cstheme="majorEastAsia"/>
                <w:color w:val="000000" w:themeColor="text1"/>
                <w:sz w:val="20"/>
                <w:szCs w:val="20"/>
                <w14:textFill>
                  <w14:solidFill>
                    <w14:schemeClr w14:val="tx1"/>
                  </w14:solidFill>
                </w14:textFill>
              </w:rPr>
            </w:pPr>
            <w:r>
              <w:rPr>
                <w:rFonts w:hint="eastAsia" w:asciiTheme="majorEastAsia" w:hAnsiTheme="majorEastAsia" w:eastAsiaTheme="majorEastAsia" w:cstheme="majorEastAsia"/>
                <w:color w:val="000000" w:themeColor="text1"/>
                <w:sz w:val="20"/>
                <w:szCs w:val="20"/>
                <w14:textFill>
                  <w14:solidFill>
                    <w14:schemeClr w14:val="tx1"/>
                  </w14:solidFill>
                </w14:textFill>
              </w:rPr>
              <w:t>率</w:t>
            </w:r>
          </w:p>
        </w:tc>
        <w:tc>
          <w:tcPr>
            <w:tcW w:w="611" w:type="dxa"/>
            <w:vAlign w:val="center"/>
          </w:tcPr>
          <w:p>
            <w:pPr>
              <w:spacing w:line="240" w:lineRule="exact"/>
              <w:jc w:val="center"/>
              <w:rPr>
                <w:rFonts w:asciiTheme="majorEastAsia" w:hAnsiTheme="majorEastAsia" w:eastAsiaTheme="majorEastAsia" w:cstheme="majorEastAsia"/>
                <w:color w:val="000000" w:themeColor="text1"/>
                <w:sz w:val="20"/>
                <w:szCs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530" w:type="dxa"/>
            <w:vMerge w:val="continue"/>
            <w:tcBorders>
              <w:top w:val="nil"/>
            </w:tcBorders>
          </w:tcPr>
          <w:p>
            <w:pPr>
              <w:spacing w:line="240" w:lineRule="exact"/>
              <w:jc w:val="left"/>
              <w:rPr>
                <w:rFonts w:asciiTheme="majorEastAsia" w:hAnsiTheme="majorEastAsia" w:eastAsiaTheme="majorEastAsia" w:cstheme="majorEastAsia"/>
                <w:color w:val="000000" w:themeColor="text1"/>
                <w:sz w:val="24"/>
                <w14:textFill>
                  <w14:solidFill>
                    <w14:schemeClr w14:val="tx1"/>
                  </w14:solidFill>
                </w14:textFill>
              </w:rPr>
            </w:pPr>
          </w:p>
        </w:tc>
        <w:tc>
          <w:tcPr>
            <w:tcW w:w="650"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0</w:t>
            </w:r>
          </w:p>
        </w:tc>
        <w:tc>
          <w:tcPr>
            <w:tcW w:w="885"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0</w:t>
            </w:r>
          </w:p>
        </w:tc>
        <w:tc>
          <w:tcPr>
            <w:tcW w:w="1019"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0</w:t>
            </w:r>
          </w:p>
        </w:tc>
        <w:tc>
          <w:tcPr>
            <w:tcW w:w="1215"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0</w:t>
            </w:r>
          </w:p>
        </w:tc>
        <w:tc>
          <w:tcPr>
            <w:tcW w:w="568"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0</w:t>
            </w:r>
          </w:p>
        </w:tc>
        <w:tc>
          <w:tcPr>
            <w:tcW w:w="935"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0</w:t>
            </w:r>
          </w:p>
        </w:tc>
        <w:tc>
          <w:tcPr>
            <w:tcW w:w="611" w:type="dxa"/>
          </w:tcPr>
          <w:p>
            <w:pPr>
              <w:spacing w:line="240" w:lineRule="exact"/>
              <w:rPr>
                <w:rFonts w:asciiTheme="majorEastAsia" w:hAnsiTheme="majorEastAsia" w:eastAsiaTheme="majorEastAsia" w:cstheme="majorEastAsia"/>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3530" w:type="dxa"/>
          </w:tcPr>
          <w:p>
            <w:pPr>
              <w:spacing w:line="240" w:lineRule="exact"/>
              <w:jc w:val="center"/>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14:textFill>
                  <w14:solidFill>
                    <w14:schemeClr w14:val="tx1"/>
                  </w14:solidFill>
                </w14:textFill>
              </w:rPr>
              <w:t>厉行节约保障措施</w:t>
            </w:r>
          </w:p>
        </w:tc>
        <w:tc>
          <w:tcPr>
            <w:tcW w:w="5272" w:type="dxa"/>
            <w:gridSpan w:val="6"/>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严格按内控要求执行机关管理，严控“三公经费”、办公经费、差旅费等经费开支。</w:t>
            </w:r>
          </w:p>
        </w:tc>
        <w:tc>
          <w:tcPr>
            <w:tcW w:w="611" w:type="dxa"/>
          </w:tcPr>
          <w:p>
            <w:pPr>
              <w:spacing w:line="240" w:lineRule="exact"/>
              <w:jc w:val="center"/>
              <w:rPr>
                <w:rFonts w:asciiTheme="majorEastAsia" w:hAnsiTheme="majorEastAsia" w:eastAsiaTheme="majorEastAsia" w:cstheme="majorEastAsia"/>
                <w:color w:val="000000" w:themeColor="text1"/>
                <w14:textFill>
                  <w14:solidFill>
                    <w14:schemeClr w14:val="tx1"/>
                  </w14:solidFill>
                </w14:textFill>
              </w:rPr>
            </w:pPr>
          </w:p>
        </w:tc>
      </w:tr>
    </w:tbl>
    <w:p>
      <w:pPr>
        <w:spacing w:line="240" w:lineRule="exact"/>
        <w:rPr>
          <w:rFonts w:hint="eastAsia" w:asciiTheme="majorEastAsia" w:hAnsiTheme="majorEastAsia" w:eastAsiaTheme="majorEastAsia" w:cstheme="majorEastAsia"/>
          <w:color w:val="000000" w:themeColor="text1"/>
          <w:sz w:val="23"/>
          <w:szCs w:val="23"/>
          <w14:textFill>
            <w14:solidFill>
              <w14:schemeClr w14:val="tx1"/>
            </w14:solidFill>
          </w14:textFill>
        </w:rPr>
      </w:pPr>
    </w:p>
    <w:p>
      <w:pPr>
        <w:spacing w:line="240" w:lineRule="exact"/>
        <w:rPr>
          <w:rFonts w:asciiTheme="majorEastAsia" w:hAnsiTheme="majorEastAsia" w:eastAsiaTheme="majorEastAsia" w:cstheme="majorEastAsia"/>
          <w:color w:val="000000" w:themeColor="text1"/>
          <w:sz w:val="23"/>
          <w:szCs w:val="23"/>
          <w14:textFill>
            <w14:solidFill>
              <w14:schemeClr w14:val="tx1"/>
            </w14:solidFill>
          </w14:textFill>
        </w:rPr>
      </w:pPr>
      <w:r>
        <w:rPr>
          <w:rFonts w:hint="eastAsia" w:asciiTheme="majorEastAsia" w:hAnsiTheme="majorEastAsia" w:eastAsiaTheme="majorEastAsia" w:cstheme="majorEastAsia"/>
          <w:color w:val="000000" w:themeColor="text1"/>
          <w:sz w:val="23"/>
          <w:szCs w:val="23"/>
          <w14:textFill>
            <w14:solidFill>
              <w14:schemeClr w14:val="tx1"/>
            </w14:solidFill>
          </w14:textFill>
        </w:rPr>
        <w:t>说明：“项目支出”需要填报基本支出以外的所有项目支出情况，“公用经费”填报基本支出中的一般商品和服务支出。</w:t>
      </w:r>
    </w:p>
    <w:p>
      <w:pPr>
        <w:spacing w:line="240" w:lineRule="exact"/>
        <w:jc w:val="left"/>
        <w:rPr>
          <w:rFonts w:hint="eastAsia" w:ascii="仿宋_GB2312" w:hAnsi="仿宋_GB2312" w:eastAsia="仿宋_GB2312" w:cs="仿宋_GB2312"/>
          <w:color w:val="000000" w:themeColor="text1"/>
          <w:sz w:val="23"/>
          <w:szCs w:val="23"/>
          <w14:textFill>
            <w14:solidFill>
              <w14:schemeClr w14:val="tx1"/>
            </w14:solidFill>
          </w14:textFill>
        </w:rPr>
      </w:pPr>
    </w:p>
    <w:p>
      <w:pPr>
        <w:spacing w:line="240" w:lineRule="exact"/>
        <w:jc w:val="left"/>
        <w:rPr>
          <w:rFonts w:hint="default" w:asciiTheme="majorEastAsia" w:hAnsiTheme="majorEastAsia" w:eastAsiaTheme="majorEastAsia" w:cstheme="majorEastAsia"/>
          <w:color w:val="000000" w:themeColor="text1"/>
          <w:sz w:val="23"/>
          <w:szCs w:val="23"/>
          <w:lang w:val="en-US" w:eastAsia="zh-CN"/>
          <w14:textFill>
            <w14:solidFill>
              <w14:schemeClr w14:val="tx1"/>
            </w14:solidFill>
          </w14:textFill>
        </w:rPr>
      </w:pPr>
      <w:r>
        <w:rPr>
          <w:rFonts w:hint="eastAsia" w:ascii="仿宋_GB2312" w:hAnsi="仿宋_GB2312" w:eastAsia="仿宋_GB2312" w:cs="仿宋_GB2312"/>
          <w:color w:val="000000" w:themeColor="text1"/>
          <w:sz w:val="23"/>
          <w:szCs w:val="23"/>
          <w14:textFill>
            <w14:solidFill>
              <w14:schemeClr w14:val="tx1"/>
            </w14:solidFill>
          </w14:textFill>
        </w:rPr>
        <w:t>填表人：</w:t>
      </w:r>
      <w:r>
        <w:rPr>
          <w:rFonts w:hint="eastAsia" w:ascii="仿宋_GB2312" w:hAnsi="仿宋_GB2312" w:eastAsia="仿宋_GB2312" w:cs="仿宋_GB2312"/>
          <w:color w:val="000000" w:themeColor="text1"/>
          <w:sz w:val="23"/>
          <w:szCs w:val="23"/>
          <w:lang w:val="en-US" w:eastAsia="zh-CN"/>
          <w14:textFill>
            <w14:solidFill>
              <w14:schemeClr w14:val="tx1"/>
            </w14:solidFill>
          </w14:textFill>
        </w:rPr>
        <w:t>李珞珞</w:t>
      </w:r>
      <w:r>
        <w:rPr>
          <w:rFonts w:hint="eastAsia" w:ascii="仿宋_GB2312" w:hAnsi="仿宋_GB2312" w:eastAsia="仿宋_GB2312" w:cs="仿宋_GB2312"/>
          <w:color w:val="000000" w:themeColor="text1"/>
          <w:sz w:val="23"/>
          <w:szCs w:val="23"/>
          <w14:textFill>
            <w14:solidFill>
              <w14:schemeClr w14:val="tx1"/>
            </w14:solidFill>
          </w14:textFill>
        </w:rPr>
        <w:t>联系电话：</w:t>
      </w:r>
      <w:r>
        <w:rPr>
          <w:rFonts w:hint="eastAsia" w:ascii="仿宋_GB2312" w:hAnsi="仿宋_GB2312" w:eastAsia="仿宋_GB2312" w:cs="仿宋_GB2312"/>
          <w:color w:val="000000" w:themeColor="text1"/>
          <w:sz w:val="23"/>
          <w:szCs w:val="23"/>
          <w:lang w:val="en-US" w:eastAsia="zh-CN"/>
          <w14:textFill>
            <w14:solidFill>
              <w14:schemeClr w14:val="tx1"/>
            </w14:solidFill>
          </w14:textFill>
        </w:rPr>
        <w:t>18807300855</w:t>
      </w:r>
      <w:r>
        <w:rPr>
          <w:rFonts w:hint="eastAsia" w:ascii="仿宋_GB2312" w:hAnsi="仿宋_GB2312" w:eastAsia="仿宋_GB2312" w:cs="仿宋_GB2312"/>
          <w:color w:val="000000" w:themeColor="text1"/>
          <w:sz w:val="23"/>
          <w:szCs w:val="23"/>
          <w14:textFill>
            <w14:solidFill>
              <w14:schemeClr w14:val="tx1"/>
            </w14:solidFill>
          </w14:textFill>
        </w:rPr>
        <w:t xml:space="preserve">单位负责人签字：    </w:t>
      </w:r>
      <w:r>
        <w:rPr>
          <w:rFonts w:hint="eastAsia" w:ascii="仿宋_GB2312" w:hAnsi="仿宋_GB2312" w:eastAsia="仿宋_GB2312" w:cs="仿宋_GB2312"/>
          <w:color w:val="000000" w:themeColor="text1"/>
          <w:sz w:val="23"/>
          <w:szCs w:val="23"/>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3"/>
          <w:szCs w:val="23"/>
          <w14:textFill>
            <w14:solidFill>
              <w14:schemeClr w14:val="tx1"/>
            </w14:solidFill>
          </w14:textFill>
        </w:rPr>
        <w:t>填报日期：</w:t>
      </w:r>
      <w:r>
        <w:rPr>
          <w:rFonts w:hint="eastAsia" w:ascii="仿宋_GB2312" w:hAnsi="仿宋_GB2312" w:eastAsia="仿宋_GB2312" w:cs="仿宋_GB2312"/>
          <w:color w:val="000000" w:themeColor="text1"/>
          <w:sz w:val="23"/>
          <w:szCs w:val="23"/>
          <w:lang w:val="en-US" w:eastAsia="zh-CN"/>
          <w14:textFill>
            <w14:solidFill>
              <w14:schemeClr w14:val="tx1"/>
            </w14:solidFill>
          </w14:textFill>
        </w:rPr>
        <w:t>2023年6月</w:t>
      </w:r>
      <w:bookmarkStart w:id="0" w:name="_GoBack"/>
      <w:bookmarkEnd w:id="0"/>
      <w:r>
        <w:rPr>
          <w:rFonts w:hint="eastAsia" w:ascii="仿宋_GB2312" w:hAnsi="仿宋_GB2312" w:eastAsia="仿宋_GB2312" w:cs="仿宋_GB2312"/>
          <w:color w:val="000000" w:themeColor="text1"/>
          <w:sz w:val="23"/>
          <w:szCs w:val="23"/>
          <w:lang w:val="en-US" w:eastAsia="zh-CN"/>
          <w14:textFill>
            <w14:solidFill>
              <w14:schemeClr w14:val="tx1"/>
            </w14:solidFill>
          </w14:textFill>
        </w:rPr>
        <w:t>28日</w:t>
      </w:r>
    </w:p>
    <w:p>
      <w:pPr>
        <w:rPr>
          <w:rFonts w:ascii="黑体" w:hAnsi="黑体" w:eastAsia="黑体" w:cs="黑体"/>
          <w:color w:val="000000" w:themeColor="text1"/>
          <w:spacing w:val="10"/>
          <w:sz w:val="32"/>
          <w:szCs w:val="32"/>
          <w14:textFill>
            <w14:solidFill>
              <w14:schemeClr w14:val="tx1"/>
            </w14:solidFill>
          </w14:textFill>
        </w:rPr>
        <w:sectPr>
          <w:footerReference r:id="rId3" w:type="default"/>
          <w:pgSz w:w="11906" w:h="16838"/>
          <w:pgMar w:top="1134" w:right="1417" w:bottom="1134" w:left="1134" w:header="851" w:footer="992" w:gutter="0"/>
          <w:cols w:space="0" w:num="1"/>
          <w:docGrid w:type="lines" w:linePitch="312" w:charSpace="0"/>
        </w:sectPr>
      </w:pPr>
    </w:p>
    <w:p>
      <w:pPr>
        <w:rPr>
          <w:rFonts w:ascii="黑体" w:hAnsi="黑体" w:eastAsia="黑体" w:cs="黑体"/>
          <w:color w:val="000000" w:themeColor="text1"/>
          <w:spacing w:val="10"/>
          <w:sz w:val="32"/>
          <w:szCs w:val="32"/>
          <w14:textFill>
            <w14:solidFill>
              <w14:schemeClr w14:val="tx1"/>
            </w14:solidFill>
          </w14:textFill>
        </w:rPr>
      </w:pPr>
      <w:r>
        <w:rPr>
          <w:rFonts w:hint="eastAsia" w:ascii="黑体" w:hAnsi="黑体" w:eastAsia="黑体" w:cs="黑体"/>
          <w:color w:val="000000" w:themeColor="text1"/>
          <w:spacing w:val="10"/>
          <w:sz w:val="32"/>
          <w:szCs w:val="32"/>
          <w14:textFill>
            <w14:solidFill>
              <w14:schemeClr w14:val="tx1"/>
            </w14:solidFill>
          </w14:textFill>
        </w:rPr>
        <w:t>附件2</w:t>
      </w:r>
    </w:p>
    <w:p>
      <w:pPr>
        <w:spacing w:line="700" w:lineRule="exact"/>
        <w:jc w:val="center"/>
        <w:rPr>
          <w:rFonts w:ascii="方正小标宋简体" w:hAnsi="方正小标宋简体" w:eastAsia="方正小标宋简体" w:cs="方正小标宋简体"/>
          <w:color w:val="000000" w:themeColor="text1"/>
          <w:spacing w:val="2"/>
          <w:sz w:val="42"/>
          <w:szCs w:val="42"/>
          <w14:textFill>
            <w14:solidFill>
              <w14:schemeClr w14:val="tx1"/>
            </w14:solidFill>
          </w14:textFill>
        </w:rPr>
      </w:pPr>
      <w:r>
        <w:rPr>
          <w:rFonts w:hint="eastAsia" w:ascii="方正小标宋简体" w:hAnsi="方正小标宋简体" w:eastAsia="方正小标宋简体" w:cs="方正小标宋简体"/>
          <w:color w:val="000000" w:themeColor="text1"/>
          <w:spacing w:val="2"/>
          <w:sz w:val="42"/>
          <w:szCs w:val="42"/>
          <w14:textFill>
            <w14:solidFill>
              <w14:schemeClr w14:val="tx1"/>
            </w14:solidFill>
          </w14:textFill>
        </w:rPr>
        <w:t xml:space="preserve">  2022年度预算单位整体支出绩效自评表</w:t>
      </w:r>
    </w:p>
    <w:p>
      <w:pPr>
        <w:spacing w:line="168" w:lineRule="exact"/>
        <w:rPr>
          <w:color w:val="000000" w:themeColor="text1"/>
          <w14:textFill>
            <w14:solidFill>
              <w14:schemeClr w14:val="tx1"/>
            </w14:solidFill>
          </w14:textFill>
        </w:rPr>
      </w:pPr>
    </w:p>
    <w:tbl>
      <w:tblPr>
        <w:tblStyle w:val="8"/>
        <w:tblW w:w="983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4"/>
        <w:gridCol w:w="1079"/>
        <w:gridCol w:w="1029"/>
        <w:gridCol w:w="1342"/>
        <w:gridCol w:w="1246"/>
        <w:gridCol w:w="1259"/>
        <w:gridCol w:w="719"/>
        <w:gridCol w:w="802"/>
        <w:gridCol w:w="12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1084" w:type="dxa"/>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2"/>
                <w:szCs w:val="21"/>
                <w14:textFill>
                  <w14:solidFill>
                    <w14:schemeClr w14:val="tx1"/>
                  </w14:solidFill>
                </w14:textFill>
              </w:rPr>
              <w:t>预算</w:t>
            </w:r>
            <w:r>
              <w:rPr>
                <w:rFonts w:hint="eastAsia" w:ascii="宋体" w:hAnsi="宋体" w:eastAsia="宋体" w:cs="宋体"/>
                <w:color w:val="000000" w:themeColor="text1"/>
                <w:spacing w:val="2"/>
                <w:szCs w:val="21"/>
                <w14:textFill>
                  <w14:solidFill>
                    <w14:schemeClr w14:val="tx1"/>
                  </w14:solidFill>
                </w14:textFill>
              </w:rPr>
              <w:t xml:space="preserve">单位 </w:t>
            </w:r>
            <w:r>
              <w:rPr>
                <w:rFonts w:ascii="宋体" w:hAnsi="宋体" w:eastAsia="宋体" w:cs="宋体"/>
                <w:color w:val="000000" w:themeColor="text1"/>
                <w:spacing w:val="2"/>
                <w:szCs w:val="21"/>
                <w14:textFill>
                  <w14:solidFill>
                    <w14:schemeClr w14:val="tx1"/>
                  </w14:solidFill>
                </w14:textFill>
              </w:rPr>
              <w:t>名称</w:t>
            </w:r>
          </w:p>
        </w:tc>
        <w:tc>
          <w:tcPr>
            <w:tcW w:w="8751" w:type="dxa"/>
            <w:gridSpan w:val="8"/>
          </w:tcPr>
          <w:p>
            <w:pPr>
              <w:spacing w:line="240" w:lineRule="exact"/>
              <w:jc w:val="center"/>
              <w:rPr>
                <w:rFonts w:ascii="Arial"/>
                <w:color w:val="000000" w:themeColor="text1"/>
                <w14:textFill>
                  <w14:solidFill>
                    <w14:schemeClr w14:val="tx1"/>
                  </w14:solidFill>
                </w14:textFill>
              </w:rPr>
            </w:pPr>
            <w:r>
              <w:rPr>
                <w:rFonts w:hint="eastAsia" w:ascii="Arial"/>
                <w:color w:val="000000" w:themeColor="text1"/>
                <w14:textFill>
                  <w14:solidFill>
                    <w14:schemeClr w14:val="tx1"/>
                  </w14:solidFill>
                </w14:textFill>
              </w:rPr>
              <w:t>岳阳市生态环境局本级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restart"/>
            <w:tcBorders>
              <w:bottom w:val="nil"/>
            </w:tcBorders>
          </w:tcPr>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3"/>
                <w:position w:val="4"/>
                <w:szCs w:val="21"/>
                <w14:textFill>
                  <w14:solidFill>
                    <w14:schemeClr w14:val="tx1"/>
                  </w14:solidFill>
                </w14:textFill>
              </w:rPr>
              <w:t>年度预</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3"/>
                <w:szCs w:val="21"/>
                <w14:textFill>
                  <w14:solidFill>
                    <w14:schemeClr w14:val="tx1"/>
                  </w14:solidFill>
                </w14:textFill>
              </w:rPr>
              <w:t>算申请</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11"/>
                <w:szCs w:val="21"/>
                <w14:textFill>
                  <w14:solidFill>
                    <w14:schemeClr w14:val="tx1"/>
                  </w14:solidFill>
                </w14:textFill>
              </w:rPr>
              <w:t>(万元)</w:t>
            </w:r>
          </w:p>
        </w:tc>
        <w:tc>
          <w:tcPr>
            <w:tcW w:w="2108" w:type="dxa"/>
            <w:gridSpan w:val="2"/>
            <w:vAlign w:val="center"/>
          </w:tcPr>
          <w:p>
            <w:pPr>
              <w:spacing w:line="240" w:lineRule="exact"/>
              <w:jc w:val="center"/>
              <w:rPr>
                <w:rFonts w:ascii="Arial"/>
                <w:color w:val="000000" w:themeColor="text1"/>
                <w:sz w:val="20"/>
                <w14:textFill>
                  <w14:solidFill>
                    <w14:schemeClr w14:val="tx1"/>
                  </w14:solidFill>
                </w14:textFill>
              </w:rPr>
            </w:pPr>
          </w:p>
        </w:tc>
        <w:tc>
          <w:tcPr>
            <w:tcW w:w="1342"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年初预算数</w:t>
            </w:r>
          </w:p>
        </w:tc>
        <w:tc>
          <w:tcPr>
            <w:tcW w:w="1246"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全年预算数</w:t>
            </w:r>
          </w:p>
        </w:tc>
        <w:tc>
          <w:tcPr>
            <w:tcW w:w="1259"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全年执行数</w:t>
            </w:r>
          </w:p>
        </w:tc>
        <w:tc>
          <w:tcPr>
            <w:tcW w:w="719"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分值</w:t>
            </w:r>
          </w:p>
        </w:tc>
        <w:tc>
          <w:tcPr>
            <w:tcW w:w="802"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执行率</w:t>
            </w:r>
          </w:p>
        </w:tc>
        <w:tc>
          <w:tcPr>
            <w:tcW w:w="127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84" w:type="dxa"/>
            <w:vMerge w:val="continue"/>
            <w:tcBorders>
              <w:top w:val="nil"/>
              <w:bottom w:val="nil"/>
            </w:tcBorders>
          </w:tcPr>
          <w:p>
            <w:pPr>
              <w:spacing w:line="240" w:lineRule="exact"/>
              <w:jc w:val="center"/>
              <w:rPr>
                <w:rFonts w:ascii="Arial"/>
                <w:color w:val="000000" w:themeColor="text1"/>
                <w:szCs w:val="21"/>
                <w14:textFill>
                  <w14:solidFill>
                    <w14:schemeClr w14:val="tx1"/>
                  </w14:solidFill>
                </w14:textFill>
              </w:rPr>
            </w:pPr>
          </w:p>
        </w:tc>
        <w:tc>
          <w:tcPr>
            <w:tcW w:w="2108" w:type="dxa"/>
            <w:gridSpan w:val="2"/>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年度资金总额</w:t>
            </w:r>
          </w:p>
        </w:tc>
        <w:tc>
          <w:tcPr>
            <w:tcW w:w="1342" w:type="dxa"/>
            <w:vAlign w:val="center"/>
          </w:tcPr>
          <w:p>
            <w:pPr>
              <w:spacing w:line="240" w:lineRule="exact"/>
              <w:jc w:val="center"/>
              <w:rPr>
                <w:rFonts w:ascii="宋体" w:hAnsi="宋体" w:eastAsia="宋体" w:cs="宋体"/>
                <w:b/>
                <w:bCs/>
                <w:color w:val="000000" w:themeColor="text1"/>
                <w:spacing w:val="-6"/>
                <w:szCs w:val="21"/>
                <w14:textFill>
                  <w14:solidFill>
                    <w14:schemeClr w14:val="tx1"/>
                  </w14:solidFill>
                </w14:textFill>
              </w:rPr>
            </w:pPr>
            <w:r>
              <w:rPr>
                <w:rFonts w:hint="eastAsia" w:ascii="宋体" w:hAnsi="宋体" w:eastAsia="宋体" w:cs="宋体"/>
                <w:b/>
                <w:bCs/>
                <w:color w:val="000000" w:themeColor="text1"/>
                <w:spacing w:val="-6"/>
                <w:szCs w:val="21"/>
                <w14:textFill>
                  <w14:solidFill>
                    <w14:schemeClr w14:val="tx1"/>
                  </w14:solidFill>
                </w14:textFill>
              </w:rPr>
              <w:t>2086.87</w:t>
            </w:r>
          </w:p>
        </w:tc>
        <w:tc>
          <w:tcPr>
            <w:tcW w:w="1246" w:type="dxa"/>
            <w:vAlign w:val="center"/>
          </w:tcPr>
          <w:p>
            <w:pPr>
              <w:spacing w:line="240" w:lineRule="exact"/>
              <w:jc w:val="center"/>
              <w:rPr>
                <w:rFonts w:ascii="宋体" w:hAnsi="宋体" w:eastAsia="宋体" w:cs="宋体"/>
                <w:b/>
                <w:bCs/>
                <w:color w:val="000000" w:themeColor="text1"/>
                <w:spacing w:val="-6"/>
                <w:szCs w:val="21"/>
                <w14:textFill>
                  <w14:solidFill>
                    <w14:schemeClr w14:val="tx1"/>
                  </w14:solidFill>
                </w14:textFill>
              </w:rPr>
            </w:pPr>
            <w:r>
              <w:rPr>
                <w:rFonts w:hint="eastAsia" w:ascii="宋体" w:hAnsi="宋体" w:eastAsia="宋体" w:cs="宋体"/>
                <w:b/>
                <w:bCs/>
                <w:color w:val="000000" w:themeColor="text1"/>
                <w:spacing w:val="-6"/>
                <w:szCs w:val="21"/>
                <w14:textFill>
                  <w14:solidFill>
                    <w14:schemeClr w14:val="tx1"/>
                  </w14:solidFill>
                </w14:textFill>
              </w:rPr>
              <w:t>4028.18</w:t>
            </w:r>
          </w:p>
        </w:tc>
        <w:tc>
          <w:tcPr>
            <w:tcW w:w="1259" w:type="dxa"/>
            <w:vAlign w:val="center"/>
          </w:tcPr>
          <w:p>
            <w:pPr>
              <w:spacing w:line="240" w:lineRule="exact"/>
              <w:jc w:val="center"/>
              <w:rPr>
                <w:rFonts w:ascii="宋体" w:hAnsi="宋体" w:eastAsia="宋体" w:cs="宋体"/>
                <w:b/>
                <w:bCs/>
                <w:color w:val="000000" w:themeColor="text1"/>
                <w:spacing w:val="-6"/>
                <w:szCs w:val="21"/>
                <w14:textFill>
                  <w14:solidFill>
                    <w14:schemeClr w14:val="tx1"/>
                  </w14:solidFill>
                </w14:textFill>
              </w:rPr>
            </w:pPr>
            <w:r>
              <w:rPr>
                <w:rFonts w:hint="eastAsia" w:ascii="宋体" w:hAnsi="宋体" w:eastAsia="宋体" w:cs="宋体"/>
                <w:b/>
                <w:bCs/>
                <w:color w:val="000000" w:themeColor="text1"/>
                <w:spacing w:val="-6"/>
                <w:szCs w:val="21"/>
                <w14:textFill>
                  <w14:solidFill>
                    <w14:schemeClr w14:val="tx1"/>
                  </w14:solidFill>
                </w14:textFill>
              </w:rPr>
              <w:t>4028.18</w:t>
            </w:r>
          </w:p>
        </w:tc>
        <w:tc>
          <w:tcPr>
            <w:tcW w:w="719" w:type="dxa"/>
            <w:vAlign w:val="center"/>
          </w:tcPr>
          <w:p>
            <w:pPr>
              <w:spacing w:line="240" w:lineRule="exact"/>
              <w:jc w:val="center"/>
              <w:rPr>
                <w:rFonts w:ascii="宋体" w:hAnsi="宋体" w:eastAsia="宋体" w:cs="宋体"/>
                <w:b/>
                <w:bCs/>
                <w:color w:val="000000" w:themeColor="text1"/>
                <w:spacing w:val="-6"/>
                <w:szCs w:val="21"/>
                <w14:textFill>
                  <w14:solidFill>
                    <w14:schemeClr w14:val="tx1"/>
                  </w14:solidFill>
                </w14:textFill>
              </w:rPr>
            </w:pPr>
            <w:r>
              <w:rPr>
                <w:rFonts w:hint="eastAsia" w:ascii="宋体" w:hAnsi="宋体" w:eastAsia="宋体" w:cs="宋体"/>
                <w:b/>
                <w:bCs/>
                <w:color w:val="000000" w:themeColor="text1"/>
                <w:spacing w:val="-6"/>
                <w:szCs w:val="21"/>
                <w14:textFill>
                  <w14:solidFill>
                    <w14:schemeClr w14:val="tx1"/>
                  </w14:solidFill>
                </w14:textFill>
              </w:rPr>
              <w:t>10</w:t>
            </w:r>
          </w:p>
        </w:tc>
        <w:tc>
          <w:tcPr>
            <w:tcW w:w="802" w:type="dxa"/>
            <w:vAlign w:val="center"/>
          </w:tcPr>
          <w:p>
            <w:pPr>
              <w:spacing w:line="240" w:lineRule="exact"/>
              <w:jc w:val="center"/>
              <w:rPr>
                <w:rFonts w:ascii="宋体" w:hAnsi="宋体" w:eastAsia="宋体" w:cs="宋体"/>
                <w:b/>
                <w:bCs/>
                <w:color w:val="000000" w:themeColor="text1"/>
                <w:spacing w:val="-6"/>
                <w:szCs w:val="21"/>
                <w14:textFill>
                  <w14:solidFill>
                    <w14:schemeClr w14:val="tx1"/>
                  </w14:solidFill>
                </w14:textFill>
              </w:rPr>
            </w:pPr>
            <w:r>
              <w:rPr>
                <w:rFonts w:hint="eastAsia" w:ascii="宋体" w:hAnsi="宋体" w:eastAsia="宋体" w:cs="宋体"/>
                <w:b/>
                <w:bCs/>
                <w:color w:val="000000" w:themeColor="text1"/>
                <w:spacing w:val="-6"/>
                <w:szCs w:val="21"/>
                <w14:textFill>
                  <w14:solidFill>
                    <w14:schemeClr w14:val="tx1"/>
                  </w14:solidFill>
                </w14:textFill>
              </w:rPr>
              <w:t>100%</w:t>
            </w:r>
          </w:p>
        </w:tc>
        <w:tc>
          <w:tcPr>
            <w:tcW w:w="1275" w:type="dxa"/>
            <w:vAlign w:val="center"/>
          </w:tcPr>
          <w:p>
            <w:pPr>
              <w:spacing w:line="240" w:lineRule="exact"/>
              <w:jc w:val="center"/>
              <w:rPr>
                <w:rFonts w:ascii="宋体" w:hAnsi="宋体" w:eastAsia="宋体" w:cs="宋体"/>
                <w:b/>
                <w:bCs/>
                <w:color w:val="000000" w:themeColor="text1"/>
                <w:spacing w:val="-6"/>
                <w:szCs w:val="21"/>
                <w14:textFill>
                  <w14:solidFill>
                    <w14:schemeClr w14:val="tx1"/>
                  </w14:solidFill>
                </w14:textFill>
              </w:rPr>
            </w:pPr>
            <w:r>
              <w:rPr>
                <w:rFonts w:hint="eastAsia" w:ascii="宋体" w:hAnsi="宋体" w:eastAsia="宋体" w:cs="宋体"/>
                <w:b/>
                <w:bCs/>
                <w:color w:val="000000" w:themeColor="text1"/>
                <w:spacing w:val="-6"/>
                <w:szCs w:val="21"/>
                <w14:textFill>
                  <w14:solidFill>
                    <w14:schemeClr w14:val="tx1"/>
                  </w14:solidFill>
                </w14:textFill>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84" w:type="dxa"/>
            <w:vMerge w:val="continue"/>
            <w:tcBorders>
              <w:top w:val="nil"/>
              <w:bottom w:val="nil"/>
            </w:tcBorders>
          </w:tcPr>
          <w:p>
            <w:pPr>
              <w:spacing w:line="240" w:lineRule="exact"/>
              <w:jc w:val="center"/>
              <w:rPr>
                <w:rFonts w:ascii="Arial"/>
                <w:color w:val="000000" w:themeColor="text1"/>
                <w:szCs w:val="21"/>
                <w14:textFill>
                  <w14:solidFill>
                    <w14:schemeClr w14:val="tx1"/>
                  </w14:solidFill>
                </w14:textFill>
              </w:rPr>
            </w:pPr>
          </w:p>
        </w:tc>
        <w:tc>
          <w:tcPr>
            <w:tcW w:w="4696" w:type="dxa"/>
            <w:gridSpan w:val="4"/>
            <w:vAlign w:val="center"/>
          </w:tcPr>
          <w:p>
            <w:pPr>
              <w:spacing w:line="240" w:lineRule="exact"/>
              <w:ind w:firstLine="210" w:firstLineChars="100"/>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按收入性质分：</w:t>
            </w:r>
          </w:p>
        </w:tc>
        <w:tc>
          <w:tcPr>
            <w:tcW w:w="4055" w:type="dxa"/>
            <w:gridSpan w:val="4"/>
            <w:vAlign w:val="center"/>
          </w:tcPr>
          <w:p>
            <w:pPr>
              <w:spacing w:line="240" w:lineRule="exact"/>
              <w:ind w:firstLine="210" w:firstLineChars="100"/>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按支出性质分：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84" w:type="dxa"/>
            <w:vMerge w:val="continue"/>
            <w:tcBorders>
              <w:top w:val="nil"/>
              <w:bottom w:val="nil"/>
            </w:tcBorders>
          </w:tcPr>
          <w:p>
            <w:pPr>
              <w:spacing w:line="240" w:lineRule="exact"/>
              <w:jc w:val="center"/>
              <w:rPr>
                <w:rFonts w:ascii="Arial"/>
                <w:color w:val="000000" w:themeColor="text1"/>
                <w:szCs w:val="21"/>
                <w14:textFill>
                  <w14:solidFill>
                    <w14:schemeClr w14:val="tx1"/>
                  </w14:solidFill>
                </w14:textFill>
              </w:rPr>
            </w:pPr>
          </w:p>
        </w:tc>
        <w:tc>
          <w:tcPr>
            <w:tcW w:w="4696" w:type="dxa"/>
            <w:gridSpan w:val="4"/>
            <w:vAlign w:val="center"/>
          </w:tcPr>
          <w:p>
            <w:pPr>
              <w:spacing w:line="240" w:lineRule="exact"/>
              <w:ind w:firstLine="210" w:firstLineChars="100"/>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 xml:space="preserve">其中： </w:t>
            </w: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一般公共预算：</w:t>
            </w:r>
            <w:r>
              <w:rPr>
                <w:rFonts w:hint="eastAsia" w:ascii="宋体" w:hAnsi="宋体" w:eastAsia="宋体" w:cs="宋体"/>
                <w:color w:val="000000" w:themeColor="text1"/>
                <w:szCs w:val="21"/>
                <w14:textFill>
                  <w14:solidFill>
                    <w14:schemeClr w14:val="tx1"/>
                  </w14:solidFill>
                </w14:textFill>
              </w:rPr>
              <w:t>4028.18</w:t>
            </w:r>
          </w:p>
        </w:tc>
        <w:tc>
          <w:tcPr>
            <w:tcW w:w="4055" w:type="dxa"/>
            <w:gridSpan w:val="4"/>
            <w:vAlign w:val="center"/>
          </w:tcPr>
          <w:p>
            <w:pPr>
              <w:spacing w:line="240" w:lineRule="exact"/>
              <w:ind w:firstLine="210" w:firstLineChars="100"/>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其中：基本支出：</w:t>
            </w:r>
            <w:r>
              <w:rPr>
                <w:rFonts w:hint="eastAsia" w:ascii="宋体" w:hAnsi="宋体" w:eastAsia="宋体" w:cs="宋体"/>
                <w:color w:val="000000" w:themeColor="text1"/>
                <w:szCs w:val="21"/>
                <w14:textFill>
                  <w14:solidFill>
                    <w14:schemeClr w14:val="tx1"/>
                  </w14:solidFill>
                </w14:textFill>
              </w:rPr>
              <w:t>1938.78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84" w:type="dxa"/>
            <w:vMerge w:val="continue"/>
            <w:tcBorders>
              <w:top w:val="nil"/>
              <w:bottom w:val="nil"/>
            </w:tcBorders>
          </w:tcPr>
          <w:p>
            <w:pPr>
              <w:spacing w:line="240" w:lineRule="exact"/>
              <w:jc w:val="center"/>
              <w:rPr>
                <w:rFonts w:ascii="Arial"/>
                <w:color w:val="000000" w:themeColor="text1"/>
                <w:szCs w:val="21"/>
                <w14:textFill>
                  <w14:solidFill>
                    <w14:schemeClr w14:val="tx1"/>
                  </w14:solidFill>
                </w14:textFill>
              </w:rPr>
            </w:pPr>
          </w:p>
        </w:tc>
        <w:tc>
          <w:tcPr>
            <w:tcW w:w="4696" w:type="dxa"/>
            <w:gridSpan w:val="4"/>
            <w:vAlign w:val="center"/>
          </w:tcPr>
          <w:p>
            <w:pPr>
              <w:spacing w:line="240" w:lineRule="exact"/>
              <w:ind w:firstLine="1050" w:firstLineChars="500"/>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政府性基金拨款：</w:t>
            </w:r>
          </w:p>
        </w:tc>
        <w:tc>
          <w:tcPr>
            <w:tcW w:w="4055" w:type="dxa"/>
            <w:gridSpan w:val="4"/>
            <w:vAlign w:val="center"/>
          </w:tcPr>
          <w:p>
            <w:pPr>
              <w:spacing w:line="240" w:lineRule="exact"/>
              <w:ind w:firstLine="840" w:firstLineChars="400"/>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项目支出：</w:t>
            </w:r>
            <w:r>
              <w:rPr>
                <w:rFonts w:hint="eastAsia" w:ascii="宋体" w:hAnsi="宋体" w:eastAsia="宋体" w:cs="宋体"/>
                <w:color w:val="000000" w:themeColor="text1"/>
                <w:szCs w:val="21"/>
                <w14:textFill>
                  <w14:solidFill>
                    <w14:schemeClr w14:val="tx1"/>
                  </w14:solidFill>
                </w14:textFill>
              </w:rPr>
              <w:t>2089.40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84" w:type="dxa"/>
            <w:vMerge w:val="continue"/>
            <w:tcBorders>
              <w:top w:val="nil"/>
              <w:bottom w:val="nil"/>
            </w:tcBorders>
          </w:tcPr>
          <w:p>
            <w:pPr>
              <w:spacing w:line="240" w:lineRule="exact"/>
              <w:jc w:val="center"/>
              <w:rPr>
                <w:rFonts w:ascii="Arial"/>
                <w:color w:val="000000" w:themeColor="text1"/>
                <w:szCs w:val="21"/>
                <w14:textFill>
                  <w14:solidFill>
                    <w14:schemeClr w14:val="tx1"/>
                  </w14:solidFill>
                </w14:textFill>
              </w:rPr>
            </w:pPr>
          </w:p>
        </w:tc>
        <w:tc>
          <w:tcPr>
            <w:tcW w:w="4696" w:type="dxa"/>
            <w:gridSpan w:val="4"/>
            <w:vAlign w:val="center"/>
          </w:tcPr>
          <w:p>
            <w:pPr>
              <w:spacing w:line="240" w:lineRule="exact"/>
              <w:ind w:firstLine="1050" w:firstLineChars="500"/>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纳入专户管理的非税收入拨款：</w:t>
            </w:r>
            <w:r>
              <w:rPr>
                <w:rFonts w:hint="eastAsia" w:ascii="宋体" w:hAnsi="宋体" w:eastAsia="宋体" w:cs="宋体"/>
                <w:color w:val="000000" w:themeColor="text1"/>
                <w:szCs w:val="21"/>
                <w14:textFill>
                  <w14:solidFill>
                    <w14:schemeClr w14:val="tx1"/>
                  </w14:solidFill>
                </w14:textFill>
              </w:rPr>
              <w:t>0</w:t>
            </w:r>
          </w:p>
        </w:tc>
        <w:tc>
          <w:tcPr>
            <w:tcW w:w="4055" w:type="dxa"/>
            <w:gridSpan w:val="4"/>
            <w:vAlign w:val="center"/>
          </w:tcPr>
          <w:p>
            <w:pPr>
              <w:spacing w:line="240" w:lineRule="exact"/>
              <w:jc w:val="left"/>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tcBorders>
          </w:tcPr>
          <w:p>
            <w:pPr>
              <w:spacing w:line="240" w:lineRule="exact"/>
              <w:jc w:val="center"/>
              <w:rPr>
                <w:rFonts w:ascii="Arial"/>
                <w:color w:val="000000" w:themeColor="text1"/>
                <w:szCs w:val="21"/>
                <w14:textFill>
                  <w14:solidFill>
                    <w14:schemeClr w14:val="tx1"/>
                  </w14:solidFill>
                </w14:textFill>
              </w:rPr>
            </w:pPr>
          </w:p>
        </w:tc>
        <w:tc>
          <w:tcPr>
            <w:tcW w:w="4696" w:type="dxa"/>
            <w:gridSpan w:val="4"/>
            <w:vAlign w:val="center"/>
          </w:tcPr>
          <w:p>
            <w:pPr>
              <w:spacing w:line="240" w:lineRule="exact"/>
              <w:ind w:firstLine="1050" w:firstLineChars="500"/>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其他资金：</w:t>
            </w:r>
            <w:r>
              <w:rPr>
                <w:rFonts w:hint="eastAsia" w:ascii="宋体" w:hAnsi="宋体" w:eastAsia="宋体" w:cs="宋体"/>
                <w:color w:val="000000" w:themeColor="text1"/>
                <w:szCs w:val="21"/>
                <w14:textFill>
                  <w14:solidFill>
                    <w14:schemeClr w14:val="tx1"/>
                  </w14:solidFill>
                </w14:textFill>
              </w:rPr>
              <w:t>0</w:t>
            </w:r>
          </w:p>
        </w:tc>
        <w:tc>
          <w:tcPr>
            <w:tcW w:w="4055" w:type="dxa"/>
            <w:gridSpan w:val="4"/>
            <w:vAlign w:val="center"/>
          </w:tcPr>
          <w:p>
            <w:pPr>
              <w:spacing w:line="240" w:lineRule="exact"/>
              <w:jc w:val="left"/>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84" w:type="dxa"/>
            <w:vMerge w:val="restart"/>
            <w:tcBorders>
              <w:bottom w:val="nil"/>
            </w:tcBorders>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7"/>
                <w:szCs w:val="21"/>
                <w14:textFill>
                  <w14:solidFill>
                    <w14:schemeClr w14:val="tx1"/>
                  </w14:solidFill>
                </w14:textFill>
              </w:rPr>
              <w:t>年度总体</w:t>
            </w:r>
            <w:r>
              <w:rPr>
                <w:rFonts w:ascii="宋体" w:hAnsi="宋体" w:eastAsia="宋体" w:cs="宋体"/>
                <w:color w:val="000000" w:themeColor="text1"/>
                <w:spacing w:val="1"/>
                <w:szCs w:val="21"/>
                <w14:textFill>
                  <w14:solidFill>
                    <w14:schemeClr w14:val="tx1"/>
                  </w14:solidFill>
                </w14:textFill>
              </w:rPr>
              <w:t xml:space="preserve"> </w:t>
            </w:r>
            <w:r>
              <w:rPr>
                <w:rFonts w:ascii="宋体" w:hAnsi="宋体" w:eastAsia="宋体" w:cs="宋体"/>
                <w:color w:val="000000" w:themeColor="text1"/>
                <w:spacing w:val="-19"/>
                <w:szCs w:val="21"/>
                <w14:textFill>
                  <w14:solidFill>
                    <w14:schemeClr w14:val="tx1"/>
                  </w14:solidFill>
                </w14:textFill>
              </w:rPr>
              <w:t>目</w:t>
            </w:r>
            <w:r>
              <w:rPr>
                <w:rFonts w:ascii="宋体" w:hAnsi="宋体" w:eastAsia="宋体" w:cs="宋体"/>
                <w:color w:val="000000" w:themeColor="text1"/>
                <w:spacing w:val="-35"/>
                <w:szCs w:val="21"/>
                <w14:textFill>
                  <w14:solidFill>
                    <w14:schemeClr w14:val="tx1"/>
                  </w14:solidFill>
                </w14:textFill>
              </w:rPr>
              <w:t xml:space="preserve"> </w:t>
            </w:r>
            <w:r>
              <w:rPr>
                <w:rFonts w:ascii="宋体" w:hAnsi="宋体" w:eastAsia="宋体" w:cs="宋体"/>
                <w:color w:val="000000" w:themeColor="text1"/>
                <w:spacing w:val="-19"/>
                <w:szCs w:val="21"/>
                <w14:textFill>
                  <w14:solidFill>
                    <w14:schemeClr w14:val="tx1"/>
                  </w14:solidFill>
                </w14:textFill>
              </w:rPr>
              <w:t>标</w:t>
            </w:r>
          </w:p>
        </w:tc>
        <w:tc>
          <w:tcPr>
            <w:tcW w:w="4696" w:type="dxa"/>
            <w:gridSpan w:val="4"/>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预期目标</w:t>
            </w:r>
          </w:p>
        </w:tc>
        <w:tc>
          <w:tcPr>
            <w:tcW w:w="4055" w:type="dxa"/>
            <w:gridSpan w:val="4"/>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tcBorders>
          </w:tcPr>
          <w:p>
            <w:pPr>
              <w:spacing w:line="240" w:lineRule="exact"/>
              <w:jc w:val="center"/>
              <w:rPr>
                <w:rFonts w:ascii="Arial"/>
                <w:color w:val="000000" w:themeColor="text1"/>
                <w:szCs w:val="21"/>
                <w14:textFill>
                  <w14:solidFill>
                    <w14:schemeClr w14:val="tx1"/>
                  </w14:solidFill>
                </w14:textFill>
              </w:rPr>
            </w:pPr>
          </w:p>
        </w:tc>
        <w:tc>
          <w:tcPr>
            <w:tcW w:w="4696" w:type="dxa"/>
            <w:gridSpan w:val="4"/>
            <w:vAlign w:val="center"/>
          </w:tcPr>
          <w:p>
            <w:pPr>
              <w:spacing w:line="240" w:lineRule="exact"/>
              <w:ind w:firstLine="400" w:firstLineChars="200"/>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落实全市生态环境问题的统筹协调和监督管理,对全市环境保护工作实施统一监管，开展环境监测、环境监察、污染防治、核与辐射监管，以及生态保护和建设等工作。</w:t>
            </w:r>
          </w:p>
          <w:p>
            <w:pPr>
              <w:spacing w:line="240" w:lineRule="exact"/>
              <w:rPr>
                <w:rFonts w:ascii="Arial"/>
                <w:color w:val="000000" w:themeColor="text1"/>
                <w:sz w:val="20"/>
                <w14:textFill>
                  <w14:solidFill>
                    <w14:schemeClr w14:val="tx1"/>
                  </w14:solidFill>
                </w14:textFill>
              </w:rPr>
            </w:pPr>
          </w:p>
        </w:tc>
        <w:tc>
          <w:tcPr>
            <w:tcW w:w="4055" w:type="dxa"/>
            <w:gridSpan w:val="4"/>
            <w:vAlign w:val="center"/>
          </w:tcPr>
          <w:p>
            <w:pPr>
              <w:spacing w:line="240" w:lineRule="exact"/>
              <w:jc w:val="center"/>
              <w:rPr>
                <w:rFonts w:ascii="Arial"/>
                <w:color w:val="000000" w:themeColor="text1"/>
                <w:sz w:val="20"/>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完成100%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084" w:type="dxa"/>
            <w:vMerge w:val="restart"/>
            <w:tcBorders>
              <w:bottom w:val="nil"/>
            </w:tcBorders>
            <w:textDirection w:val="tbRlV"/>
          </w:tcPr>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绩效指标</w:t>
            </w:r>
          </w:p>
        </w:tc>
        <w:tc>
          <w:tcPr>
            <w:tcW w:w="1079"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一级指标</w:t>
            </w:r>
          </w:p>
        </w:tc>
        <w:tc>
          <w:tcPr>
            <w:tcW w:w="1029"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二级指标</w:t>
            </w:r>
          </w:p>
        </w:tc>
        <w:tc>
          <w:tcPr>
            <w:tcW w:w="1342"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三级指标</w:t>
            </w:r>
          </w:p>
        </w:tc>
        <w:tc>
          <w:tcPr>
            <w:tcW w:w="1246"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年度指标值</w:t>
            </w:r>
          </w:p>
        </w:tc>
        <w:tc>
          <w:tcPr>
            <w:tcW w:w="1259"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实际完成值</w:t>
            </w:r>
          </w:p>
        </w:tc>
        <w:tc>
          <w:tcPr>
            <w:tcW w:w="719"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分值</w:t>
            </w:r>
          </w:p>
        </w:tc>
        <w:tc>
          <w:tcPr>
            <w:tcW w:w="802"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得分</w:t>
            </w:r>
          </w:p>
        </w:tc>
        <w:tc>
          <w:tcPr>
            <w:tcW w:w="127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偏差原因分析</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84" w:type="dxa"/>
            <w:vMerge w:val="continue"/>
            <w:tcBorders>
              <w:top w:val="nil"/>
              <w:bottom w:val="nil"/>
            </w:tcBorders>
            <w:textDirection w:val="tbRlV"/>
          </w:tcPr>
          <w:p>
            <w:pPr>
              <w:spacing w:line="240" w:lineRule="exact"/>
              <w:rPr>
                <w:rFonts w:ascii="Arial"/>
                <w:color w:val="000000" w:themeColor="text1"/>
                <w14:textFill>
                  <w14:solidFill>
                    <w14:schemeClr w14:val="tx1"/>
                  </w14:solidFill>
                </w14:textFill>
              </w:rPr>
            </w:pPr>
          </w:p>
        </w:tc>
        <w:tc>
          <w:tcPr>
            <w:tcW w:w="1079" w:type="dxa"/>
            <w:vMerge w:val="restart"/>
            <w:tcBorders>
              <w:bottom w:val="nil"/>
            </w:tcBorders>
            <w:vAlign w:val="center"/>
          </w:tcPr>
          <w:p>
            <w:pPr>
              <w:spacing w:line="240" w:lineRule="exact"/>
              <w:jc w:val="center"/>
              <w:rPr>
                <w:rFonts w:ascii="Arial"/>
                <w:color w:val="000000" w:themeColor="text1"/>
                <w14:textFill>
                  <w14:solidFill>
                    <w14:schemeClr w14:val="tx1"/>
                  </w14:solidFill>
                </w14:textFill>
              </w:rPr>
            </w:pPr>
          </w:p>
          <w:p>
            <w:pPr>
              <w:spacing w:line="240" w:lineRule="exact"/>
              <w:jc w:val="center"/>
              <w:rPr>
                <w:rFonts w:ascii="Arial"/>
                <w:color w:val="000000" w:themeColor="text1"/>
                <w14:textFill>
                  <w14:solidFill>
                    <w14:schemeClr w14:val="tx1"/>
                  </w14:solidFill>
                </w14:textFill>
              </w:rPr>
            </w:pPr>
          </w:p>
          <w:p>
            <w:pPr>
              <w:spacing w:line="240" w:lineRule="exact"/>
              <w:jc w:val="center"/>
              <w:rPr>
                <w:rFonts w:ascii="Arial"/>
                <w:color w:val="000000" w:themeColor="text1"/>
                <w14:textFill>
                  <w14:solidFill>
                    <w14:schemeClr w14:val="tx1"/>
                  </w14:solidFill>
                </w14:textFill>
              </w:rPr>
            </w:pPr>
          </w:p>
          <w:p>
            <w:pPr>
              <w:spacing w:line="240" w:lineRule="exact"/>
              <w:jc w:val="center"/>
              <w:rPr>
                <w:rFonts w:ascii="Arial"/>
                <w:color w:val="000000" w:themeColor="text1"/>
                <w14:textFill>
                  <w14:solidFill>
                    <w14:schemeClr w14:val="tx1"/>
                  </w14:solidFill>
                </w14:textFill>
              </w:rPr>
            </w:pP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2"/>
                <w:position w:val="20"/>
                <w:szCs w:val="21"/>
                <w14:textFill>
                  <w14:solidFill>
                    <w14:schemeClr w14:val="tx1"/>
                  </w14:solidFill>
                </w14:textFill>
              </w:rPr>
              <w:t>产出指标</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9"/>
                <w:szCs w:val="21"/>
                <w14:textFill>
                  <w14:solidFill>
                    <w14:schemeClr w14:val="tx1"/>
                  </w14:solidFill>
                </w14:textFill>
              </w:rPr>
              <w:t>(50分)</w:t>
            </w:r>
          </w:p>
        </w:tc>
        <w:tc>
          <w:tcPr>
            <w:tcW w:w="1029" w:type="dxa"/>
            <w:vMerge w:val="restart"/>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2"/>
                <w:szCs w:val="21"/>
                <w14:textFill>
                  <w14:solidFill>
                    <w14:schemeClr w14:val="tx1"/>
                  </w14:solidFill>
                </w14:textFill>
              </w:rPr>
              <w:t>数量指标</w:t>
            </w:r>
          </w:p>
        </w:tc>
        <w:tc>
          <w:tcPr>
            <w:tcW w:w="1342"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完成的排污权征缴任务</w:t>
            </w:r>
          </w:p>
        </w:tc>
        <w:tc>
          <w:tcPr>
            <w:tcW w:w="1246"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≥90%</w:t>
            </w:r>
          </w:p>
        </w:tc>
        <w:tc>
          <w:tcPr>
            <w:tcW w:w="125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90%</w:t>
            </w:r>
          </w:p>
        </w:tc>
        <w:tc>
          <w:tcPr>
            <w:tcW w:w="71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10</w:t>
            </w:r>
          </w:p>
        </w:tc>
        <w:tc>
          <w:tcPr>
            <w:tcW w:w="802"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10</w:t>
            </w:r>
          </w:p>
        </w:tc>
        <w:tc>
          <w:tcPr>
            <w:tcW w:w="1275" w:type="dxa"/>
            <w:vAlign w:val="center"/>
          </w:tcPr>
          <w:p>
            <w:pPr>
              <w:spacing w:line="240" w:lineRule="exact"/>
              <w:jc w:val="center"/>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84" w:type="dxa"/>
            <w:vMerge w:val="continue"/>
            <w:tcBorders>
              <w:top w:val="nil"/>
              <w:bottom w:val="nil"/>
            </w:tcBorders>
            <w:textDirection w:val="tbRlV"/>
          </w:tcPr>
          <w:p>
            <w:pPr>
              <w:spacing w:line="240" w:lineRule="exact"/>
              <w:rPr>
                <w:rFonts w:ascii="Arial"/>
                <w:color w:val="000000" w:themeColor="text1"/>
                <w14:textFill>
                  <w14:solidFill>
                    <w14:schemeClr w14:val="tx1"/>
                  </w14:solidFill>
                </w14:textFill>
              </w:rPr>
            </w:pPr>
          </w:p>
        </w:tc>
        <w:tc>
          <w:tcPr>
            <w:tcW w:w="1079" w:type="dxa"/>
            <w:vMerge w:val="continue"/>
            <w:tcBorders>
              <w:top w:val="nil"/>
              <w:bottom w:val="nil"/>
            </w:tcBorders>
            <w:vAlign w:val="center"/>
          </w:tcPr>
          <w:p>
            <w:pPr>
              <w:spacing w:line="240" w:lineRule="exact"/>
              <w:jc w:val="center"/>
              <w:rPr>
                <w:rFonts w:ascii="Arial"/>
                <w:color w:val="000000" w:themeColor="text1"/>
                <w14:textFill>
                  <w14:solidFill>
                    <w14:schemeClr w14:val="tx1"/>
                  </w14:solidFill>
                </w14:textFill>
              </w:rPr>
            </w:pPr>
          </w:p>
        </w:tc>
        <w:tc>
          <w:tcPr>
            <w:tcW w:w="1029" w:type="dxa"/>
            <w:vMerge w:val="continue"/>
            <w:tcBorders>
              <w:top w:val="nil"/>
              <w:bottom w:val="nil"/>
            </w:tcBorders>
            <w:vAlign w:val="center"/>
          </w:tcPr>
          <w:p>
            <w:pPr>
              <w:spacing w:line="240" w:lineRule="exact"/>
              <w:jc w:val="center"/>
              <w:rPr>
                <w:rFonts w:ascii="Arial"/>
                <w:color w:val="000000" w:themeColor="text1"/>
                <w14:textFill>
                  <w14:solidFill>
                    <w14:schemeClr w14:val="tx1"/>
                  </w14:solidFill>
                </w14:textFill>
              </w:rPr>
            </w:pPr>
          </w:p>
        </w:tc>
        <w:tc>
          <w:tcPr>
            <w:tcW w:w="1342" w:type="dxa"/>
            <w:vAlign w:val="center"/>
          </w:tcPr>
          <w:p>
            <w:pPr>
              <w:spacing w:line="240" w:lineRule="exact"/>
              <w:jc w:val="center"/>
              <w:rPr>
                <w:rFonts w:ascii="Arial"/>
                <w:color w:val="000000" w:themeColor="text1"/>
                <w14:textFill>
                  <w14:solidFill>
                    <w14:schemeClr w14:val="tx1"/>
                  </w14:solidFill>
                </w14:textFill>
              </w:rPr>
            </w:pPr>
            <w:r>
              <w:rPr>
                <w:rFonts w:hint="eastAsia" w:ascii="Arial"/>
                <w:color w:val="000000" w:themeColor="text1"/>
                <w14:textFill>
                  <w14:solidFill>
                    <w14:schemeClr w14:val="tx1"/>
                  </w14:solidFill>
                </w14:textFill>
              </w:rPr>
              <w:t>强力开展各项行动</w:t>
            </w:r>
          </w:p>
        </w:tc>
        <w:tc>
          <w:tcPr>
            <w:tcW w:w="1246"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＞100次</w:t>
            </w:r>
          </w:p>
        </w:tc>
        <w:tc>
          <w:tcPr>
            <w:tcW w:w="125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100次</w:t>
            </w:r>
          </w:p>
        </w:tc>
        <w:tc>
          <w:tcPr>
            <w:tcW w:w="71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10</w:t>
            </w:r>
          </w:p>
        </w:tc>
        <w:tc>
          <w:tcPr>
            <w:tcW w:w="802"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10</w:t>
            </w:r>
          </w:p>
        </w:tc>
        <w:tc>
          <w:tcPr>
            <w:tcW w:w="1275" w:type="dxa"/>
            <w:vAlign w:val="center"/>
          </w:tcPr>
          <w:p>
            <w:pPr>
              <w:spacing w:line="240" w:lineRule="exact"/>
              <w:jc w:val="center"/>
              <w:rPr>
                <w:rFonts w:ascii="Arial"/>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1084" w:type="dxa"/>
            <w:vMerge w:val="continue"/>
            <w:tcBorders>
              <w:top w:val="nil"/>
              <w:bottom w:val="nil"/>
            </w:tcBorders>
            <w:textDirection w:val="tbRlV"/>
          </w:tcPr>
          <w:p>
            <w:pPr>
              <w:spacing w:line="240" w:lineRule="exact"/>
              <w:rPr>
                <w:rFonts w:ascii="Arial"/>
                <w:color w:val="000000" w:themeColor="text1"/>
                <w14:textFill>
                  <w14:solidFill>
                    <w14:schemeClr w14:val="tx1"/>
                  </w14:solidFill>
                </w14:textFill>
              </w:rPr>
            </w:pPr>
          </w:p>
        </w:tc>
        <w:tc>
          <w:tcPr>
            <w:tcW w:w="1079" w:type="dxa"/>
            <w:vMerge w:val="continue"/>
            <w:tcBorders>
              <w:top w:val="nil"/>
              <w:bottom w:val="nil"/>
            </w:tcBorders>
            <w:vAlign w:val="center"/>
          </w:tcPr>
          <w:p>
            <w:pPr>
              <w:spacing w:line="240" w:lineRule="exact"/>
              <w:jc w:val="center"/>
              <w:rPr>
                <w:rFonts w:ascii="Arial"/>
                <w:color w:val="000000" w:themeColor="text1"/>
                <w14:textFill>
                  <w14:solidFill>
                    <w14:schemeClr w14:val="tx1"/>
                  </w14:solidFill>
                </w14:textFill>
              </w:rPr>
            </w:pPr>
          </w:p>
        </w:tc>
        <w:tc>
          <w:tcPr>
            <w:tcW w:w="1029" w:type="dxa"/>
            <w:vMerge w:val="continue"/>
            <w:tcBorders>
              <w:top w:val="nil"/>
            </w:tcBorders>
            <w:vAlign w:val="center"/>
          </w:tcPr>
          <w:p>
            <w:pPr>
              <w:spacing w:line="240" w:lineRule="exact"/>
              <w:jc w:val="center"/>
              <w:rPr>
                <w:rFonts w:ascii="Arial"/>
                <w:color w:val="000000" w:themeColor="text1"/>
                <w14:textFill>
                  <w14:solidFill>
                    <w14:schemeClr w14:val="tx1"/>
                  </w14:solidFill>
                </w14:textFill>
              </w:rPr>
            </w:pPr>
          </w:p>
        </w:tc>
        <w:tc>
          <w:tcPr>
            <w:tcW w:w="1342"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排查涉重金属企业</w:t>
            </w:r>
          </w:p>
        </w:tc>
        <w:tc>
          <w:tcPr>
            <w:tcW w:w="1246"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＞50家</w:t>
            </w:r>
          </w:p>
        </w:tc>
        <w:tc>
          <w:tcPr>
            <w:tcW w:w="125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63家</w:t>
            </w:r>
          </w:p>
        </w:tc>
        <w:tc>
          <w:tcPr>
            <w:tcW w:w="71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10</w:t>
            </w:r>
          </w:p>
        </w:tc>
        <w:tc>
          <w:tcPr>
            <w:tcW w:w="802"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10</w:t>
            </w:r>
          </w:p>
        </w:tc>
        <w:tc>
          <w:tcPr>
            <w:tcW w:w="1275" w:type="dxa"/>
            <w:vAlign w:val="center"/>
          </w:tcPr>
          <w:p>
            <w:pPr>
              <w:spacing w:line="240" w:lineRule="exact"/>
              <w:jc w:val="center"/>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bottom w:val="nil"/>
            </w:tcBorders>
            <w:textDirection w:val="tbRlV"/>
          </w:tcPr>
          <w:p>
            <w:pPr>
              <w:spacing w:line="240" w:lineRule="exact"/>
              <w:rPr>
                <w:rFonts w:ascii="Arial"/>
                <w:color w:val="000000" w:themeColor="text1"/>
                <w14:textFill>
                  <w14:solidFill>
                    <w14:schemeClr w14:val="tx1"/>
                  </w14:solidFill>
                </w14:textFill>
              </w:rPr>
            </w:pPr>
          </w:p>
        </w:tc>
        <w:tc>
          <w:tcPr>
            <w:tcW w:w="1079" w:type="dxa"/>
            <w:vMerge w:val="continue"/>
            <w:tcBorders>
              <w:top w:val="nil"/>
              <w:bottom w:val="nil"/>
            </w:tcBorders>
            <w:vAlign w:val="center"/>
          </w:tcPr>
          <w:p>
            <w:pPr>
              <w:spacing w:line="240" w:lineRule="exact"/>
              <w:jc w:val="center"/>
              <w:rPr>
                <w:rFonts w:ascii="Arial"/>
                <w:color w:val="000000" w:themeColor="text1"/>
                <w14:textFill>
                  <w14:solidFill>
                    <w14:schemeClr w14:val="tx1"/>
                  </w14:solidFill>
                </w14:textFill>
              </w:rPr>
            </w:pPr>
          </w:p>
        </w:tc>
        <w:tc>
          <w:tcPr>
            <w:tcW w:w="1029" w:type="dxa"/>
            <w:vMerge w:val="restart"/>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2"/>
                <w:szCs w:val="21"/>
                <w14:textFill>
                  <w14:solidFill>
                    <w14:schemeClr w14:val="tx1"/>
                  </w14:solidFill>
                </w14:textFill>
              </w:rPr>
              <w:t>质量指标</w:t>
            </w:r>
          </w:p>
        </w:tc>
        <w:tc>
          <w:tcPr>
            <w:tcW w:w="1342"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空气环境质量优良率</w:t>
            </w:r>
          </w:p>
        </w:tc>
        <w:tc>
          <w:tcPr>
            <w:tcW w:w="1246"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≥90%</w:t>
            </w:r>
          </w:p>
        </w:tc>
        <w:tc>
          <w:tcPr>
            <w:tcW w:w="125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90%</w:t>
            </w:r>
          </w:p>
        </w:tc>
        <w:tc>
          <w:tcPr>
            <w:tcW w:w="71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5</w:t>
            </w:r>
          </w:p>
        </w:tc>
        <w:tc>
          <w:tcPr>
            <w:tcW w:w="802"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5</w:t>
            </w:r>
          </w:p>
        </w:tc>
        <w:tc>
          <w:tcPr>
            <w:tcW w:w="1275" w:type="dxa"/>
            <w:vAlign w:val="center"/>
          </w:tcPr>
          <w:p>
            <w:pPr>
              <w:spacing w:line="240" w:lineRule="exact"/>
              <w:jc w:val="center"/>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1084" w:type="dxa"/>
            <w:vMerge w:val="continue"/>
            <w:tcBorders>
              <w:top w:val="nil"/>
              <w:bottom w:val="nil"/>
            </w:tcBorders>
            <w:textDirection w:val="tbRlV"/>
          </w:tcPr>
          <w:p>
            <w:pPr>
              <w:spacing w:line="240" w:lineRule="exact"/>
              <w:rPr>
                <w:rFonts w:ascii="Arial"/>
                <w:color w:val="000000" w:themeColor="text1"/>
                <w14:textFill>
                  <w14:solidFill>
                    <w14:schemeClr w14:val="tx1"/>
                  </w14:solidFill>
                </w14:textFill>
              </w:rPr>
            </w:pPr>
          </w:p>
        </w:tc>
        <w:tc>
          <w:tcPr>
            <w:tcW w:w="1079" w:type="dxa"/>
            <w:vMerge w:val="continue"/>
            <w:tcBorders>
              <w:top w:val="nil"/>
              <w:bottom w:val="nil"/>
            </w:tcBorders>
            <w:vAlign w:val="center"/>
          </w:tcPr>
          <w:p>
            <w:pPr>
              <w:spacing w:line="240" w:lineRule="exact"/>
              <w:jc w:val="center"/>
              <w:rPr>
                <w:rFonts w:ascii="Arial"/>
                <w:color w:val="000000" w:themeColor="text1"/>
                <w14:textFill>
                  <w14:solidFill>
                    <w14:schemeClr w14:val="tx1"/>
                  </w14:solidFill>
                </w14:textFill>
              </w:rPr>
            </w:pPr>
          </w:p>
        </w:tc>
        <w:tc>
          <w:tcPr>
            <w:tcW w:w="1029" w:type="dxa"/>
            <w:vMerge w:val="continue"/>
            <w:tcBorders>
              <w:top w:val="nil"/>
              <w:bottom w:val="nil"/>
            </w:tcBorders>
            <w:vAlign w:val="center"/>
          </w:tcPr>
          <w:p>
            <w:pPr>
              <w:spacing w:line="240" w:lineRule="exact"/>
              <w:jc w:val="center"/>
              <w:rPr>
                <w:rFonts w:ascii="Arial"/>
                <w:color w:val="000000" w:themeColor="text1"/>
                <w14:textFill>
                  <w14:solidFill>
                    <w14:schemeClr w14:val="tx1"/>
                  </w14:solidFill>
                </w14:textFill>
              </w:rPr>
            </w:pPr>
          </w:p>
        </w:tc>
        <w:tc>
          <w:tcPr>
            <w:tcW w:w="1342" w:type="dxa"/>
            <w:vAlign w:val="center"/>
          </w:tcPr>
          <w:p>
            <w:pPr>
              <w:spacing w:line="240" w:lineRule="exact"/>
              <w:jc w:val="center"/>
              <w:rPr>
                <w:rFonts w:ascii="Arial"/>
                <w:color w:val="000000" w:themeColor="text1"/>
                <w14:textFill>
                  <w14:solidFill>
                    <w14:schemeClr w14:val="tx1"/>
                  </w14:solidFill>
                </w14:textFill>
              </w:rPr>
            </w:pPr>
            <w:r>
              <w:rPr>
                <w:rFonts w:hint="eastAsia" w:ascii="Arial"/>
                <w:color w:val="000000" w:themeColor="text1"/>
                <w14:textFill>
                  <w14:solidFill>
                    <w14:schemeClr w14:val="tx1"/>
                  </w14:solidFill>
                </w14:textFill>
              </w:rPr>
              <w:t>地表水环境质量达标率</w:t>
            </w:r>
          </w:p>
        </w:tc>
        <w:tc>
          <w:tcPr>
            <w:tcW w:w="1246"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≥93%</w:t>
            </w:r>
          </w:p>
        </w:tc>
        <w:tc>
          <w:tcPr>
            <w:tcW w:w="125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93%</w:t>
            </w:r>
          </w:p>
        </w:tc>
        <w:tc>
          <w:tcPr>
            <w:tcW w:w="71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5</w:t>
            </w:r>
          </w:p>
        </w:tc>
        <w:tc>
          <w:tcPr>
            <w:tcW w:w="802"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5</w:t>
            </w:r>
          </w:p>
        </w:tc>
        <w:tc>
          <w:tcPr>
            <w:tcW w:w="1275" w:type="dxa"/>
            <w:vAlign w:val="center"/>
          </w:tcPr>
          <w:p>
            <w:pPr>
              <w:spacing w:line="240" w:lineRule="exact"/>
              <w:jc w:val="center"/>
              <w:rPr>
                <w:rFonts w:ascii="Arial"/>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84" w:type="dxa"/>
            <w:vMerge w:val="continue"/>
            <w:tcBorders>
              <w:top w:val="nil"/>
              <w:bottom w:val="nil"/>
            </w:tcBorders>
            <w:textDirection w:val="tbRlV"/>
          </w:tcPr>
          <w:p>
            <w:pPr>
              <w:spacing w:line="240" w:lineRule="exact"/>
              <w:rPr>
                <w:rFonts w:ascii="Arial"/>
                <w:color w:val="000000" w:themeColor="text1"/>
                <w14:textFill>
                  <w14:solidFill>
                    <w14:schemeClr w14:val="tx1"/>
                  </w14:solidFill>
                </w14:textFill>
              </w:rPr>
            </w:pPr>
          </w:p>
        </w:tc>
        <w:tc>
          <w:tcPr>
            <w:tcW w:w="1079" w:type="dxa"/>
            <w:vMerge w:val="continue"/>
            <w:tcBorders>
              <w:top w:val="nil"/>
              <w:bottom w:val="nil"/>
            </w:tcBorders>
            <w:vAlign w:val="center"/>
          </w:tcPr>
          <w:p>
            <w:pPr>
              <w:spacing w:line="240" w:lineRule="exact"/>
              <w:jc w:val="center"/>
              <w:rPr>
                <w:rFonts w:ascii="Arial"/>
                <w:color w:val="000000" w:themeColor="text1"/>
                <w14:textFill>
                  <w14:solidFill>
                    <w14:schemeClr w14:val="tx1"/>
                  </w14:solidFill>
                </w14:textFill>
              </w:rPr>
            </w:pPr>
          </w:p>
        </w:tc>
        <w:tc>
          <w:tcPr>
            <w:tcW w:w="1029"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2"/>
                <w:szCs w:val="21"/>
                <w14:textFill>
                  <w14:solidFill>
                    <w14:schemeClr w14:val="tx1"/>
                  </w14:solidFill>
                </w14:textFill>
              </w:rPr>
              <w:t>时效指标</w:t>
            </w:r>
          </w:p>
        </w:tc>
        <w:tc>
          <w:tcPr>
            <w:tcW w:w="1342"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按时完成各项指标</w:t>
            </w:r>
          </w:p>
        </w:tc>
        <w:tc>
          <w:tcPr>
            <w:tcW w:w="1246"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2022年度</w:t>
            </w:r>
          </w:p>
        </w:tc>
        <w:tc>
          <w:tcPr>
            <w:tcW w:w="125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2022年度</w:t>
            </w:r>
          </w:p>
        </w:tc>
        <w:tc>
          <w:tcPr>
            <w:tcW w:w="71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5</w:t>
            </w:r>
          </w:p>
        </w:tc>
        <w:tc>
          <w:tcPr>
            <w:tcW w:w="802"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5</w:t>
            </w:r>
          </w:p>
        </w:tc>
        <w:tc>
          <w:tcPr>
            <w:tcW w:w="1275" w:type="dxa"/>
            <w:vAlign w:val="center"/>
          </w:tcPr>
          <w:p>
            <w:pPr>
              <w:spacing w:line="240" w:lineRule="exact"/>
              <w:jc w:val="center"/>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84" w:type="dxa"/>
            <w:vMerge w:val="continue"/>
            <w:tcBorders>
              <w:top w:val="nil"/>
              <w:bottom w:val="nil"/>
            </w:tcBorders>
            <w:textDirection w:val="tbRlV"/>
          </w:tcPr>
          <w:p>
            <w:pPr>
              <w:spacing w:line="240" w:lineRule="exact"/>
              <w:rPr>
                <w:rFonts w:ascii="Arial"/>
                <w:color w:val="000000" w:themeColor="text1"/>
                <w14:textFill>
                  <w14:solidFill>
                    <w14:schemeClr w14:val="tx1"/>
                  </w14:solidFill>
                </w14:textFill>
              </w:rPr>
            </w:pPr>
          </w:p>
        </w:tc>
        <w:tc>
          <w:tcPr>
            <w:tcW w:w="1079" w:type="dxa"/>
            <w:vMerge w:val="continue"/>
            <w:tcBorders>
              <w:top w:val="nil"/>
              <w:bottom w:val="nil"/>
            </w:tcBorders>
            <w:vAlign w:val="center"/>
          </w:tcPr>
          <w:p>
            <w:pPr>
              <w:spacing w:line="240" w:lineRule="exact"/>
              <w:jc w:val="center"/>
              <w:rPr>
                <w:rFonts w:ascii="Arial"/>
                <w:color w:val="000000" w:themeColor="text1"/>
                <w14:textFill>
                  <w14:solidFill>
                    <w14:schemeClr w14:val="tx1"/>
                  </w14:solidFill>
                </w14:textFill>
              </w:rPr>
            </w:pPr>
          </w:p>
        </w:tc>
        <w:tc>
          <w:tcPr>
            <w:tcW w:w="1029"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2"/>
                <w:szCs w:val="21"/>
                <w14:textFill>
                  <w14:solidFill>
                    <w14:schemeClr w14:val="tx1"/>
                  </w14:solidFill>
                </w14:textFill>
              </w:rPr>
              <w:t>成本指标</w:t>
            </w:r>
          </w:p>
        </w:tc>
        <w:tc>
          <w:tcPr>
            <w:tcW w:w="1342"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控制成本</w:t>
            </w:r>
          </w:p>
        </w:tc>
        <w:tc>
          <w:tcPr>
            <w:tcW w:w="1246"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2086.87万元</w:t>
            </w:r>
          </w:p>
        </w:tc>
        <w:tc>
          <w:tcPr>
            <w:tcW w:w="125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4028.18万元</w:t>
            </w:r>
          </w:p>
        </w:tc>
        <w:tc>
          <w:tcPr>
            <w:tcW w:w="71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5</w:t>
            </w:r>
          </w:p>
        </w:tc>
        <w:tc>
          <w:tcPr>
            <w:tcW w:w="802"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5</w:t>
            </w:r>
          </w:p>
        </w:tc>
        <w:tc>
          <w:tcPr>
            <w:tcW w:w="1275" w:type="dxa"/>
            <w:vAlign w:val="center"/>
          </w:tcPr>
          <w:p>
            <w:pPr>
              <w:spacing w:line="240" w:lineRule="exact"/>
              <w:jc w:val="center"/>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bottom w:val="nil"/>
            </w:tcBorders>
            <w:textDirection w:val="tbRlV"/>
          </w:tcPr>
          <w:p>
            <w:pPr>
              <w:spacing w:line="240" w:lineRule="exact"/>
              <w:rPr>
                <w:rFonts w:ascii="Arial"/>
                <w:color w:val="000000" w:themeColor="text1"/>
                <w14:textFill>
                  <w14:solidFill>
                    <w14:schemeClr w14:val="tx1"/>
                  </w14:solidFill>
                </w14:textFill>
              </w:rPr>
            </w:pPr>
          </w:p>
        </w:tc>
        <w:tc>
          <w:tcPr>
            <w:tcW w:w="1079" w:type="dxa"/>
            <w:vMerge w:val="restart"/>
            <w:tcBorders>
              <w:bottom w:val="nil"/>
            </w:tcBorders>
            <w:vAlign w:val="center"/>
          </w:tcPr>
          <w:p>
            <w:pPr>
              <w:spacing w:line="240" w:lineRule="exact"/>
              <w:jc w:val="center"/>
              <w:rPr>
                <w:rFonts w:ascii="Arial"/>
                <w:color w:val="000000" w:themeColor="text1"/>
                <w14:textFill>
                  <w14:solidFill>
                    <w14:schemeClr w14:val="tx1"/>
                  </w14:solidFill>
                </w14:textFill>
              </w:rPr>
            </w:pPr>
          </w:p>
          <w:p>
            <w:pPr>
              <w:spacing w:line="240" w:lineRule="exact"/>
              <w:jc w:val="center"/>
              <w:rPr>
                <w:rFonts w:ascii="Arial"/>
                <w:color w:val="000000" w:themeColor="text1"/>
                <w14:textFill>
                  <w14:solidFill>
                    <w14:schemeClr w14:val="tx1"/>
                  </w14:solidFill>
                </w14:textFill>
              </w:rPr>
            </w:pPr>
          </w:p>
          <w:p>
            <w:pPr>
              <w:spacing w:line="240" w:lineRule="exact"/>
              <w:jc w:val="center"/>
              <w:rPr>
                <w:rFonts w:ascii="Arial"/>
                <w:color w:val="000000" w:themeColor="text1"/>
                <w14:textFill>
                  <w14:solidFill>
                    <w14:schemeClr w14:val="tx1"/>
                  </w14:solidFill>
                </w14:textFill>
              </w:rPr>
            </w:pPr>
          </w:p>
          <w:p>
            <w:pPr>
              <w:spacing w:line="240" w:lineRule="exact"/>
              <w:jc w:val="center"/>
              <w:rPr>
                <w:rFonts w:ascii="Arial"/>
                <w:color w:val="000000" w:themeColor="text1"/>
                <w14:textFill>
                  <w14:solidFill>
                    <w14:schemeClr w14:val="tx1"/>
                  </w14:solidFill>
                </w14:textFill>
              </w:rPr>
            </w:pP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2"/>
                <w:position w:val="21"/>
                <w:szCs w:val="21"/>
                <w14:textFill>
                  <w14:solidFill>
                    <w14:schemeClr w14:val="tx1"/>
                  </w14:solidFill>
                </w14:textFill>
              </w:rPr>
              <w:t>效益指标</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9"/>
                <w:szCs w:val="21"/>
                <w14:textFill>
                  <w14:solidFill>
                    <w14:schemeClr w14:val="tx1"/>
                  </w14:solidFill>
                </w14:textFill>
              </w:rPr>
              <w:t>(30分)</w:t>
            </w:r>
          </w:p>
        </w:tc>
        <w:tc>
          <w:tcPr>
            <w:tcW w:w="1029"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3"/>
                <w:szCs w:val="21"/>
                <w14:textFill>
                  <w14:solidFill>
                    <w14:schemeClr w14:val="tx1"/>
                  </w14:solidFill>
                </w14:textFill>
              </w:rPr>
              <w:t>经济效</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3"/>
                <w:szCs w:val="21"/>
                <w14:textFill>
                  <w14:solidFill>
                    <w14:schemeClr w14:val="tx1"/>
                  </w14:solidFill>
                </w14:textFill>
              </w:rPr>
              <w:t>益指标</w:t>
            </w:r>
          </w:p>
        </w:tc>
        <w:tc>
          <w:tcPr>
            <w:tcW w:w="1342"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促进经济发展</w:t>
            </w:r>
          </w:p>
        </w:tc>
        <w:tc>
          <w:tcPr>
            <w:tcW w:w="1246"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经济平稳发展</w:t>
            </w:r>
          </w:p>
        </w:tc>
        <w:tc>
          <w:tcPr>
            <w:tcW w:w="1259"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经济平稳发展</w:t>
            </w:r>
          </w:p>
        </w:tc>
        <w:tc>
          <w:tcPr>
            <w:tcW w:w="71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10</w:t>
            </w:r>
          </w:p>
        </w:tc>
        <w:tc>
          <w:tcPr>
            <w:tcW w:w="802"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10</w:t>
            </w:r>
          </w:p>
        </w:tc>
        <w:tc>
          <w:tcPr>
            <w:tcW w:w="1275" w:type="dxa"/>
            <w:vAlign w:val="center"/>
          </w:tcPr>
          <w:p>
            <w:pPr>
              <w:spacing w:line="240" w:lineRule="exact"/>
              <w:jc w:val="center"/>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bottom w:val="nil"/>
            </w:tcBorders>
            <w:textDirection w:val="tbRlV"/>
          </w:tcPr>
          <w:p>
            <w:pPr>
              <w:spacing w:line="240" w:lineRule="exact"/>
              <w:rPr>
                <w:rFonts w:ascii="Arial"/>
                <w:color w:val="000000" w:themeColor="text1"/>
                <w14:textFill>
                  <w14:solidFill>
                    <w14:schemeClr w14:val="tx1"/>
                  </w14:solidFill>
                </w14:textFill>
              </w:rPr>
            </w:pPr>
          </w:p>
        </w:tc>
        <w:tc>
          <w:tcPr>
            <w:tcW w:w="1079" w:type="dxa"/>
            <w:vMerge w:val="continue"/>
            <w:tcBorders>
              <w:top w:val="nil"/>
              <w:bottom w:val="nil"/>
            </w:tcBorders>
            <w:vAlign w:val="center"/>
          </w:tcPr>
          <w:p>
            <w:pPr>
              <w:spacing w:line="240" w:lineRule="exact"/>
              <w:jc w:val="center"/>
              <w:rPr>
                <w:rFonts w:ascii="Arial"/>
                <w:color w:val="000000" w:themeColor="text1"/>
                <w14:textFill>
                  <w14:solidFill>
                    <w14:schemeClr w14:val="tx1"/>
                  </w14:solidFill>
                </w14:textFill>
              </w:rPr>
            </w:pPr>
          </w:p>
        </w:tc>
        <w:tc>
          <w:tcPr>
            <w:tcW w:w="1029"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3"/>
                <w:szCs w:val="21"/>
                <w14:textFill>
                  <w14:solidFill>
                    <w14:schemeClr w14:val="tx1"/>
                  </w14:solidFill>
                </w14:textFill>
              </w:rPr>
              <w:t>社会效</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3"/>
                <w:szCs w:val="21"/>
                <w14:textFill>
                  <w14:solidFill>
                    <w14:schemeClr w14:val="tx1"/>
                  </w14:solidFill>
                </w14:textFill>
              </w:rPr>
              <w:t>益指标</w:t>
            </w:r>
          </w:p>
        </w:tc>
        <w:tc>
          <w:tcPr>
            <w:tcW w:w="1342"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改善居民生产、生活环境，提升幸福生活指数</w:t>
            </w:r>
          </w:p>
        </w:tc>
        <w:tc>
          <w:tcPr>
            <w:tcW w:w="1246"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有所改善</w:t>
            </w:r>
          </w:p>
        </w:tc>
        <w:tc>
          <w:tcPr>
            <w:tcW w:w="1259"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有所改善</w:t>
            </w:r>
          </w:p>
        </w:tc>
        <w:tc>
          <w:tcPr>
            <w:tcW w:w="71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10</w:t>
            </w:r>
          </w:p>
        </w:tc>
        <w:tc>
          <w:tcPr>
            <w:tcW w:w="802"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10</w:t>
            </w:r>
          </w:p>
        </w:tc>
        <w:tc>
          <w:tcPr>
            <w:tcW w:w="1275" w:type="dxa"/>
            <w:vAlign w:val="center"/>
          </w:tcPr>
          <w:p>
            <w:pPr>
              <w:spacing w:line="240" w:lineRule="exact"/>
              <w:jc w:val="center"/>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bottom w:val="nil"/>
            </w:tcBorders>
            <w:textDirection w:val="tbRlV"/>
          </w:tcPr>
          <w:p>
            <w:pPr>
              <w:spacing w:line="240" w:lineRule="exact"/>
              <w:rPr>
                <w:rFonts w:ascii="Arial"/>
                <w:color w:val="000000" w:themeColor="text1"/>
                <w14:textFill>
                  <w14:solidFill>
                    <w14:schemeClr w14:val="tx1"/>
                  </w14:solidFill>
                </w14:textFill>
              </w:rPr>
            </w:pPr>
          </w:p>
        </w:tc>
        <w:tc>
          <w:tcPr>
            <w:tcW w:w="1079" w:type="dxa"/>
            <w:vMerge w:val="continue"/>
            <w:tcBorders>
              <w:top w:val="nil"/>
              <w:bottom w:val="nil"/>
            </w:tcBorders>
            <w:vAlign w:val="center"/>
          </w:tcPr>
          <w:p>
            <w:pPr>
              <w:spacing w:line="240" w:lineRule="exact"/>
              <w:jc w:val="center"/>
              <w:rPr>
                <w:rFonts w:ascii="Arial"/>
                <w:color w:val="000000" w:themeColor="text1"/>
                <w14:textFill>
                  <w14:solidFill>
                    <w14:schemeClr w14:val="tx1"/>
                  </w14:solidFill>
                </w14:textFill>
              </w:rPr>
            </w:pPr>
          </w:p>
        </w:tc>
        <w:tc>
          <w:tcPr>
            <w:tcW w:w="1029"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3"/>
                <w:szCs w:val="21"/>
                <w14:textFill>
                  <w14:solidFill>
                    <w14:schemeClr w14:val="tx1"/>
                  </w14:solidFill>
                </w14:textFill>
              </w:rPr>
              <w:t>生态效</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3"/>
                <w:szCs w:val="21"/>
                <w14:textFill>
                  <w14:solidFill>
                    <w14:schemeClr w14:val="tx1"/>
                  </w14:solidFill>
                </w14:textFill>
              </w:rPr>
              <w:t>益指标</w:t>
            </w:r>
          </w:p>
        </w:tc>
        <w:tc>
          <w:tcPr>
            <w:tcW w:w="1342"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治理重点污染城市环境空气质量优良率达到</w:t>
            </w:r>
            <w:r>
              <w:rPr>
                <w:rFonts w:hint="eastAsia" w:ascii="宋体" w:hAnsi="宋体" w:eastAsia="宋体" w:cs="宋体"/>
                <w:color w:val="000000" w:themeColor="text1"/>
                <w:spacing w:val="-6"/>
                <w:szCs w:val="21"/>
                <w14:textFill>
                  <w14:solidFill>
                    <w14:schemeClr w14:val="tx1"/>
                  </w14:solidFill>
                </w14:textFill>
              </w:rPr>
              <w:t>89%</w:t>
            </w:r>
            <w:r>
              <w:rPr>
                <w:rFonts w:hint="eastAsia" w:ascii="Arial"/>
                <w:color w:val="000000" w:themeColor="text1"/>
                <w:sz w:val="20"/>
                <w14:textFill>
                  <w14:solidFill>
                    <w14:schemeClr w14:val="tx1"/>
                  </w14:solidFill>
                </w14:textFill>
              </w:rPr>
              <w:t>以上</w:t>
            </w:r>
          </w:p>
        </w:tc>
        <w:tc>
          <w:tcPr>
            <w:tcW w:w="1246"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有所改善</w:t>
            </w:r>
          </w:p>
        </w:tc>
        <w:tc>
          <w:tcPr>
            <w:tcW w:w="1259"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有所改善</w:t>
            </w:r>
          </w:p>
        </w:tc>
        <w:tc>
          <w:tcPr>
            <w:tcW w:w="71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5</w:t>
            </w:r>
          </w:p>
        </w:tc>
        <w:tc>
          <w:tcPr>
            <w:tcW w:w="802"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5</w:t>
            </w:r>
          </w:p>
        </w:tc>
        <w:tc>
          <w:tcPr>
            <w:tcW w:w="1275" w:type="dxa"/>
            <w:vAlign w:val="center"/>
          </w:tcPr>
          <w:p>
            <w:pPr>
              <w:spacing w:line="240" w:lineRule="exact"/>
              <w:jc w:val="center"/>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084" w:type="dxa"/>
            <w:vMerge w:val="continue"/>
            <w:tcBorders>
              <w:top w:val="nil"/>
              <w:bottom w:val="nil"/>
            </w:tcBorders>
            <w:textDirection w:val="tbRlV"/>
          </w:tcPr>
          <w:p>
            <w:pPr>
              <w:spacing w:line="240" w:lineRule="exact"/>
              <w:rPr>
                <w:rFonts w:ascii="Arial"/>
                <w:color w:val="000000" w:themeColor="text1"/>
                <w14:textFill>
                  <w14:solidFill>
                    <w14:schemeClr w14:val="tx1"/>
                  </w14:solidFill>
                </w14:textFill>
              </w:rPr>
            </w:pPr>
          </w:p>
        </w:tc>
        <w:tc>
          <w:tcPr>
            <w:tcW w:w="1079" w:type="dxa"/>
            <w:vMerge w:val="continue"/>
            <w:tcBorders>
              <w:top w:val="nil"/>
              <w:bottom w:val="nil"/>
            </w:tcBorders>
            <w:vAlign w:val="center"/>
          </w:tcPr>
          <w:p>
            <w:pPr>
              <w:spacing w:line="240" w:lineRule="exact"/>
              <w:jc w:val="center"/>
              <w:rPr>
                <w:rFonts w:ascii="Arial"/>
                <w:color w:val="000000" w:themeColor="text1"/>
                <w14:textFill>
                  <w14:solidFill>
                    <w14:schemeClr w14:val="tx1"/>
                  </w14:solidFill>
                </w14:textFill>
              </w:rPr>
            </w:pPr>
          </w:p>
        </w:tc>
        <w:tc>
          <w:tcPr>
            <w:tcW w:w="1029"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2"/>
                <w:szCs w:val="21"/>
                <w14:textFill>
                  <w14:solidFill>
                    <w14:schemeClr w14:val="tx1"/>
                  </w14:solidFill>
                </w14:textFill>
              </w:rPr>
              <w:t>可持续影</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2"/>
                <w:szCs w:val="21"/>
                <w14:textFill>
                  <w14:solidFill>
                    <w14:schemeClr w14:val="tx1"/>
                  </w14:solidFill>
                </w14:textFill>
              </w:rPr>
              <w:t>响指标</w:t>
            </w:r>
          </w:p>
        </w:tc>
        <w:tc>
          <w:tcPr>
            <w:tcW w:w="1342" w:type="dxa"/>
            <w:vAlign w:val="center"/>
          </w:tcPr>
          <w:p>
            <w:pPr>
              <w:spacing w:line="240" w:lineRule="exact"/>
              <w:jc w:val="center"/>
              <w:rPr>
                <w:rFonts w:ascii="Arial"/>
                <w:color w:val="000000" w:themeColor="text1"/>
                <w14:textFill>
                  <w14:solidFill>
                    <w14:schemeClr w14:val="tx1"/>
                  </w14:solidFill>
                </w14:textFill>
              </w:rPr>
            </w:pPr>
            <w:r>
              <w:rPr>
                <w:rFonts w:hint="eastAsia" w:ascii="Arial"/>
                <w:color w:val="000000" w:themeColor="text1"/>
                <w:sz w:val="20"/>
                <w14:textFill>
                  <w14:solidFill>
                    <w14:schemeClr w14:val="tx1"/>
                  </w14:solidFill>
                </w14:textFill>
              </w:rPr>
              <w:t>环境、经济可持续发展</w:t>
            </w:r>
          </w:p>
        </w:tc>
        <w:tc>
          <w:tcPr>
            <w:tcW w:w="1246" w:type="dxa"/>
            <w:vAlign w:val="center"/>
          </w:tcPr>
          <w:p>
            <w:pPr>
              <w:spacing w:line="240" w:lineRule="exact"/>
              <w:jc w:val="center"/>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有所改善</w:t>
            </w:r>
          </w:p>
        </w:tc>
        <w:tc>
          <w:tcPr>
            <w:tcW w:w="1259" w:type="dxa"/>
            <w:vAlign w:val="center"/>
          </w:tcPr>
          <w:p>
            <w:pPr>
              <w:spacing w:line="240" w:lineRule="exact"/>
              <w:jc w:val="center"/>
              <w:rPr>
                <w:rFonts w:ascii="Arial"/>
                <w:color w:val="000000" w:themeColor="text1"/>
                <w14:textFill>
                  <w14:solidFill>
                    <w14:schemeClr w14:val="tx1"/>
                  </w14:solidFill>
                </w14:textFill>
              </w:rPr>
            </w:pPr>
            <w:r>
              <w:rPr>
                <w:rFonts w:hint="eastAsia" w:ascii="Arial"/>
                <w:color w:val="000000" w:themeColor="text1"/>
                <w:sz w:val="20"/>
                <w14:textFill>
                  <w14:solidFill>
                    <w14:schemeClr w14:val="tx1"/>
                  </w14:solidFill>
                </w14:textFill>
              </w:rPr>
              <w:t>有所改善</w:t>
            </w:r>
          </w:p>
        </w:tc>
        <w:tc>
          <w:tcPr>
            <w:tcW w:w="71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5</w:t>
            </w:r>
          </w:p>
        </w:tc>
        <w:tc>
          <w:tcPr>
            <w:tcW w:w="802"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5</w:t>
            </w:r>
          </w:p>
        </w:tc>
        <w:tc>
          <w:tcPr>
            <w:tcW w:w="1275" w:type="dxa"/>
            <w:vAlign w:val="center"/>
          </w:tcPr>
          <w:p>
            <w:pPr>
              <w:spacing w:line="240" w:lineRule="exact"/>
              <w:jc w:val="center"/>
              <w:rPr>
                <w:rFonts w:ascii="Arial"/>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1084" w:type="dxa"/>
            <w:vMerge w:val="continue"/>
            <w:tcBorders>
              <w:top w:val="nil"/>
              <w:bottom w:val="nil"/>
            </w:tcBorders>
            <w:textDirection w:val="tbRlV"/>
          </w:tcPr>
          <w:p>
            <w:pPr>
              <w:spacing w:line="240" w:lineRule="exact"/>
              <w:rPr>
                <w:rFonts w:ascii="Arial"/>
                <w:color w:val="000000" w:themeColor="text1"/>
                <w14:textFill>
                  <w14:solidFill>
                    <w14:schemeClr w14:val="tx1"/>
                  </w14:solidFill>
                </w14:textFill>
              </w:rPr>
            </w:pPr>
          </w:p>
        </w:tc>
        <w:tc>
          <w:tcPr>
            <w:tcW w:w="1079"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4"/>
                <w:szCs w:val="21"/>
                <w14:textFill>
                  <w14:solidFill>
                    <w14:schemeClr w14:val="tx1"/>
                  </w14:solidFill>
                </w14:textFill>
              </w:rPr>
              <w:t>满意度</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3"/>
                <w:szCs w:val="21"/>
                <w14:textFill>
                  <w14:solidFill>
                    <w14:schemeClr w14:val="tx1"/>
                  </w14:solidFill>
                </w14:textFill>
              </w:rPr>
              <w:t>指标</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9"/>
                <w:szCs w:val="21"/>
                <w14:textFill>
                  <w14:solidFill>
                    <w14:schemeClr w14:val="tx1"/>
                  </w14:solidFill>
                </w14:textFill>
              </w:rPr>
              <w:t>(10分)</w:t>
            </w:r>
          </w:p>
        </w:tc>
        <w:tc>
          <w:tcPr>
            <w:tcW w:w="1029"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2"/>
                <w:szCs w:val="21"/>
                <w14:textFill>
                  <w14:solidFill>
                    <w14:schemeClr w14:val="tx1"/>
                  </w14:solidFill>
                </w14:textFill>
              </w:rPr>
              <w:t>服务对象</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3"/>
                <w:szCs w:val="21"/>
                <w14:textFill>
                  <w14:solidFill>
                    <w14:schemeClr w14:val="tx1"/>
                  </w14:solidFill>
                </w14:textFill>
              </w:rPr>
              <w:t>满意度指</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标</w:t>
            </w:r>
          </w:p>
        </w:tc>
        <w:tc>
          <w:tcPr>
            <w:tcW w:w="1342" w:type="dxa"/>
            <w:vAlign w:val="center"/>
          </w:tcPr>
          <w:p>
            <w:pPr>
              <w:spacing w:line="240" w:lineRule="exact"/>
              <w:rPr>
                <w:rFonts w:ascii="Arial"/>
                <w:color w:val="000000" w:themeColor="text1"/>
                <w14:textFill>
                  <w14:solidFill>
                    <w14:schemeClr w14:val="tx1"/>
                  </w14:solidFill>
                </w14:textFill>
              </w:rPr>
            </w:pPr>
            <w:r>
              <w:rPr>
                <w:rFonts w:hint="eastAsia" w:ascii="Arial"/>
                <w:color w:val="000000" w:themeColor="text1"/>
                <w:sz w:val="20"/>
                <w14:textFill>
                  <w14:solidFill>
                    <w14:schemeClr w14:val="tx1"/>
                  </w14:solidFill>
                </w14:textFill>
              </w:rPr>
              <w:t>收益人民群众</w:t>
            </w:r>
          </w:p>
        </w:tc>
        <w:tc>
          <w:tcPr>
            <w:tcW w:w="1246"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≥95%</w:t>
            </w:r>
          </w:p>
        </w:tc>
        <w:tc>
          <w:tcPr>
            <w:tcW w:w="125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95%</w:t>
            </w:r>
          </w:p>
        </w:tc>
        <w:tc>
          <w:tcPr>
            <w:tcW w:w="719"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10</w:t>
            </w:r>
          </w:p>
        </w:tc>
        <w:tc>
          <w:tcPr>
            <w:tcW w:w="802"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9</w:t>
            </w:r>
          </w:p>
        </w:tc>
        <w:tc>
          <w:tcPr>
            <w:tcW w:w="1275" w:type="dxa"/>
            <w:vAlign w:val="center"/>
          </w:tcPr>
          <w:p>
            <w:pPr>
              <w:spacing w:line="240" w:lineRule="exact"/>
              <w:jc w:val="center"/>
              <w:rPr>
                <w:rFonts w:ascii="Arial"/>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7039" w:type="dxa"/>
            <w:gridSpan w:val="6"/>
            <w:vAlign w:val="center"/>
          </w:tcPr>
          <w:p>
            <w:pPr>
              <w:spacing w:line="240" w:lineRule="exact"/>
              <w:ind w:firstLine="3274"/>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297815" cy="158750"/>
                  <wp:effectExtent l="0" t="0" r="6985" b="1333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a:stretch>
                            <a:fillRect/>
                          </a:stretch>
                        </pic:blipFill>
                        <pic:spPr>
                          <a:xfrm>
                            <a:off x="0" y="0"/>
                            <a:ext cx="297815" cy="158750"/>
                          </a:xfrm>
                          <a:prstGeom prst="rect">
                            <a:avLst/>
                          </a:prstGeom>
                          <a:noFill/>
                          <a:ln>
                            <a:noFill/>
                          </a:ln>
                        </pic:spPr>
                      </pic:pic>
                    </a:graphicData>
                  </a:graphic>
                </wp:inline>
              </w:drawing>
            </w:r>
          </w:p>
        </w:tc>
        <w:tc>
          <w:tcPr>
            <w:tcW w:w="719"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pacing w:val="-6"/>
                <w:szCs w:val="21"/>
                <w14:textFill>
                  <w14:solidFill>
                    <w14:schemeClr w14:val="tx1"/>
                  </w14:solidFill>
                </w14:textFill>
              </w:rPr>
              <w:t>100</w:t>
            </w:r>
          </w:p>
        </w:tc>
        <w:tc>
          <w:tcPr>
            <w:tcW w:w="802"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r>
              <w:rPr>
                <w:rFonts w:hint="eastAsia" w:ascii="宋体" w:hAnsi="宋体" w:eastAsia="宋体" w:cs="宋体"/>
                <w:color w:val="000000" w:themeColor="text1"/>
                <w:spacing w:val="-6"/>
                <w:szCs w:val="21"/>
                <w14:textFill>
                  <w14:solidFill>
                    <w14:schemeClr w14:val="tx1"/>
                  </w14:solidFill>
                </w14:textFill>
              </w:rPr>
              <w:t>99</w:t>
            </w:r>
          </w:p>
        </w:tc>
        <w:tc>
          <w:tcPr>
            <w:tcW w:w="1275" w:type="dxa"/>
            <w:vAlign w:val="center"/>
          </w:tcPr>
          <w:p>
            <w:pPr>
              <w:spacing w:line="240" w:lineRule="exact"/>
              <w:jc w:val="center"/>
              <w:rPr>
                <w:rFonts w:ascii="宋体" w:hAnsi="宋体" w:eastAsia="宋体" w:cs="宋体"/>
                <w:color w:val="000000" w:themeColor="text1"/>
                <w:spacing w:val="-6"/>
                <w:szCs w:val="21"/>
                <w14:textFill>
                  <w14:solidFill>
                    <w14:schemeClr w14:val="tx1"/>
                  </w14:solidFill>
                </w14:textFill>
              </w:rPr>
            </w:pPr>
          </w:p>
        </w:tc>
      </w:tr>
    </w:tbl>
    <w:p>
      <w:pPr>
        <w:spacing w:line="240" w:lineRule="exact"/>
        <w:jc w:val="left"/>
        <w:rPr>
          <w:rFonts w:ascii="仿宋" w:hAnsi="仿宋" w:eastAsia="仿宋" w:cs="仿宋"/>
          <w:color w:val="000000" w:themeColor="text1"/>
          <w:spacing w:val="-22"/>
          <w:sz w:val="22"/>
          <w:szCs w:val="22"/>
          <w14:textFill>
            <w14:solidFill>
              <w14:schemeClr w14:val="tx1"/>
            </w14:solidFill>
          </w14:textFill>
        </w:rPr>
      </w:pPr>
    </w:p>
    <w:p>
      <w:pPr>
        <w:spacing w:line="240" w:lineRule="exact"/>
        <w:jc w:val="left"/>
        <w:rPr>
          <w:rFonts w:ascii="仿宋" w:hAnsi="仿宋" w:eastAsia="仿宋" w:cs="仿宋"/>
          <w:color w:val="000000" w:themeColor="text1"/>
          <w:spacing w:val="-22"/>
          <w:position w:val="-1"/>
          <w:sz w:val="22"/>
          <w:szCs w:val="22"/>
          <w14:textFill>
            <w14:solidFill>
              <w14:schemeClr w14:val="tx1"/>
            </w14:solidFill>
          </w14:textFill>
        </w:rPr>
      </w:pPr>
      <w:r>
        <w:rPr>
          <w:rFonts w:ascii="仿宋" w:hAnsi="仿宋" w:eastAsia="仿宋" w:cs="仿宋"/>
          <w:color w:val="000000" w:themeColor="text1"/>
          <w:spacing w:val="-22"/>
          <w:sz w:val="22"/>
          <w:szCs w:val="22"/>
          <w14:textFill>
            <w14:solidFill>
              <w14:schemeClr w14:val="tx1"/>
            </w14:solidFill>
          </w14:textFill>
        </w:rPr>
        <w:t>填表人：</w:t>
      </w:r>
      <w:r>
        <w:rPr>
          <w:rFonts w:hint="eastAsia" w:ascii="仿宋" w:hAnsi="仿宋" w:eastAsia="仿宋" w:cs="仿宋"/>
          <w:color w:val="000000" w:themeColor="text1"/>
          <w:spacing w:val="-22"/>
          <w:sz w:val="22"/>
          <w:szCs w:val="22"/>
          <w:lang w:val="en-US" w:eastAsia="zh-CN"/>
          <w14:textFill>
            <w14:solidFill>
              <w14:schemeClr w14:val="tx1"/>
            </w14:solidFill>
          </w14:textFill>
        </w:rPr>
        <w:t>李珞珞</w:t>
      </w:r>
      <w:r>
        <w:rPr>
          <w:rFonts w:ascii="仿宋" w:hAnsi="仿宋" w:eastAsia="仿宋" w:cs="仿宋"/>
          <w:color w:val="000000" w:themeColor="text1"/>
          <w:spacing w:val="9"/>
          <w:sz w:val="22"/>
          <w:szCs w:val="22"/>
          <w14:textFill>
            <w14:solidFill>
              <w14:schemeClr w14:val="tx1"/>
            </w14:solidFill>
          </w14:textFill>
        </w:rPr>
        <w:t xml:space="preserve"> </w:t>
      </w:r>
      <w:r>
        <w:rPr>
          <w:rFonts w:ascii="仿宋" w:hAnsi="仿宋" w:eastAsia="仿宋" w:cs="仿宋"/>
          <w:color w:val="000000" w:themeColor="text1"/>
          <w:spacing w:val="-22"/>
          <w:sz w:val="22"/>
          <w:szCs w:val="22"/>
          <w14:textFill>
            <w14:solidFill>
              <w14:schemeClr w14:val="tx1"/>
            </w14:solidFill>
          </w14:textFill>
        </w:rPr>
        <w:t>联系电话：</w:t>
      </w:r>
      <w:r>
        <w:rPr>
          <w:rFonts w:hint="eastAsia" w:ascii="仿宋" w:hAnsi="仿宋" w:eastAsia="仿宋" w:cs="仿宋"/>
          <w:color w:val="000000" w:themeColor="text1"/>
          <w:spacing w:val="-22"/>
          <w:sz w:val="22"/>
          <w:szCs w:val="22"/>
          <w:lang w:val="en-US" w:eastAsia="zh-CN"/>
          <w14:textFill>
            <w14:solidFill>
              <w14:schemeClr w14:val="tx1"/>
            </w14:solidFill>
          </w14:textFill>
        </w:rPr>
        <w:t>18807300855</w:t>
      </w:r>
      <w:r>
        <w:rPr>
          <w:rFonts w:ascii="仿宋" w:hAnsi="仿宋" w:eastAsia="仿宋" w:cs="仿宋"/>
          <w:color w:val="000000" w:themeColor="text1"/>
          <w:spacing w:val="2"/>
          <w:sz w:val="22"/>
          <w:szCs w:val="22"/>
          <w14:textFill>
            <w14:solidFill>
              <w14:schemeClr w14:val="tx1"/>
            </w14:solidFill>
          </w14:textFill>
        </w:rPr>
        <w:t xml:space="preserve"> </w:t>
      </w:r>
      <w:r>
        <w:rPr>
          <w:rFonts w:ascii="仿宋" w:hAnsi="仿宋" w:eastAsia="仿宋" w:cs="仿宋"/>
          <w:color w:val="000000" w:themeColor="text1"/>
          <w:spacing w:val="-22"/>
          <w:position w:val="-1"/>
          <w:sz w:val="22"/>
          <w:szCs w:val="22"/>
          <w14:textFill>
            <w14:solidFill>
              <w14:schemeClr w14:val="tx1"/>
            </w14:solidFill>
          </w14:textFill>
        </w:rPr>
        <w:t>单位负责人签字：</w:t>
      </w:r>
      <w:r>
        <w:rPr>
          <w:rFonts w:hint="eastAsia" w:ascii="仿宋" w:hAnsi="仿宋" w:eastAsia="仿宋" w:cs="仿宋"/>
          <w:color w:val="000000" w:themeColor="text1"/>
          <w:spacing w:val="-22"/>
          <w:position w:val="-1"/>
          <w:sz w:val="22"/>
          <w:szCs w:val="22"/>
          <w14:textFill>
            <w14:solidFill>
              <w14:schemeClr w14:val="tx1"/>
            </w14:solidFill>
          </w14:textFill>
        </w:rPr>
        <w:t xml:space="preserve">                      </w:t>
      </w:r>
      <w:r>
        <w:rPr>
          <w:rFonts w:ascii="仿宋" w:hAnsi="仿宋" w:eastAsia="仿宋" w:cs="仿宋"/>
          <w:color w:val="000000" w:themeColor="text1"/>
          <w:spacing w:val="9"/>
          <w:sz w:val="22"/>
          <w:szCs w:val="22"/>
          <w14:textFill>
            <w14:solidFill>
              <w14:schemeClr w14:val="tx1"/>
            </w14:solidFill>
          </w14:textFill>
        </w:rPr>
        <w:t xml:space="preserve"> </w:t>
      </w:r>
      <w:r>
        <w:rPr>
          <w:rFonts w:hint="eastAsia" w:ascii="仿宋" w:hAnsi="仿宋" w:eastAsia="仿宋" w:cs="仿宋"/>
          <w:color w:val="000000" w:themeColor="text1"/>
          <w:spacing w:val="9"/>
          <w:sz w:val="22"/>
          <w:szCs w:val="22"/>
          <w:lang w:val="en-US" w:eastAsia="zh-CN"/>
          <w14:textFill>
            <w14:solidFill>
              <w14:schemeClr w14:val="tx1"/>
            </w14:solidFill>
          </w14:textFill>
        </w:rPr>
        <w:t xml:space="preserve">      </w:t>
      </w:r>
      <w:r>
        <w:rPr>
          <w:rFonts w:ascii="仿宋" w:hAnsi="仿宋" w:eastAsia="仿宋" w:cs="仿宋"/>
          <w:color w:val="000000" w:themeColor="text1"/>
          <w:spacing w:val="-22"/>
          <w:sz w:val="22"/>
          <w:szCs w:val="22"/>
          <w14:textFill>
            <w14:solidFill>
              <w14:schemeClr w14:val="tx1"/>
            </w14:solidFill>
          </w14:textFill>
        </w:rPr>
        <w:t>填报日期：</w:t>
      </w:r>
      <w:r>
        <w:rPr>
          <w:rFonts w:hint="eastAsia" w:ascii="仿宋" w:hAnsi="仿宋" w:eastAsia="仿宋" w:cs="仿宋"/>
          <w:color w:val="000000" w:themeColor="text1"/>
          <w:spacing w:val="-22"/>
          <w:sz w:val="22"/>
          <w:szCs w:val="22"/>
          <w:lang w:val="en-US" w:eastAsia="zh-CN"/>
          <w14:textFill>
            <w14:solidFill>
              <w14:schemeClr w14:val="tx1"/>
            </w14:solidFill>
          </w14:textFill>
        </w:rPr>
        <w:t>2023年6月28日</w:t>
      </w:r>
      <w:r>
        <w:rPr>
          <w:rFonts w:ascii="仿宋" w:hAnsi="仿宋" w:eastAsia="仿宋" w:cs="仿宋"/>
          <w:color w:val="000000" w:themeColor="text1"/>
          <w:spacing w:val="3"/>
          <w:sz w:val="22"/>
          <w:szCs w:val="22"/>
          <w14:textFill>
            <w14:solidFill>
              <w14:schemeClr w14:val="tx1"/>
            </w14:solidFill>
          </w14:textFill>
        </w:rPr>
        <w:t xml:space="preserve">  </w:t>
      </w:r>
    </w:p>
    <w:p>
      <w:pPr>
        <w:spacing w:line="240" w:lineRule="exact"/>
        <w:jc w:val="left"/>
        <w:rPr>
          <w:rFonts w:ascii="仿宋" w:hAnsi="仿宋" w:eastAsia="仿宋" w:cs="仿宋"/>
          <w:color w:val="000000" w:themeColor="text1"/>
          <w:sz w:val="22"/>
          <w:szCs w:val="22"/>
          <w14:textFill>
            <w14:solidFill>
              <w14:schemeClr w14:val="tx1"/>
            </w14:solidFill>
          </w14:textFill>
        </w:rPr>
        <w:sectPr>
          <w:pgSz w:w="11906" w:h="16838"/>
          <w:pgMar w:top="1134" w:right="1417" w:bottom="1134" w:left="1134" w:header="851" w:footer="992" w:gutter="0"/>
          <w:cols w:space="0" w:num="1"/>
          <w:docGrid w:type="lines" w:linePitch="312" w:charSpace="0"/>
        </w:sectPr>
      </w:pPr>
      <w:r>
        <w:rPr>
          <w:rFonts w:hint="eastAsia" w:ascii="仿宋" w:hAnsi="仿宋" w:eastAsia="仿宋" w:cs="仿宋"/>
          <w:color w:val="000000" w:themeColor="text1"/>
          <w:sz w:val="22"/>
          <w:szCs w:val="22"/>
          <w14:textFill>
            <w14:solidFill>
              <w14:schemeClr w14:val="tx1"/>
            </w14:solidFill>
          </w14:textFill>
        </w:rPr>
        <w:t xml:space="preserve">   </w:t>
      </w:r>
    </w:p>
    <w:p>
      <w:pPr>
        <w:rPr>
          <w:rFonts w:ascii="黑体" w:hAnsi="黑体" w:eastAsia="黑体" w:cs="黑体"/>
          <w:color w:val="000000" w:themeColor="text1"/>
          <w:spacing w:val="10"/>
          <w:sz w:val="32"/>
          <w:szCs w:val="32"/>
          <w14:textFill>
            <w14:solidFill>
              <w14:schemeClr w14:val="tx1"/>
            </w14:solidFill>
          </w14:textFill>
        </w:rPr>
      </w:pPr>
    </w:p>
    <w:p>
      <w:pPr>
        <w:rPr>
          <w:rFonts w:ascii="黑体" w:hAnsi="黑体" w:eastAsia="黑体" w:cs="黑体"/>
          <w:color w:val="000000" w:themeColor="text1"/>
          <w:spacing w:val="10"/>
          <w:sz w:val="32"/>
          <w:szCs w:val="32"/>
          <w14:textFill>
            <w14:solidFill>
              <w14:schemeClr w14:val="tx1"/>
            </w14:solidFill>
          </w14:textFill>
        </w:rPr>
      </w:pPr>
      <w:r>
        <w:rPr>
          <w:rFonts w:ascii="黑体" w:hAnsi="黑体" w:eastAsia="黑体" w:cs="黑体"/>
          <w:color w:val="000000" w:themeColor="text1"/>
          <w:spacing w:val="10"/>
          <w:sz w:val="32"/>
          <w:szCs w:val="32"/>
          <w14:textFill>
            <w14:solidFill>
              <w14:schemeClr w14:val="tx1"/>
            </w14:solidFill>
          </w14:textFill>
        </w:rPr>
        <w:t>附件</w:t>
      </w:r>
      <w:r>
        <w:rPr>
          <w:rFonts w:hint="eastAsia" w:ascii="黑体" w:hAnsi="黑体" w:eastAsia="黑体" w:cs="黑体"/>
          <w:color w:val="000000" w:themeColor="text1"/>
          <w:spacing w:val="10"/>
          <w:sz w:val="32"/>
          <w:szCs w:val="32"/>
          <w14:textFill>
            <w14:solidFill>
              <w14:schemeClr w14:val="tx1"/>
            </w14:solidFill>
          </w14:textFill>
        </w:rPr>
        <w:t>3</w:t>
      </w:r>
    </w:p>
    <w:p>
      <w:pPr>
        <w:spacing w:line="700" w:lineRule="exact"/>
        <w:jc w:val="center"/>
        <w:rPr>
          <w:rFonts w:ascii="方正小标宋简体" w:hAnsi="方正小标宋简体" w:eastAsia="方正小标宋简体" w:cs="方正小标宋简体"/>
          <w:color w:val="000000" w:themeColor="text1"/>
          <w:spacing w:val="2"/>
          <w:sz w:val="42"/>
          <w:szCs w:val="42"/>
          <w14:textFill>
            <w14:solidFill>
              <w14:schemeClr w14:val="tx1"/>
            </w14:solidFill>
          </w14:textFill>
        </w:rPr>
      </w:pPr>
    </w:p>
    <w:p>
      <w:pPr>
        <w:spacing w:line="700" w:lineRule="exact"/>
        <w:jc w:val="center"/>
        <w:rPr>
          <w:rFonts w:ascii="方正小标宋简体" w:hAnsi="方正小标宋简体" w:eastAsia="方正小标宋简体" w:cs="方正小标宋简体"/>
          <w:color w:val="000000" w:themeColor="text1"/>
          <w:spacing w:val="2"/>
          <w:sz w:val="44"/>
          <w:szCs w:val="44"/>
          <w14:textFill>
            <w14:solidFill>
              <w14:schemeClr w14:val="tx1"/>
            </w14:solidFill>
          </w14:textFill>
        </w:rPr>
      </w:pPr>
    </w:p>
    <w:p>
      <w:pPr>
        <w:spacing w:line="700" w:lineRule="exact"/>
        <w:jc w:val="center"/>
        <w:rPr>
          <w:rFonts w:ascii="方正小标宋简体" w:hAnsi="方正小标宋简体" w:eastAsia="方正小标宋简体" w:cs="方正小标宋简体"/>
          <w:color w:val="000000" w:themeColor="text1"/>
          <w:spacing w:val="2"/>
          <w:sz w:val="44"/>
          <w:szCs w:val="44"/>
          <w14:textFill>
            <w14:solidFill>
              <w14:schemeClr w14:val="tx1"/>
            </w14:solidFill>
          </w14:textFill>
        </w:rPr>
      </w:pPr>
      <w:r>
        <w:rPr>
          <w:rFonts w:ascii="方正小标宋简体" w:hAnsi="方正小标宋简体" w:eastAsia="方正小标宋简体" w:cs="方正小标宋简体"/>
          <w:color w:val="000000" w:themeColor="text1"/>
          <w:spacing w:val="2"/>
          <w:sz w:val="44"/>
          <w:szCs w:val="44"/>
          <w14:textFill>
            <w14:solidFill>
              <w14:schemeClr w14:val="tx1"/>
            </w14:solidFill>
          </w14:textFill>
        </w:rPr>
        <w:t>2022年度岳阳市生态环境局本级</w:t>
      </w:r>
    </w:p>
    <w:p>
      <w:pPr>
        <w:spacing w:line="700" w:lineRule="exact"/>
        <w:jc w:val="center"/>
        <w:rPr>
          <w:rFonts w:ascii="方正小标宋简体" w:hAnsi="方正小标宋简体" w:eastAsia="方正小标宋简体" w:cs="方正小标宋简体"/>
          <w:color w:val="000000" w:themeColor="text1"/>
          <w:spacing w:val="2"/>
          <w:sz w:val="44"/>
          <w:szCs w:val="44"/>
          <w14:textFill>
            <w14:solidFill>
              <w14:schemeClr w14:val="tx1"/>
            </w14:solidFill>
          </w14:textFill>
        </w:rPr>
      </w:pPr>
      <w:r>
        <w:rPr>
          <w:rFonts w:ascii="方正小标宋简体" w:hAnsi="方正小标宋简体" w:eastAsia="方正小标宋简体" w:cs="方正小标宋简体"/>
          <w:color w:val="000000" w:themeColor="text1"/>
          <w:spacing w:val="2"/>
          <w:sz w:val="44"/>
          <w:szCs w:val="44"/>
          <w14:textFill>
            <w14:solidFill>
              <w14:schemeClr w14:val="tx1"/>
            </w14:solidFill>
          </w14:textFill>
        </w:rPr>
        <w:t>整体支出绩效自评报告</w:t>
      </w: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center"/>
        <w:rPr>
          <w:rFonts w:ascii="KaiTi_GB2312" w:hAnsi="KaiTi_GB2312" w:eastAsia="KaiTi_GB2312" w:cs="KaiTi_GB2312"/>
          <w:color w:val="000000" w:themeColor="text1"/>
          <w:sz w:val="36"/>
          <w:szCs w:val="36"/>
          <w14:textFill>
            <w14:solidFill>
              <w14:schemeClr w14:val="tx1"/>
            </w14:solidFill>
          </w14:textFill>
        </w:rPr>
      </w:pPr>
      <w:r>
        <w:rPr>
          <w:rFonts w:hint="eastAsia" w:ascii="KaiTi_GB2312" w:hAnsi="KaiTi_GB2312" w:eastAsia="KaiTi_GB2312" w:cs="KaiTi_GB2312"/>
          <w:color w:val="000000" w:themeColor="text1"/>
          <w:sz w:val="36"/>
          <w:szCs w:val="36"/>
          <w14:textFill>
            <w14:solidFill>
              <w14:schemeClr w14:val="tx1"/>
            </w14:solidFill>
          </w14:textFill>
        </w:rPr>
        <w:t>部门(单位)名称：岳阳市生态环境局本级( 盖 章 )</w:t>
      </w:r>
    </w:p>
    <w:p>
      <w:pPr>
        <w:jc w:val="center"/>
        <w:rPr>
          <w:rFonts w:ascii="KaiTi_GB2312" w:hAnsi="KaiTi_GB2312" w:eastAsia="KaiTi_GB2312" w:cs="KaiTi_GB2312"/>
          <w:color w:val="000000" w:themeColor="text1"/>
          <w:sz w:val="36"/>
          <w:szCs w:val="36"/>
          <w14:textFill>
            <w14:solidFill>
              <w14:schemeClr w14:val="tx1"/>
            </w14:solidFill>
          </w14:textFill>
        </w:rPr>
      </w:pPr>
      <w:r>
        <w:rPr>
          <w:rFonts w:hint="eastAsia" w:ascii="KaiTi_GB2312" w:hAnsi="KaiTi_GB2312" w:eastAsia="KaiTi_GB2312" w:cs="KaiTi_GB2312"/>
          <w:color w:val="000000" w:themeColor="text1"/>
          <w:sz w:val="36"/>
          <w:szCs w:val="36"/>
          <w:lang w:val="en-US" w:eastAsia="zh-CN"/>
          <w14:textFill>
            <w14:solidFill>
              <w14:schemeClr w14:val="tx1"/>
            </w14:solidFill>
          </w14:textFill>
        </w:rPr>
        <w:t>2023</w:t>
      </w:r>
      <w:r>
        <w:rPr>
          <w:rFonts w:hint="eastAsia" w:ascii="KaiTi_GB2312" w:hAnsi="KaiTi_GB2312" w:eastAsia="KaiTi_GB2312" w:cs="KaiTi_GB2312"/>
          <w:color w:val="000000" w:themeColor="text1"/>
          <w:sz w:val="36"/>
          <w:szCs w:val="36"/>
          <w14:textFill>
            <w14:solidFill>
              <w14:schemeClr w14:val="tx1"/>
            </w14:solidFill>
          </w14:textFill>
        </w:rPr>
        <w:t xml:space="preserve">年 </w:t>
      </w:r>
      <w:r>
        <w:rPr>
          <w:rFonts w:hint="eastAsia" w:ascii="KaiTi_GB2312" w:hAnsi="KaiTi_GB2312" w:eastAsia="KaiTi_GB2312" w:cs="KaiTi_GB2312"/>
          <w:color w:val="000000" w:themeColor="text1"/>
          <w:sz w:val="36"/>
          <w:szCs w:val="36"/>
          <w:lang w:val="en-US" w:eastAsia="zh-CN"/>
          <w14:textFill>
            <w14:solidFill>
              <w14:schemeClr w14:val="tx1"/>
            </w14:solidFill>
          </w14:textFill>
        </w:rPr>
        <w:t>6</w:t>
      </w:r>
      <w:r>
        <w:rPr>
          <w:rFonts w:hint="eastAsia" w:ascii="KaiTi_GB2312" w:hAnsi="KaiTi_GB2312" w:eastAsia="KaiTi_GB2312" w:cs="KaiTi_GB2312"/>
          <w:color w:val="000000" w:themeColor="text1"/>
          <w:sz w:val="36"/>
          <w:szCs w:val="36"/>
          <w14:textFill>
            <w14:solidFill>
              <w14:schemeClr w14:val="tx1"/>
            </w14:solidFill>
          </w14:textFill>
        </w:rPr>
        <w:t xml:space="preserve"> 月 </w:t>
      </w:r>
      <w:r>
        <w:rPr>
          <w:rFonts w:hint="eastAsia" w:ascii="KaiTi_GB2312" w:hAnsi="KaiTi_GB2312" w:eastAsia="KaiTi_GB2312" w:cs="KaiTi_GB2312"/>
          <w:color w:val="000000" w:themeColor="text1"/>
          <w:sz w:val="36"/>
          <w:szCs w:val="36"/>
          <w:lang w:val="en-US" w:eastAsia="zh-CN"/>
          <w14:textFill>
            <w14:solidFill>
              <w14:schemeClr w14:val="tx1"/>
            </w14:solidFill>
          </w14:textFill>
        </w:rPr>
        <w:t>28</w:t>
      </w:r>
      <w:r>
        <w:rPr>
          <w:rFonts w:hint="eastAsia" w:ascii="KaiTi_GB2312" w:hAnsi="KaiTi_GB2312" w:eastAsia="KaiTi_GB2312" w:cs="KaiTi_GB2312"/>
          <w:color w:val="000000" w:themeColor="text1"/>
          <w:sz w:val="36"/>
          <w:szCs w:val="36"/>
          <w14:textFill>
            <w14:solidFill>
              <w14:schemeClr w14:val="tx1"/>
            </w14:solidFill>
          </w14:textFill>
        </w:rPr>
        <w:t xml:space="preserve"> 日</w:t>
      </w: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jc w:val="left"/>
        <w:rPr>
          <w:rFonts w:ascii="仿宋" w:hAnsi="仿宋" w:eastAsia="仿宋" w:cs="仿宋"/>
          <w:color w:val="000000" w:themeColor="text1"/>
          <w:sz w:val="22"/>
          <w:szCs w:val="22"/>
          <w14:textFill>
            <w14:solidFill>
              <w14:schemeClr w14:val="tx1"/>
            </w14:solidFill>
          </w14:textFill>
        </w:rPr>
      </w:pPr>
    </w:p>
    <w:p>
      <w:pPr>
        <w:spacing w:line="700" w:lineRule="exact"/>
        <w:jc w:val="center"/>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6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2022年度岳阳市生态环境局本级</w:t>
      </w:r>
    </w:p>
    <w:p>
      <w:pPr>
        <w:keepNext w:val="0"/>
        <w:keepLines w:val="0"/>
        <w:pageBreakBefore w:val="0"/>
        <w:kinsoku/>
        <w:wordWrap/>
        <w:overflowPunct/>
        <w:topLinePunct w:val="0"/>
        <w:autoSpaceDE/>
        <w:autoSpaceDN/>
        <w:bidi w:val="0"/>
        <w:adjustRightInd/>
        <w:snapToGrid/>
        <w:spacing w:line="6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整体支出绩效自评报告</w:t>
      </w:r>
    </w:p>
    <w:p>
      <w:pPr>
        <w:keepNext w:val="0"/>
        <w:keepLines w:val="0"/>
        <w:pageBreakBefore w:val="0"/>
        <w:kinsoku/>
        <w:wordWrap/>
        <w:overflowPunct/>
        <w:topLinePunct w:val="0"/>
        <w:autoSpaceDE/>
        <w:autoSpaceDN/>
        <w:bidi w:val="0"/>
        <w:adjustRightInd/>
        <w:snapToGrid/>
        <w:spacing w:line="600" w:lineRule="exact"/>
        <w:jc w:val="left"/>
        <w:rPr>
          <w:rFonts w:ascii="仿宋" w:hAnsi="仿宋" w:eastAsia="仿宋" w:cs="仿宋"/>
          <w:color w:val="000000" w:themeColor="text1"/>
          <w:sz w:val="22"/>
          <w:szCs w:val="2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600" w:lineRule="exact"/>
        <w:jc w:val="left"/>
        <w:rPr>
          <w:rFonts w:ascii="仿宋" w:hAnsi="仿宋" w:eastAsia="仿宋" w:cs="仿宋"/>
          <w:color w:val="000000" w:themeColor="text1"/>
          <w:sz w:val="22"/>
          <w:szCs w:val="2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一、单位基本情况</w:t>
      </w:r>
    </w:p>
    <w:p>
      <w:pPr>
        <w:keepNext w:val="0"/>
        <w:keepLines w:val="0"/>
        <w:pageBreakBefore w:val="0"/>
        <w:kinsoku/>
        <w:wordWrap/>
        <w:overflowPunct/>
        <w:topLinePunct w:val="0"/>
        <w:autoSpaceDE/>
        <w:autoSpaceDN/>
        <w:bidi w:val="0"/>
        <w:adjustRightInd/>
        <w:snapToGrid/>
        <w:spacing w:line="600" w:lineRule="exact"/>
        <w:ind w:firstLine="643" w:firstLineChars="200"/>
        <w:jc w:val="left"/>
        <w:rPr>
          <w:rFonts w:ascii="KaiTi_GB2312" w:hAnsi="KaiTi_GB2312" w:eastAsia="KaiTi_GB2312" w:cs="KaiTi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（一）职能职责</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贯彻执行生态环境法律法规和标准，会同有关部门拟订本市生态环境政策、规划并组织实施，配合制定生态环境有关地方性法规和政府规章草案；会同有关部门编制并监督实施重点区域、流域、饮用水水源地保护等生态环境规划和水、大气环境、声环境功能区划。</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（2）负责全市生态环境问题的统筹协调和监督管理。</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（3）负责监督管理减排目标的落实。</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（4）负责提出生态环境领域固定资产投资规模和方向、市级财政性资金安排的意见，按规定权限审批、核准规划内和年度计划规模内生态环境领域固定资产投资项目，配合有关部门做好组织实施和监督工作。</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（5）负责环境污染防治的监督管理。</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（6）指导协调和监督生态保护修复工作。</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（7）负责核与辐射安全的监督管理。</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（8）负责生态环境准入的监督管理。</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（9）负责重点污染源监测工作。</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（10）负责应对气候变化工作。</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（11）配合开展生态环境保护督察工作。</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（12）统一监督生态环境执法工作。</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（13）组织指导和协调生态环境宣传教育工作，贯彻实施生态环境保护宣传教育纲要，推动社会组织和公众参与生态环境保护。</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（14）开展生态环境对外合作交流，研究提出生态环境对外合作中有关问题的建议，组织协调有关生态环境国际条约的本市履约工作，参与处理涉外生态环境事务。</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（15）完成市委、市政府交办的其他事项。</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（16）职能转变。</w:t>
      </w:r>
    </w:p>
    <w:p>
      <w:pPr>
        <w:keepNext w:val="0"/>
        <w:keepLines w:val="0"/>
        <w:pageBreakBefore w:val="0"/>
        <w:kinsoku/>
        <w:wordWrap/>
        <w:overflowPunct/>
        <w:topLinePunct w:val="0"/>
        <w:autoSpaceDE/>
        <w:autoSpaceDN/>
        <w:bidi w:val="0"/>
        <w:adjustRightInd/>
        <w:snapToGrid/>
        <w:spacing w:line="600" w:lineRule="exact"/>
        <w:ind w:firstLine="643" w:firstLineChars="200"/>
        <w:jc w:val="left"/>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（二）机构设置</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2022年，我局机关共有干部职工105人，其中在职人数73名，离退人员32人，核定编制人数73人，大专以上学历占90%以上。局内设办公室、生态环境监督科、综合协调科、法规与标准科、自然生态保护科、水生态环境科、大气环境与应对气候变化科、土壤生态环境科、固体废物与化学品科、核与辐射管理科、环评和污染排放科（行政审批办公室）、宣教与监测科、科技与财务科、人事科14个职能科室和机关党委（纪委）、机关工会、离退休人员管理服务科。下设综合行政执法支队、环境信息中心、固体废物服务站、排污权服务中心4个二级机构；平江、岳阳县、华容、湘阴、汨罗、临湘、岳阳楼、云溪、君山、经开、南湖、屈原、城陵矶新港区分局13个派出机构。</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二、一般公共预算支出情况</w:t>
      </w:r>
    </w:p>
    <w:p>
      <w:pPr>
        <w:keepNext w:val="0"/>
        <w:keepLines w:val="0"/>
        <w:pageBreakBefore w:val="0"/>
        <w:kinsoku/>
        <w:wordWrap/>
        <w:overflowPunct/>
        <w:topLinePunct w:val="0"/>
        <w:autoSpaceDE/>
        <w:autoSpaceDN/>
        <w:bidi w:val="0"/>
        <w:adjustRightInd/>
        <w:snapToGrid/>
        <w:spacing w:line="600" w:lineRule="exact"/>
        <w:ind w:firstLine="643" w:firstLineChars="200"/>
        <w:jc w:val="left"/>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(一)基本支出情况</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2022年基本支出预算数887.57万元，实际支出决算数1,938.60万元。其中：人员经费1719.41万元，主要包括：基本工资、津贴补贴、奖金、伙食补助、绩效工资、机关事业单位基本养老保险缴费、职工基本医疗保险缴费、其他社会保障缴费、住房公积金、医疗费等；公用经费219.19万元，主要包括：办公费、印刷费、手续费、水费、电费、邮电费、差旅费、维修费、会议费、培训费、公务接待费、劳务费、工会经费、福利费、公务用车运行维护费、其他交通费用、其他商品和服务支出等。</w:t>
      </w:r>
    </w:p>
    <w:p>
      <w:pPr>
        <w:keepNext w:val="0"/>
        <w:keepLines w:val="0"/>
        <w:pageBreakBefore w:val="0"/>
        <w:kinsoku/>
        <w:wordWrap/>
        <w:overflowPunct/>
        <w:topLinePunct w:val="0"/>
        <w:autoSpaceDE/>
        <w:autoSpaceDN/>
        <w:bidi w:val="0"/>
        <w:adjustRightInd/>
        <w:snapToGrid/>
        <w:spacing w:line="600" w:lineRule="exact"/>
        <w:ind w:firstLine="643" w:firstLineChars="200"/>
        <w:jc w:val="left"/>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(二)项目支出情况</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2022年项目支出预算数1,199.30万元，实际支出决算数2089.40万元。其中包含：环境监测、监控及监察能力建设；环境监察、监测等运行经费；污染防治攻坚治理专项经费，三个单独立项的项目支出。</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三、政府性基金预算支出情况</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2022年度本单位无政府性基金安排的支出。</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四、国有资本经营预算支出情况</w:t>
      </w:r>
    </w:p>
    <w:p>
      <w:pPr>
        <w:keepNext w:val="0"/>
        <w:keepLines w:val="0"/>
        <w:pageBreakBefore w:val="0"/>
        <w:kinsoku/>
        <w:wordWrap/>
        <w:overflowPunct/>
        <w:topLinePunct w:val="0"/>
        <w:autoSpaceDE/>
        <w:autoSpaceDN/>
        <w:bidi w:val="0"/>
        <w:adjustRightInd/>
        <w:snapToGrid/>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2022年度本单位无国有资本经营预算支出。</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五、社会保险基金预算支出情况</w:t>
      </w:r>
    </w:p>
    <w:p>
      <w:pPr>
        <w:keepNext w:val="0"/>
        <w:keepLines w:val="0"/>
        <w:pageBreakBefore w:val="0"/>
        <w:kinsoku/>
        <w:wordWrap/>
        <w:overflowPunct/>
        <w:topLinePunct w:val="0"/>
        <w:autoSpaceDE/>
        <w:autoSpaceDN/>
        <w:bidi w:val="0"/>
        <w:adjustRightInd/>
        <w:snapToGrid/>
        <w:spacing w:line="600" w:lineRule="exact"/>
        <w:ind w:left="420" w:leftChars="200" w:firstLine="320" w:firstLineChars="1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2022年度本单位无社会保险基金预算支出。</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六、部门整体支出绩效情况</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2022年，在市委市政府坚强领导和省生态环境厅精心指导下，全市上下以习近平新时代中国特色社会主义思想为指导，深入贯彻落实习近平生态文明思想，在百年党史中汲取智慧力量，忠诚履职，奋勇拼搏，推动我市生态文明建设取得了新进展。全年收获优良天数349天，无重污染天气，中心城区环境空气质量综合指数为3.73，首次达到国家二级标准；长江岳阳段达到Ⅱ类水质，全市城镇集中式饮用水水源地水质达标率100%；洞庭湖水质综合评价达到国家考核要求；区域环境噪声为二级，评价为较好；交通干线噪声为二级，评价为较好。昼间区域噪声为51.8分贝 ，同比下降0.4分贝；昼间交通噪声为69.5分贝，同比上升0.7分贝。</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七、存在的问题及原因分析</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根据我单位工作职能的履行情况，节能减排、环境保护监控、监测和监察能力建设等专项资金的使用与我单位财政拨入行政运行经费等资金集合使用，未严格区分资金使用范围。</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八、下一步改进措施</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1、加强财务管理，严格财务审批。在费用报账支付时，按照预算规定的费用项目和用途进行资金使用、审核，列报支付，财务核算杜绝超支现象的发生。</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进一步加快预算执行进度。一是改进预算安排，坚持当年形成支出的当年安排，当年不能形成支出的不予安排；二是盘活存量资金，对二级机构和派出机构的新增资金需求，能用存量结转（结余）资金解决的，用存量结转（结余）解决，努力盘活存量资金。三是加快预算执行，督促相关单位加快项目实施进度，加快资金结算进度，严控项目结转结余。</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九、部门整体支出绩效自评结果拟应用和公开情况</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420"/>
        <w:jc w:val="both"/>
        <w:textAlignment w:val="center"/>
        <w:rPr>
          <w:rFonts w:hint="eastAsia" w:ascii="仿宋_GB2312" w:hAnsi="仿宋_GB2312" w:eastAsia="仿宋_GB2312" w:cs="仿宋_GB2312"/>
          <w:color w:val="000000" w:themeColor="text1"/>
          <w:kern w:val="2"/>
          <w:sz w:val="32"/>
          <w:szCs w:val="32"/>
          <w14:textFill>
            <w14:solidFill>
              <w14:schemeClr w14:val="tx1"/>
            </w14:solidFill>
          </w14:textFill>
        </w:rPr>
      </w:pPr>
      <w:r>
        <w:rPr>
          <w:rFonts w:hint="eastAsia" w:ascii="仿宋_GB2312" w:hAnsi="仿宋_GB2312" w:eastAsia="仿宋_GB2312" w:cs="仿宋_GB2312"/>
          <w:color w:val="000000" w:themeColor="text1"/>
          <w:kern w:val="2"/>
          <w:sz w:val="32"/>
          <w:szCs w:val="32"/>
          <w14:textFill>
            <w14:solidFill>
              <w14:schemeClr w14:val="tx1"/>
            </w14:solidFill>
          </w14:textFill>
        </w:rPr>
        <w:t>为进一步规范财政资金管理，强化财政支出绩效理念，切实提高财政资金使用效益，我部门科学确定全年绩效目标，将绩效管理融入预算编制、执行全过程。</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420"/>
        <w:jc w:val="both"/>
        <w:textAlignment w:val="center"/>
        <w:rPr>
          <w:rFonts w:hint="eastAsia" w:ascii="仿宋_GB2312" w:hAnsi="仿宋_GB2312" w:eastAsia="仿宋_GB2312" w:cs="仿宋_GB2312"/>
          <w:color w:val="000000" w:themeColor="text1"/>
          <w:kern w:val="2"/>
          <w:sz w:val="32"/>
          <w:szCs w:val="32"/>
          <w14:textFill>
            <w14:solidFill>
              <w14:schemeClr w14:val="tx1"/>
            </w14:solidFill>
          </w14:textFill>
        </w:rPr>
      </w:pPr>
      <w:r>
        <w:rPr>
          <w:rFonts w:hint="eastAsia" w:ascii="仿宋_GB2312" w:hAnsi="仿宋_GB2312" w:eastAsia="仿宋_GB2312" w:cs="仿宋_GB2312"/>
          <w:color w:val="000000" w:themeColor="text1"/>
          <w:kern w:val="2"/>
          <w:sz w:val="32"/>
          <w:szCs w:val="32"/>
          <w14:textFill>
            <w14:solidFill>
              <w14:schemeClr w14:val="tx1"/>
            </w14:solidFill>
          </w14:textFill>
        </w:rPr>
        <w:t>2022年度本部门绩效任务有效执行，三公经费有效控制，行政效率有效提高。本次部门整体支出全面开展绩效自评，自评综合得分99分，评价等次为优秀。</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ascii="FangSong_GB2312" w:hAnsi="FangSong_GB2312" w:eastAsia="FangSong_GB2312" w:cs="FangSong_GB2312"/>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ascii="FangSong_GB2312" w:hAnsi="FangSong_GB2312" w:eastAsia="FangSong_GB2312" w:cs="FangSong_GB2312"/>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ascii="FangSong_GB2312" w:hAnsi="FangSong_GB2312" w:eastAsia="FangSong_GB2312" w:cs="FangSong_GB2312"/>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ascii="FangSong_GB2312" w:hAnsi="FangSong_GB2312" w:eastAsia="FangSong_GB2312" w:cs="FangSong_GB2312"/>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ascii="FangSong_GB2312" w:hAnsi="FangSong_GB2312" w:eastAsia="FangSong_GB2312" w:cs="FangSong_GB2312"/>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ascii="FangSong_GB2312" w:hAnsi="FangSong_GB2312" w:eastAsia="FangSong_GB2312" w:cs="FangSong_GB2312"/>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报告需要以下附件：</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1、部门整体支出绩效评价基础数据表</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2、部门整体支出绩效自评表</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3、项目支出绩效自评表(一个一级项目支出一张表)</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4、政府性基金预算支出情况表</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5、国有资本经营预算支出情况表</w:t>
      </w:r>
    </w:p>
    <w:p>
      <w:pPr>
        <w:keepNext w:val="0"/>
        <w:keepLines w:val="0"/>
        <w:pageBreakBefore w:val="0"/>
        <w:kinsoku/>
        <w:wordWrap/>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6、社会保险基金预算支出情况表</w:t>
      </w:r>
    </w:p>
    <w:p>
      <w:pPr>
        <w:keepNext w:val="0"/>
        <w:keepLines w:val="0"/>
        <w:pageBreakBefore w:val="0"/>
        <w:kinsoku/>
        <w:wordWrap/>
        <w:overflowPunct/>
        <w:topLinePunct w:val="0"/>
        <w:autoSpaceDE/>
        <w:autoSpaceDN/>
        <w:bidi w:val="0"/>
        <w:adjustRightInd/>
        <w:snapToGrid/>
        <w:spacing w:line="600" w:lineRule="exact"/>
        <w:rPr>
          <w:rFonts w:hint="eastAsia" w:ascii="仿宋_GB2312" w:hAnsi="仿宋_GB2312" w:eastAsia="仿宋_GB2312" w:cs="仿宋_GB2312"/>
          <w:color w:val="000000" w:themeColor="text1"/>
          <w:spacing w:val="10"/>
          <w:sz w:val="32"/>
          <w:szCs w:val="32"/>
          <w14:textFill>
            <w14:solidFill>
              <w14:schemeClr w14:val="tx1"/>
            </w14:solidFill>
          </w14:textFill>
        </w:rPr>
      </w:pPr>
    </w:p>
    <w:p>
      <w:pPr>
        <w:rPr>
          <w:rFonts w:hint="eastAsia" w:ascii="黑体" w:hAnsi="黑体" w:eastAsia="黑体" w:cs="黑体"/>
          <w:color w:val="000000" w:themeColor="text1"/>
          <w:spacing w:val="10"/>
          <w:sz w:val="32"/>
          <w:szCs w:val="32"/>
          <w14:textFill>
            <w14:solidFill>
              <w14:schemeClr w14:val="tx1"/>
            </w14:solidFill>
          </w14:textFill>
        </w:rPr>
      </w:pPr>
    </w:p>
    <w:p>
      <w:pPr>
        <w:rPr>
          <w:rFonts w:hint="eastAsia" w:ascii="黑体" w:hAnsi="黑体" w:eastAsia="黑体" w:cs="黑体"/>
          <w:color w:val="000000" w:themeColor="text1"/>
          <w:spacing w:val="10"/>
          <w:sz w:val="32"/>
          <w:szCs w:val="32"/>
          <w14:textFill>
            <w14:solidFill>
              <w14:schemeClr w14:val="tx1"/>
            </w14:solidFill>
          </w14:textFill>
        </w:rPr>
      </w:pPr>
    </w:p>
    <w:p>
      <w:pPr>
        <w:rPr>
          <w:rFonts w:ascii="黑体" w:hAnsi="黑体" w:eastAsia="黑体" w:cs="黑体"/>
          <w:color w:val="000000" w:themeColor="text1"/>
          <w:spacing w:val="10"/>
          <w:sz w:val="32"/>
          <w:szCs w:val="32"/>
          <w14:textFill>
            <w14:solidFill>
              <w14:schemeClr w14:val="tx1"/>
            </w14:solidFill>
          </w14:textFill>
        </w:rPr>
      </w:pPr>
      <w:r>
        <w:rPr>
          <w:rFonts w:hint="eastAsia" w:ascii="黑体" w:hAnsi="黑体" w:eastAsia="黑体" w:cs="黑体"/>
          <w:color w:val="000000" w:themeColor="text1"/>
          <w:spacing w:val="10"/>
          <w:sz w:val="32"/>
          <w:szCs w:val="32"/>
          <w14:textFill>
            <w14:solidFill>
              <w14:schemeClr w14:val="tx1"/>
            </w14:solidFill>
          </w14:textFill>
        </w:rPr>
        <w:t>附件4-1</w:t>
      </w:r>
    </w:p>
    <w:p>
      <w:pPr>
        <w:spacing w:line="7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2022年度项目支出绩效自评表</w:t>
      </w:r>
    </w:p>
    <w:tbl>
      <w:tblPr>
        <w:tblStyle w:val="8"/>
        <w:tblW w:w="95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5"/>
        <w:gridCol w:w="1080"/>
        <w:gridCol w:w="1080"/>
        <w:gridCol w:w="1229"/>
        <w:gridCol w:w="1131"/>
        <w:gridCol w:w="1140"/>
        <w:gridCol w:w="685"/>
        <w:gridCol w:w="795"/>
        <w:gridCol w:w="13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107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项目支出</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名称</w:t>
            </w:r>
          </w:p>
        </w:tc>
        <w:tc>
          <w:tcPr>
            <w:tcW w:w="8505" w:type="dxa"/>
            <w:gridSpan w:val="8"/>
            <w:vAlign w:val="center"/>
          </w:tcPr>
          <w:p>
            <w:pPr>
              <w:spacing w:line="240" w:lineRule="exact"/>
              <w:jc w:val="center"/>
              <w:rPr>
                <w:rFonts w:ascii="Arial"/>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环境监测、监控及监察能力建设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07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主管部门</w:t>
            </w:r>
          </w:p>
        </w:tc>
        <w:tc>
          <w:tcPr>
            <w:tcW w:w="4520" w:type="dxa"/>
            <w:gridSpan w:val="4"/>
            <w:vAlign w:val="center"/>
          </w:tcPr>
          <w:p>
            <w:pPr>
              <w:spacing w:line="240" w:lineRule="exact"/>
              <w:jc w:val="center"/>
              <w:rPr>
                <w:rFonts w:ascii="Arial"/>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岳阳市生态环境局</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实施单位</w:t>
            </w:r>
          </w:p>
        </w:tc>
        <w:tc>
          <w:tcPr>
            <w:tcW w:w="2845" w:type="dxa"/>
            <w:gridSpan w:val="3"/>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岳阳市生态环境局本级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75" w:type="dxa"/>
            <w:vMerge w:val="restart"/>
            <w:tcBorders>
              <w:bottom w:val="nil"/>
            </w:tcBorders>
            <w:vAlign w:val="center"/>
          </w:tcPr>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项目资金</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(万元)</w:t>
            </w:r>
          </w:p>
        </w:tc>
        <w:tc>
          <w:tcPr>
            <w:tcW w:w="2160" w:type="dxa"/>
            <w:gridSpan w:val="2"/>
            <w:vAlign w:val="center"/>
          </w:tcPr>
          <w:p>
            <w:pPr>
              <w:spacing w:line="240" w:lineRule="exact"/>
              <w:jc w:val="center"/>
              <w:rPr>
                <w:rFonts w:ascii="Arial"/>
                <w:color w:val="000000" w:themeColor="text1"/>
                <w:szCs w:val="21"/>
                <w14:textFill>
                  <w14:solidFill>
                    <w14:schemeClr w14:val="tx1"/>
                  </w14:solidFill>
                </w14:textFill>
              </w:rPr>
            </w:pPr>
          </w:p>
        </w:tc>
        <w:tc>
          <w:tcPr>
            <w:tcW w:w="1229"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年初</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预算数</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全年</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预算数</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全年</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执行数</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分值</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执行率</w:t>
            </w:r>
          </w:p>
        </w:tc>
        <w:tc>
          <w:tcPr>
            <w:tcW w:w="136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2160" w:type="dxa"/>
            <w:gridSpan w:val="2"/>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年度资金总额</w:t>
            </w:r>
          </w:p>
        </w:tc>
        <w:tc>
          <w:tcPr>
            <w:tcW w:w="1229"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268.00</w:t>
            </w:r>
          </w:p>
        </w:tc>
        <w:tc>
          <w:tcPr>
            <w:tcW w:w="1131"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150.86</w:t>
            </w:r>
          </w:p>
        </w:tc>
        <w:tc>
          <w:tcPr>
            <w:tcW w:w="1140"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150.86</w:t>
            </w:r>
          </w:p>
        </w:tc>
        <w:tc>
          <w:tcPr>
            <w:tcW w:w="685"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10</w:t>
            </w:r>
          </w:p>
        </w:tc>
        <w:tc>
          <w:tcPr>
            <w:tcW w:w="795"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100%</w:t>
            </w:r>
          </w:p>
        </w:tc>
        <w:tc>
          <w:tcPr>
            <w:tcW w:w="1365"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2160" w:type="dxa"/>
            <w:gridSpan w:val="2"/>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其中：当年财政拨款</w:t>
            </w:r>
          </w:p>
        </w:tc>
        <w:tc>
          <w:tcPr>
            <w:tcW w:w="1229"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268.00</w:t>
            </w:r>
          </w:p>
        </w:tc>
        <w:tc>
          <w:tcPr>
            <w:tcW w:w="1131"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c>
          <w:tcPr>
            <w:tcW w:w="1140"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c>
          <w:tcPr>
            <w:tcW w:w="685"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c>
          <w:tcPr>
            <w:tcW w:w="795"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c>
          <w:tcPr>
            <w:tcW w:w="1365"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75"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2160" w:type="dxa"/>
            <w:gridSpan w:val="2"/>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上年结转资金</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p>
        </w:tc>
        <w:tc>
          <w:tcPr>
            <w:tcW w:w="1131" w:type="dxa"/>
            <w:vAlign w:val="center"/>
          </w:tcPr>
          <w:p>
            <w:pPr>
              <w:spacing w:line="240" w:lineRule="exact"/>
              <w:jc w:val="center"/>
              <w:rPr>
                <w:rFonts w:ascii="Arial"/>
                <w:color w:val="000000" w:themeColor="text1"/>
                <w:szCs w:val="21"/>
                <w14:textFill>
                  <w14:solidFill>
                    <w14:schemeClr w14:val="tx1"/>
                  </w14:solidFill>
                </w14:textFill>
              </w:rPr>
            </w:pPr>
          </w:p>
        </w:tc>
        <w:tc>
          <w:tcPr>
            <w:tcW w:w="1140" w:type="dxa"/>
            <w:vAlign w:val="center"/>
          </w:tcPr>
          <w:p>
            <w:pPr>
              <w:spacing w:line="240" w:lineRule="exact"/>
              <w:jc w:val="center"/>
              <w:rPr>
                <w:rFonts w:ascii="Arial"/>
                <w:color w:val="000000" w:themeColor="text1"/>
                <w:szCs w:val="21"/>
                <w14:textFill>
                  <w14:solidFill>
                    <w14:schemeClr w14:val="tx1"/>
                  </w14:solidFill>
                </w14:textFill>
              </w:rPr>
            </w:pPr>
          </w:p>
        </w:tc>
        <w:tc>
          <w:tcPr>
            <w:tcW w:w="685" w:type="dxa"/>
            <w:vAlign w:val="center"/>
          </w:tcPr>
          <w:p>
            <w:pPr>
              <w:spacing w:line="240" w:lineRule="exact"/>
              <w:jc w:val="center"/>
              <w:rPr>
                <w:rFonts w:ascii="Arial"/>
                <w:color w:val="000000" w:themeColor="text1"/>
                <w:szCs w:val="21"/>
                <w14:textFill>
                  <w14:solidFill>
                    <w14:schemeClr w14:val="tx1"/>
                  </w14:solidFill>
                </w14:textFill>
              </w:rPr>
            </w:pPr>
          </w:p>
        </w:tc>
        <w:tc>
          <w:tcPr>
            <w:tcW w:w="795" w:type="dxa"/>
            <w:vAlign w:val="center"/>
          </w:tcPr>
          <w:p>
            <w:pPr>
              <w:spacing w:line="240" w:lineRule="exact"/>
              <w:jc w:val="center"/>
              <w:rPr>
                <w:rFonts w:ascii="Arial"/>
                <w:color w:val="000000" w:themeColor="text1"/>
                <w:szCs w:val="21"/>
                <w14:textFill>
                  <w14:solidFill>
                    <w14:schemeClr w14:val="tx1"/>
                  </w14:solidFill>
                </w14:textFill>
              </w:rPr>
            </w:pP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2160" w:type="dxa"/>
            <w:gridSpan w:val="2"/>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其他资金</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p>
        </w:tc>
        <w:tc>
          <w:tcPr>
            <w:tcW w:w="1131"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c>
          <w:tcPr>
            <w:tcW w:w="1140"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c>
          <w:tcPr>
            <w:tcW w:w="685" w:type="dxa"/>
            <w:vAlign w:val="center"/>
          </w:tcPr>
          <w:p>
            <w:pPr>
              <w:spacing w:line="240" w:lineRule="exact"/>
              <w:jc w:val="center"/>
              <w:rPr>
                <w:rFonts w:ascii="Arial"/>
                <w:color w:val="000000" w:themeColor="text1"/>
                <w:szCs w:val="21"/>
                <w14:textFill>
                  <w14:solidFill>
                    <w14:schemeClr w14:val="tx1"/>
                  </w14:solidFill>
                </w14:textFill>
              </w:rPr>
            </w:pPr>
          </w:p>
        </w:tc>
        <w:tc>
          <w:tcPr>
            <w:tcW w:w="795" w:type="dxa"/>
            <w:vAlign w:val="center"/>
          </w:tcPr>
          <w:p>
            <w:pPr>
              <w:spacing w:line="240" w:lineRule="exact"/>
              <w:jc w:val="center"/>
              <w:rPr>
                <w:rFonts w:ascii="Arial"/>
                <w:color w:val="000000" w:themeColor="text1"/>
                <w:szCs w:val="21"/>
                <w14:textFill>
                  <w14:solidFill>
                    <w14:schemeClr w14:val="tx1"/>
                  </w14:solidFill>
                </w14:textFill>
              </w:rPr>
            </w:pP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restart"/>
            <w:tcBorders>
              <w:bottom w:val="nil"/>
            </w:tcBorders>
            <w:vAlign w:val="center"/>
          </w:tcPr>
          <w:p>
            <w:pPr>
              <w:spacing w:line="240" w:lineRule="exact"/>
              <w:ind w:hanging="209"/>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年度总体</w:t>
            </w:r>
          </w:p>
          <w:p>
            <w:pPr>
              <w:spacing w:line="240" w:lineRule="exact"/>
              <w:ind w:hanging="209"/>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目标</w:t>
            </w:r>
          </w:p>
        </w:tc>
        <w:tc>
          <w:tcPr>
            <w:tcW w:w="4520" w:type="dxa"/>
            <w:gridSpan w:val="4"/>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预期目标</w:t>
            </w:r>
          </w:p>
        </w:tc>
        <w:tc>
          <w:tcPr>
            <w:tcW w:w="3985" w:type="dxa"/>
            <w:gridSpan w:val="4"/>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1075" w:type="dxa"/>
            <w:vMerge w:val="continue"/>
            <w:tcBorders>
              <w:top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4520" w:type="dxa"/>
            <w:gridSpan w:val="4"/>
            <w:vAlign w:val="center"/>
          </w:tcPr>
          <w:p>
            <w:pPr>
              <w:spacing w:line="240" w:lineRule="exact"/>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进一步提升环境监测、监察及监控能力建设，提高环境突发事件应急处置能力，加强环境质量监管力度，为打赢污染防治攻坚战提供强有力的支撑</w:t>
            </w:r>
          </w:p>
        </w:tc>
        <w:tc>
          <w:tcPr>
            <w:tcW w:w="3985" w:type="dxa"/>
            <w:gridSpan w:val="4"/>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已完成</w:t>
            </w:r>
            <w:r>
              <w:rPr>
                <w:rFonts w:hint="eastAsia" w:ascii="宋体" w:hAnsi="宋体" w:eastAsia="宋体" w:cs="宋体"/>
                <w:color w:val="000000" w:themeColor="text1"/>
                <w:szCs w:val="21"/>
                <w14:textFill>
                  <w14:solidFill>
                    <w14:schemeClr w14:val="tx1"/>
                  </w14:solidFill>
                </w14:textFill>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075" w:type="dxa"/>
            <w:vMerge w:val="restart"/>
            <w:tcBorders>
              <w:bottom w:val="nil"/>
            </w:tcBorders>
            <w:textDirection w:val="tbRlV"/>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绩</w:t>
            </w: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效</w:t>
            </w: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指</w:t>
            </w: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标</w:t>
            </w:r>
          </w:p>
        </w:tc>
        <w:tc>
          <w:tcPr>
            <w:tcW w:w="108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一级指标</w:t>
            </w:r>
          </w:p>
        </w:tc>
        <w:tc>
          <w:tcPr>
            <w:tcW w:w="108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二级指标</w:t>
            </w:r>
          </w:p>
        </w:tc>
        <w:tc>
          <w:tcPr>
            <w:tcW w:w="1229"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三级指标</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年度</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指标值</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实际</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完成值</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分值</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得分</w:t>
            </w:r>
          </w:p>
        </w:tc>
        <w:tc>
          <w:tcPr>
            <w:tcW w:w="1365" w:type="dxa"/>
            <w:vAlign w:val="center"/>
          </w:tcPr>
          <w:p>
            <w:pPr>
              <w:spacing w:line="240" w:lineRule="exact"/>
              <w:ind w:hanging="99"/>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偏差原因分析 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restart"/>
            <w:tcBorders>
              <w:bottom w:val="nil"/>
            </w:tcBorders>
            <w:vAlign w:val="center"/>
          </w:tcPr>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position w:val="22"/>
                <w:szCs w:val="21"/>
                <w14:textFill>
                  <w14:solidFill>
                    <w14:schemeClr w14:val="tx1"/>
                  </w14:solidFill>
                </w14:textFill>
              </w:rPr>
              <w:t>产出指标</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(50分)</w:t>
            </w:r>
          </w:p>
        </w:tc>
        <w:tc>
          <w:tcPr>
            <w:tcW w:w="1080" w:type="dxa"/>
            <w:vMerge w:val="restart"/>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数量指标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开展应急能力建设及核与辐射事故应急演练</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2次</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2次</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强化排污权交易</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&gt;=90%</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95%</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restart"/>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质量指标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环境信息网络系统维护</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监察、监测等各类预警平台、污染源在线监控平台等</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正常运行</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vAlign w:val="center"/>
          </w:tcPr>
          <w:p>
            <w:pPr>
              <w:spacing w:line="240" w:lineRule="exact"/>
              <w:jc w:val="center"/>
              <w:rPr>
                <w:rFonts w:ascii="宋体" w:hAnsi="宋体" w:eastAsia="宋体" w:cs="宋体"/>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土壤环境施肥技术覆盖率</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&gt;=90%</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96%</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vAlign w:val="center"/>
          </w:tcPr>
          <w:p>
            <w:pPr>
              <w:spacing w:line="240" w:lineRule="exact"/>
              <w:jc w:val="center"/>
              <w:rPr>
                <w:rFonts w:ascii="宋体" w:hAnsi="宋体" w:eastAsia="宋体" w:cs="宋体"/>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空气环境质量优良率</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&gt;=83%</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86.8%</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地表水环境质量达标率</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&gt;=93%</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95%</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时效指标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完成时间</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2022年度</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2022年度</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成本指标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控制成本</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268万元</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150.86万元</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严格控制在预算范围内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restart"/>
            <w:tcBorders>
              <w:bottom w:val="nil"/>
            </w:tcBorders>
            <w:vAlign w:val="center"/>
          </w:tcPr>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position w:val="21"/>
                <w:szCs w:val="21"/>
                <w14:textFill>
                  <w14:solidFill>
                    <w14:schemeClr w14:val="tx1"/>
                  </w14:solidFill>
                </w14:textFill>
              </w:rPr>
              <w:t>效益指标</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(30分)</w:t>
            </w:r>
          </w:p>
        </w:tc>
        <w:tc>
          <w:tcPr>
            <w:tcW w:w="1080"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position w:val="4"/>
                <w:szCs w:val="21"/>
                <w14:textFill>
                  <w14:solidFill>
                    <w14:schemeClr w14:val="tx1"/>
                  </w14:solidFill>
                </w14:textFill>
              </w:rPr>
              <w:t>经济效</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益指标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实现节能减排</w:t>
            </w:r>
          </w:p>
        </w:tc>
        <w:tc>
          <w:tcPr>
            <w:tcW w:w="1131"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减少了财政支出</w:t>
            </w:r>
          </w:p>
        </w:tc>
        <w:tc>
          <w:tcPr>
            <w:tcW w:w="1140"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减少了财政支出</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tcBorders>
              <w:bottom w:val="nil"/>
            </w:tcBorders>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社会效</w:t>
            </w:r>
          </w:p>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益指标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群众生活状况改善情况</w:t>
            </w:r>
          </w:p>
        </w:tc>
        <w:tc>
          <w:tcPr>
            <w:tcW w:w="1131"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有所提升</w:t>
            </w:r>
          </w:p>
        </w:tc>
        <w:tc>
          <w:tcPr>
            <w:tcW w:w="1140"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有所提升</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tcBorders>
              <w:bottom w:val="nil"/>
            </w:tcBorders>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生态效</w:t>
            </w:r>
          </w:p>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益指标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群众生活状况改善情况</w:t>
            </w:r>
          </w:p>
        </w:tc>
        <w:tc>
          <w:tcPr>
            <w:tcW w:w="1131"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有所提升</w:t>
            </w:r>
          </w:p>
        </w:tc>
        <w:tc>
          <w:tcPr>
            <w:tcW w:w="1140"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有所提升</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tcBorders>
              <w:bottom w:val="nil"/>
            </w:tcBorders>
            <w:vAlign w:val="center"/>
          </w:tcPr>
          <w:p>
            <w:pPr>
              <w:spacing w:line="240" w:lineRule="exact"/>
              <w:ind w:hanging="99"/>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可持续</w:t>
            </w:r>
          </w:p>
          <w:p>
            <w:pPr>
              <w:spacing w:line="240" w:lineRule="exact"/>
              <w:ind w:hanging="99"/>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影响指标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社会环境可持续发展</w:t>
            </w:r>
          </w:p>
        </w:tc>
        <w:tc>
          <w:tcPr>
            <w:tcW w:w="1131"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效益明显</w:t>
            </w:r>
          </w:p>
        </w:tc>
        <w:tc>
          <w:tcPr>
            <w:tcW w:w="1140"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效益明显</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满意度</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指标</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(10分)</w:t>
            </w:r>
          </w:p>
        </w:tc>
        <w:tc>
          <w:tcPr>
            <w:tcW w:w="1080"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服务对象</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满意度</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群众对环境质量改善的满意度</w:t>
            </w:r>
          </w:p>
        </w:tc>
        <w:tc>
          <w:tcPr>
            <w:tcW w:w="1131"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85%以上</w:t>
            </w:r>
          </w:p>
        </w:tc>
        <w:tc>
          <w:tcPr>
            <w:tcW w:w="1140"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98%</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6735" w:type="dxa"/>
            <w:gridSpan w:val="6"/>
            <w:vAlign w:val="center"/>
          </w:tcPr>
          <w:p>
            <w:pPr>
              <w:spacing w:line="240" w:lineRule="exact"/>
              <w:ind w:firstLine="3145"/>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总分</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100</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99</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bl>
    <w:p>
      <w:pPr>
        <w:spacing w:line="240" w:lineRule="exact"/>
        <w:rPr>
          <w:rFonts w:ascii="仿宋" w:hAnsi="仿宋" w:eastAsia="仿宋" w:cs="仿宋"/>
          <w:color w:val="000000" w:themeColor="text1"/>
          <w:spacing w:val="-26"/>
          <w:sz w:val="23"/>
          <w:szCs w:val="23"/>
          <w14:textFill>
            <w14:solidFill>
              <w14:schemeClr w14:val="tx1"/>
            </w14:solidFill>
          </w14:textFill>
        </w:rPr>
      </w:pPr>
    </w:p>
    <w:p>
      <w:pPr>
        <w:spacing w:line="240" w:lineRule="exact"/>
        <w:rPr>
          <w:rFonts w:ascii="仿宋" w:hAnsi="仿宋" w:eastAsia="仿宋" w:cs="仿宋"/>
          <w:color w:val="000000" w:themeColor="text1"/>
          <w:spacing w:val="4"/>
          <w:sz w:val="21"/>
          <w:szCs w:val="21"/>
          <w14:textFill>
            <w14:solidFill>
              <w14:schemeClr w14:val="tx1"/>
            </w14:solidFill>
          </w14:textFill>
        </w:rPr>
      </w:pPr>
      <w:r>
        <w:rPr>
          <w:rFonts w:ascii="仿宋" w:hAnsi="仿宋" w:eastAsia="仿宋" w:cs="仿宋"/>
          <w:color w:val="000000" w:themeColor="text1"/>
          <w:spacing w:val="-26"/>
          <w:sz w:val="23"/>
          <w:szCs w:val="23"/>
          <w14:textFill>
            <w14:solidFill>
              <w14:schemeClr w14:val="tx1"/>
            </w14:solidFill>
          </w14:textFill>
        </w:rPr>
        <w:t>填表人：</w:t>
      </w:r>
      <w:r>
        <w:rPr>
          <w:rFonts w:hint="eastAsia" w:ascii="仿宋" w:hAnsi="仿宋" w:eastAsia="仿宋" w:cs="仿宋"/>
          <w:color w:val="000000" w:themeColor="text1"/>
          <w:spacing w:val="-26"/>
          <w:sz w:val="23"/>
          <w:szCs w:val="23"/>
          <w:lang w:val="en-US" w:eastAsia="zh-CN"/>
          <w14:textFill>
            <w14:solidFill>
              <w14:schemeClr w14:val="tx1"/>
            </w14:solidFill>
          </w14:textFill>
        </w:rPr>
        <w:t>李珞珞</w:t>
      </w:r>
      <w:r>
        <w:rPr>
          <w:rFonts w:ascii="仿宋" w:hAnsi="仿宋" w:eastAsia="仿宋" w:cs="仿宋"/>
          <w:color w:val="000000" w:themeColor="text1"/>
          <w:spacing w:val="15"/>
          <w:sz w:val="23"/>
          <w:szCs w:val="23"/>
          <w14:textFill>
            <w14:solidFill>
              <w14:schemeClr w14:val="tx1"/>
            </w14:solidFill>
          </w14:textFill>
        </w:rPr>
        <w:t xml:space="preserve"> </w:t>
      </w:r>
      <w:r>
        <w:rPr>
          <w:rFonts w:ascii="仿宋" w:hAnsi="仿宋" w:eastAsia="仿宋" w:cs="仿宋"/>
          <w:color w:val="000000" w:themeColor="text1"/>
          <w:spacing w:val="-26"/>
          <w:sz w:val="23"/>
          <w:szCs w:val="23"/>
          <w14:textFill>
            <w14:solidFill>
              <w14:schemeClr w14:val="tx1"/>
            </w14:solidFill>
          </w14:textFill>
        </w:rPr>
        <w:t>联系电话：</w:t>
      </w:r>
      <w:r>
        <w:rPr>
          <w:rFonts w:hint="eastAsia" w:ascii="仿宋" w:hAnsi="仿宋" w:eastAsia="仿宋" w:cs="仿宋"/>
          <w:color w:val="000000" w:themeColor="text1"/>
          <w:spacing w:val="-26"/>
          <w:sz w:val="23"/>
          <w:szCs w:val="23"/>
          <w:lang w:val="en-US" w:eastAsia="zh-CN"/>
          <w14:textFill>
            <w14:solidFill>
              <w14:schemeClr w14:val="tx1"/>
            </w14:solidFill>
          </w14:textFill>
        </w:rPr>
        <w:t xml:space="preserve">18807300855   </w:t>
      </w:r>
      <w:r>
        <w:rPr>
          <w:rFonts w:ascii="仿宋" w:hAnsi="仿宋" w:eastAsia="仿宋" w:cs="仿宋"/>
          <w:color w:val="000000" w:themeColor="text1"/>
          <w:spacing w:val="-26"/>
          <w:sz w:val="23"/>
          <w:szCs w:val="23"/>
          <w14:textFill>
            <w14:solidFill>
              <w14:schemeClr w14:val="tx1"/>
            </w14:solidFill>
          </w14:textFill>
        </w:rPr>
        <w:t>单位负责人签字：</w:t>
      </w:r>
      <w:r>
        <w:rPr>
          <w:rFonts w:hint="eastAsia" w:ascii="仿宋" w:hAnsi="仿宋" w:eastAsia="仿宋" w:cs="仿宋"/>
          <w:color w:val="000000" w:themeColor="text1"/>
          <w:spacing w:val="-26"/>
          <w:sz w:val="23"/>
          <w:szCs w:val="23"/>
          <w14:textFill>
            <w14:solidFill>
              <w14:schemeClr w14:val="tx1"/>
            </w14:solidFill>
          </w14:textFill>
        </w:rPr>
        <w:t xml:space="preserve">                 </w:t>
      </w:r>
      <w:r>
        <w:rPr>
          <w:rFonts w:ascii="仿宋" w:hAnsi="仿宋" w:eastAsia="仿宋" w:cs="仿宋"/>
          <w:color w:val="000000" w:themeColor="text1"/>
          <w:spacing w:val="15"/>
          <w:sz w:val="23"/>
          <w:szCs w:val="23"/>
          <w14:textFill>
            <w14:solidFill>
              <w14:schemeClr w14:val="tx1"/>
            </w14:solidFill>
          </w14:textFill>
        </w:rPr>
        <w:t xml:space="preserve"> </w:t>
      </w:r>
      <w:r>
        <w:rPr>
          <w:rFonts w:hint="eastAsia" w:ascii="仿宋" w:hAnsi="仿宋" w:eastAsia="仿宋" w:cs="仿宋"/>
          <w:color w:val="000000" w:themeColor="text1"/>
          <w:spacing w:val="15"/>
          <w:sz w:val="23"/>
          <w:szCs w:val="23"/>
          <w:lang w:val="en-US" w:eastAsia="zh-CN"/>
          <w14:textFill>
            <w14:solidFill>
              <w14:schemeClr w14:val="tx1"/>
            </w14:solidFill>
          </w14:textFill>
        </w:rPr>
        <w:t xml:space="preserve">    </w:t>
      </w:r>
      <w:r>
        <w:rPr>
          <w:rFonts w:ascii="仿宋" w:hAnsi="仿宋" w:eastAsia="仿宋" w:cs="仿宋"/>
          <w:color w:val="000000" w:themeColor="text1"/>
          <w:spacing w:val="-26"/>
          <w:sz w:val="23"/>
          <w:szCs w:val="23"/>
          <w14:textFill>
            <w14:solidFill>
              <w14:schemeClr w14:val="tx1"/>
            </w14:solidFill>
          </w14:textFill>
        </w:rPr>
        <w:t>填</w:t>
      </w:r>
      <w:r>
        <w:rPr>
          <w:rFonts w:ascii="仿宋" w:hAnsi="仿宋" w:eastAsia="仿宋" w:cs="仿宋"/>
          <w:color w:val="000000" w:themeColor="text1"/>
          <w:spacing w:val="-26"/>
          <w:sz w:val="21"/>
          <w:szCs w:val="21"/>
          <w14:textFill>
            <w14:solidFill>
              <w14:schemeClr w14:val="tx1"/>
            </w14:solidFill>
          </w14:textFill>
        </w:rPr>
        <w:t>报日期：</w:t>
      </w:r>
      <w:r>
        <w:rPr>
          <w:rFonts w:hint="eastAsia" w:ascii="仿宋" w:hAnsi="仿宋" w:eastAsia="仿宋" w:cs="仿宋"/>
          <w:color w:val="000000" w:themeColor="text1"/>
          <w:spacing w:val="-26"/>
          <w:sz w:val="21"/>
          <w:szCs w:val="21"/>
          <w:lang w:val="en-US" w:eastAsia="zh-CN"/>
          <w14:textFill>
            <w14:solidFill>
              <w14:schemeClr w14:val="tx1"/>
            </w14:solidFill>
          </w14:textFill>
        </w:rPr>
        <w:t>2023年6月28日</w:t>
      </w:r>
      <w:r>
        <w:rPr>
          <w:rFonts w:ascii="仿宋" w:hAnsi="仿宋" w:eastAsia="仿宋" w:cs="仿宋"/>
          <w:color w:val="000000" w:themeColor="text1"/>
          <w:spacing w:val="4"/>
          <w:sz w:val="21"/>
          <w:szCs w:val="21"/>
          <w14:textFill>
            <w14:solidFill>
              <w14:schemeClr w14:val="tx1"/>
            </w14:solidFill>
          </w14:textFill>
        </w:rPr>
        <w:t xml:space="preserve"> </w:t>
      </w:r>
    </w:p>
    <w:p>
      <w:pPr>
        <w:spacing w:line="240" w:lineRule="exact"/>
        <w:rPr>
          <w:rFonts w:ascii="仿宋" w:hAnsi="仿宋" w:eastAsia="仿宋" w:cs="仿宋"/>
          <w:color w:val="000000" w:themeColor="text1"/>
          <w:spacing w:val="4"/>
          <w:sz w:val="23"/>
          <w:szCs w:val="23"/>
          <w14:textFill>
            <w14:solidFill>
              <w14:schemeClr w14:val="tx1"/>
            </w14:solidFill>
          </w14:textFill>
        </w:rPr>
      </w:pPr>
      <w:r>
        <w:rPr>
          <w:rFonts w:ascii="仿宋" w:hAnsi="仿宋" w:eastAsia="仿宋" w:cs="仿宋"/>
          <w:color w:val="000000" w:themeColor="text1"/>
          <w:spacing w:val="4"/>
          <w:sz w:val="23"/>
          <w:szCs w:val="23"/>
          <w14:textFill>
            <w14:solidFill>
              <w14:schemeClr w14:val="tx1"/>
            </w14:solidFill>
          </w14:textFill>
        </w:rPr>
        <w:br w:type="page"/>
      </w:r>
    </w:p>
    <w:p>
      <w:pPr>
        <w:spacing w:line="240" w:lineRule="exact"/>
        <w:rPr>
          <w:rFonts w:ascii="仿宋" w:hAnsi="仿宋" w:eastAsia="仿宋" w:cs="仿宋"/>
          <w:color w:val="000000" w:themeColor="text1"/>
          <w:spacing w:val="4"/>
          <w:sz w:val="23"/>
          <w:szCs w:val="23"/>
          <w14:textFill>
            <w14:solidFill>
              <w14:schemeClr w14:val="tx1"/>
            </w14:solidFill>
          </w14:textFill>
        </w:rPr>
      </w:pPr>
    </w:p>
    <w:p>
      <w:pPr>
        <w:spacing w:line="240" w:lineRule="exact"/>
        <w:rPr>
          <w:rFonts w:ascii="仿宋" w:hAnsi="仿宋" w:eastAsia="仿宋" w:cs="仿宋"/>
          <w:color w:val="000000" w:themeColor="text1"/>
          <w:spacing w:val="4"/>
          <w:sz w:val="23"/>
          <w:szCs w:val="23"/>
          <w14:textFill>
            <w14:solidFill>
              <w14:schemeClr w14:val="tx1"/>
            </w14:solidFill>
          </w14:textFill>
        </w:rPr>
      </w:pPr>
    </w:p>
    <w:p>
      <w:pPr>
        <w:spacing w:line="240" w:lineRule="exact"/>
        <w:rPr>
          <w:rFonts w:hint="eastAsia" w:ascii="黑体" w:hAnsi="黑体" w:eastAsia="黑体" w:cs="黑体"/>
          <w:color w:val="000000" w:themeColor="text1"/>
          <w:spacing w:val="10"/>
          <w:sz w:val="32"/>
          <w:szCs w:val="32"/>
          <w14:textFill>
            <w14:solidFill>
              <w14:schemeClr w14:val="tx1"/>
            </w14:solidFill>
          </w14:textFill>
        </w:rPr>
      </w:pPr>
    </w:p>
    <w:p>
      <w:pPr>
        <w:spacing w:line="240" w:lineRule="exact"/>
        <w:rPr>
          <w:rFonts w:hint="eastAsia" w:ascii="黑体" w:hAnsi="黑体" w:eastAsia="黑体" w:cs="黑体"/>
          <w:color w:val="000000" w:themeColor="text1"/>
          <w:spacing w:val="4"/>
          <w:sz w:val="23"/>
          <w:szCs w:val="23"/>
          <w14:textFill>
            <w14:solidFill>
              <w14:schemeClr w14:val="tx1"/>
            </w14:solidFill>
          </w14:textFill>
        </w:rPr>
      </w:pPr>
      <w:r>
        <w:rPr>
          <w:rFonts w:hint="eastAsia" w:ascii="黑体" w:hAnsi="黑体" w:eastAsia="黑体" w:cs="黑体"/>
          <w:color w:val="000000" w:themeColor="text1"/>
          <w:spacing w:val="10"/>
          <w:sz w:val="32"/>
          <w:szCs w:val="32"/>
          <w14:textFill>
            <w14:solidFill>
              <w14:schemeClr w14:val="tx1"/>
            </w14:solidFill>
          </w14:textFill>
        </w:rPr>
        <w:t>附件4-2</w:t>
      </w:r>
    </w:p>
    <w:p>
      <w:pPr>
        <w:spacing w:line="700" w:lineRule="exact"/>
        <w:jc w:val="center"/>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p>
    <w:p>
      <w:pPr>
        <w:spacing w:line="7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2022年度项目支出绩效自评表</w:t>
      </w:r>
    </w:p>
    <w:tbl>
      <w:tblPr>
        <w:tblStyle w:val="8"/>
        <w:tblW w:w="95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5"/>
        <w:gridCol w:w="1080"/>
        <w:gridCol w:w="1080"/>
        <w:gridCol w:w="1229"/>
        <w:gridCol w:w="1131"/>
        <w:gridCol w:w="1140"/>
        <w:gridCol w:w="685"/>
        <w:gridCol w:w="795"/>
        <w:gridCol w:w="13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107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项目支出</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名称</w:t>
            </w:r>
          </w:p>
        </w:tc>
        <w:tc>
          <w:tcPr>
            <w:tcW w:w="8505" w:type="dxa"/>
            <w:gridSpan w:val="8"/>
            <w:vAlign w:val="center"/>
          </w:tcPr>
          <w:p>
            <w:pPr>
              <w:spacing w:line="240" w:lineRule="exact"/>
              <w:jc w:val="center"/>
              <w:rPr>
                <w:rFonts w:ascii="Arial"/>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环境监察、监测等运行经费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07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主管部门</w:t>
            </w:r>
          </w:p>
        </w:tc>
        <w:tc>
          <w:tcPr>
            <w:tcW w:w="4520" w:type="dxa"/>
            <w:gridSpan w:val="4"/>
            <w:vAlign w:val="center"/>
          </w:tcPr>
          <w:p>
            <w:pPr>
              <w:spacing w:line="240" w:lineRule="exact"/>
              <w:jc w:val="center"/>
              <w:rPr>
                <w:rFonts w:ascii="Arial"/>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岳阳市生态环境局</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实施单位</w:t>
            </w:r>
          </w:p>
        </w:tc>
        <w:tc>
          <w:tcPr>
            <w:tcW w:w="2845" w:type="dxa"/>
            <w:gridSpan w:val="3"/>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岳阳市生态环境局本级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75" w:type="dxa"/>
            <w:vMerge w:val="restart"/>
            <w:tcBorders>
              <w:bottom w:val="nil"/>
            </w:tcBorders>
            <w:vAlign w:val="center"/>
          </w:tcPr>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项目资金</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(万元)</w:t>
            </w:r>
          </w:p>
        </w:tc>
        <w:tc>
          <w:tcPr>
            <w:tcW w:w="2160" w:type="dxa"/>
            <w:gridSpan w:val="2"/>
            <w:vAlign w:val="center"/>
          </w:tcPr>
          <w:p>
            <w:pPr>
              <w:spacing w:line="240" w:lineRule="exact"/>
              <w:jc w:val="center"/>
              <w:rPr>
                <w:rFonts w:ascii="Arial"/>
                <w:color w:val="000000" w:themeColor="text1"/>
                <w:szCs w:val="21"/>
                <w14:textFill>
                  <w14:solidFill>
                    <w14:schemeClr w14:val="tx1"/>
                  </w14:solidFill>
                </w14:textFill>
              </w:rPr>
            </w:pPr>
          </w:p>
        </w:tc>
        <w:tc>
          <w:tcPr>
            <w:tcW w:w="1229"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年初</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预算数</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全年</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预算数</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全年</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执行数</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分值</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执行率</w:t>
            </w:r>
          </w:p>
        </w:tc>
        <w:tc>
          <w:tcPr>
            <w:tcW w:w="136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2160" w:type="dxa"/>
            <w:gridSpan w:val="2"/>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年度资金总额</w:t>
            </w:r>
          </w:p>
        </w:tc>
        <w:tc>
          <w:tcPr>
            <w:tcW w:w="1229"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605.00</w:t>
            </w:r>
          </w:p>
        </w:tc>
        <w:tc>
          <w:tcPr>
            <w:tcW w:w="1131"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594.35</w:t>
            </w:r>
          </w:p>
        </w:tc>
        <w:tc>
          <w:tcPr>
            <w:tcW w:w="1140"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594.35</w:t>
            </w:r>
          </w:p>
        </w:tc>
        <w:tc>
          <w:tcPr>
            <w:tcW w:w="685"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10</w:t>
            </w:r>
          </w:p>
        </w:tc>
        <w:tc>
          <w:tcPr>
            <w:tcW w:w="795"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100%</w:t>
            </w:r>
          </w:p>
        </w:tc>
        <w:tc>
          <w:tcPr>
            <w:tcW w:w="1365"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2160" w:type="dxa"/>
            <w:gridSpan w:val="2"/>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其中：当年财政拨款</w:t>
            </w:r>
          </w:p>
        </w:tc>
        <w:tc>
          <w:tcPr>
            <w:tcW w:w="1229"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605.00</w:t>
            </w:r>
          </w:p>
        </w:tc>
        <w:tc>
          <w:tcPr>
            <w:tcW w:w="1131"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c>
          <w:tcPr>
            <w:tcW w:w="1140"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c>
          <w:tcPr>
            <w:tcW w:w="685" w:type="dxa"/>
            <w:vAlign w:val="center"/>
          </w:tcPr>
          <w:p>
            <w:pPr>
              <w:spacing w:line="240" w:lineRule="exact"/>
              <w:jc w:val="center"/>
              <w:rPr>
                <w:rFonts w:ascii="Arial"/>
                <w:color w:val="000000" w:themeColor="text1"/>
                <w:szCs w:val="21"/>
                <w14:textFill>
                  <w14:solidFill>
                    <w14:schemeClr w14:val="tx1"/>
                  </w14:solidFill>
                </w14:textFill>
              </w:rPr>
            </w:pPr>
          </w:p>
        </w:tc>
        <w:tc>
          <w:tcPr>
            <w:tcW w:w="795" w:type="dxa"/>
            <w:vAlign w:val="center"/>
          </w:tcPr>
          <w:p>
            <w:pPr>
              <w:spacing w:line="240" w:lineRule="exact"/>
              <w:jc w:val="center"/>
              <w:rPr>
                <w:rFonts w:ascii="Arial"/>
                <w:color w:val="000000" w:themeColor="text1"/>
                <w:szCs w:val="21"/>
                <w14:textFill>
                  <w14:solidFill>
                    <w14:schemeClr w14:val="tx1"/>
                  </w14:solidFill>
                </w14:textFill>
              </w:rPr>
            </w:pP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2160" w:type="dxa"/>
            <w:gridSpan w:val="2"/>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上年结转资金</w:t>
            </w:r>
          </w:p>
        </w:tc>
        <w:tc>
          <w:tcPr>
            <w:tcW w:w="1229"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c>
          <w:tcPr>
            <w:tcW w:w="1131"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c>
          <w:tcPr>
            <w:tcW w:w="1140"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c>
          <w:tcPr>
            <w:tcW w:w="685" w:type="dxa"/>
            <w:vAlign w:val="center"/>
          </w:tcPr>
          <w:p>
            <w:pPr>
              <w:spacing w:line="240" w:lineRule="exact"/>
              <w:jc w:val="center"/>
              <w:rPr>
                <w:rFonts w:ascii="Arial"/>
                <w:color w:val="000000" w:themeColor="text1"/>
                <w:szCs w:val="21"/>
                <w14:textFill>
                  <w14:solidFill>
                    <w14:schemeClr w14:val="tx1"/>
                  </w14:solidFill>
                </w14:textFill>
              </w:rPr>
            </w:pPr>
          </w:p>
        </w:tc>
        <w:tc>
          <w:tcPr>
            <w:tcW w:w="795" w:type="dxa"/>
            <w:vAlign w:val="center"/>
          </w:tcPr>
          <w:p>
            <w:pPr>
              <w:spacing w:line="240" w:lineRule="exact"/>
              <w:jc w:val="center"/>
              <w:rPr>
                <w:rFonts w:ascii="Arial"/>
                <w:color w:val="000000" w:themeColor="text1"/>
                <w:szCs w:val="21"/>
                <w14:textFill>
                  <w14:solidFill>
                    <w14:schemeClr w14:val="tx1"/>
                  </w14:solidFill>
                </w14:textFill>
              </w:rPr>
            </w:pP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2160" w:type="dxa"/>
            <w:gridSpan w:val="2"/>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其他资金</w:t>
            </w:r>
          </w:p>
        </w:tc>
        <w:tc>
          <w:tcPr>
            <w:tcW w:w="1229"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c>
          <w:tcPr>
            <w:tcW w:w="1131"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c>
          <w:tcPr>
            <w:tcW w:w="1140" w:type="dxa"/>
            <w:vAlign w:val="center"/>
          </w:tcPr>
          <w:p>
            <w:pPr>
              <w:spacing w:line="240" w:lineRule="exact"/>
              <w:jc w:val="center"/>
              <w:rPr>
                <w:rFonts w:ascii="宋体" w:hAnsi="宋体" w:eastAsia="宋体" w:cs="宋体"/>
                <w:b/>
                <w:bCs/>
                <w:color w:val="000000" w:themeColor="text1"/>
                <w:szCs w:val="21"/>
                <w14:textFill>
                  <w14:solidFill>
                    <w14:schemeClr w14:val="tx1"/>
                  </w14:solidFill>
                </w14:textFill>
              </w:rPr>
            </w:pPr>
          </w:p>
        </w:tc>
        <w:tc>
          <w:tcPr>
            <w:tcW w:w="685" w:type="dxa"/>
            <w:vAlign w:val="center"/>
          </w:tcPr>
          <w:p>
            <w:pPr>
              <w:spacing w:line="240" w:lineRule="exact"/>
              <w:jc w:val="center"/>
              <w:rPr>
                <w:rFonts w:ascii="Arial"/>
                <w:color w:val="000000" w:themeColor="text1"/>
                <w:szCs w:val="21"/>
                <w14:textFill>
                  <w14:solidFill>
                    <w14:schemeClr w14:val="tx1"/>
                  </w14:solidFill>
                </w14:textFill>
              </w:rPr>
            </w:pPr>
          </w:p>
        </w:tc>
        <w:tc>
          <w:tcPr>
            <w:tcW w:w="795" w:type="dxa"/>
            <w:vAlign w:val="center"/>
          </w:tcPr>
          <w:p>
            <w:pPr>
              <w:spacing w:line="240" w:lineRule="exact"/>
              <w:jc w:val="center"/>
              <w:rPr>
                <w:rFonts w:ascii="Arial"/>
                <w:color w:val="000000" w:themeColor="text1"/>
                <w:szCs w:val="21"/>
                <w14:textFill>
                  <w14:solidFill>
                    <w14:schemeClr w14:val="tx1"/>
                  </w14:solidFill>
                </w14:textFill>
              </w:rPr>
            </w:pP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restart"/>
            <w:tcBorders>
              <w:bottom w:val="nil"/>
            </w:tcBorders>
            <w:vAlign w:val="center"/>
          </w:tcPr>
          <w:p>
            <w:pPr>
              <w:spacing w:line="240" w:lineRule="exact"/>
              <w:ind w:hanging="209"/>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年度总体</w:t>
            </w:r>
          </w:p>
          <w:p>
            <w:pPr>
              <w:spacing w:line="240" w:lineRule="exact"/>
              <w:ind w:hanging="209"/>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目标</w:t>
            </w:r>
          </w:p>
        </w:tc>
        <w:tc>
          <w:tcPr>
            <w:tcW w:w="4520" w:type="dxa"/>
            <w:gridSpan w:val="4"/>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预期目标</w:t>
            </w:r>
          </w:p>
        </w:tc>
        <w:tc>
          <w:tcPr>
            <w:tcW w:w="3985" w:type="dxa"/>
            <w:gridSpan w:val="4"/>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1075" w:type="dxa"/>
            <w:vMerge w:val="continue"/>
            <w:tcBorders>
              <w:top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4520" w:type="dxa"/>
            <w:gridSpan w:val="4"/>
            <w:vAlign w:val="center"/>
          </w:tcPr>
          <w:p>
            <w:pPr>
              <w:spacing w:line="240" w:lineRule="exact"/>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全市空气、组分、工业园环境质量、水环境自动监测站等正常运行；加强日常环境监管；积极应对环保督查；应急处置及时到位；完成减排目标；推广环境保护工作宣传；开展各类环境执法专项行动；对强制性清洁生产企业开展审核评估预验收及培训</w:t>
            </w:r>
          </w:p>
        </w:tc>
        <w:tc>
          <w:tcPr>
            <w:tcW w:w="3985" w:type="dxa"/>
            <w:gridSpan w:val="4"/>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已完成</w:t>
            </w:r>
            <w:r>
              <w:rPr>
                <w:rFonts w:hint="eastAsia" w:ascii="宋体" w:hAnsi="宋体" w:eastAsia="宋体" w:cs="宋体"/>
                <w:color w:val="000000" w:themeColor="text1"/>
                <w:szCs w:val="21"/>
                <w14:textFill>
                  <w14:solidFill>
                    <w14:schemeClr w14:val="tx1"/>
                  </w14:solidFill>
                </w14:textFill>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075" w:type="dxa"/>
            <w:vMerge w:val="restart"/>
            <w:tcBorders>
              <w:bottom w:val="nil"/>
            </w:tcBorders>
            <w:textDirection w:val="tbRlV"/>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绩</w:t>
            </w: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效</w:t>
            </w: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指</w:t>
            </w: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标</w:t>
            </w:r>
          </w:p>
        </w:tc>
        <w:tc>
          <w:tcPr>
            <w:tcW w:w="108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一级指标</w:t>
            </w:r>
          </w:p>
        </w:tc>
        <w:tc>
          <w:tcPr>
            <w:tcW w:w="108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二级指标</w:t>
            </w:r>
          </w:p>
        </w:tc>
        <w:tc>
          <w:tcPr>
            <w:tcW w:w="1229"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三级指标</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年度</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指标值</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实际</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完成值</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分值</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得分</w:t>
            </w:r>
          </w:p>
        </w:tc>
        <w:tc>
          <w:tcPr>
            <w:tcW w:w="1365" w:type="dxa"/>
            <w:vAlign w:val="center"/>
          </w:tcPr>
          <w:p>
            <w:pPr>
              <w:spacing w:line="240" w:lineRule="exact"/>
              <w:ind w:hanging="99"/>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偏差原因分析 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restart"/>
            <w:tcBorders>
              <w:bottom w:val="nil"/>
            </w:tcBorders>
            <w:vAlign w:val="center"/>
          </w:tcPr>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position w:val="22"/>
                <w:szCs w:val="21"/>
                <w14:textFill>
                  <w14:solidFill>
                    <w14:schemeClr w14:val="tx1"/>
                  </w14:solidFill>
                </w14:textFill>
              </w:rPr>
              <w:t>产出指标</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(50分)</w:t>
            </w:r>
          </w:p>
        </w:tc>
        <w:tc>
          <w:tcPr>
            <w:tcW w:w="1080" w:type="dxa"/>
            <w:vMerge w:val="restart"/>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数量指标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环保科技推广及六五等宣传</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20次</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20次</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vAlign w:val="center"/>
          </w:tcPr>
          <w:p>
            <w:pPr>
              <w:spacing w:line="240" w:lineRule="exact"/>
              <w:jc w:val="center"/>
              <w:rPr>
                <w:rFonts w:ascii="Arial"/>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及时查处各类环境违法案件</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30件</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30件</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vAlign w:val="center"/>
          </w:tcPr>
          <w:p>
            <w:pPr>
              <w:spacing w:line="240" w:lineRule="exact"/>
              <w:jc w:val="center"/>
              <w:rPr>
                <w:rFonts w:ascii="Arial"/>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全市重点污染源自动监控点正常运行</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242个</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242个</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vAlign w:val="center"/>
          </w:tcPr>
          <w:p>
            <w:pPr>
              <w:spacing w:line="240" w:lineRule="exact"/>
              <w:jc w:val="center"/>
              <w:rPr>
                <w:rFonts w:ascii="Arial"/>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对强制性清洁生产企业开展审核评估与验收及培训</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23家</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23家</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vAlign w:val="center"/>
          </w:tcPr>
          <w:p>
            <w:pPr>
              <w:spacing w:line="240" w:lineRule="exact"/>
              <w:jc w:val="center"/>
              <w:rPr>
                <w:rFonts w:ascii="Arial"/>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开展固废、危废排查等各类专项行动</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多次</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多次</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vAlign w:val="center"/>
          </w:tcPr>
          <w:p>
            <w:pPr>
              <w:spacing w:line="240" w:lineRule="exact"/>
              <w:jc w:val="center"/>
              <w:rPr>
                <w:rFonts w:ascii="Arial"/>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排污许可证的申领和核发</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400家</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400家</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vAlign w:val="center"/>
          </w:tcPr>
          <w:p>
            <w:pPr>
              <w:spacing w:line="240" w:lineRule="exact"/>
              <w:jc w:val="center"/>
              <w:rPr>
                <w:rFonts w:ascii="宋体" w:hAnsi="宋体" w:eastAsia="宋体" w:cs="宋体"/>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水和空气环境自动监测站正常运行</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21座</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21座</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及时办结各类环境信访件</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1000件</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1000件</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restart"/>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质量指标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碳排放控制量</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4.2%</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4.2%</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vAlign w:val="center"/>
          </w:tcPr>
          <w:p>
            <w:pPr>
              <w:spacing w:line="240" w:lineRule="exact"/>
              <w:jc w:val="center"/>
              <w:rPr>
                <w:rFonts w:ascii="宋体" w:hAnsi="宋体" w:eastAsia="宋体" w:cs="宋体"/>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化学需氧量削减量</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vAlign w:val="center"/>
          </w:tcPr>
          <w:p>
            <w:pPr>
              <w:spacing w:line="240" w:lineRule="exact"/>
              <w:jc w:val="center"/>
              <w:rPr>
                <w:rFonts w:ascii="宋体" w:hAnsi="宋体" w:eastAsia="宋体" w:cs="宋体"/>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氨氮削减量</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vAlign w:val="center"/>
          </w:tcPr>
          <w:p>
            <w:pPr>
              <w:spacing w:line="240" w:lineRule="exact"/>
              <w:jc w:val="center"/>
              <w:rPr>
                <w:rFonts w:ascii="宋体" w:hAnsi="宋体" w:eastAsia="宋体" w:cs="宋体"/>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氮氧化物削减量</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挥发性有机物削减量</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2.40%</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2.40%</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时效指标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年内计划按时完成</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2022年度</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2022年度</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成本指标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在预算内完成</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605万元</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594.35万元</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严格控制在预算范围内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restart"/>
            <w:tcBorders>
              <w:bottom w:val="nil"/>
            </w:tcBorders>
            <w:vAlign w:val="center"/>
          </w:tcPr>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Arial"/>
                <w:color w:val="000000" w:themeColor="text1"/>
                <w:szCs w:val="21"/>
                <w14:textFill>
                  <w14:solidFill>
                    <w14:schemeClr w14:val="tx1"/>
                  </w14:solidFill>
                </w14:textFill>
              </w:rPr>
            </w:pP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position w:val="21"/>
                <w:szCs w:val="21"/>
                <w14:textFill>
                  <w14:solidFill>
                    <w14:schemeClr w14:val="tx1"/>
                  </w14:solidFill>
                </w14:textFill>
              </w:rPr>
              <w:t>效益指标</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(30分)</w:t>
            </w:r>
          </w:p>
        </w:tc>
        <w:tc>
          <w:tcPr>
            <w:tcW w:w="1080"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position w:val="4"/>
                <w:szCs w:val="21"/>
                <w14:textFill>
                  <w14:solidFill>
                    <w14:schemeClr w14:val="tx1"/>
                  </w14:solidFill>
                </w14:textFill>
              </w:rPr>
              <w:t>经济效</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益指标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实现节能减排</w:t>
            </w:r>
          </w:p>
        </w:tc>
        <w:tc>
          <w:tcPr>
            <w:tcW w:w="1131"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实现环境容量和环境质量的双达标</w:t>
            </w:r>
          </w:p>
        </w:tc>
        <w:tc>
          <w:tcPr>
            <w:tcW w:w="1140"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经济水平得以保持稳定并有所上升</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社会效</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益指标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群众生活状况改善情况</w:t>
            </w:r>
          </w:p>
        </w:tc>
        <w:tc>
          <w:tcPr>
            <w:tcW w:w="1131"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有所提升</w:t>
            </w:r>
          </w:p>
        </w:tc>
        <w:tc>
          <w:tcPr>
            <w:tcW w:w="1140"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有所提升</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生态效</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益指标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群众生活状况改善情况</w:t>
            </w:r>
          </w:p>
        </w:tc>
        <w:tc>
          <w:tcPr>
            <w:tcW w:w="1131"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有所提升</w:t>
            </w:r>
          </w:p>
        </w:tc>
        <w:tc>
          <w:tcPr>
            <w:tcW w:w="1140"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有所提升</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vMerge w:val="continue"/>
            <w:tcBorders>
              <w:top w:val="nil"/>
              <w:bottom w:val="nil"/>
            </w:tcBorders>
            <w:vAlign w:val="center"/>
          </w:tcPr>
          <w:p>
            <w:pPr>
              <w:spacing w:line="240" w:lineRule="exact"/>
              <w:jc w:val="center"/>
              <w:rPr>
                <w:rFonts w:ascii="Arial"/>
                <w:color w:val="000000" w:themeColor="text1"/>
                <w:szCs w:val="21"/>
                <w14:textFill>
                  <w14:solidFill>
                    <w14:schemeClr w14:val="tx1"/>
                  </w14:solidFill>
                </w14:textFill>
              </w:rPr>
            </w:pPr>
          </w:p>
        </w:tc>
        <w:tc>
          <w:tcPr>
            <w:tcW w:w="1080" w:type="dxa"/>
            <w:tcBorders>
              <w:bottom w:val="nil"/>
            </w:tcBorders>
            <w:vAlign w:val="center"/>
          </w:tcPr>
          <w:p>
            <w:pPr>
              <w:spacing w:line="240" w:lineRule="exact"/>
              <w:ind w:hanging="99"/>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可持续</w:t>
            </w:r>
          </w:p>
          <w:p>
            <w:pPr>
              <w:spacing w:line="240" w:lineRule="exact"/>
              <w:ind w:hanging="99"/>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影响指标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社会环境可持续发展</w:t>
            </w:r>
          </w:p>
        </w:tc>
        <w:tc>
          <w:tcPr>
            <w:tcW w:w="1131"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效益明显</w:t>
            </w:r>
          </w:p>
        </w:tc>
        <w:tc>
          <w:tcPr>
            <w:tcW w:w="1140"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Arial"/>
                <w:color w:val="000000" w:themeColor="text1"/>
                <w:szCs w:val="21"/>
                <w14:textFill>
                  <w14:solidFill>
                    <w14:schemeClr w14:val="tx1"/>
                  </w14:solidFill>
                </w14:textFill>
              </w:rPr>
              <w:t>效益明显</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6" w:hRule="atLeast"/>
        </w:trPr>
        <w:tc>
          <w:tcPr>
            <w:tcW w:w="1075" w:type="dxa"/>
            <w:vMerge w:val="continue"/>
            <w:tcBorders>
              <w:top w:val="nil"/>
              <w:bottom w:val="nil"/>
            </w:tcBorders>
            <w:textDirection w:val="tbRlV"/>
            <w:vAlign w:val="center"/>
          </w:tcPr>
          <w:p>
            <w:pPr>
              <w:spacing w:line="240" w:lineRule="exact"/>
              <w:jc w:val="center"/>
              <w:rPr>
                <w:rFonts w:ascii="Arial"/>
                <w:color w:val="000000" w:themeColor="text1"/>
                <w:szCs w:val="21"/>
                <w14:textFill>
                  <w14:solidFill>
                    <w14:schemeClr w14:val="tx1"/>
                  </w14:solidFill>
                </w14:textFill>
              </w:rPr>
            </w:pPr>
          </w:p>
        </w:tc>
        <w:tc>
          <w:tcPr>
            <w:tcW w:w="1080"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满意度</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指标</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(10分)</w:t>
            </w:r>
          </w:p>
        </w:tc>
        <w:tc>
          <w:tcPr>
            <w:tcW w:w="1080" w:type="dxa"/>
            <w:tcBorders>
              <w:bottom w:val="nil"/>
            </w:tcBorders>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服务对象</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满意度</w:t>
            </w:r>
          </w:p>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指标</w:t>
            </w:r>
          </w:p>
        </w:tc>
        <w:tc>
          <w:tcPr>
            <w:tcW w:w="1229" w:type="dxa"/>
            <w:vAlign w:val="center"/>
          </w:tcPr>
          <w:p>
            <w:pPr>
              <w:spacing w:line="240" w:lineRule="exact"/>
              <w:jc w:val="center"/>
              <w:rPr>
                <w:rFonts w:ascii="Arial"/>
                <w:color w:val="000000" w:themeColor="text1"/>
                <w:szCs w:val="21"/>
                <w14:textFill>
                  <w14:solidFill>
                    <w14:schemeClr w14:val="tx1"/>
                  </w14:solidFill>
                </w14:textFill>
              </w:rPr>
            </w:pPr>
            <w:r>
              <w:rPr>
                <w:rFonts w:ascii="Arial"/>
                <w:color w:val="000000" w:themeColor="text1"/>
                <w:szCs w:val="21"/>
                <w14:textFill>
                  <w14:solidFill>
                    <w14:schemeClr w14:val="tx1"/>
                  </w14:solidFill>
                </w14:textFill>
              </w:rPr>
              <w:t>全市群众</w:t>
            </w:r>
          </w:p>
        </w:tc>
        <w:tc>
          <w:tcPr>
            <w:tcW w:w="1131"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85%</w:t>
            </w:r>
          </w:p>
        </w:tc>
        <w:tc>
          <w:tcPr>
            <w:tcW w:w="1140"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90%</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79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6735" w:type="dxa"/>
            <w:gridSpan w:val="6"/>
            <w:vAlign w:val="center"/>
          </w:tcPr>
          <w:p>
            <w:pPr>
              <w:spacing w:line="240" w:lineRule="exact"/>
              <w:ind w:firstLine="3145"/>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总分</w:t>
            </w:r>
          </w:p>
        </w:tc>
        <w:tc>
          <w:tcPr>
            <w:tcW w:w="685" w:type="dxa"/>
            <w:vAlign w:val="center"/>
          </w:tcPr>
          <w:p>
            <w:pPr>
              <w:spacing w:line="2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100</w:t>
            </w:r>
          </w:p>
        </w:tc>
        <w:tc>
          <w:tcPr>
            <w:tcW w:w="795" w:type="dxa"/>
            <w:vAlign w:val="center"/>
          </w:tcPr>
          <w:p>
            <w:pPr>
              <w:spacing w:line="240" w:lineRule="exact"/>
              <w:jc w:val="center"/>
              <w:rPr>
                <w:rFonts w:ascii="Arial"/>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99</w:t>
            </w:r>
          </w:p>
        </w:tc>
        <w:tc>
          <w:tcPr>
            <w:tcW w:w="1365" w:type="dxa"/>
            <w:vAlign w:val="center"/>
          </w:tcPr>
          <w:p>
            <w:pPr>
              <w:spacing w:line="240" w:lineRule="exact"/>
              <w:jc w:val="center"/>
              <w:rPr>
                <w:rFonts w:ascii="Arial"/>
                <w:color w:val="000000" w:themeColor="text1"/>
                <w:szCs w:val="21"/>
                <w14:textFill>
                  <w14:solidFill>
                    <w14:schemeClr w14:val="tx1"/>
                  </w14:solidFill>
                </w14:textFill>
              </w:rPr>
            </w:pPr>
          </w:p>
        </w:tc>
      </w:tr>
    </w:tbl>
    <w:p>
      <w:pPr>
        <w:spacing w:line="240" w:lineRule="exact"/>
        <w:rPr>
          <w:rFonts w:ascii="Arial"/>
          <w:color w:val="000000" w:themeColor="text1"/>
          <w14:textFill>
            <w14:solidFill>
              <w14:schemeClr w14:val="tx1"/>
            </w14:solidFill>
          </w14:textFill>
        </w:rPr>
      </w:pPr>
    </w:p>
    <w:p>
      <w:pPr>
        <w:spacing w:before="75" w:line="240" w:lineRule="exact"/>
        <w:rPr>
          <w:rFonts w:ascii="FangSong_GB2312" w:hAnsi="FangSong_GB2312" w:eastAsia="FangSong_GB2312" w:cs="FangSong_GB2312"/>
          <w:color w:val="000000" w:themeColor="text1"/>
          <w:sz w:val="32"/>
          <w:szCs w:val="32"/>
          <w14:textFill>
            <w14:solidFill>
              <w14:schemeClr w14:val="tx1"/>
            </w14:solidFill>
          </w14:textFill>
        </w:rPr>
        <w:sectPr>
          <w:headerReference r:id="rId4" w:type="default"/>
          <w:footerReference r:id="rId5" w:type="default"/>
          <w:pgSz w:w="11906" w:h="16838"/>
          <w:pgMar w:top="850" w:right="1531" w:bottom="850" w:left="1587" w:header="851" w:footer="992" w:gutter="0"/>
          <w:cols w:space="0" w:num="1"/>
          <w:rtlGutter w:val="0"/>
          <w:docGrid w:type="lines" w:linePitch="312" w:charSpace="0"/>
        </w:sectPr>
      </w:pPr>
      <w:r>
        <w:rPr>
          <w:rFonts w:ascii="仿宋" w:hAnsi="仿宋" w:eastAsia="仿宋" w:cs="仿宋"/>
          <w:color w:val="000000" w:themeColor="text1"/>
          <w:spacing w:val="-26"/>
          <w:sz w:val="23"/>
          <w:szCs w:val="23"/>
          <w14:textFill>
            <w14:solidFill>
              <w14:schemeClr w14:val="tx1"/>
            </w14:solidFill>
          </w14:textFill>
        </w:rPr>
        <w:t>填表人：</w:t>
      </w:r>
      <w:r>
        <w:rPr>
          <w:rFonts w:ascii="仿宋" w:hAnsi="仿宋" w:eastAsia="仿宋" w:cs="仿宋"/>
          <w:color w:val="000000" w:themeColor="text1"/>
          <w:spacing w:val="15"/>
          <w:sz w:val="23"/>
          <w:szCs w:val="23"/>
          <w14:textFill>
            <w14:solidFill>
              <w14:schemeClr w14:val="tx1"/>
            </w14:solidFill>
          </w14:textFill>
        </w:rPr>
        <w:t xml:space="preserve"> </w:t>
      </w:r>
      <w:r>
        <w:rPr>
          <w:rFonts w:hint="eastAsia" w:ascii="仿宋" w:hAnsi="仿宋" w:eastAsia="仿宋" w:cs="仿宋"/>
          <w:color w:val="000000" w:themeColor="text1"/>
          <w:spacing w:val="15"/>
          <w:sz w:val="23"/>
          <w:szCs w:val="23"/>
          <w:lang w:val="en-US" w:eastAsia="zh-CN"/>
          <w14:textFill>
            <w14:solidFill>
              <w14:schemeClr w14:val="tx1"/>
            </w14:solidFill>
          </w14:textFill>
        </w:rPr>
        <w:t xml:space="preserve">李珞珞  </w:t>
      </w:r>
      <w:r>
        <w:rPr>
          <w:rFonts w:ascii="仿宋" w:hAnsi="仿宋" w:eastAsia="仿宋" w:cs="仿宋"/>
          <w:color w:val="000000" w:themeColor="text1"/>
          <w:spacing w:val="-26"/>
          <w:sz w:val="23"/>
          <w:szCs w:val="23"/>
          <w14:textFill>
            <w14:solidFill>
              <w14:schemeClr w14:val="tx1"/>
            </w14:solidFill>
          </w14:textFill>
        </w:rPr>
        <w:t>联系电话：</w:t>
      </w:r>
      <w:r>
        <w:rPr>
          <w:rFonts w:hint="eastAsia" w:ascii="仿宋" w:hAnsi="仿宋" w:eastAsia="仿宋" w:cs="仿宋"/>
          <w:color w:val="000000" w:themeColor="text1"/>
          <w:spacing w:val="-26"/>
          <w:sz w:val="23"/>
          <w:szCs w:val="23"/>
          <w:lang w:val="en-US" w:eastAsia="zh-CN"/>
          <w14:textFill>
            <w14:solidFill>
              <w14:schemeClr w14:val="tx1"/>
            </w14:solidFill>
          </w14:textFill>
        </w:rPr>
        <w:t>18807300855</w:t>
      </w:r>
      <w:r>
        <w:rPr>
          <w:rFonts w:ascii="仿宋" w:hAnsi="仿宋" w:eastAsia="仿宋" w:cs="仿宋"/>
          <w:color w:val="000000" w:themeColor="text1"/>
          <w:spacing w:val="3"/>
          <w:sz w:val="23"/>
          <w:szCs w:val="23"/>
          <w14:textFill>
            <w14:solidFill>
              <w14:schemeClr w14:val="tx1"/>
            </w14:solidFill>
          </w14:textFill>
        </w:rPr>
        <w:t xml:space="preserve"> </w:t>
      </w:r>
      <w:r>
        <w:rPr>
          <w:rFonts w:hint="eastAsia" w:ascii="仿宋" w:hAnsi="仿宋" w:eastAsia="仿宋" w:cs="仿宋"/>
          <w:color w:val="000000" w:themeColor="text1"/>
          <w:spacing w:val="3"/>
          <w:sz w:val="23"/>
          <w:szCs w:val="23"/>
          <w:lang w:val="en-US" w:eastAsia="zh-CN"/>
          <w14:textFill>
            <w14:solidFill>
              <w14:schemeClr w14:val="tx1"/>
            </w14:solidFill>
          </w14:textFill>
        </w:rPr>
        <w:t xml:space="preserve">      </w:t>
      </w:r>
      <w:r>
        <w:rPr>
          <w:rFonts w:ascii="仿宋" w:hAnsi="仿宋" w:eastAsia="仿宋" w:cs="仿宋"/>
          <w:color w:val="000000" w:themeColor="text1"/>
          <w:spacing w:val="-26"/>
          <w:sz w:val="23"/>
          <w:szCs w:val="23"/>
          <w14:textFill>
            <w14:solidFill>
              <w14:schemeClr w14:val="tx1"/>
            </w14:solidFill>
          </w14:textFill>
        </w:rPr>
        <w:t>单位负责人签字：</w:t>
      </w:r>
      <w:r>
        <w:rPr>
          <w:rFonts w:hint="eastAsia" w:ascii="仿宋" w:hAnsi="仿宋" w:eastAsia="仿宋" w:cs="仿宋"/>
          <w:color w:val="000000" w:themeColor="text1"/>
          <w:spacing w:val="-26"/>
          <w:sz w:val="23"/>
          <w:szCs w:val="23"/>
          <w14:textFill>
            <w14:solidFill>
              <w14:schemeClr w14:val="tx1"/>
            </w14:solidFill>
          </w14:textFill>
        </w:rPr>
        <w:t xml:space="preserve">                 </w:t>
      </w:r>
      <w:r>
        <w:rPr>
          <w:rFonts w:ascii="仿宋" w:hAnsi="仿宋" w:eastAsia="仿宋" w:cs="仿宋"/>
          <w:color w:val="000000" w:themeColor="text1"/>
          <w:spacing w:val="15"/>
          <w:sz w:val="23"/>
          <w:szCs w:val="23"/>
          <w14:textFill>
            <w14:solidFill>
              <w14:schemeClr w14:val="tx1"/>
            </w14:solidFill>
          </w14:textFill>
        </w:rPr>
        <w:t xml:space="preserve"> </w:t>
      </w:r>
      <w:r>
        <w:rPr>
          <w:rFonts w:ascii="仿宋" w:hAnsi="仿宋" w:eastAsia="仿宋" w:cs="仿宋"/>
          <w:color w:val="000000" w:themeColor="text1"/>
          <w:spacing w:val="-26"/>
          <w:sz w:val="23"/>
          <w:szCs w:val="23"/>
          <w14:textFill>
            <w14:solidFill>
              <w14:schemeClr w14:val="tx1"/>
            </w14:solidFill>
          </w14:textFill>
        </w:rPr>
        <w:t>填报日期：</w:t>
      </w:r>
      <w:r>
        <w:rPr>
          <w:rFonts w:hint="eastAsia" w:ascii="仿宋" w:hAnsi="仿宋" w:eastAsia="仿宋" w:cs="仿宋"/>
          <w:color w:val="000000" w:themeColor="text1"/>
          <w:spacing w:val="-26"/>
          <w:sz w:val="23"/>
          <w:szCs w:val="23"/>
          <w:lang w:val="en-US" w:eastAsia="zh-CN"/>
          <w14:textFill>
            <w14:solidFill>
              <w14:schemeClr w14:val="tx1"/>
            </w14:solidFill>
          </w14:textFill>
        </w:rPr>
        <w:t>2023年6月28日</w:t>
      </w:r>
      <w:r>
        <w:rPr>
          <w:rFonts w:ascii="仿宋" w:hAnsi="仿宋" w:eastAsia="仿宋" w:cs="仿宋"/>
          <w:color w:val="000000" w:themeColor="text1"/>
          <w:spacing w:val="4"/>
          <w:sz w:val="23"/>
          <w:szCs w:val="23"/>
          <w14:textFill>
            <w14:solidFill>
              <w14:schemeClr w14:val="tx1"/>
            </w14:solidFill>
          </w14:textFill>
        </w:rPr>
        <w:t xml:space="preserve"> </w:t>
      </w:r>
    </w:p>
    <w:p>
      <w:pPr>
        <w:rPr>
          <w:rFonts w:ascii="黑体" w:hAnsi="黑体" w:eastAsia="黑体" w:cs="黑体"/>
          <w:color w:val="000000" w:themeColor="text1"/>
          <w:spacing w:val="10"/>
          <w:sz w:val="32"/>
          <w:szCs w:val="32"/>
          <w14:textFill>
            <w14:solidFill>
              <w14:schemeClr w14:val="tx1"/>
            </w14:solidFill>
          </w14:textFill>
        </w:rPr>
      </w:pPr>
      <w:r>
        <w:rPr>
          <w:rFonts w:hint="eastAsia" w:ascii="黑体" w:hAnsi="黑体" w:eastAsia="黑体" w:cs="黑体"/>
          <w:color w:val="000000" w:themeColor="text1"/>
          <w:spacing w:val="10"/>
          <w:sz w:val="32"/>
          <w:szCs w:val="32"/>
          <w14:textFill>
            <w14:solidFill>
              <w14:schemeClr w14:val="tx1"/>
            </w14:solidFill>
          </w14:textFill>
        </w:rPr>
        <w:t>附件5</w:t>
      </w:r>
    </w:p>
    <w:p>
      <w:pPr>
        <w:ind w:firstLine="1440" w:firstLineChars="400"/>
        <w:rPr>
          <w:rFonts w:eastAsia="方正小标宋简体"/>
          <w:sz w:val="36"/>
          <w:szCs w:val="36"/>
        </w:rPr>
      </w:pPr>
    </w:p>
    <w:p>
      <w:pPr>
        <w:ind w:firstLine="1440" w:firstLineChars="400"/>
        <w:rPr>
          <w:rFonts w:eastAsia="方正小标宋简体"/>
          <w:spacing w:val="-6"/>
          <w:sz w:val="36"/>
          <w:szCs w:val="36"/>
        </w:rPr>
      </w:pPr>
      <w:r>
        <w:rPr>
          <w:rFonts w:hint="eastAsia" w:eastAsia="方正小标宋简体"/>
          <w:sz w:val="36"/>
          <w:szCs w:val="36"/>
        </w:rPr>
        <w:t>区级</w:t>
      </w:r>
      <w:r>
        <w:rPr>
          <w:rFonts w:eastAsia="方正小标宋简体"/>
          <w:sz w:val="36"/>
          <w:szCs w:val="36"/>
        </w:rPr>
        <w:t>预算</w:t>
      </w:r>
      <w:r>
        <w:rPr>
          <w:rFonts w:hint="eastAsia" w:eastAsia="方正小标宋简体"/>
          <w:sz w:val="36"/>
          <w:szCs w:val="36"/>
        </w:rPr>
        <w:t>单位</w:t>
      </w:r>
      <w:r>
        <w:rPr>
          <w:rFonts w:eastAsia="方正小标宋简体"/>
          <w:spacing w:val="-6"/>
          <w:sz w:val="36"/>
          <w:szCs w:val="36"/>
        </w:rPr>
        <w:t>绩效自评工作考核评分表</w:t>
      </w:r>
    </w:p>
    <w:tbl>
      <w:tblPr>
        <w:tblStyle w:val="5"/>
        <w:tblW w:w="9510" w:type="dxa"/>
        <w:jc w:val="center"/>
        <w:tblLayout w:type="fixed"/>
        <w:tblCellMar>
          <w:top w:w="0" w:type="dxa"/>
          <w:left w:w="108" w:type="dxa"/>
          <w:bottom w:w="0" w:type="dxa"/>
          <w:right w:w="108" w:type="dxa"/>
        </w:tblCellMar>
      </w:tblPr>
      <w:tblGrid>
        <w:gridCol w:w="774"/>
        <w:gridCol w:w="1501"/>
        <w:gridCol w:w="6482"/>
        <w:gridCol w:w="753"/>
      </w:tblGrid>
      <w:tr>
        <w:tblPrEx>
          <w:tblCellMar>
            <w:top w:w="0" w:type="dxa"/>
            <w:left w:w="108" w:type="dxa"/>
            <w:bottom w:w="0" w:type="dxa"/>
            <w:right w:w="108" w:type="dxa"/>
          </w:tblCellMar>
        </w:tblPrEx>
        <w:trPr>
          <w:trHeight w:val="630" w:hRule="atLeast"/>
          <w:tblHeader/>
          <w:jc w:val="center"/>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一级指标</w:t>
            </w: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二级指标</w:t>
            </w:r>
          </w:p>
        </w:tc>
        <w:tc>
          <w:tcPr>
            <w:tcW w:w="6482" w:type="dxa"/>
            <w:tcBorders>
              <w:top w:val="single" w:color="auto" w:sz="4" w:space="0"/>
              <w:left w:val="nil"/>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评分标准</w:t>
            </w:r>
          </w:p>
        </w:tc>
        <w:tc>
          <w:tcPr>
            <w:tcW w:w="753" w:type="dxa"/>
            <w:tcBorders>
              <w:top w:val="single" w:color="auto" w:sz="4" w:space="0"/>
              <w:left w:val="nil"/>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评分</w:t>
            </w:r>
          </w:p>
        </w:tc>
      </w:tr>
      <w:tr>
        <w:tblPrEx>
          <w:tblCellMar>
            <w:top w:w="0" w:type="dxa"/>
            <w:left w:w="108" w:type="dxa"/>
            <w:bottom w:w="0" w:type="dxa"/>
            <w:right w:w="108" w:type="dxa"/>
          </w:tblCellMar>
        </w:tblPrEx>
        <w:trPr>
          <w:trHeight w:val="1234" w:hRule="atLeast"/>
          <w:jc w:val="center"/>
        </w:trPr>
        <w:tc>
          <w:tcPr>
            <w:tcW w:w="774"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实施评价</w:t>
            </w:r>
          </w:p>
          <w:p>
            <w:pPr>
              <w:spacing w:line="320" w:lineRule="exact"/>
              <w:jc w:val="center"/>
              <w:rPr>
                <w:rFonts w:asciiTheme="majorEastAsia" w:hAnsiTheme="majorEastAsia" w:eastAsiaTheme="majorEastAsia" w:cstheme="majorEastAsia"/>
                <w:szCs w:val="21"/>
              </w:rPr>
            </w:pPr>
          </w:p>
          <w:p>
            <w:pPr>
              <w:spacing w:line="32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30分</w:t>
            </w: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单位自查</w:t>
            </w:r>
          </w:p>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10" w:firstLineChars="1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区级预算单位都要开展绩效自查，转移支付项目单位都要开展绩效自查，区级主管部门都要汇总本区域转移支付情况；以上各项每发现一个单位没有做相应工作的，扣1分，最多扣20分。</w:t>
            </w:r>
          </w:p>
        </w:tc>
        <w:tc>
          <w:tcPr>
            <w:tcW w:w="753" w:type="dxa"/>
            <w:tcBorders>
              <w:top w:val="single" w:color="auto" w:sz="4" w:space="0"/>
              <w:left w:val="nil"/>
              <w:bottom w:val="single" w:color="auto" w:sz="4" w:space="0"/>
              <w:right w:val="single" w:color="auto" w:sz="4" w:space="0"/>
            </w:tcBorders>
            <w:vAlign w:val="center"/>
          </w:tcPr>
          <w:p>
            <w:pPr>
              <w:spacing w:line="240" w:lineRule="exac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w:t>
            </w:r>
          </w:p>
        </w:tc>
      </w:tr>
      <w:tr>
        <w:tblPrEx>
          <w:tblCellMar>
            <w:top w:w="0" w:type="dxa"/>
            <w:left w:w="108" w:type="dxa"/>
            <w:bottom w:w="0" w:type="dxa"/>
            <w:right w:w="108" w:type="dxa"/>
          </w:tblCellMar>
        </w:tblPrEx>
        <w:trPr>
          <w:trHeight w:val="682"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ajorEastAsia" w:hAnsiTheme="majorEastAsia" w:eastAsiaTheme="majorEastAsia" w:cstheme="majorEastAsia"/>
                <w:szCs w:val="21"/>
              </w:rPr>
            </w:pPr>
          </w:p>
        </w:tc>
        <w:tc>
          <w:tcPr>
            <w:tcW w:w="1501" w:type="dxa"/>
            <w:tcBorders>
              <w:top w:val="nil"/>
              <w:left w:val="nil"/>
              <w:bottom w:val="single" w:color="auto" w:sz="4" w:space="0"/>
              <w:right w:val="single" w:color="auto" w:sz="4" w:space="0"/>
            </w:tcBorders>
            <w:vAlign w:val="center"/>
          </w:tcPr>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提交报告</w:t>
            </w:r>
          </w:p>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（10分）</w:t>
            </w:r>
          </w:p>
        </w:tc>
        <w:tc>
          <w:tcPr>
            <w:tcW w:w="6482" w:type="dxa"/>
            <w:tcBorders>
              <w:top w:val="nil"/>
              <w:left w:val="nil"/>
              <w:bottom w:val="single" w:color="auto" w:sz="4" w:space="0"/>
              <w:right w:val="single" w:color="auto" w:sz="4" w:space="0"/>
            </w:tcBorders>
            <w:vAlign w:val="center"/>
          </w:tcPr>
          <w:p>
            <w:pPr>
              <w:spacing w:line="240" w:lineRule="exact"/>
              <w:ind w:firstLine="210" w:firstLineChars="1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按时向区财政局报送报告的得10分；每推迟一天报送报告的扣1分，最多扣10分。</w:t>
            </w:r>
          </w:p>
        </w:tc>
        <w:tc>
          <w:tcPr>
            <w:tcW w:w="753" w:type="dxa"/>
            <w:tcBorders>
              <w:top w:val="nil"/>
              <w:left w:val="nil"/>
              <w:bottom w:val="single" w:color="auto" w:sz="4" w:space="0"/>
              <w:right w:val="single" w:color="auto" w:sz="4" w:space="0"/>
            </w:tcBorders>
            <w:vAlign w:val="center"/>
          </w:tcPr>
          <w:p>
            <w:pPr>
              <w:spacing w:line="240" w:lineRule="exac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10</w:t>
            </w:r>
          </w:p>
        </w:tc>
      </w:tr>
      <w:tr>
        <w:tblPrEx>
          <w:tblCellMar>
            <w:top w:w="0" w:type="dxa"/>
            <w:left w:w="108" w:type="dxa"/>
            <w:bottom w:w="0" w:type="dxa"/>
            <w:right w:w="108" w:type="dxa"/>
          </w:tblCellMar>
        </w:tblPrEx>
        <w:trPr>
          <w:trHeight w:val="1408" w:hRule="atLeast"/>
          <w:jc w:val="center"/>
        </w:trPr>
        <w:tc>
          <w:tcPr>
            <w:tcW w:w="774"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自评报告</w:t>
            </w:r>
          </w:p>
          <w:p>
            <w:pPr>
              <w:spacing w:line="240" w:lineRule="exact"/>
              <w:jc w:val="center"/>
              <w:rPr>
                <w:rFonts w:asciiTheme="majorEastAsia" w:hAnsiTheme="majorEastAsia" w:eastAsiaTheme="majorEastAsia" w:cstheme="majorEastAsia"/>
                <w:szCs w:val="21"/>
              </w:rPr>
            </w:pPr>
          </w:p>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70分</w:t>
            </w: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自评报告</w:t>
            </w:r>
          </w:p>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的完整性</w:t>
            </w:r>
          </w:p>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（15分）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10" w:firstLineChars="1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1.绩效自评报告正文部分内容齐全的，得8分；否则每少一个部分扣2分，最多扣8分。</w:t>
            </w:r>
          </w:p>
          <w:p>
            <w:pPr>
              <w:spacing w:line="240" w:lineRule="exact"/>
              <w:ind w:firstLine="210" w:firstLineChars="1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2.绩效自评报告附件部分内容齐全的，得7分；否则每少一个部分扣2分，最多扣7分。</w:t>
            </w:r>
          </w:p>
        </w:tc>
        <w:tc>
          <w:tcPr>
            <w:tcW w:w="753" w:type="dxa"/>
            <w:tcBorders>
              <w:top w:val="single" w:color="auto" w:sz="4" w:space="0"/>
              <w:left w:val="nil"/>
              <w:bottom w:val="single" w:color="auto" w:sz="4" w:space="0"/>
              <w:right w:val="single" w:color="auto" w:sz="4" w:space="0"/>
            </w:tcBorders>
            <w:vAlign w:val="center"/>
          </w:tcPr>
          <w:p>
            <w:pPr>
              <w:spacing w:line="240" w:lineRule="exac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15</w:t>
            </w:r>
          </w:p>
        </w:tc>
      </w:tr>
      <w:tr>
        <w:tblPrEx>
          <w:tblCellMar>
            <w:top w:w="0" w:type="dxa"/>
            <w:left w:w="108" w:type="dxa"/>
            <w:bottom w:w="0" w:type="dxa"/>
            <w:right w:w="108" w:type="dxa"/>
          </w:tblCellMar>
        </w:tblPrEx>
        <w:trPr>
          <w:trHeight w:val="3405"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ajorEastAsia" w:hAnsiTheme="majorEastAsia" w:eastAsiaTheme="majorEastAsia" w:cstheme="majorEastAsia"/>
                <w:szCs w:val="21"/>
              </w:rPr>
            </w:pPr>
          </w:p>
        </w:tc>
        <w:tc>
          <w:tcPr>
            <w:tcW w:w="1501" w:type="dxa"/>
            <w:tcBorders>
              <w:top w:val="single" w:color="auto" w:sz="4" w:space="0"/>
              <w:left w:val="nil"/>
              <w:bottom w:val="nil"/>
              <w:right w:val="single" w:color="auto" w:sz="4" w:space="0"/>
            </w:tcBorders>
            <w:vAlign w:val="center"/>
          </w:tcPr>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绩效自评表</w:t>
            </w:r>
          </w:p>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（20分）</w:t>
            </w:r>
          </w:p>
        </w:tc>
        <w:tc>
          <w:tcPr>
            <w:tcW w:w="6482"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1.部门整体支出和项目支出绩效指标反映产出、效益、服务对象满意度方面的指标和预算执行率的权重符合《岳阳市市级预算部门绩效自评操作规程》的，得5分，否则按比例扣除相应的分数。</w:t>
            </w:r>
          </w:p>
          <w:p>
            <w:pPr>
              <w:ind w:firstLine="420" w:firstLineChars="2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2.部门整体支出和项目支出绩效指标全部细化到三级指标的，得5分；部分细化的，酌情扣分；没有细化的，不得分。</w:t>
            </w:r>
          </w:p>
          <w:p>
            <w:pPr>
              <w:ind w:firstLine="420" w:firstLineChars="2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3.部门整体支出和项目支出三级绩效指标内涵明确、具体、可衡量的得5分；突出核心指标，精简实用的得3分；指标与部门整体支出和项目支出密切相关，全面反映产出和效益的得2分；否则每项酌情扣分，最多扣10分。</w:t>
            </w:r>
          </w:p>
        </w:tc>
        <w:tc>
          <w:tcPr>
            <w:tcW w:w="753" w:type="dxa"/>
            <w:tcBorders>
              <w:top w:val="single" w:color="auto" w:sz="4" w:space="0"/>
              <w:left w:val="nil"/>
              <w:bottom w:val="single" w:color="auto" w:sz="4" w:space="0"/>
              <w:right w:val="single" w:color="auto" w:sz="4" w:space="0"/>
            </w:tcBorders>
            <w:vAlign w:val="center"/>
          </w:tcPr>
          <w:p>
            <w:pPr>
              <w:spacing w:line="240" w:lineRule="exac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w:t>
            </w:r>
          </w:p>
        </w:tc>
      </w:tr>
      <w:tr>
        <w:tblPrEx>
          <w:tblCellMar>
            <w:top w:w="0" w:type="dxa"/>
            <w:left w:w="108" w:type="dxa"/>
            <w:bottom w:w="0" w:type="dxa"/>
            <w:right w:w="108" w:type="dxa"/>
          </w:tblCellMar>
        </w:tblPrEx>
        <w:trPr>
          <w:trHeight w:val="1640"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ajorEastAsia" w:hAnsiTheme="majorEastAsia" w:eastAsiaTheme="majorEastAsia" w:cstheme="majorEastAsia"/>
                <w:szCs w:val="21"/>
              </w:rPr>
            </w:pP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绩效评价</w:t>
            </w:r>
          </w:p>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报告反映</w:t>
            </w:r>
          </w:p>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问题情况</w:t>
            </w:r>
          </w:p>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30" w:firstLineChars="100"/>
              <w:rPr>
                <w:rFonts w:asciiTheme="majorEastAsia" w:hAnsiTheme="majorEastAsia" w:eastAsiaTheme="majorEastAsia" w:cstheme="majorEastAsia"/>
                <w:szCs w:val="21"/>
              </w:rPr>
            </w:pPr>
            <w:r>
              <w:rPr>
                <w:rFonts w:hint="eastAsia" w:asciiTheme="majorEastAsia" w:hAnsiTheme="majorEastAsia" w:eastAsiaTheme="majorEastAsia" w:cstheme="majorEastAsia"/>
                <w:spacing w:val="10"/>
                <w:szCs w:val="21"/>
              </w:rPr>
              <w:t>从预算和预算绩效管理，部门履职效能，资金分</w:t>
            </w:r>
            <w:r>
              <w:rPr>
                <w:rFonts w:hint="eastAsia" w:asciiTheme="majorEastAsia" w:hAnsiTheme="majorEastAsia" w:eastAsiaTheme="majorEastAsia" w:cstheme="majorEastAsia"/>
                <w:spacing w:val="9"/>
                <w:szCs w:val="21"/>
              </w:rPr>
              <w:t>配、使用和管理，资产和财务管理，政府</w:t>
            </w:r>
            <w:r>
              <w:rPr>
                <w:rFonts w:hint="eastAsia" w:asciiTheme="majorEastAsia" w:hAnsiTheme="majorEastAsia" w:eastAsiaTheme="majorEastAsia" w:cstheme="majorEastAsia"/>
                <w:szCs w:val="21"/>
              </w:rPr>
              <w:t xml:space="preserve">  </w:t>
            </w:r>
            <w:r>
              <w:rPr>
                <w:rFonts w:hint="eastAsia" w:asciiTheme="majorEastAsia" w:hAnsiTheme="majorEastAsia" w:eastAsiaTheme="majorEastAsia" w:cstheme="majorEastAsia"/>
                <w:spacing w:val="7"/>
                <w:szCs w:val="21"/>
              </w:rPr>
              <w:t>采购等方面归纳问题、分析原因全面的，得20分；反映问题、分析原因较</w:t>
            </w:r>
            <w:r>
              <w:rPr>
                <w:rFonts w:hint="eastAsia" w:asciiTheme="majorEastAsia" w:hAnsiTheme="majorEastAsia" w:eastAsiaTheme="majorEastAsia" w:cstheme="majorEastAsia"/>
                <w:spacing w:val="6"/>
                <w:szCs w:val="21"/>
              </w:rPr>
              <w:t>全面的，得16—</w:t>
            </w:r>
            <w:r>
              <w:rPr>
                <w:rFonts w:hint="eastAsia" w:asciiTheme="majorEastAsia" w:hAnsiTheme="majorEastAsia" w:eastAsiaTheme="majorEastAsia" w:cstheme="majorEastAsia"/>
                <w:spacing w:val="-73"/>
                <w:szCs w:val="21"/>
              </w:rPr>
              <w:t xml:space="preserve"> </w:t>
            </w:r>
            <w:r>
              <w:rPr>
                <w:rFonts w:hint="eastAsia" w:asciiTheme="majorEastAsia" w:hAnsiTheme="majorEastAsia" w:eastAsiaTheme="majorEastAsia" w:cstheme="majorEastAsia"/>
                <w:spacing w:val="6"/>
                <w:szCs w:val="21"/>
              </w:rPr>
              <w:t>18</w:t>
            </w:r>
            <w:r>
              <w:rPr>
                <w:rFonts w:hint="eastAsia" w:asciiTheme="majorEastAsia" w:hAnsiTheme="majorEastAsia" w:eastAsiaTheme="majorEastAsia" w:cstheme="majorEastAsia"/>
                <w:szCs w:val="21"/>
              </w:rPr>
              <w:t xml:space="preserve"> </w:t>
            </w:r>
            <w:r>
              <w:rPr>
                <w:rFonts w:hint="eastAsia" w:asciiTheme="majorEastAsia" w:hAnsiTheme="majorEastAsia" w:eastAsiaTheme="majorEastAsia" w:cstheme="majorEastAsia"/>
                <w:spacing w:val="12"/>
                <w:szCs w:val="21"/>
              </w:rPr>
              <w:t>分；反映问题、分析原因不全面的，得13—</w:t>
            </w:r>
            <w:r>
              <w:rPr>
                <w:rFonts w:hint="eastAsia" w:asciiTheme="majorEastAsia" w:hAnsiTheme="majorEastAsia" w:eastAsiaTheme="majorEastAsia" w:cstheme="majorEastAsia"/>
                <w:spacing w:val="-68"/>
                <w:szCs w:val="21"/>
              </w:rPr>
              <w:t xml:space="preserve"> </w:t>
            </w:r>
            <w:r>
              <w:rPr>
                <w:rFonts w:hint="eastAsia" w:asciiTheme="majorEastAsia" w:hAnsiTheme="majorEastAsia" w:eastAsiaTheme="majorEastAsia" w:cstheme="majorEastAsia"/>
                <w:spacing w:val="12"/>
                <w:szCs w:val="21"/>
              </w:rPr>
              <w:t>15分；问题未归纳</w:t>
            </w:r>
            <w:r>
              <w:rPr>
                <w:rFonts w:hint="eastAsia" w:asciiTheme="majorEastAsia" w:hAnsiTheme="majorEastAsia" w:eastAsiaTheme="majorEastAsia" w:cstheme="majorEastAsia"/>
                <w:spacing w:val="11"/>
                <w:szCs w:val="21"/>
              </w:rPr>
              <w:t>且过于简单的，得10—</w:t>
            </w:r>
            <w:r>
              <w:rPr>
                <w:rFonts w:hint="eastAsia" w:asciiTheme="majorEastAsia" w:hAnsiTheme="majorEastAsia" w:eastAsiaTheme="majorEastAsia" w:cstheme="majorEastAsia"/>
                <w:spacing w:val="-68"/>
                <w:szCs w:val="21"/>
              </w:rPr>
              <w:t xml:space="preserve"> </w:t>
            </w:r>
            <w:r>
              <w:rPr>
                <w:rFonts w:hint="eastAsia" w:asciiTheme="majorEastAsia" w:hAnsiTheme="majorEastAsia" w:eastAsiaTheme="majorEastAsia" w:cstheme="majorEastAsia"/>
                <w:spacing w:val="11"/>
                <w:szCs w:val="21"/>
              </w:rPr>
              <w:t>12</w:t>
            </w:r>
            <w:r>
              <w:rPr>
                <w:rFonts w:hint="eastAsia" w:asciiTheme="majorEastAsia" w:hAnsiTheme="majorEastAsia" w:eastAsiaTheme="majorEastAsia" w:cstheme="majorEastAsia"/>
                <w:szCs w:val="21"/>
              </w:rPr>
              <w:t xml:space="preserve">  </w:t>
            </w:r>
            <w:r>
              <w:rPr>
                <w:rFonts w:hint="eastAsia" w:asciiTheme="majorEastAsia" w:hAnsiTheme="majorEastAsia" w:eastAsiaTheme="majorEastAsia" w:cstheme="majorEastAsia"/>
                <w:spacing w:val="13"/>
                <w:szCs w:val="21"/>
              </w:rPr>
              <w:t>分；只提出资金不足问题的不得分；其他情况酌情扣分，</w:t>
            </w:r>
          </w:p>
        </w:tc>
        <w:tc>
          <w:tcPr>
            <w:tcW w:w="753" w:type="dxa"/>
            <w:tcBorders>
              <w:top w:val="single" w:color="auto" w:sz="4" w:space="0"/>
              <w:left w:val="nil"/>
              <w:bottom w:val="single" w:color="auto" w:sz="4" w:space="0"/>
              <w:right w:val="single" w:color="auto" w:sz="4" w:space="0"/>
            </w:tcBorders>
            <w:vAlign w:val="center"/>
          </w:tcPr>
          <w:p>
            <w:pPr>
              <w:spacing w:line="240" w:lineRule="exac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19</w:t>
            </w:r>
          </w:p>
        </w:tc>
      </w:tr>
      <w:tr>
        <w:tblPrEx>
          <w:tblCellMar>
            <w:top w:w="0" w:type="dxa"/>
            <w:left w:w="108" w:type="dxa"/>
            <w:bottom w:w="0" w:type="dxa"/>
            <w:right w:w="108" w:type="dxa"/>
          </w:tblCellMar>
        </w:tblPrEx>
        <w:trPr>
          <w:trHeight w:val="1313"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ajorEastAsia" w:hAnsiTheme="majorEastAsia" w:eastAsiaTheme="majorEastAsia" w:cstheme="majorEastAsia"/>
                <w:szCs w:val="21"/>
              </w:rPr>
            </w:pP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针对问题</w:t>
            </w:r>
          </w:p>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提出可行性建议的情况</w:t>
            </w:r>
          </w:p>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（15分）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16" w:firstLineChars="100"/>
              <w:rPr>
                <w:rFonts w:asciiTheme="majorEastAsia" w:hAnsiTheme="majorEastAsia" w:eastAsiaTheme="majorEastAsia" w:cstheme="majorEastAsia"/>
                <w:szCs w:val="21"/>
              </w:rPr>
            </w:pPr>
            <w:r>
              <w:rPr>
                <w:rFonts w:hint="eastAsia" w:asciiTheme="majorEastAsia" w:hAnsiTheme="majorEastAsia" w:eastAsiaTheme="majorEastAsia" w:cstheme="majorEastAsia"/>
                <w:spacing w:val="3"/>
                <w:szCs w:val="21"/>
              </w:rPr>
              <w:t>建议与问题对应且全面的得15分，建议比较全面的得12—</w:t>
            </w:r>
            <w:r>
              <w:rPr>
                <w:rFonts w:hint="eastAsia" w:asciiTheme="majorEastAsia" w:hAnsiTheme="majorEastAsia" w:eastAsiaTheme="majorEastAsia" w:cstheme="majorEastAsia"/>
                <w:spacing w:val="-55"/>
                <w:szCs w:val="21"/>
              </w:rPr>
              <w:t xml:space="preserve"> </w:t>
            </w:r>
            <w:r>
              <w:rPr>
                <w:rFonts w:hint="eastAsia" w:asciiTheme="majorEastAsia" w:hAnsiTheme="majorEastAsia" w:eastAsiaTheme="majorEastAsia" w:cstheme="majorEastAsia"/>
                <w:spacing w:val="3"/>
                <w:szCs w:val="21"/>
              </w:rPr>
              <w:t>14分，建议不全面的得9—</w:t>
            </w:r>
            <w:r>
              <w:rPr>
                <w:rFonts w:hint="eastAsia" w:asciiTheme="majorEastAsia" w:hAnsiTheme="majorEastAsia" w:eastAsiaTheme="majorEastAsia" w:cstheme="majorEastAsia"/>
                <w:spacing w:val="-72"/>
                <w:szCs w:val="21"/>
              </w:rPr>
              <w:t xml:space="preserve"> </w:t>
            </w:r>
            <w:r>
              <w:rPr>
                <w:rFonts w:hint="eastAsia" w:asciiTheme="majorEastAsia" w:hAnsiTheme="majorEastAsia" w:eastAsiaTheme="majorEastAsia" w:cstheme="majorEastAsia"/>
                <w:spacing w:val="3"/>
                <w:szCs w:val="21"/>
              </w:rPr>
              <w:t>11</w:t>
            </w:r>
            <w:r>
              <w:rPr>
                <w:rFonts w:hint="eastAsia" w:asciiTheme="majorEastAsia" w:hAnsiTheme="majorEastAsia" w:eastAsiaTheme="majorEastAsia" w:cstheme="majorEastAsia"/>
                <w:szCs w:val="21"/>
              </w:rPr>
              <w:t xml:space="preserve">   </w:t>
            </w:r>
            <w:r>
              <w:rPr>
                <w:rFonts w:hint="eastAsia" w:asciiTheme="majorEastAsia" w:hAnsiTheme="majorEastAsia" w:eastAsiaTheme="majorEastAsia" w:cstheme="majorEastAsia"/>
                <w:spacing w:val="2"/>
                <w:szCs w:val="21"/>
              </w:rPr>
              <w:t>分，建议过于简单的得6—8分，只提出加大资金投入建议的不得分；其他情况酌情扣分</w:t>
            </w:r>
          </w:p>
        </w:tc>
        <w:tc>
          <w:tcPr>
            <w:tcW w:w="753" w:type="dxa"/>
            <w:tcBorders>
              <w:top w:val="single" w:color="auto" w:sz="4" w:space="0"/>
              <w:left w:val="nil"/>
              <w:bottom w:val="single" w:color="auto" w:sz="4" w:space="0"/>
              <w:right w:val="single" w:color="auto" w:sz="4" w:space="0"/>
            </w:tcBorders>
            <w:vAlign w:val="center"/>
          </w:tcPr>
          <w:p>
            <w:pPr>
              <w:spacing w:line="240" w:lineRule="exac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14</w:t>
            </w:r>
          </w:p>
        </w:tc>
      </w:tr>
      <w:tr>
        <w:tblPrEx>
          <w:tblCellMar>
            <w:top w:w="0" w:type="dxa"/>
            <w:left w:w="108" w:type="dxa"/>
            <w:bottom w:w="0" w:type="dxa"/>
            <w:right w:w="108" w:type="dxa"/>
          </w:tblCellMar>
        </w:tblPrEx>
        <w:trPr>
          <w:trHeight w:val="540"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合计</w:t>
            </w:r>
          </w:p>
        </w:tc>
        <w:tc>
          <w:tcPr>
            <w:tcW w:w="150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100分</w:t>
            </w:r>
          </w:p>
        </w:tc>
        <w:tc>
          <w:tcPr>
            <w:tcW w:w="6482"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ajorEastAsia" w:hAnsiTheme="majorEastAsia" w:eastAsiaTheme="majorEastAsia" w:cstheme="majorEastAsia"/>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98</w:t>
            </w:r>
          </w:p>
        </w:tc>
      </w:tr>
    </w:tbl>
    <w:p>
      <w:pPr>
        <w:ind w:firstLine="640" w:firstLineChars="200"/>
        <w:jc w:val="left"/>
        <w:rPr>
          <w:rFonts w:ascii="FangSong_GB2312" w:hAnsi="FangSong_GB2312" w:eastAsia="FangSong_GB2312" w:cs="FangSong_GB2312"/>
          <w:color w:val="000000" w:themeColor="text1"/>
          <w:sz w:val="32"/>
          <w:szCs w:val="32"/>
          <w14:textFill>
            <w14:solidFill>
              <w14:schemeClr w14:val="tx1"/>
            </w14:solidFill>
          </w14:textFill>
        </w:rPr>
      </w:pPr>
    </w:p>
    <w:sectPr>
      <w:pgSz w:w="11906" w:h="16838"/>
      <w:pgMar w:top="1701" w:right="1701" w:bottom="1701" w:left="170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aiTi_GB2312">
    <w:altName w:val="宋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7</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7</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7</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7</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1Zjk5YTM4YjIwYTYxZDVkY2U1YmU4ZDMxOTY2OWQifQ=="/>
  </w:docVars>
  <w:rsids>
    <w:rsidRoot w:val="53FC3987"/>
    <w:rsid w:val="000A3765"/>
    <w:rsid w:val="001D7282"/>
    <w:rsid w:val="0039081D"/>
    <w:rsid w:val="005E6ECB"/>
    <w:rsid w:val="006D4D40"/>
    <w:rsid w:val="00744EA1"/>
    <w:rsid w:val="007A53E5"/>
    <w:rsid w:val="009419CA"/>
    <w:rsid w:val="00955854"/>
    <w:rsid w:val="009C7330"/>
    <w:rsid w:val="00A00FBB"/>
    <w:rsid w:val="00B57A55"/>
    <w:rsid w:val="00BD01BF"/>
    <w:rsid w:val="00BF0721"/>
    <w:rsid w:val="00C03795"/>
    <w:rsid w:val="00CE3756"/>
    <w:rsid w:val="00D27A74"/>
    <w:rsid w:val="00E71303"/>
    <w:rsid w:val="00E831C8"/>
    <w:rsid w:val="00EF287A"/>
    <w:rsid w:val="01057CDE"/>
    <w:rsid w:val="010B4A82"/>
    <w:rsid w:val="01192786"/>
    <w:rsid w:val="01201E6A"/>
    <w:rsid w:val="012D57C0"/>
    <w:rsid w:val="01457029"/>
    <w:rsid w:val="014900E3"/>
    <w:rsid w:val="014F5749"/>
    <w:rsid w:val="01521E95"/>
    <w:rsid w:val="01727F7E"/>
    <w:rsid w:val="01764DBE"/>
    <w:rsid w:val="01806F8C"/>
    <w:rsid w:val="0182483A"/>
    <w:rsid w:val="01863406"/>
    <w:rsid w:val="018D011E"/>
    <w:rsid w:val="019614B0"/>
    <w:rsid w:val="019C71AC"/>
    <w:rsid w:val="01BF03AA"/>
    <w:rsid w:val="01C33E74"/>
    <w:rsid w:val="01DF3C26"/>
    <w:rsid w:val="01EE0A2C"/>
    <w:rsid w:val="0200044D"/>
    <w:rsid w:val="020654E4"/>
    <w:rsid w:val="020C72F8"/>
    <w:rsid w:val="02121B7C"/>
    <w:rsid w:val="021813DE"/>
    <w:rsid w:val="021B6B30"/>
    <w:rsid w:val="02363BD8"/>
    <w:rsid w:val="023809F7"/>
    <w:rsid w:val="02431066"/>
    <w:rsid w:val="02595CF1"/>
    <w:rsid w:val="025C47D6"/>
    <w:rsid w:val="0263675C"/>
    <w:rsid w:val="02656E75"/>
    <w:rsid w:val="027431E5"/>
    <w:rsid w:val="02B544DB"/>
    <w:rsid w:val="02CB5D99"/>
    <w:rsid w:val="02DB623C"/>
    <w:rsid w:val="02F61D91"/>
    <w:rsid w:val="02FC4679"/>
    <w:rsid w:val="02FE5E0A"/>
    <w:rsid w:val="0347190C"/>
    <w:rsid w:val="034760CE"/>
    <w:rsid w:val="03487959"/>
    <w:rsid w:val="03505BE1"/>
    <w:rsid w:val="036D41A2"/>
    <w:rsid w:val="037F229C"/>
    <w:rsid w:val="03911277"/>
    <w:rsid w:val="039A540B"/>
    <w:rsid w:val="03BD010E"/>
    <w:rsid w:val="03E2685C"/>
    <w:rsid w:val="03E66326"/>
    <w:rsid w:val="03FF6E0F"/>
    <w:rsid w:val="0404259A"/>
    <w:rsid w:val="04051601"/>
    <w:rsid w:val="04150B3B"/>
    <w:rsid w:val="04327F62"/>
    <w:rsid w:val="04344800"/>
    <w:rsid w:val="045F666C"/>
    <w:rsid w:val="0460075C"/>
    <w:rsid w:val="04613BEE"/>
    <w:rsid w:val="0462054D"/>
    <w:rsid w:val="04675C34"/>
    <w:rsid w:val="046C0B29"/>
    <w:rsid w:val="04816E5C"/>
    <w:rsid w:val="048924DD"/>
    <w:rsid w:val="04914D95"/>
    <w:rsid w:val="0495144B"/>
    <w:rsid w:val="04AC07A1"/>
    <w:rsid w:val="04C63115"/>
    <w:rsid w:val="04CF5236"/>
    <w:rsid w:val="04CF5AF0"/>
    <w:rsid w:val="04D24FF1"/>
    <w:rsid w:val="04DE1BAB"/>
    <w:rsid w:val="04E411E4"/>
    <w:rsid w:val="04F37BBA"/>
    <w:rsid w:val="05085366"/>
    <w:rsid w:val="05145F64"/>
    <w:rsid w:val="054037EF"/>
    <w:rsid w:val="054E7FFF"/>
    <w:rsid w:val="054F6FC1"/>
    <w:rsid w:val="05621117"/>
    <w:rsid w:val="058C5045"/>
    <w:rsid w:val="059C7C89"/>
    <w:rsid w:val="05A50C70"/>
    <w:rsid w:val="05B525CA"/>
    <w:rsid w:val="05C4448F"/>
    <w:rsid w:val="05DD3E06"/>
    <w:rsid w:val="05E616EC"/>
    <w:rsid w:val="06146BAF"/>
    <w:rsid w:val="06286BB6"/>
    <w:rsid w:val="06405E9C"/>
    <w:rsid w:val="064D5380"/>
    <w:rsid w:val="064E0F6B"/>
    <w:rsid w:val="06617309"/>
    <w:rsid w:val="06650E6A"/>
    <w:rsid w:val="06854A05"/>
    <w:rsid w:val="068B5259"/>
    <w:rsid w:val="068B68D5"/>
    <w:rsid w:val="06986D10"/>
    <w:rsid w:val="06A14716"/>
    <w:rsid w:val="06C90184"/>
    <w:rsid w:val="06C9437B"/>
    <w:rsid w:val="06ED564C"/>
    <w:rsid w:val="06F22A7B"/>
    <w:rsid w:val="06FA6B88"/>
    <w:rsid w:val="07023424"/>
    <w:rsid w:val="07043735"/>
    <w:rsid w:val="0725074E"/>
    <w:rsid w:val="07313C60"/>
    <w:rsid w:val="07331F0A"/>
    <w:rsid w:val="076971BD"/>
    <w:rsid w:val="076D43AE"/>
    <w:rsid w:val="077323CA"/>
    <w:rsid w:val="0775145F"/>
    <w:rsid w:val="07967DE0"/>
    <w:rsid w:val="07970994"/>
    <w:rsid w:val="07B913B4"/>
    <w:rsid w:val="07BA1C6A"/>
    <w:rsid w:val="07BD44A3"/>
    <w:rsid w:val="07CE6155"/>
    <w:rsid w:val="07E11DA2"/>
    <w:rsid w:val="07E40515"/>
    <w:rsid w:val="07EE6091"/>
    <w:rsid w:val="08017E70"/>
    <w:rsid w:val="0805190B"/>
    <w:rsid w:val="082A5F7E"/>
    <w:rsid w:val="08391F38"/>
    <w:rsid w:val="083A18D9"/>
    <w:rsid w:val="0848472A"/>
    <w:rsid w:val="084D20E7"/>
    <w:rsid w:val="08674899"/>
    <w:rsid w:val="08754155"/>
    <w:rsid w:val="087B77E7"/>
    <w:rsid w:val="087D3D34"/>
    <w:rsid w:val="0889236C"/>
    <w:rsid w:val="088E051E"/>
    <w:rsid w:val="08935A7B"/>
    <w:rsid w:val="08A91E6C"/>
    <w:rsid w:val="08BA1B19"/>
    <w:rsid w:val="08C85BE8"/>
    <w:rsid w:val="08D059DD"/>
    <w:rsid w:val="08DC08E7"/>
    <w:rsid w:val="092A42D2"/>
    <w:rsid w:val="092D1C9E"/>
    <w:rsid w:val="09377E5E"/>
    <w:rsid w:val="09383E9F"/>
    <w:rsid w:val="0939426E"/>
    <w:rsid w:val="09504F8C"/>
    <w:rsid w:val="09616470"/>
    <w:rsid w:val="096C1F5A"/>
    <w:rsid w:val="096C76C1"/>
    <w:rsid w:val="096F6E45"/>
    <w:rsid w:val="09906B28"/>
    <w:rsid w:val="09912E95"/>
    <w:rsid w:val="099C1A23"/>
    <w:rsid w:val="09A948AF"/>
    <w:rsid w:val="09AC2A76"/>
    <w:rsid w:val="09B04837"/>
    <w:rsid w:val="09C95891"/>
    <w:rsid w:val="09D8005F"/>
    <w:rsid w:val="0A002E0D"/>
    <w:rsid w:val="0A140987"/>
    <w:rsid w:val="0A241A5C"/>
    <w:rsid w:val="0A2423C2"/>
    <w:rsid w:val="0A2E3566"/>
    <w:rsid w:val="0A303F21"/>
    <w:rsid w:val="0A393280"/>
    <w:rsid w:val="0A5F2F6C"/>
    <w:rsid w:val="0A670B4E"/>
    <w:rsid w:val="0A851E03"/>
    <w:rsid w:val="0A985A6F"/>
    <w:rsid w:val="0AA808AF"/>
    <w:rsid w:val="0ABD142C"/>
    <w:rsid w:val="0ABF7FD4"/>
    <w:rsid w:val="0AC644AE"/>
    <w:rsid w:val="0ACB61B4"/>
    <w:rsid w:val="0ACD4157"/>
    <w:rsid w:val="0AE964B0"/>
    <w:rsid w:val="0B163034"/>
    <w:rsid w:val="0B1F5B6D"/>
    <w:rsid w:val="0B2F4AF7"/>
    <w:rsid w:val="0B3312B6"/>
    <w:rsid w:val="0B4064B3"/>
    <w:rsid w:val="0B6E529C"/>
    <w:rsid w:val="0B701D27"/>
    <w:rsid w:val="0B7245CE"/>
    <w:rsid w:val="0B943886"/>
    <w:rsid w:val="0B9C3CD1"/>
    <w:rsid w:val="0BB324D8"/>
    <w:rsid w:val="0BB672C7"/>
    <w:rsid w:val="0BC07BBF"/>
    <w:rsid w:val="0BC429EF"/>
    <w:rsid w:val="0BCE65D1"/>
    <w:rsid w:val="0BD60937"/>
    <w:rsid w:val="0BD912A4"/>
    <w:rsid w:val="0BE135FA"/>
    <w:rsid w:val="0BEE4F6B"/>
    <w:rsid w:val="0C03261E"/>
    <w:rsid w:val="0C0439FA"/>
    <w:rsid w:val="0C0B17DF"/>
    <w:rsid w:val="0C0F382B"/>
    <w:rsid w:val="0C160980"/>
    <w:rsid w:val="0C1B4EF7"/>
    <w:rsid w:val="0C1C297E"/>
    <w:rsid w:val="0C1D4988"/>
    <w:rsid w:val="0C297E69"/>
    <w:rsid w:val="0C55038F"/>
    <w:rsid w:val="0C6B7DF9"/>
    <w:rsid w:val="0C6E2A56"/>
    <w:rsid w:val="0C7A708D"/>
    <w:rsid w:val="0CCA7495"/>
    <w:rsid w:val="0CD16BA2"/>
    <w:rsid w:val="0CD745A0"/>
    <w:rsid w:val="0CDE4E30"/>
    <w:rsid w:val="0D012A51"/>
    <w:rsid w:val="0D094F84"/>
    <w:rsid w:val="0D280615"/>
    <w:rsid w:val="0D2C07EB"/>
    <w:rsid w:val="0D2F57DE"/>
    <w:rsid w:val="0D353632"/>
    <w:rsid w:val="0D392C4E"/>
    <w:rsid w:val="0D482FA9"/>
    <w:rsid w:val="0D4A4299"/>
    <w:rsid w:val="0D5F1E28"/>
    <w:rsid w:val="0D671080"/>
    <w:rsid w:val="0D783B34"/>
    <w:rsid w:val="0D81754C"/>
    <w:rsid w:val="0DA07DF6"/>
    <w:rsid w:val="0DBE6AB7"/>
    <w:rsid w:val="0DBF116A"/>
    <w:rsid w:val="0DC00E38"/>
    <w:rsid w:val="0DC8400B"/>
    <w:rsid w:val="0DD34552"/>
    <w:rsid w:val="0DE03EAA"/>
    <w:rsid w:val="0DE12394"/>
    <w:rsid w:val="0DF36262"/>
    <w:rsid w:val="0E1E619E"/>
    <w:rsid w:val="0E267F81"/>
    <w:rsid w:val="0E365DE9"/>
    <w:rsid w:val="0E4822EE"/>
    <w:rsid w:val="0E4E185D"/>
    <w:rsid w:val="0E522FBE"/>
    <w:rsid w:val="0E5D141B"/>
    <w:rsid w:val="0E8648D6"/>
    <w:rsid w:val="0E8C08DC"/>
    <w:rsid w:val="0E8E43C0"/>
    <w:rsid w:val="0E964CBE"/>
    <w:rsid w:val="0EB05323"/>
    <w:rsid w:val="0EBE40CB"/>
    <w:rsid w:val="0EC36A56"/>
    <w:rsid w:val="0EC62499"/>
    <w:rsid w:val="0ECE4E6F"/>
    <w:rsid w:val="0EDA5C56"/>
    <w:rsid w:val="0EFE4287"/>
    <w:rsid w:val="0F0D525E"/>
    <w:rsid w:val="0F2A2A37"/>
    <w:rsid w:val="0F2E6C95"/>
    <w:rsid w:val="0F4675CA"/>
    <w:rsid w:val="0F471A79"/>
    <w:rsid w:val="0F500384"/>
    <w:rsid w:val="0F5B4015"/>
    <w:rsid w:val="0F6071C8"/>
    <w:rsid w:val="0F7B0394"/>
    <w:rsid w:val="0FA00CB6"/>
    <w:rsid w:val="0FA434D3"/>
    <w:rsid w:val="0FB471F7"/>
    <w:rsid w:val="0FC95C51"/>
    <w:rsid w:val="0FC965F5"/>
    <w:rsid w:val="0FCD6B4B"/>
    <w:rsid w:val="0FCF7138"/>
    <w:rsid w:val="0FD35AB6"/>
    <w:rsid w:val="0FE017B9"/>
    <w:rsid w:val="0FE04B17"/>
    <w:rsid w:val="0FEC2891"/>
    <w:rsid w:val="0FF71EB7"/>
    <w:rsid w:val="10225AB2"/>
    <w:rsid w:val="102D74F0"/>
    <w:rsid w:val="103C47DA"/>
    <w:rsid w:val="103D5CB0"/>
    <w:rsid w:val="1043497A"/>
    <w:rsid w:val="104B6B58"/>
    <w:rsid w:val="105552F6"/>
    <w:rsid w:val="108449FF"/>
    <w:rsid w:val="108B34B0"/>
    <w:rsid w:val="109E2943"/>
    <w:rsid w:val="10C8346E"/>
    <w:rsid w:val="10E23820"/>
    <w:rsid w:val="10FE6AB1"/>
    <w:rsid w:val="1112624E"/>
    <w:rsid w:val="11153798"/>
    <w:rsid w:val="11185914"/>
    <w:rsid w:val="11297158"/>
    <w:rsid w:val="114B2C9B"/>
    <w:rsid w:val="115D78BB"/>
    <w:rsid w:val="116001E2"/>
    <w:rsid w:val="11793618"/>
    <w:rsid w:val="11813452"/>
    <w:rsid w:val="11913DD4"/>
    <w:rsid w:val="11961E43"/>
    <w:rsid w:val="11987ED2"/>
    <w:rsid w:val="119969A0"/>
    <w:rsid w:val="11A91B68"/>
    <w:rsid w:val="11B76464"/>
    <w:rsid w:val="11BC2DF3"/>
    <w:rsid w:val="11C43676"/>
    <w:rsid w:val="11EA3CA0"/>
    <w:rsid w:val="11F403BB"/>
    <w:rsid w:val="11FA6A1C"/>
    <w:rsid w:val="120B6973"/>
    <w:rsid w:val="12155876"/>
    <w:rsid w:val="12183A1B"/>
    <w:rsid w:val="122A11A6"/>
    <w:rsid w:val="123D1BD2"/>
    <w:rsid w:val="123E6D4D"/>
    <w:rsid w:val="125613C2"/>
    <w:rsid w:val="125D4EF7"/>
    <w:rsid w:val="12637C4E"/>
    <w:rsid w:val="127030C8"/>
    <w:rsid w:val="12B310FA"/>
    <w:rsid w:val="12B7582D"/>
    <w:rsid w:val="12C621E8"/>
    <w:rsid w:val="12CF0716"/>
    <w:rsid w:val="12D95227"/>
    <w:rsid w:val="12E33197"/>
    <w:rsid w:val="12EE1C9C"/>
    <w:rsid w:val="12F863E6"/>
    <w:rsid w:val="13094CA6"/>
    <w:rsid w:val="132156D8"/>
    <w:rsid w:val="132911E2"/>
    <w:rsid w:val="133868AE"/>
    <w:rsid w:val="135133AE"/>
    <w:rsid w:val="13914897"/>
    <w:rsid w:val="13A55CD5"/>
    <w:rsid w:val="13A82BDB"/>
    <w:rsid w:val="13B654E3"/>
    <w:rsid w:val="13B819E6"/>
    <w:rsid w:val="13BC4189"/>
    <w:rsid w:val="13C169EC"/>
    <w:rsid w:val="13CA717D"/>
    <w:rsid w:val="13CE022A"/>
    <w:rsid w:val="13DF25B8"/>
    <w:rsid w:val="13E2403C"/>
    <w:rsid w:val="14047D3B"/>
    <w:rsid w:val="141A00EA"/>
    <w:rsid w:val="143A1FCF"/>
    <w:rsid w:val="14430D66"/>
    <w:rsid w:val="14477E65"/>
    <w:rsid w:val="14710CBF"/>
    <w:rsid w:val="14791934"/>
    <w:rsid w:val="147D213D"/>
    <w:rsid w:val="14A04833"/>
    <w:rsid w:val="14B12779"/>
    <w:rsid w:val="14B37576"/>
    <w:rsid w:val="14F4219E"/>
    <w:rsid w:val="150135C1"/>
    <w:rsid w:val="151C632A"/>
    <w:rsid w:val="152E4EB1"/>
    <w:rsid w:val="153E3566"/>
    <w:rsid w:val="154034C3"/>
    <w:rsid w:val="156B6CDB"/>
    <w:rsid w:val="15726626"/>
    <w:rsid w:val="15820278"/>
    <w:rsid w:val="15914EE6"/>
    <w:rsid w:val="15A42FA4"/>
    <w:rsid w:val="15A6418F"/>
    <w:rsid w:val="15AA091B"/>
    <w:rsid w:val="15BC6BD3"/>
    <w:rsid w:val="15CF095E"/>
    <w:rsid w:val="15DA784E"/>
    <w:rsid w:val="15DB017B"/>
    <w:rsid w:val="15E6370B"/>
    <w:rsid w:val="15E835FB"/>
    <w:rsid w:val="15E84717"/>
    <w:rsid w:val="160F0091"/>
    <w:rsid w:val="16144614"/>
    <w:rsid w:val="163E3AB2"/>
    <w:rsid w:val="164C45C3"/>
    <w:rsid w:val="165E3F72"/>
    <w:rsid w:val="166D0110"/>
    <w:rsid w:val="167050F1"/>
    <w:rsid w:val="16713DA7"/>
    <w:rsid w:val="16797776"/>
    <w:rsid w:val="16952546"/>
    <w:rsid w:val="16AB3FBF"/>
    <w:rsid w:val="16AC1654"/>
    <w:rsid w:val="16B12C6E"/>
    <w:rsid w:val="16BF0789"/>
    <w:rsid w:val="16CD5BA2"/>
    <w:rsid w:val="16D42F73"/>
    <w:rsid w:val="16DA34D2"/>
    <w:rsid w:val="16DA4E41"/>
    <w:rsid w:val="16F042AC"/>
    <w:rsid w:val="16F626B5"/>
    <w:rsid w:val="16FB005D"/>
    <w:rsid w:val="16FC4F3B"/>
    <w:rsid w:val="171630EB"/>
    <w:rsid w:val="17435DB3"/>
    <w:rsid w:val="174849B3"/>
    <w:rsid w:val="175075E0"/>
    <w:rsid w:val="175C1BEB"/>
    <w:rsid w:val="175D3461"/>
    <w:rsid w:val="175F4C67"/>
    <w:rsid w:val="175F580B"/>
    <w:rsid w:val="17665207"/>
    <w:rsid w:val="17794395"/>
    <w:rsid w:val="178D50A9"/>
    <w:rsid w:val="178F0FE3"/>
    <w:rsid w:val="17B85018"/>
    <w:rsid w:val="17D36F75"/>
    <w:rsid w:val="17DC2018"/>
    <w:rsid w:val="17E339CC"/>
    <w:rsid w:val="17F33C57"/>
    <w:rsid w:val="181D4FAC"/>
    <w:rsid w:val="182B38C1"/>
    <w:rsid w:val="18351597"/>
    <w:rsid w:val="18353961"/>
    <w:rsid w:val="18474510"/>
    <w:rsid w:val="184F1D16"/>
    <w:rsid w:val="1852374B"/>
    <w:rsid w:val="185629F1"/>
    <w:rsid w:val="18685D91"/>
    <w:rsid w:val="188F0DAB"/>
    <w:rsid w:val="18905464"/>
    <w:rsid w:val="18910B5C"/>
    <w:rsid w:val="18A62960"/>
    <w:rsid w:val="18BD3DC4"/>
    <w:rsid w:val="18C149F3"/>
    <w:rsid w:val="18D233DB"/>
    <w:rsid w:val="18DC433F"/>
    <w:rsid w:val="18DD0C18"/>
    <w:rsid w:val="18DE4BF6"/>
    <w:rsid w:val="18EC1CA5"/>
    <w:rsid w:val="18F23C9D"/>
    <w:rsid w:val="18F554AB"/>
    <w:rsid w:val="18FE49D5"/>
    <w:rsid w:val="190F3527"/>
    <w:rsid w:val="19100497"/>
    <w:rsid w:val="19183CAC"/>
    <w:rsid w:val="193964B7"/>
    <w:rsid w:val="19521C94"/>
    <w:rsid w:val="195657BB"/>
    <w:rsid w:val="196B19EB"/>
    <w:rsid w:val="19717C66"/>
    <w:rsid w:val="198E7C2B"/>
    <w:rsid w:val="199945D5"/>
    <w:rsid w:val="199B5065"/>
    <w:rsid w:val="19BA5ED9"/>
    <w:rsid w:val="19D37D58"/>
    <w:rsid w:val="19DD0438"/>
    <w:rsid w:val="1A0A04E6"/>
    <w:rsid w:val="1A187AC0"/>
    <w:rsid w:val="1A213466"/>
    <w:rsid w:val="1A304E0A"/>
    <w:rsid w:val="1A3F3F76"/>
    <w:rsid w:val="1A4B4BAE"/>
    <w:rsid w:val="1A5F35C0"/>
    <w:rsid w:val="1A8006B2"/>
    <w:rsid w:val="1A8D640E"/>
    <w:rsid w:val="1A974192"/>
    <w:rsid w:val="1ACA62AD"/>
    <w:rsid w:val="1ADA675E"/>
    <w:rsid w:val="1AE11CDA"/>
    <w:rsid w:val="1B113A6D"/>
    <w:rsid w:val="1B144B8D"/>
    <w:rsid w:val="1B17013D"/>
    <w:rsid w:val="1B1B14D3"/>
    <w:rsid w:val="1B1F6AF1"/>
    <w:rsid w:val="1B250DAE"/>
    <w:rsid w:val="1B2A34EB"/>
    <w:rsid w:val="1B2B0F4C"/>
    <w:rsid w:val="1B2D2734"/>
    <w:rsid w:val="1B3860E1"/>
    <w:rsid w:val="1B3F36F6"/>
    <w:rsid w:val="1B422830"/>
    <w:rsid w:val="1B4B369E"/>
    <w:rsid w:val="1B5271D4"/>
    <w:rsid w:val="1B6D7C0D"/>
    <w:rsid w:val="1B84594F"/>
    <w:rsid w:val="1B884364"/>
    <w:rsid w:val="1BA912AB"/>
    <w:rsid w:val="1BC74329"/>
    <w:rsid w:val="1BC90A36"/>
    <w:rsid w:val="1BD0347B"/>
    <w:rsid w:val="1BD40AF3"/>
    <w:rsid w:val="1BD802A4"/>
    <w:rsid w:val="1BDF236A"/>
    <w:rsid w:val="1C0435DD"/>
    <w:rsid w:val="1C044A22"/>
    <w:rsid w:val="1C0500B1"/>
    <w:rsid w:val="1C165874"/>
    <w:rsid w:val="1C1D4C3D"/>
    <w:rsid w:val="1C212C7F"/>
    <w:rsid w:val="1C4C28F3"/>
    <w:rsid w:val="1C71314E"/>
    <w:rsid w:val="1C7C4862"/>
    <w:rsid w:val="1C82672C"/>
    <w:rsid w:val="1C89138D"/>
    <w:rsid w:val="1C8E76D2"/>
    <w:rsid w:val="1C937172"/>
    <w:rsid w:val="1C975C4B"/>
    <w:rsid w:val="1CA27BB1"/>
    <w:rsid w:val="1CAF7DCF"/>
    <w:rsid w:val="1CB07D7A"/>
    <w:rsid w:val="1CDA4D56"/>
    <w:rsid w:val="1CF810AC"/>
    <w:rsid w:val="1D0B3755"/>
    <w:rsid w:val="1D124C24"/>
    <w:rsid w:val="1D2C6C65"/>
    <w:rsid w:val="1D402518"/>
    <w:rsid w:val="1D4E7169"/>
    <w:rsid w:val="1D554265"/>
    <w:rsid w:val="1D69344A"/>
    <w:rsid w:val="1D6B31E8"/>
    <w:rsid w:val="1D6B7F83"/>
    <w:rsid w:val="1D776C3D"/>
    <w:rsid w:val="1D95321A"/>
    <w:rsid w:val="1DB85E5C"/>
    <w:rsid w:val="1DC46662"/>
    <w:rsid w:val="1DCA5E3A"/>
    <w:rsid w:val="1DCF5405"/>
    <w:rsid w:val="1DD75183"/>
    <w:rsid w:val="1DDE2626"/>
    <w:rsid w:val="1DFD7C50"/>
    <w:rsid w:val="1E080AB5"/>
    <w:rsid w:val="1E0E0D58"/>
    <w:rsid w:val="1E2A197B"/>
    <w:rsid w:val="1E35255F"/>
    <w:rsid w:val="1E3C5A5F"/>
    <w:rsid w:val="1E475D36"/>
    <w:rsid w:val="1E4E24A0"/>
    <w:rsid w:val="1E502588"/>
    <w:rsid w:val="1E53413D"/>
    <w:rsid w:val="1E550992"/>
    <w:rsid w:val="1E5A7A32"/>
    <w:rsid w:val="1E671817"/>
    <w:rsid w:val="1E6C3B44"/>
    <w:rsid w:val="1E7A4122"/>
    <w:rsid w:val="1E8879EE"/>
    <w:rsid w:val="1EB95D76"/>
    <w:rsid w:val="1EC54236"/>
    <w:rsid w:val="1ED464CA"/>
    <w:rsid w:val="1EDA5DF7"/>
    <w:rsid w:val="1EED4A44"/>
    <w:rsid w:val="1EFA39EA"/>
    <w:rsid w:val="1F00206F"/>
    <w:rsid w:val="1F0177DA"/>
    <w:rsid w:val="1F18467A"/>
    <w:rsid w:val="1F232A42"/>
    <w:rsid w:val="1F2645A8"/>
    <w:rsid w:val="1F4B71B8"/>
    <w:rsid w:val="1F4C39A9"/>
    <w:rsid w:val="1F5665AD"/>
    <w:rsid w:val="1F692382"/>
    <w:rsid w:val="1F8815CD"/>
    <w:rsid w:val="1F8D1995"/>
    <w:rsid w:val="1F935BDD"/>
    <w:rsid w:val="1F9730E6"/>
    <w:rsid w:val="1FDE0273"/>
    <w:rsid w:val="1FEF73C9"/>
    <w:rsid w:val="20020491"/>
    <w:rsid w:val="203C7C11"/>
    <w:rsid w:val="20421AEB"/>
    <w:rsid w:val="20471AED"/>
    <w:rsid w:val="20487E48"/>
    <w:rsid w:val="20666EBF"/>
    <w:rsid w:val="206F239E"/>
    <w:rsid w:val="2086258B"/>
    <w:rsid w:val="20A45C99"/>
    <w:rsid w:val="20AD18F5"/>
    <w:rsid w:val="20B77D0F"/>
    <w:rsid w:val="20BB288C"/>
    <w:rsid w:val="20D06EB4"/>
    <w:rsid w:val="20E40557"/>
    <w:rsid w:val="20EF04D3"/>
    <w:rsid w:val="210C69CF"/>
    <w:rsid w:val="21107C1A"/>
    <w:rsid w:val="213018E1"/>
    <w:rsid w:val="21392BC1"/>
    <w:rsid w:val="21431802"/>
    <w:rsid w:val="21463D2C"/>
    <w:rsid w:val="2151198F"/>
    <w:rsid w:val="2172070D"/>
    <w:rsid w:val="217B2C80"/>
    <w:rsid w:val="217D2EA2"/>
    <w:rsid w:val="21851E83"/>
    <w:rsid w:val="21861507"/>
    <w:rsid w:val="219020E3"/>
    <w:rsid w:val="21916EE8"/>
    <w:rsid w:val="219A308D"/>
    <w:rsid w:val="219F5834"/>
    <w:rsid w:val="21A35D48"/>
    <w:rsid w:val="21C12688"/>
    <w:rsid w:val="21CC4855"/>
    <w:rsid w:val="21E233A3"/>
    <w:rsid w:val="21E23F6C"/>
    <w:rsid w:val="21E345FD"/>
    <w:rsid w:val="22171E1E"/>
    <w:rsid w:val="22383B4D"/>
    <w:rsid w:val="22394A05"/>
    <w:rsid w:val="22466CD3"/>
    <w:rsid w:val="225D1D49"/>
    <w:rsid w:val="225D33C8"/>
    <w:rsid w:val="226239FE"/>
    <w:rsid w:val="22626562"/>
    <w:rsid w:val="226A76AE"/>
    <w:rsid w:val="22733EB6"/>
    <w:rsid w:val="22906578"/>
    <w:rsid w:val="22973E77"/>
    <w:rsid w:val="22AB58F3"/>
    <w:rsid w:val="22C13FD4"/>
    <w:rsid w:val="22C24771"/>
    <w:rsid w:val="22CB0895"/>
    <w:rsid w:val="231527D7"/>
    <w:rsid w:val="23185AD8"/>
    <w:rsid w:val="23336451"/>
    <w:rsid w:val="23474320"/>
    <w:rsid w:val="23492735"/>
    <w:rsid w:val="235B5F37"/>
    <w:rsid w:val="235C3EA6"/>
    <w:rsid w:val="23604810"/>
    <w:rsid w:val="237A7609"/>
    <w:rsid w:val="23BE4330"/>
    <w:rsid w:val="23BF0A62"/>
    <w:rsid w:val="23C263BB"/>
    <w:rsid w:val="23D04F68"/>
    <w:rsid w:val="23D50A64"/>
    <w:rsid w:val="23FC0268"/>
    <w:rsid w:val="240B4621"/>
    <w:rsid w:val="241061D3"/>
    <w:rsid w:val="24114322"/>
    <w:rsid w:val="24122F3C"/>
    <w:rsid w:val="24181A61"/>
    <w:rsid w:val="241A4D23"/>
    <w:rsid w:val="244328F6"/>
    <w:rsid w:val="245032E9"/>
    <w:rsid w:val="24536196"/>
    <w:rsid w:val="24626203"/>
    <w:rsid w:val="247573F6"/>
    <w:rsid w:val="247A4BE7"/>
    <w:rsid w:val="24806762"/>
    <w:rsid w:val="24814D5C"/>
    <w:rsid w:val="24831C33"/>
    <w:rsid w:val="248601CB"/>
    <w:rsid w:val="24917BA8"/>
    <w:rsid w:val="24981483"/>
    <w:rsid w:val="249B0370"/>
    <w:rsid w:val="24A24AC6"/>
    <w:rsid w:val="24B93055"/>
    <w:rsid w:val="24C252E5"/>
    <w:rsid w:val="24C93BB5"/>
    <w:rsid w:val="24D02E03"/>
    <w:rsid w:val="24F86BC7"/>
    <w:rsid w:val="250F44FD"/>
    <w:rsid w:val="2514288A"/>
    <w:rsid w:val="254A53A0"/>
    <w:rsid w:val="256609A5"/>
    <w:rsid w:val="25781237"/>
    <w:rsid w:val="257A6914"/>
    <w:rsid w:val="2588530F"/>
    <w:rsid w:val="25963C8A"/>
    <w:rsid w:val="25AB3731"/>
    <w:rsid w:val="25B464A2"/>
    <w:rsid w:val="25BA0209"/>
    <w:rsid w:val="25BB4BF0"/>
    <w:rsid w:val="25E62DA9"/>
    <w:rsid w:val="25F465E7"/>
    <w:rsid w:val="25F6641C"/>
    <w:rsid w:val="25F74FA1"/>
    <w:rsid w:val="25FC3091"/>
    <w:rsid w:val="25FD11FA"/>
    <w:rsid w:val="25FF3210"/>
    <w:rsid w:val="2611098A"/>
    <w:rsid w:val="264221C6"/>
    <w:rsid w:val="265D3370"/>
    <w:rsid w:val="26666555"/>
    <w:rsid w:val="268B7C99"/>
    <w:rsid w:val="268C4A4A"/>
    <w:rsid w:val="269A7501"/>
    <w:rsid w:val="26A3584F"/>
    <w:rsid w:val="26A66B0A"/>
    <w:rsid w:val="26A73989"/>
    <w:rsid w:val="26A86D42"/>
    <w:rsid w:val="26C30557"/>
    <w:rsid w:val="26CB2EBC"/>
    <w:rsid w:val="26CB4B73"/>
    <w:rsid w:val="26E34A7B"/>
    <w:rsid w:val="26E9756C"/>
    <w:rsid w:val="26FA4570"/>
    <w:rsid w:val="27217FF0"/>
    <w:rsid w:val="27242893"/>
    <w:rsid w:val="273612F4"/>
    <w:rsid w:val="27445146"/>
    <w:rsid w:val="277602F5"/>
    <w:rsid w:val="278038CA"/>
    <w:rsid w:val="27C33BB0"/>
    <w:rsid w:val="27C55F98"/>
    <w:rsid w:val="27CC0CD0"/>
    <w:rsid w:val="27D071BC"/>
    <w:rsid w:val="27D4538F"/>
    <w:rsid w:val="27DE15AE"/>
    <w:rsid w:val="27E03A2F"/>
    <w:rsid w:val="280D297A"/>
    <w:rsid w:val="28276A98"/>
    <w:rsid w:val="285710C8"/>
    <w:rsid w:val="285C4BAF"/>
    <w:rsid w:val="285D0F42"/>
    <w:rsid w:val="28703320"/>
    <w:rsid w:val="289539A5"/>
    <w:rsid w:val="289F019A"/>
    <w:rsid w:val="28CC6ED5"/>
    <w:rsid w:val="28F010D9"/>
    <w:rsid w:val="28F05C88"/>
    <w:rsid w:val="29082E70"/>
    <w:rsid w:val="291343EF"/>
    <w:rsid w:val="29166F16"/>
    <w:rsid w:val="294D5371"/>
    <w:rsid w:val="295A5964"/>
    <w:rsid w:val="29626133"/>
    <w:rsid w:val="29702C6A"/>
    <w:rsid w:val="298756CC"/>
    <w:rsid w:val="29A81FA5"/>
    <w:rsid w:val="29AB297C"/>
    <w:rsid w:val="29C535D7"/>
    <w:rsid w:val="29C65905"/>
    <w:rsid w:val="29DA5777"/>
    <w:rsid w:val="29DF2425"/>
    <w:rsid w:val="2A0E6FDD"/>
    <w:rsid w:val="2A142C99"/>
    <w:rsid w:val="2A1E4871"/>
    <w:rsid w:val="2A214539"/>
    <w:rsid w:val="2A367BB2"/>
    <w:rsid w:val="2A3D54FD"/>
    <w:rsid w:val="2A410FE5"/>
    <w:rsid w:val="2A4173A1"/>
    <w:rsid w:val="2A596631"/>
    <w:rsid w:val="2A5A05BF"/>
    <w:rsid w:val="2A5F2983"/>
    <w:rsid w:val="2A601F6F"/>
    <w:rsid w:val="2A7A07C0"/>
    <w:rsid w:val="2AB17620"/>
    <w:rsid w:val="2AB30FEA"/>
    <w:rsid w:val="2AB657B1"/>
    <w:rsid w:val="2AE07913"/>
    <w:rsid w:val="2AEA3FC0"/>
    <w:rsid w:val="2AEA4AC4"/>
    <w:rsid w:val="2B0E64B5"/>
    <w:rsid w:val="2B166BF6"/>
    <w:rsid w:val="2B2B0DE1"/>
    <w:rsid w:val="2B3E1E16"/>
    <w:rsid w:val="2B5D0E3B"/>
    <w:rsid w:val="2B5E2134"/>
    <w:rsid w:val="2B6F3EEE"/>
    <w:rsid w:val="2B70774D"/>
    <w:rsid w:val="2B7D446F"/>
    <w:rsid w:val="2B8D4A3E"/>
    <w:rsid w:val="2BCC1BD6"/>
    <w:rsid w:val="2BDF0CFB"/>
    <w:rsid w:val="2BE234F2"/>
    <w:rsid w:val="2BE33AA6"/>
    <w:rsid w:val="2BE40B44"/>
    <w:rsid w:val="2BEF68A7"/>
    <w:rsid w:val="2BF22DBE"/>
    <w:rsid w:val="2BF73785"/>
    <w:rsid w:val="2C0F30B3"/>
    <w:rsid w:val="2C1235EB"/>
    <w:rsid w:val="2C162BEC"/>
    <w:rsid w:val="2C2F0BC4"/>
    <w:rsid w:val="2C391765"/>
    <w:rsid w:val="2C3D18DD"/>
    <w:rsid w:val="2C3D5EB9"/>
    <w:rsid w:val="2C4C0F0A"/>
    <w:rsid w:val="2C5254C3"/>
    <w:rsid w:val="2C532EF2"/>
    <w:rsid w:val="2C5C500F"/>
    <w:rsid w:val="2C6E3526"/>
    <w:rsid w:val="2C6F1E54"/>
    <w:rsid w:val="2C993631"/>
    <w:rsid w:val="2C9B7E11"/>
    <w:rsid w:val="2CAF1058"/>
    <w:rsid w:val="2CB32C99"/>
    <w:rsid w:val="2CBC36F5"/>
    <w:rsid w:val="2CC907F0"/>
    <w:rsid w:val="2CCC5126"/>
    <w:rsid w:val="2CF756B7"/>
    <w:rsid w:val="2CF9252D"/>
    <w:rsid w:val="2CF97782"/>
    <w:rsid w:val="2D107154"/>
    <w:rsid w:val="2D143281"/>
    <w:rsid w:val="2D1C79F8"/>
    <w:rsid w:val="2D324177"/>
    <w:rsid w:val="2D5A7835"/>
    <w:rsid w:val="2D6578A0"/>
    <w:rsid w:val="2D7343C9"/>
    <w:rsid w:val="2DE44256"/>
    <w:rsid w:val="2DE557EB"/>
    <w:rsid w:val="2DFA48FF"/>
    <w:rsid w:val="2E0E6D42"/>
    <w:rsid w:val="2E0F4249"/>
    <w:rsid w:val="2E2F0A58"/>
    <w:rsid w:val="2E447583"/>
    <w:rsid w:val="2E4B4467"/>
    <w:rsid w:val="2E5520B9"/>
    <w:rsid w:val="2E63548C"/>
    <w:rsid w:val="2E640C1C"/>
    <w:rsid w:val="2E6B523D"/>
    <w:rsid w:val="2E7A08F9"/>
    <w:rsid w:val="2E7B33BD"/>
    <w:rsid w:val="2E836803"/>
    <w:rsid w:val="2E96363C"/>
    <w:rsid w:val="2EB86707"/>
    <w:rsid w:val="2EC92184"/>
    <w:rsid w:val="2ECD27F6"/>
    <w:rsid w:val="2EDD3E50"/>
    <w:rsid w:val="2F0E1C14"/>
    <w:rsid w:val="2F366FC1"/>
    <w:rsid w:val="2F5034C7"/>
    <w:rsid w:val="2F866106"/>
    <w:rsid w:val="2F997CAB"/>
    <w:rsid w:val="2FA3249D"/>
    <w:rsid w:val="2FC05B92"/>
    <w:rsid w:val="2FDE3BE4"/>
    <w:rsid w:val="2FEC1413"/>
    <w:rsid w:val="2FEF5C51"/>
    <w:rsid w:val="301F1E0F"/>
    <w:rsid w:val="302E6295"/>
    <w:rsid w:val="303329F0"/>
    <w:rsid w:val="303818E5"/>
    <w:rsid w:val="303F1851"/>
    <w:rsid w:val="303F79AD"/>
    <w:rsid w:val="30492212"/>
    <w:rsid w:val="304C3A2B"/>
    <w:rsid w:val="30596318"/>
    <w:rsid w:val="306F339C"/>
    <w:rsid w:val="30762710"/>
    <w:rsid w:val="30814CF1"/>
    <w:rsid w:val="308E4163"/>
    <w:rsid w:val="309C2E33"/>
    <w:rsid w:val="30B73506"/>
    <w:rsid w:val="30BE456D"/>
    <w:rsid w:val="30C20BA4"/>
    <w:rsid w:val="30C478ED"/>
    <w:rsid w:val="30EC01FB"/>
    <w:rsid w:val="30F54D00"/>
    <w:rsid w:val="31026564"/>
    <w:rsid w:val="310A5122"/>
    <w:rsid w:val="312107CD"/>
    <w:rsid w:val="31210CA8"/>
    <w:rsid w:val="31215285"/>
    <w:rsid w:val="312D0344"/>
    <w:rsid w:val="31346C1B"/>
    <w:rsid w:val="314A407E"/>
    <w:rsid w:val="317038BB"/>
    <w:rsid w:val="317958D0"/>
    <w:rsid w:val="318D218C"/>
    <w:rsid w:val="31964319"/>
    <w:rsid w:val="319A32FE"/>
    <w:rsid w:val="31A53AB7"/>
    <w:rsid w:val="31A801F9"/>
    <w:rsid w:val="31C57FB2"/>
    <w:rsid w:val="31C932E2"/>
    <w:rsid w:val="31F61F62"/>
    <w:rsid w:val="320358D0"/>
    <w:rsid w:val="32052FE4"/>
    <w:rsid w:val="320B77FD"/>
    <w:rsid w:val="321976B1"/>
    <w:rsid w:val="321D6876"/>
    <w:rsid w:val="3220390C"/>
    <w:rsid w:val="322B51BC"/>
    <w:rsid w:val="322F26BF"/>
    <w:rsid w:val="32313F22"/>
    <w:rsid w:val="32643522"/>
    <w:rsid w:val="326470BA"/>
    <w:rsid w:val="32744A8B"/>
    <w:rsid w:val="32753DA5"/>
    <w:rsid w:val="32886DB3"/>
    <w:rsid w:val="32895C45"/>
    <w:rsid w:val="32A43D99"/>
    <w:rsid w:val="32B141E0"/>
    <w:rsid w:val="32B44D2D"/>
    <w:rsid w:val="32C90A49"/>
    <w:rsid w:val="32FA2D7F"/>
    <w:rsid w:val="32FC6C4E"/>
    <w:rsid w:val="33085CC5"/>
    <w:rsid w:val="33262CBA"/>
    <w:rsid w:val="332B323C"/>
    <w:rsid w:val="332E3189"/>
    <w:rsid w:val="335B62EC"/>
    <w:rsid w:val="335E79BA"/>
    <w:rsid w:val="3360061D"/>
    <w:rsid w:val="336549AB"/>
    <w:rsid w:val="336C1945"/>
    <w:rsid w:val="33782709"/>
    <w:rsid w:val="3392025F"/>
    <w:rsid w:val="33A8285D"/>
    <w:rsid w:val="33AC1E29"/>
    <w:rsid w:val="33B17041"/>
    <w:rsid w:val="33B202F3"/>
    <w:rsid w:val="33B20F64"/>
    <w:rsid w:val="33EE53FA"/>
    <w:rsid w:val="33FD7485"/>
    <w:rsid w:val="34012F1B"/>
    <w:rsid w:val="34186CAC"/>
    <w:rsid w:val="34467089"/>
    <w:rsid w:val="34523AB5"/>
    <w:rsid w:val="346B4B47"/>
    <w:rsid w:val="346E4F77"/>
    <w:rsid w:val="34762AAC"/>
    <w:rsid w:val="348402A8"/>
    <w:rsid w:val="34B510BB"/>
    <w:rsid w:val="34BB2714"/>
    <w:rsid w:val="34C25EF7"/>
    <w:rsid w:val="34D20F28"/>
    <w:rsid w:val="34D83FDF"/>
    <w:rsid w:val="34E22DC0"/>
    <w:rsid w:val="350233D4"/>
    <w:rsid w:val="35195F01"/>
    <w:rsid w:val="35313A72"/>
    <w:rsid w:val="35493C91"/>
    <w:rsid w:val="355C0228"/>
    <w:rsid w:val="357800DF"/>
    <w:rsid w:val="358527FB"/>
    <w:rsid w:val="358B5BCF"/>
    <w:rsid w:val="359A77E8"/>
    <w:rsid w:val="35A1790B"/>
    <w:rsid w:val="35A45B99"/>
    <w:rsid w:val="35B01090"/>
    <w:rsid w:val="35DD2073"/>
    <w:rsid w:val="35DF75FB"/>
    <w:rsid w:val="35EB21A5"/>
    <w:rsid w:val="35F52D00"/>
    <w:rsid w:val="35FF153A"/>
    <w:rsid w:val="3606622C"/>
    <w:rsid w:val="36077316"/>
    <w:rsid w:val="3613278E"/>
    <w:rsid w:val="36356D4F"/>
    <w:rsid w:val="36405687"/>
    <w:rsid w:val="36414112"/>
    <w:rsid w:val="365F3D60"/>
    <w:rsid w:val="36645530"/>
    <w:rsid w:val="367851C1"/>
    <w:rsid w:val="369510BC"/>
    <w:rsid w:val="36973632"/>
    <w:rsid w:val="36A30194"/>
    <w:rsid w:val="36B919E4"/>
    <w:rsid w:val="36D21A02"/>
    <w:rsid w:val="37104DEB"/>
    <w:rsid w:val="372A6AD3"/>
    <w:rsid w:val="372D0977"/>
    <w:rsid w:val="37337382"/>
    <w:rsid w:val="374D5647"/>
    <w:rsid w:val="374F42A7"/>
    <w:rsid w:val="37506DBE"/>
    <w:rsid w:val="3759338C"/>
    <w:rsid w:val="37654002"/>
    <w:rsid w:val="378E3E66"/>
    <w:rsid w:val="37C244FC"/>
    <w:rsid w:val="37D95C79"/>
    <w:rsid w:val="37E81F7B"/>
    <w:rsid w:val="37F53223"/>
    <w:rsid w:val="38026A1B"/>
    <w:rsid w:val="38197832"/>
    <w:rsid w:val="383903C6"/>
    <w:rsid w:val="383C423B"/>
    <w:rsid w:val="38415136"/>
    <w:rsid w:val="386C1D38"/>
    <w:rsid w:val="387A25A5"/>
    <w:rsid w:val="38963295"/>
    <w:rsid w:val="389D2F53"/>
    <w:rsid w:val="38A945B7"/>
    <w:rsid w:val="38CC2A09"/>
    <w:rsid w:val="38D677A2"/>
    <w:rsid w:val="38D770AE"/>
    <w:rsid w:val="38F70050"/>
    <w:rsid w:val="38FC33FC"/>
    <w:rsid w:val="38FD0E84"/>
    <w:rsid w:val="38FF1B5B"/>
    <w:rsid w:val="390273B1"/>
    <w:rsid w:val="39153767"/>
    <w:rsid w:val="39225CA9"/>
    <w:rsid w:val="3923070B"/>
    <w:rsid w:val="392C49BB"/>
    <w:rsid w:val="39381E2B"/>
    <w:rsid w:val="3942282F"/>
    <w:rsid w:val="3953338B"/>
    <w:rsid w:val="396B7002"/>
    <w:rsid w:val="396C2A15"/>
    <w:rsid w:val="39AC01F9"/>
    <w:rsid w:val="39B73BAC"/>
    <w:rsid w:val="39B7517F"/>
    <w:rsid w:val="39BA3B51"/>
    <w:rsid w:val="39C20795"/>
    <w:rsid w:val="39E90E2B"/>
    <w:rsid w:val="39E94D86"/>
    <w:rsid w:val="39F1638E"/>
    <w:rsid w:val="3A001C79"/>
    <w:rsid w:val="3A1513BA"/>
    <w:rsid w:val="3A2E618D"/>
    <w:rsid w:val="3A4109A1"/>
    <w:rsid w:val="3A742C8C"/>
    <w:rsid w:val="3A7B2702"/>
    <w:rsid w:val="3A896EEE"/>
    <w:rsid w:val="3AAA2893"/>
    <w:rsid w:val="3ABB15C7"/>
    <w:rsid w:val="3AD8279E"/>
    <w:rsid w:val="3AE73EDB"/>
    <w:rsid w:val="3AFF2A59"/>
    <w:rsid w:val="3B08641D"/>
    <w:rsid w:val="3B1C7A19"/>
    <w:rsid w:val="3B2B5582"/>
    <w:rsid w:val="3B4234D4"/>
    <w:rsid w:val="3B7622BA"/>
    <w:rsid w:val="3B7C1C88"/>
    <w:rsid w:val="3B8107C8"/>
    <w:rsid w:val="3B8972AA"/>
    <w:rsid w:val="3BA219B8"/>
    <w:rsid w:val="3BA96003"/>
    <w:rsid w:val="3BC61A51"/>
    <w:rsid w:val="3BE14893"/>
    <w:rsid w:val="3BE8265C"/>
    <w:rsid w:val="3BE92A35"/>
    <w:rsid w:val="3BEB460F"/>
    <w:rsid w:val="3BEF1DA2"/>
    <w:rsid w:val="3BF64635"/>
    <w:rsid w:val="3BF956C3"/>
    <w:rsid w:val="3C0E5CDB"/>
    <w:rsid w:val="3C4D3B02"/>
    <w:rsid w:val="3C5B1D89"/>
    <w:rsid w:val="3C85498F"/>
    <w:rsid w:val="3C8946A5"/>
    <w:rsid w:val="3CA04D92"/>
    <w:rsid w:val="3CA372A1"/>
    <w:rsid w:val="3CA600E0"/>
    <w:rsid w:val="3CB765A9"/>
    <w:rsid w:val="3CBA4326"/>
    <w:rsid w:val="3CBC0BE3"/>
    <w:rsid w:val="3CC614DA"/>
    <w:rsid w:val="3CD01DA9"/>
    <w:rsid w:val="3CDA38F5"/>
    <w:rsid w:val="3CDD517D"/>
    <w:rsid w:val="3CE33FC3"/>
    <w:rsid w:val="3CEA3B31"/>
    <w:rsid w:val="3CF9401E"/>
    <w:rsid w:val="3CFC6325"/>
    <w:rsid w:val="3D093C71"/>
    <w:rsid w:val="3D1A22C0"/>
    <w:rsid w:val="3D294B1B"/>
    <w:rsid w:val="3D2B034D"/>
    <w:rsid w:val="3D5A60CA"/>
    <w:rsid w:val="3D773E5C"/>
    <w:rsid w:val="3D9F4364"/>
    <w:rsid w:val="3DA702BF"/>
    <w:rsid w:val="3DB92106"/>
    <w:rsid w:val="3DCF457D"/>
    <w:rsid w:val="3DF169A7"/>
    <w:rsid w:val="3DF2399F"/>
    <w:rsid w:val="3DF40FE4"/>
    <w:rsid w:val="3E0519AD"/>
    <w:rsid w:val="3E4A1D40"/>
    <w:rsid w:val="3E4C287B"/>
    <w:rsid w:val="3E633FD2"/>
    <w:rsid w:val="3E6F32D2"/>
    <w:rsid w:val="3E742C66"/>
    <w:rsid w:val="3E7E19E7"/>
    <w:rsid w:val="3E8572BF"/>
    <w:rsid w:val="3E917B82"/>
    <w:rsid w:val="3E9656A5"/>
    <w:rsid w:val="3E997463"/>
    <w:rsid w:val="3E9F7600"/>
    <w:rsid w:val="3ECD5479"/>
    <w:rsid w:val="3ED62B90"/>
    <w:rsid w:val="3EE34DD3"/>
    <w:rsid w:val="3EF434CC"/>
    <w:rsid w:val="3EFB6FF7"/>
    <w:rsid w:val="3EFF0A75"/>
    <w:rsid w:val="3F1054CE"/>
    <w:rsid w:val="3F2534F3"/>
    <w:rsid w:val="3F3A1B65"/>
    <w:rsid w:val="3F3A5EB9"/>
    <w:rsid w:val="3F522210"/>
    <w:rsid w:val="3F544AF6"/>
    <w:rsid w:val="3F5C361D"/>
    <w:rsid w:val="3F5E64F5"/>
    <w:rsid w:val="3F656E2C"/>
    <w:rsid w:val="3F6D5029"/>
    <w:rsid w:val="3F92376D"/>
    <w:rsid w:val="3F9C1CD6"/>
    <w:rsid w:val="3FB035B9"/>
    <w:rsid w:val="3FC45A80"/>
    <w:rsid w:val="3FDE13B9"/>
    <w:rsid w:val="3FE029F1"/>
    <w:rsid w:val="3FE457AE"/>
    <w:rsid w:val="3FE57701"/>
    <w:rsid w:val="400C4E03"/>
    <w:rsid w:val="40126EBB"/>
    <w:rsid w:val="401A4D54"/>
    <w:rsid w:val="40262C07"/>
    <w:rsid w:val="404104F9"/>
    <w:rsid w:val="404209E3"/>
    <w:rsid w:val="40451C67"/>
    <w:rsid w:val="404A1B2B"/>
    <w:rsid w:val="404A601E"/>
    <w:rsid w:val="404C52F4"/>
    <w:rsid w:val="405C0FC1"/>
    <w:rsid w:val="40714EE8"/>
    <w:rsid w:val="40733CBA"/>
    <w:rsid w:val="407A4DF7"/>
    <w:rsid w:val="40B16CC2"/>
    <w:rsid w:val="40B81BAD"/>
    <w:rsid w:val="40BB2365"/>
    <w:rsid w:val="40D23962"/>
    <w:rsid w:val="40D61BC8"/>
    <w:rsid w:val="40DC4F1D"/>
    <w:rsid w:val="40DF2097"/>
    <w:rsid w:val="40E71ABD"/>
    <w:rsid w:val="413C11C7"/>
    <w:rsid w:val="41447F0E"/>
    <w:rsid w:val="414733E0"/>
    <w:rsid w:val="41566753"/>
    <w:rsid w:val="416A21FA"/>
    <w:rsid w:val="416B09D7"/>
    <w:rsid w:val="417D1E08"/>
    <w:rsid w:val="417D5552"/>
    <w:rsid w:val="4188208C"/>
    <w:rsid w:val="419B51EE"/>
    <w:rsid w:val="41B11897"/>
    <w:rsid w:val="41C57D35"/>
    <w:rsid w:val="41F34606"/>
    <w:rsid w:val="4200399D"/>
    <w:rsid w:val="420E20BD"/>
    <w:rsid w:val="421647B9"/>
    <w:rsid w:val="42263E3B"/>
    <w:rsid w:val="422C70F1"/>
    <w:rsid w:val="423C6CFA"/>
    <w:rsid w:val="42442693"/>
    <w:rsid w:val="428D1B97"/>
    <w:rsid w:val="42B608A5"/>
    <w:rsid w:val="42BC6C8F"/>
    <w:rsid w:val="42C5446D"/>
    <w:rsid w:val="42E94337"/>
    <w:rsid w:val="43031943"/>
    <w:rsid w:val="431327F1"/>
    <w:rsid w:val="43182DB2"/>
    <w:rsid w:val="4368020C"/>
    <w:rsid w:val="4368794F"/>
    <w:rsid w:val="436D0FB5"/>
    <w:rsid w:val="437518D1"/>
    <w:rsid w:val="438D1E49"/>
    <w:rsid w:val="43B23B98"/>
    <w:rsid w:val="43C80076"/>
    <w:rsid w:val="43D8550E"/>
    <w:rsid w:val="43DC0C7D"/>
    <w:rsid w:val="43EA69D8"/>
    <w:rsid w:val="44356D2F"/>
    <w:rsid w:val="44390E25"/>
    <w:rsid w:val="443F76A2"/>
    <w:rsid w:val="44433468"/>
    <w:rsid w:val="44437F9F"/>
    <w:rsid w:val="444F5C68"/>
    <w:rsid w:val="44613E6E"/>
    <w:rsid w:val="446A5324"/>
    <w:rsid w:val="447E7804"/>
    <w:rsid w:val="44943661"/>
    <w:rsid w:val="44A05C5C"/>
    <w:rsid w:val="44AC7417"/>
    <w:rsid w:val="44B16853"/>
    <w:rsid w:val="44EC11DD"/>
    <w:rsid w:val="450D5FAD"/>
    <w:rsid w:val="45172F07"/>
    <w:rsid w:val="451D5184"/>
    <w:rsid w:val="452F3716"/>
    <w:rsid w:val="453C65FD"/>
    <w:rsid w:val="454B256E"/>
    <w:rsid w:val="455D76E4"/>
    <w:rsid w:val="45646F33"/>
    <w:rsid w:val="45671007"/>
    <w:rsid w:val="456C331B"/>
    <w:rsid w:val="45A26739"/>
    <w:rsid w:val="45B07140"/>
    <w:rsid w:val="45C43431"/>
    <w:rsid w:val="45EE3358"/>
    <w:rsid w:val="46066722"/>
    <w:rsid w:val="461976C3"/>
    <w:rsid w:val="461C0664"/>
    <w:rsid w:val="463D42BA"/>
    <w:rsid w:val="46521A41"/>
    <w:rsid w:val="465D50F1"/>
    <w:rsid w:val="46771C91"/>
    <w:rsid w:val="467F06A4"/>
    <w:rsid w:val="4694259D"/>
    <w:rsid w:val="46A64B43"/>
    <w:rsid w:val="46AA5A85"/>
    <w:rsid w:val="46AC6264"/>
    <w:rsid w:val="46C01696"/>
    <w:rsid w:val="46C52BE0"/>
    <w:rsid w:val="46D118AB"/>
    <w:rsid w:val="46F30AEE"/>
    <w:rsid w:val="47123940"/>
    <w:rsid w:val="47204C1C"/>
    <w:rsid w:val="4726595C"/>
    <w:rsid w:val="47600773"/>
    <w:rsid w:val="47661F26"/>
    <w:rsid w:val="476E25F3"/>
    <w:rsid w:val="47783B12"/>
    <w:rsid w:val="477D5156"/>
    <w:rsid w:val="477F2265"/>
    <w:rsid w:val="47890AD6"/>
    <w:rsid w:val="478D2FF6"/>
    <w:rsid w:val="478F6037"/>
    <w:rsid w:val="4798720D"/>
    <w:rsid w:val="47BF7C9C"/>
    <w:rsid w:val="47C2246C"/>
    <w:rsid w:val="47CA5F05"/>
    <w:rsid w:val="47D410F9"/>
    <w:rsid w:val="47DA1720"/>
    <w:rsid w:val="47E11737"/>
    <w:rsid w:val="47E77D53"/>
    <w:rsid w:val="47EE48C0"/>
    <w:rsid w:val="47F35E3E"/>
    <w:rsid w:val="47FB766F"/>
    <w:rsid w:val="48064E6E"/>
    <w:rsid w:val="4808575C"/>
    <w:rsid w:val="480B439D"/>
    <w:rsid w:val="482F10F4"/>
    <w:rsid w:val="48606A0B"/>
    <w:rsid w:val="4862751B"/>
    <w:rsid w:val="486D78BB"/>
    <w:rsid w:val="48915636"/>
    <w:rsid w:val="48985F31"/>
    <w:rsid w:val="48AC6E35"/>
    <w:rsid w:val="48BD43A0"/>
    <w:rsid w:val="48C96968"/>
    <w:rsid w:val="48F84416"/>
    <w:rsid w:val="490874C4"/>
    <w:rsid w:val="491A6A98"/>
    <w:rsid w:val="491D4AAF"/>
    <w:rsid w:val="4926292B"/>
    <w:rsid w:val="49371235"/>
    <w:rsid w:val="494324F6"/>
    <w:rsid w:val="49455D20"/>
    <w:rsid w:val="497B341F"/>
    <w:rsid w:val="49B415EE"/>
    <w:rsid w:val="49B63FD6"/>
    <w:rsid w:val="49BF4D00"/>
    <w:rsid w:val="49D1562B"/>
    <w:rsid w:val="49DE1EF5"/>
    <w:rsid w:val="49E579C4"/>
    <w:rsid w:val="49EA2381"/>
    <w:rsid w:val="49F43753"/>
    <w:rsid w:val="49F54A10"/>
    <w:rsid w:val="49F94CE9"/>
    <w:rsid w:val="49FE0E45"/>
    <w:rsid w:val="4A040938"/>
    <w:rsid w:val="4A11169A"/>
    <w:rsid w:val="4A212635"/>
    <w:rsid w:val="4A2175B6"/>
    <w:rsid w:val="4A4260CB"/>
    <w:rsid w:val="4A611E1A"/>
    <w:rsid w:val="4A7055A6"/>
    <w:rsid w:val="4A9C47ED"/>
    <w:rsid w:val="4AA71D5E"/>
    <w:rsid w:val="4AAA6CA9"/>
    <w:rsid w:val="4AE008D2"/>
    <w:rsid w:val="4B0B3617"/>
    <w:rsid w:val="4B2815DF"/>
    <w:rsid w:val="4B473F5E"/>
    <w:rsid w:val="4B49191E"/>
    <w:rsid w:val="4B507FB2"/>
    <w:rsid w:val="4B647620"/>
    <w:rsid w:val="4B695935"/>
    <w:rsid w:val="4B7A55E6"/>
    <w:rsid w:val="4B82653E"/>
    <w:rsid w:val="4B894031"/>
    <w:rsid w:val="4B8C1A83"/>
    <w:rsid w:val="4B946154"/>
    <w:rsid w:val="4BB12731"/>
    <w:rsid w:val="4BE10A59"/>
    <w:rsid w:val="4BE123D1"/>
    <w:rsid w:val="4C0A534C"/>
    <w:rsid w:val="4C0F01F9"/>
    <w:rsid w:val="4C270B31"/>
    <w:rsid w:val="4C3202E6"/>
    <w:rsid w:val="4C4874E2"/>
    <w:rsid w:val="4C6370A1"/>
    <w:rsid w:val="4C736886"/>
    <w:rsid w:val="4C7F7CEF"/>
    <w:rsid w:val="4C821AA7"/>
    <w:rsid w:val="4CA43125"/>
    <w:rsid w:val="4CAC2A11"/>
    <w:rsid w:val="4CB01CB9"/>
    <w:rsid w:val="4CCD33EA"/>
    <w:rsid w:val="4CCF426B"/>
    <w:rsid w:val="4CFE069C"/>
    <w:rsid w:val="4D033F9C"/>
    <w:rsid w:val="4D055E23"/>
    <w:rsid w:val="4D0C7472"/>
    <w:rsid w:val="4D1A0713"/>
    <w:rsid w:val="4D2433AC"/>
    <w:rsid w:val="4D4A4A28"/>
    <w:rsid w:val="4D5D7D7F"/>
    <w:rsid w:val="4D625C01"/>
    <w:rsid w:val="4D8F350E"/>
    <w:rsid w:val="4D924E46"/>
    <w:rsid w:val="4D9877E4"/>
    <w:rsid w:val="4DBD22E7"/>
    <w:rsid w:val="4DC73507"/>
    <w:rsid w:val="4DDA6A5F"/>
    <w:rsid w:val="4DDB7205"/>
    <w:rsid w:val="4DDF772B"/>
    <w:rsid w:val="4DEB15AD"/>
    <w:rsid w:val="4DF87443"/>
    <w:rsid w:val="4E370600"/>
    <w:rsid w:val="4E435024"/>
    <w:rsid w:val="4E4E7E80"/>
    <w:rsid w:val="4E534A5B"/>
    <w:rsid w:val="4E5C5562"/>
    <w:rsid w:val="4E5F69A8"/>
    <w:rsid w:val="4E655726"/>
    <w:rsid w:val="4E754A02"/>
    <w:rsid w:val="4E95725E"/>
    <w:rsid w:val="4E9A6CF9"/>
    <w:rsid w:val="4EA65FD0"/>
    <w:rsid w:val="4ED33DCB"/>
    <w:rsid w:val="4ED46C4F"/>
    <w:rsid w:val="4EE34782"/>
    <w:rsid w:val="4EE63F4F"/>
    <w:rsid w:val="4F007E65"/>
    <w:rsid w:val="4F0A1AF8"/>
    <w:rsid w:val="4F203D73"/>
    <w:rsid w:val="4F27252E"/>
    <w:rsid w:val="4F323E26"/>
    <w:rsid w:val="4F3913E8"/>
    <w:rsid w:val="4F501419"/>
    <w:rsid w:val="4F594DAC"/>
    <w:rsid w:val="4F6C3F07"/>
    <w:rsid w:val="4F787CF2"/>
    <w:rsid w:val="4F830574"/>
    <w:rsid w:val="4F8D5FB6"/>
    <w:rsid w:val="4F9753D7"/>
    <w:rsid w:val="4FA54804"/>
    <w:rsid w:val="4FBF34BA"/>
    <w:rsid w:val="4FCA2B98"/>
    <w:rsid w:val="4FCB218A"/>
    <w:rsid w:val="4FCE7BAE"/>
    <w:rsid w:val="4FFE4A87"/>
    <w:rsid w:val="500344EA"/>
    <w:rsid w:val="500B7B4C"/>
    <w:rsid w:val="503C3296"/>
    <w:rsid w:val="504B0F0D"/>
    <w:rsid w:val="50527689"/>
    <w:rsid w:val="506633AA"/>
    <w:rsid w:val="507237E3"/>
    <w:rsid w:val="50911DB8"/>
    <w:rsid w:val="50943033"/>
    <w:rsid w:val="509D389C"/>
    <w:rsid w:val="50A642FD"/>
    <w:rsid w:val="50AF647F"/>
    <w:rsid w:val="50BB317D"/>
    <w:rsid w:val="50D06E68"/>
    <w:rsid w:val="50D37C72"/>
    <w:rsid w:val="50E466DC"/>
    <w:rsid w:val="50EA1869"/>
    <w:rsid w:val="50FD00F4"/>
    <w:rsid w:val="50FF056E"/>
    <w:rsid w:val="510F2A7F"/>
    <w:rsid w:val="512746EF"/>
    <w:rsid w:val="51283E4C"/>
    <w:rsid w:val="51291D35"/>
    <w:rsid w:val="512B3A7F"/>
    <w:rsid w:val="51414399"/>
    <w:rsid w:val="515D5FD6"/>
    <w:rsid w:val="516A7012"/>
    <w:rsid w:val="51721A38"/>
    <w:rsid w:val="517754FF"/>
    <w:rsid w:val="517D016D"/>
    <w:rsid w:val="51A45867"/>
    <w:rsid w:val="51AD7250"/>
    <w:rsid w:val="51CF1465"/>
    <w:rsid w:val="51D1247D"/>
    <w:rsid w:val="51EC4955"/>
    <w:rsid w:val="51F067B7"/>
    <w:rsid w:val="52077D46"/>
    <w:rsid w:val="52187D0D"/>
    <w:rsid w:val="52361B9C"/>
    <w:rsid w:val="52362A26"/>
    <w:rsid w:val="523B0BAD"/>
    <w:rsid w:val="524B7169"/>
    <w:rsid w:val="5250515D"/>
    <w:rsid w:val="526921DD"/>
    <w:rsid w:val="5297132B"/>
    <w:rsid w:val="529F28D8"/>
    <w:rsid w:val="529F6FBB"/>
    <w:rsid w:val="52C076EC"/>
    <w:rsid w:val="52C25708"/>
    <w:rsid w:val="52C315CC"/>
    <w:rsid w:val="52CD10CA"/>
    <w:rsid w:val="52EB3A96"/>
    <w:rsid w:val="52EB6F11"/>
    <w:rsid w:val="52F0249E"/>
    <w:rsid w:val="5353575F"/>
    <w:rsid w:val="535B2E70"/>
    <w:rsid w:val="535C4E8B"/>
    <w:rsid w:val="536278AA"/>
    <w:rsid w:val="53673357"/>
    <w:rsid w:val="53676B5F"/>
    <w:rsid w:val="536E21FF"/>
    <w:rsid w:val="5385006E"/>
    <w:rsid w:val="538A4A6D"/>
    <w:rsid w:val="53B45677"/>
    <w:rsid w:val="53D15318"/>
    <w:rsid w:val="53DD2466"/>
    <w:rsid w:val="53E34323"/>
    <w:rsid w:val="53FC3987"/>
    <w:rsid w:val="5427381E"/>
    <w:rsid w:val="543B788E"/>
    <w:rsid w:val="54447CBB"/>
    <w:rsid w:val="545062A7"/>
    <w:rsid w:val="545C3555"/>
    <w:rsid w:val="54617320"/>
    <w:rsid w:val="547A28DC"/>
    <w:rsid w:val="54827775"/>
    <w:rsid w:val="54AC5134"/>
    <w:rsid w:val="54DE6078"/>
    <w:rsid w:val="54E86EBD"/>
    <w:rsid w:val="54F2526E"/>
    <w:rsid w:val="55075D9B"/>
    <w:rsid w:val="55184BBF"/>
    <w:rsid w:val="551874CA"/>
    <w:rsid w:val="551E6A56"/>
    <w:rsid w:val="552006D3"/>
    <w:rsid w:val="55301CB3"/>
    <w:rsid w:val="55327054"/>
    <w:rsid w:val="553A26BA"/>
    <w:rsid w:val="5556054C"/>
    <w:rsid w:val="55652653"/>
    <w:rsid w:val="55862A42"/>
    <w:rsid w:val="55990578"/>
    <w:rsid w:val="55A56891"/>
    <w:rsid w:val="55AC66CB"/>
    <w:rsid w:val="55C33131"/>
    <w:rsid w:val="55CD7903"/>
    <w:rsid w:val="55E172A0"/>
    <w:rsid w:val="55E24605"/>
    <w:rsid w:val="55F81C60"/>
    <w:rsid w:val="55FA0F14"/>
    <w:rsid w:val="56097F90"/>
    <w:rsid w:val="56133E90"/>
    <w:rsid w:val="56474D43"/>
    <w:rsid w:val="564C1D1D"/>
    <w:rsid w:val="565F1E2E"/>
    <w:rsid w:val="56670F45"/>
    <w:rsid w:val="566F1BE2"/>
    <w:rsid w:val="567B004B"/>
    <w:rsid w:val="56825178"/>
    <w:rsid w:val="568F784B"/>
    <w:rsid w:val="569C0124"/>
    <w:rsid w:val="56A17AE8"/>
    <w:rsid w:val="56C9634D"/>
    <w:rsid w:val="56D41BE8"/>
    <w:rsid w:val="56EC7A5D"/>
    <w:rsid w:val="56F4599D"/>
    <w:rsid w:val="570D0322"/>
    <w:rsid w:val="57180ACE"/>
    <w:rsid w:val="571B61B6"/>
    <w:rsid w:val="57213E7D"/>
    <w:rsid w:val="5723561B"/>
    <w:rsid w:val="572362C9"/>
    <w:rsid w:val="572F37C6"/>
    <w:rsid w:val="5736629C"/>
    <w:rsid w:val="57540996"/>
    <w:rsid w:val="57802A35"/>
    <w:rsid w:val="578C3658"/>
    <w:rsid w:val="57B66918"/>
    <w:rsid w:val="57BD6FCE"/>
    <w:rsid w:val="57D214D2"/>
    <w:rsid w:val="57DA1A42"/>
    <w:rsid w:val="57F64296"/>
    <w:rsid w:val="58002D08"/>
    <w:rsid w:val="58057728"/>
    <w:rsid w:val="581D1F94"/>
    <w:rsid w:val="582872BA"/>
    <w:rsid w:val="5829318A"/>
    <w:rsid w:val="582D7EE9"/>
    <w:rsid w:val="583343BB"/>
    <w:rsid w:val="583439B3"/>
    <w:rsid w:val="583B5787"/>
    <w:rsid w:val="586759C7"/>
    <w:rsid w:val="58C07CA9"/>
    <w:rsid w:val="58DE5A38"/>
    <w:rsid w:val="58FA7B16"/>
    <w:rsid w:val="58FB22A6"/>
    <w:rsid w:val="59003437"/>
    <w:rsid w:val="59182EE7"/>
    <w:rsid w:val="5921212C"/>
    <w:rsid w:val="59395687"/>
    <w:rsid w:val="594B0BC6"/>
    <w:rsid w:val="596F472F"/>
    <w:rsid w:val="5974345D"/>
    <w:rsid w:val="597534AA"/>
    <w:rsid w:val="59951C91"/>
    <w:rsid w:val="59982867"/>
    <w:rsid w:val="59A11ED6"/>
    <w:rsid w:val="59AB0DFC"/>
    <w:rsid w:val="59C1557F"/>
    <w:rsid w:val="59C8615E"/>
    <w:rsid w:val="59E771C2"/>
    <w:rsid w:val="59E84659"/>
    <w:rsid w:val="59FF2575"/>
    <w:rsid w:val="5A344FB0"/>
    <w:rsid w:val="5A360707"/>
    <w:rsid w:val="5A482568"/>
    <w:rsid w:val="5A5755C9"/>
    <w:rsid w:val="5A5A13C0"/>
    <w:rsid w:val="5A772EA3"/>
    <w:rsid w:val="5A7D29E6"/>
    <w:rsid w:val="5A821401"/>
    <w:rsid w:val="5A8A2B4B"/>
    <w:rsid w:val="5A9F5080"/>
    <w:rsid w:val="5AAB6618"/>
    <w:rsid w:val="5AC52E1B"/>
    <w:rsid w:val="5AE91049"/>
    <w:rsid w:val="5AEF582B"/>
    <w:rsid w:val="5B0B5334"/>
    <w:rsid w:val="5B1B7ACD"/>
    <w:rsid w:val="5B247C71"/>
    <w:rsid w:val="5B2A406A"/>
    <w:rsid w:val="5B2B06FA"/>
    <w:rsid w:val="5B392BD6"/>
    <w:rsid w:val="5B561D67"/>
    <w:rsid w:val="5B634F28"/>
    <w:rsid w:val="5B774FD6"/>
    <w:rsid w:val="5B814790"/>
    <w:rsid w:val="5B82237F"/>
    <w:rsid w:val="5B824855"/>
    <w:rsid w:val="5B856A19"/>
    <w:rsid w:val="5B88245B"/>
    <w:rsid w:val="5B8A0D7A"/>
    <w:rsid w:val="5B8B0F7C"/>
    <w:rsid w:val="5B9E05AD"/>
    <w:rsid w:val="5BBB1AC4"/>
    <w:rsid w:val="5BE11C63"/>
    <w:rsid w:val="5BF24E07"/>
    <w:rsid w:val="5BFB55EA"/>
    <w:rsid w:val="5C15792E"/>
    <w:rsid w:val="5C1A5869"/>
    <w:rsid w:val="5C2404DB"/>
    <w:rsid w:val="5C290BF2"/>
    <w:rsid w:val="5C4E1E1E"/>
    <w:rsid w:val="5C4F343B"/>
    <w:rsid w:val="5C6A79EB"/>
    <w:rsid w:val="5C912690"/>
    <w:rsid w:val="5C970365"/>
    <w:rsid w:val="5C9F632F"/>
    <w:rsid w:val="5CCB04A2"/>
    <w:rsid w:val="5CCD7E04"/>
    <w:rsid w:val="5CD51F6A"/>
    <w:rsid w:val="5CD6026B"/>
    <w:rsid w:val="5CE319F6"/>
    <w:rsid w:val="5CE42846"/>
    <w:rsid w:val="5CE9406B"/>
    <w:rsid w:val="5D0656E1"/>
    <w:rsid w:val="5D566DF5"/>
    <w:rsid w:val="5D5736EC"/>
    <w:rsid w:val="5D592213"/>
    <w:rsid w:val="5D7067ED"/>
    <w:rsid w:val="5D77660D"/>
    <w:rsid w:val="5D7A7C97"/>
    <w:rsid w:val="5D8A240A"/>
    <w:rsid w:val="5D8A4019"/>
    <w:rsid w:val="5D9907FA"/>
    <w:rsid w:val="5DCD4FAD"/>
    <w:rsid w:val="5DD45E20"/>
    <w:rsid w:val="5DD77F01"/>
    <w:rsid w:val="5DED6B90"/>
    <w:rsid w:val="5DF376B4"/>
    <w:rsid w:val="5DF974C4"/>
    <w:rsid w:val="5E150E16"/>
    <w:rsid w:val="5E156702"/>
    <w:rsid w:val="5E2C3CE8"/>
    <w:rsid w:val="5E480DBB"/>
    <w:rsid w:val="5E532C32"/>
    <w:rsid w:val="5E6B78B9"/>
    <w:rsid w:val="5E72530D"/>
    <w:rsid w:val="5E7B3471"/>
    <w:rsid w:val="5E811840"/>
    <w:rsid w:val="5EAC620C"/>
    <w:rsid w:val="5EB56E43"/>
    <w:rsid w:val="5EDB6E5E"/>
    <w:rsid w:val="5F050603"/>
    <w:rsid w:val="5F0F5BF5"/>
    <w:rsid w:val="5F1070E5"/>
    <w:rsid w:val="5F1242D6"/>
    <w:rsid w:val="5F137093"/>
    <w:rsid w:val="5F475DFB"/>
    <w:rsid w:val="5F4A6912"/>
    <w:rsid w:val="5F7C3B25"/>
    <w:rsid w:val="5FA342D5"/>
    <w:rsid w:val="5FA40581"/>
    <w:rsid w:val="5FBF418B"/>
    <w:rsid w:val="5FC03F1C"/>
    <w:rsid w:val="5FC128D4"/>
    <w:rsid w:val="5FC577B3"/>
    <w:rsid w:val="5FFB751D"/>
    <w:rsid w:val="5FFC1DCE"/>
    <w:rsid w:val="602423C7"/>
    <w:rsid w:val="603F2394"/>
    <w:rsid w:val="604357B5"/>
    <w:rsid w:val="604407B5"/>
    <w:rsid w:val="60487E62"/>
    <w:rsid w:val="605754AA"/>
    <w:rsid w:val="605A5C34"/>
    <w:rsid w:val="60630B92"/>
    <w:rsid w:val="606E4C0D"/>
    <w:rsid w:val="60935B47"/>
    <w:rsid w:val="60C76F62"/>
    <w:rsid w:val="60CE1254"/>
    <w:rsid w:val="60D321CB"/>
    <w:rsid w:val="60D467A9"/>
    <w:rsid w:val="60EA12BA"/>
    <w:rsid w:val="60EB3CE8"/>
    <w:rsid w:val="61034470"/>
    <w:rsid w:val="61041400"/>
    <w:rsid w:val="6108421E"/>
    <w:rsid w:val="610C08D6"/>
    <w:rsid w:val="611504BF"/>
    <w:rsid w:val="61233B56"/>
    <w:rsid w:val="6129287D"/>
    <w:rsid w:val="6132559A"/>
    <w:rsid w:val="613D0B8E"/>
    <w:rsid w:val="61422B22"/>
    <w:rsid w:val="61535DEE"/>
    <w:rsid w:val="6166167A"/>
    <w:rsid w:val="617020C2"/>
    <w:rsid w:val="61755B39"/>
    <w:rsid w:val="617A0C46"/>
    <w:rsid w:val="618B1EF3"/>
    <w:rsid w:val="61A33787"/>
    <w:rsid w:val="61A66AB4"/>
    <w:rsid w:val="61BC38FA"/>
    <w:rsid w:val="61BE0E4F"/>
    <w:rsid w:val="61C85E7F"/>
    <w:rsid w:val="61CD78CF"/>
    <w:rsid w:val="61DA14FE"/>
    <w:rsid w:val="61E53D34"/>
    <w:rsid w:val="61E73697"/>
    <w:rsid w:val="61EE3162"/>
    <w:rsid w:val="61F62056"/>
    <w:rsid w:val="620208E6"/>
    <w:rsid w:val="620E46C5"/>
    <w:rsid w:val="620F37AC"/>
    <w:rsid w:val="621536B2"/>
    <w:rsid w:val="621C707C"/>
    <w:rsid w:val="621E0130"/>
    <w:rsid w:val="62271A32"/>
    <w:rsid w:val="62443907"/>
    <w:rsid w:val="6245212D"/>
    <w:rsid w:val="624B2E9D"/>
    <w:rsid w:val="62504ABA"/>
    <w:rsid w:val="62510C1A"/>
    <w:rsid w:val="62607DE0"/>
    <w:rsid w:val="62757089"/>
    <w:rsid w:val="62AE05DB"/>
    <w:rsid w:val="62B60A29"/>
    <w:rsid w:val="62BA5EE7"/>
    <w:rsid w:val="62F04E93"/>
    <w:rsid w:val="62F14EED"/>
    <w:rsid w:val="62FF3767"/>
    <w:rsid w:val="63074094"/>
    <w:rsid w:val="63256E52"/>
    <w:rsid w:val="6337684E"/>
    <w:rsid w:val="63403C73"/>
    <w:rsid w:val="6351410B"/>
    <w:rsid w:val="635D4427"/>
    <w:rsid w:val="635F082F"/>
    <w:rsid w:val="63710CD7"/>
    <w:rsid w:val="639A0C81"/>
    <w:rsid w:val="63A00543"/>
    <w:rsid w:val="63BE2991"/>
    <w:rsid w:val="63D672A4"/>
    <w:rsid w:val="63E900E8"/>
    <w:rsid w:val="63F105D2"/>
    <w:rsid w:val="64003000"/>
    <w:rsid w:val="64020FD8"/>
    <w:rsid w:val="640B49C1"/>
    <w:rsid w:val="64156CD8"/>
    <w:rsid w:val="64413D22"/>
    <w:rsid w:val="64470699"/>
    <w:rsid w:val="644B6CD5"/>
    <w:rsid w:val="646253D3"/>
    <w:rsid w:val="64627D01"/>
    <w:rsid w:val="6473435B"/>
    <w:rsid w:val="64864D44"/>
    <w:rsid w:val="64A01013"/>
    <w:rsid w:val="64C76164"/>
    <w:rsid w:val="64D3186F"/>
    <w:rsid w:val="64EF2266"/>
    <w:rsid w:val="64F33559"/>
    <w:rsid w:val="64FD2EEA"/>
    <w:rsid w:val="64FF1ABC"/>
    <w:rsid w:val="650E3520"/>
    <w:rsid w:val="654069DE"/>
    <w:rsid w:val="65413B3E"/>
    <w:rsid w:val="654B3E81"/>
    <w:rsid w:val="655555A6"/>
    <w:rsid w:val="655F14F0"/>
    <w:rsid w:val="65660277"/>
    <w:rsid w:val="656E6D13"/>
    <w:rsid w:val="65990AED"/>
    <w:rsid w:val="65A63707"/>
    <w:rsid w:val="65A80F59"/>
    <w:rsid w:val="65AA319F"/>
    <w:rsid w:val="65AC5539"/>
    <w:rsid w:val="65BB595A"/>
    <w:rsid w:val="65F22562"/>
    <w:rsid w:val="65F65692"/>
    <w:rsid w:val="660C7338"/>
    <w:rsid w:val="66160250"/>
    <w:rsid w:val="66407FD5"/>
    <w:rsid w:val="665346CA"/>
    <w:rsid w:val="6661498D"/>
    <w:rsid w:val="666B3926"/>
    <w:rsid w:val="668C5B9C"/>
    <w:rsid w:val="6692619A"/>
    <w:rsid w:val="66A421AD"/>
    <w:rsid w:val="66C77BCC"/>
    <w:rsid w:val="66CF58C8"/>
    <w:rsid w:val="66D00FF0"/>
    <w:rsid w:val="66E50A5C"/>
    <w:rsid w:val="66E5305A"/>
    <w:rsid w:val="66FA0A76"/>
    <w:rsid w:val="670314C2"/>
    <w:rsid w:val="670A28DD"/>
    <w:rsid w:val="671A6AF0"/>
    <w:rsid w:val="671F2137"/>
    <w:rsid w:val="67256725"/>
    <w:rsid w:val="672C3BD3"/>
    <w:rsid w:val="67441F0C"/>
    <w:rsid w:val="674465E9"/>
    <w:rsid w:val="67594618"/>
    <w:rsid w:val="675B3954"/>
    <w:rsid w:val="676B6466"/>
    <w:rsid w:val="67954429"/>
    <w:rsid w:val="67C47F84"/>
    <w:rsid w:val="67D85572"/>
    <w:rsid w:val="67DD10E7"/>
    <w:rsid w:val="67E51A4F"/>
    <w:rsid w:val="67E81C89"/>
    <w:rsid w:val="67F16AAB"/>
    <w:rsid w:val="67FC2A34"/>
    <w:rsid w:val="68022928"/>
    <w:rsid w:val="68163291"/>
    <w:rsid w:val="68244FDF"/>
    <w:rsid w:val="682634A6"/>
    <w:rsid w:val="68335612"/>
    <w:rsid w:val="683D75EE"/>
    <w:rsid w:val="683F6341"/>
    <w:rsid w:val="68413BF7"/>
    <w:rsid w:val="684A3899"/>
    <w:rsid w:val="68516552"/>
    <w:rsid w:val="685D249D"/>
    <w:rsid w:val="68600066"/>
    <w:rsid w:val="6861776A"/>
    <w:rsid w:val="687222C2"/>
    <w:rsid w:val="6879445C"/>
    <w:rsid w:val="687A5897"/>
    <w:rsid w:val="687D194E"/>
    <w:rsid w:val="68945561"/>
    <w:rsid w:val="689D6C87"/>
    <w:rsid w:val="68A05E34"/>
    <w:rsid w:val="68A4599C"/>
    <w:rsid w:val="68AD0074"/>
    <w:rsid w:val="68D4182F"/>
    <w:rsid w:val="68DA458B"/>
    <w:rsid w:val="68E565D8"/>
    <w:rsid w:val="68ED4DA7"/>
    <w:rsid w:val="68FC5EBD"/>
    <w:rsid w:val="690B4797"/>
    <w:rsid w:val="69122538"/>
    <w:rsid w:val="69194FE8"/>
    <w:rsid w:val="691F4315"/>
    <w:rsid w:val="69544350"/>
    <w:rsid w:val="69703FA0"/>
    <w:rsid w:val="69997B9C"/>
    <w:rsid w:val="69A84304"/>
    <w:rsid w:val="69B52A42"/>
    <w:rsid w:val="69B67148"/>
    <w:rsid w:val="69BE4DB3"/>
    <w:rsid w:val="69CF0E91"/>
    <w:rsid w:val="69CF0ED8"/>
    <w:rsid w:val="69D52B56"/>
    <w:rsid w:val="69D54DDD"/>
    <w:rsid w:val="69E028D2"/>
    <w:rsid w:val="69E874BD"/>
    <w:rsid w:val="69F54308"/>
    <w:rsid w:val="6A0A7A54"/>
    <w:rsid w:val="6A2622A1"/>
    <w:rsid w:val="6A2E63E0"/>
    <w:rsid w:val="6A35577F"/>
    <w:rsid w:val="6A3A22EA"/>
    <w:rsid w:val="6A3F2D1D"/>
    <w:rsid w:val="6A592054"/>
    <w:rsid w:val="6A657606"/>
    <w:rsid w:val="6A777087"/>
    <w:rsid w:val="6A820574"/>
    <w:rsid w:val="6A99048F"/>
    <w:rsid w:val="6AA077DB"/>
    <w:rsid w:val="6AA47C92"/>
    <w:rsid w:val="6AB909BB"/>
    <w:rsid w:val="6ABA0C51"/>
    <w:rsid w:val="6ABD020C"/>
    <w:rsid w:val="6AD773F8"/>
    <w:rsid w:val="6ADD6D64"/>
    <w:rsid w:val="6B0F06C2"/>
    <w:rsid w:val="6B2B6878"/>
    <w:rsid w:val="6B386843"/>
    <w:rsid w:val="6B633F4F"/>
    <w:rsid w:val="6B70680D"/>
    <w:rsid w:val="6B816F14"/>
    <w:rsid w:val="6B8A298B"/>
    <w:rsid w:val="6B8A779B"/>
    <w:rsid w:val="6BAD6C20"/>
    <w:rsid w:val="6BB456BB"/>
    <w:rsid w:val="6BB62A44"/>
    <w:rsid w:val="6BD81D0A"/>
    <w:rsid w:val="6BDC686D"/>
    <w:rsid w:val="6BE052CE"/>
    <w:rsid w:val="6BF2692A"/>
    <w:rsid w:val="6BF358A4"/>
    <w:rsid w:val="6C051F4E"/>
    <w:rsid w:val="6C096C12"/>
    <w:rsid w:val="6C1A5960"/>
    <w:rsid w:val="6C417EB8"/>
    <w:rsid w:val="6C613F45"/>
    <w:rsid w:val="6C756221"/>
    <w:rsid w:val="6C7B08BB"/>
    <w:rsid w:val="6C816AF9"/>
    <w:rsid w:val="6C846694"/>
    <w:rsid w:val="6CA841D2"/>
    <w:rsid w:val="6CB10385"/>
    <w:rsid w:val="6CDF0F3A"/>
    <w:rsid w:val="6CE47854"/>
    <w:rsid w:val="6D0D25B8"/>
    <w:rsid w:val="6D490A6B"/>
    <w:rsid w:val="6D582A6D"/>
    <w:rsid w:val="6D604FD1"/>
    <w:rsid w:val="6D635FBA"/>
    <w:rsid w:val="6D6534EB"/>
    <w:rsid w:val="6D6C0EA8"/>
    <w:rsid w:val="6D732F9C"/>
    <w:rsid w:val="6D750C85"/>
    <w:rsid w:val="6D9239A2"/>
    <w:rsid w:val="6DB664EE"/>
    <w:rsid w:val="6DBC6250"/>
    <w:rsid w:val="6DC64BAC"/>
    <w:rsid w:val="6E037AD7"/>
    <w:rsid w:val="6E056523"/>
    <w:rsid w:val="6E074EC9"/>
    <w:rsid w:val="6E160E52"/>
    <w:rsid w:val="6E2E569B"/>
    <w:rsid w:val="6E4064F1"/>
    <w:rsid w:val="6E4E39FC"/>
    <w:rsid w:val="6E5545BD"/>
    <w:rsid w:val="6E5D1964"/>
    <w:rsid w:val="6E614B19"/>
    <w:rsid w:val="6E616F13"/>
    <w:rsid w:val="6E7369B5"/>
    <w:rsid w:val="6E7B5CAB"/>
    <w:rsid w:val="6EAA56FE"/>
    <w:rsid w:val="6EB37B5B"/>
    <w:rsid w:val="6EBE6FBB"/>
    <w:rsid w:val="6ED70BA2"/>
    <w:rsid w:val="6EDB7671"/>
    <w:rsid w:val="6EF77260"/>
    <w:rsid w:val="6F2302E3"/>
    <w:rsid w:val="6F314C13"/>
    <w:rsid w:val="6F382FA6"/>
    <w:rsid w:val="6F391F60"/>
    <w:rsid w:val="6F450067"/>
    <w:rsid w:val="6F694006"/>
    <w:rsid w:val="6F6C5490"/>
    <w:rsid w:val="6F761900"/>
    <w:rsid w:val="6F8F655F"/>
    <w:rsid w:val="6FA71AD5"/>
    <w:rsid w:val="6FAF2607"/>
    <w:rsid w:val="6FD47D24"/>
    <w:rsid w:val="6FE17D06"/>
    <w:rsid w:val="6FF536DD"/>
    <w:rsid w:val="6FFD71B3"/>
    <w:rsid w:val="700D2412"/>
    <w:rsid w:val="70112883"/>
    <w:rsid w:val="70243856"/>
    <w:rsid w:val="70336A8A"/>
    <w:rsid w:val="703F2471"/>
    <w:rsid w:val="704B4131"/>
    <w:rsid w:val="70531ED5"/>
    <w:rsid w:val="705A528C"/>
    <w:rsid w:val="7068062C"/>
    <w:rsid w:val="707F47B3"/>
    <w:rsid w:val="70954F53"/>
    <w:rsid w:val="70A94A40"/>
    <w:rsid w:val="70D80F32"/>
    <w:rsid w:val="70D97C76"/>
    <w:rsid w:val="70F76E40"/>
    <w:rsid w:val="711337D0"/>
    <w:rsid w:val="713173E8"/>
    <w:rsid w:val="71420658"/>
    <w:rsid w:val="7143472C"/>
    <w:rsid w:val="71440341"/>
    <w:rsid w:val="71531561"/>
    <w:rsid w:val="71597148"/>
    <w:rsid w:val="716D089C"/>
    <w:rsid w:val="71715206"/>
    <w:rsid w:val="71743A1D"/>
    <w:rsid w:val="71774D56"/>
    <w:rsid w:val="71901CEF"/>
    <w:rsid w:val="719438F4"/>
    <w:rsid w:val="719D7F3F"/>
    <w:rsid w:val="71B55DFD"/>
    <w:rsid w:val="71B834E8"/>
    <w:rsid w:val="71D0750E"/>
    <w:rsid w:val="71D803D1"/>
    <w:rsid w:val="71E501C6"/>
    <w:rsid w:val="71F40A44"/>
    <w:rsid w:val="7202163F"/>
    <w:rsid w:val="723B04C8"/>
    <w:rsid w:val="724E6817"/>
    <w:rsid w:val="72600D68"/>
    <w:rsid w:val="72604620"/>
    <w:rsid w:val="726B02C1"/>
    <w:rsid w:val="726D2C67"/>
    <w:rsid w:val="729A0F74"/>
    <w:rsid w:val="72F03574"/>
    <w:rsid w:val="72F77CB6"/>
    <w:rsid w:val="731438BD"/>
    <w:rsid w:val="733155C8"/>
    <w:rsid w:val="73422D3C"/>
    <w:rsid w:val="73625723"/>
    <w:rsid w:val="737007D9"/>
    <w:rsid w:val="738B5B50"/>
    <w:rsid w:val="73AA53A0"/>
    <w:rsid w:val="73B04F6B"/>
    <w:rsid w:val="73D20D1A"/>
    <w:rsid w:val="73E168D2"/>
    <w:rsid w:val="73E873C4"/>
    <w:rsid w:val="73F07AA4"/>
    <w:rsid w:val="74010DBC"/>
    <w:rsid w:val="74054701"/>
    <w:rsid w:val="740D2C3F"/>
    <w:rsid w:val="74135925"/>
    <w:rsid w:val="742827DB"/>
    <w:rsid w:val="742D6CA9"/>
    <w:rsid w:val="742E58A2"/>
    <w:rsid w:val="74525628"/>
    <w:rsid w:val="745F06BF"/>
    <w:rsid w:val="746C713B"/>
    <w:rsid w:val="748D2368"/>
    <w:rsid w:val="749217E0"/>
    <w:rsid w:val="74B22D8C"/>
    <w:rsid w:val="74C26B38"/>
    <w:rsid w:val="74C55FC1"/>
    <w:rsid w:val="74CC7EC1"/>
    <w:rsid w:val="74DA7552"/>
    <w:rsid w:val="74E41FDD"/>
    <w:rsid w:val="74EF6361"/>
    <w:rsid w:val="74F347DF"/>
    <w:rsid w:val="74FA7FE6"/>
    <w:rsid w:val="74FD4A9B"/>
    <w:rsid w:val="751D43A6"/>
    <w:rsid w:val="75453AE1"/>
    <w:rsid w:val="75573AC9"/>
    <w:rsid w:val="75595449"/>
    <w:rsid w:val="758B283A"/>
    <w:rsid w:val="75BD313A"/>
    <w:rsid w:val="75BF6D3D"/>
    <w:rsid w:val="75DC1EF4"/>
    <w:rsid w:val="75E50837"/>
    <w:rsid w:val="75EF5520"/>
    <w:rsid w:val="75F63713"/>
    <w:rsid w:val="76143A54"/>
    <w:rsid w:val="7637074A"/>
    <w:rsid w:val="763B63B0"/>
    <w:rsid w:val="764772A3"/>
    <w:rsid w:val="767B7960"/>
    <w:rsid w:val="769A6195"/>
    <w:rsid w:val="76A44430"/>
    <w:rsid w:val="76A71FBB"/>
    <w:rsid w:val="76AA5D81"/>
    <w:rsid w:val="76AB50DC"/>
    <w:rsid w:val="76BB3C83"/>
    <w:rsid w:val="76C80EC7"/>
    <w:rsid w:val="76F73D47"/>
    <w:rsid w:val="77006E1F"/>
    <w:rsid w:val="77032A24"/>
    <w:rsid w:val="771670C1"/>
    <w:rsid w:val="772C16E9"/>
    <w:rsid w:val="77656BFE"/>
    <w:rsid w:val="77683E14"/>
    <w:rsid w:val="77734EA5"/>
    <w:rsid w:val="77A06542"/>
    <w:rsid w:val="77A922C9"/>
    <w:rsid w:val="77AC049C"/>
    <w:rsid w:val="77B23714"/>
    <w:rsid w:val="77BB772D"/>
    <w:rsid w:val="77D43FD2"/>
    <w:rsid w:val="77FA155A"/>
    <w:rsid w:val="781137AD"/>
    <w:rsid w:val="781D13FA"/>
    <w:rsid w:val="782817E9"/>
    <w:rsid w:val="78555C26"/>
    <w:rsid w:val="78640057"/>
    <w:rsid w:val="78810787"/>
    <w:rsid w:val="78826969"/>
    <w:rsid w:val="788E3AAC"/>
    <w:rsid w:val="78B515B5"/>
    <w:rsid w:val="78C21620"/>
    <w:rsid w:val="78CE2D76"/>
    <w:rsid w:val="78EE2375"/>
    <w:rsid w:val="78FA244C"/>
    <w:rsid w:val="78FE1B78"/>
    <w:rsid w:val="79024116"/>
    <w:rsid w:val="790B5E4F"/>
    <w:rsid w:val="790D572F"/>
    <w:rsid w:val="79233654"/>
    <w:rsid w:val="79455569"/>
    <w:rsid w:val="79470AE2"/>
    <w:rsid w:val="795123A8"/>
    <w:rsid w:val="79535AC3"/>
    <w:rsid w:val="79620961"/>
    <w:rsid w:val="79987ED2"/>
    <w:rsid w:val="79AE1AE3"/>
    <w:rsid w:val="79AE77FB"/>
    <w:rsid w:val="79B85AA8"/>
    <w:rsid w:val="79C342A8"/>
    <w:rsid w:val="79C34F9F"/>
    <w:rsid w:val="79C81B6A"/>
    <w:rsid w:val="79E83652"/>
    <w:rsid w:val="79EF6059"/>
    <w:rsid w:val="7A074D7D"/>
    <w:rsid w:val="7A1053E1"/>
    <w:rsid w:val="7A17618B"/>
    <w:rsid w:val="7A1E05C7"/>
    <w:rsid w:val="7A3F1ABF"/>
    <w:rsid w:val="7A413A99"/>
    <w:rsid w:val="7A4642A9"/>
    <w:rsid w:val="7A4B6B30"/>
    <w:rsid w:val="7A5D3D51"/>
    <w:rsid w:val="7A5F0CF7"/>
    <w:rsid w:val="7A675EA5"/>
    <w:rsid w:val="7A6B3865"/>
    <w:rsid w:val="7A7041ED"/>
    <w:rsid w:val="7A832390"/>
    <w:rsid w:val="7A92679C"/>
    <w:rsid w:val="7A955810"/>
    <w:rsid w:val="7A985E92"/>
    <w:rsid w:val="7A9C2E47"/>
    <w:rsid w:val="7A9E009C"/>
    <w:rsid w:val="7AC019FF"/>
    <w:rsid w:val="7ACA6FB9"/>
    <w:rsid w:val="7AF46C5F"/>
    <w:rsid w:val="7AF91BCC"/>
    <w:rsid w:val="7B0C5BAE"/>
    <w:rsid w:val="7B2374FE"/>
    <w:rsid w:val="7B34342A"/>
    <w:rsid w:val="7B3873CB"/>
    <w:rsid w:val="7B496993"/>
    <w:rsid w:val="7B783675"/>
    <w:rsid w:val="7B796807"/>
    <w:rsid w:val="7B87432C"/>
    <w:rsid w:val="7BAC2D3A"/>
    <w:rsid w:val="7BAE3C97"/>
    <w:rsid w:val="7BB16076"/>
    <w:rsid w:val="7BB46DB9"/>
    <w:rsid w:val="7BC02341"/>
    <w:rsid w:val="7BD74454"/>
    <w:rsid w:val="7BE96DEC"/>
    <w:rsid w:val="7C021A51"/>
    <w:rsid w:val="7C033C13"/>
    <w:rsid w:val="7C041A0F"/>
    <w:rsid w:val="7C110306"/>
    <w:rsid w:val="7C212B8A"/>
    <w:rsid w:val="7C8464A1"/>
    <w:rsid w:val="7C9D2D7B"/>
    <w:rsid w:val="7CA26867"/>
    <w:rsid w:val="7CB43A8E"/>
    <w:rsid w:val="7CC106AB"/>
    <w:rsid w:val="7CCD3387"/>
    <w:rsid w:val="7CDF4250"/>
    <w:rsid w:val="7D09113D"/>
    <w:rsid w:val="7D157A0E"/>
    <w:rsid w:val="7D1658AD"/>
    <w:rsid w:val="7D1D4159"/>
    <w:rsid w:val="7D243099"/>
    <w:rsid w:val="7D4B3993"/>
    <w:rsid w:val="7D5F5E30"/>
    <w:rsid w:val="7D6C208F"/>
    <w:rsid w:val="7D897D56"/>
    <w:rsid w:val="7D9B14E5"/>
    <w:rsid w:val="7DAA42B2"/>
    <w:rsid w:val="7DAA569A"/>
    <w:rsid w:val="7DB1501E"/>
    <w:rsid w:val="7DB676D9"/>
    <w:rsid w:val="7DBE16CF"/>
    <w:rsid w:val="7DC37DE3"/>
    <w:rsid w:val="7DD45912"/>
    <w:rsid w:val="7E0D4E8F"/>
    <w:rsid w:val="7E107D04"/>
    <w:rsid w:val="7E202441"/>
    <w:rsid w:val="7E4B691E"/>
    <w:rsid w:val="7E616C7B"/>
    <w:rsid w:val="7E733A70"/>
    <w:rsid w:val="7E8A0780"/>
    <w:rsid w:val="7EA574A2"/>
    <w:rsid w:val="7EBB0DC0"/>
    <w:rsid w:val="7EC42E15"/>
    <w:rsid w:val="7EC50C54"/>
    <w:rsid w:val="7ED11A3C"/>
    <w:rsid w:val="7ED91C72"/>
    <w:rsid w:val="7EEB5BB3"/>
    <w:rsid w:val="7F1568D7"/>
    <w:rsid w:val="7F2E07C4"/>
    <w:rsid w:val="7F2E0D24"/>
    <w:rsid w:val="7F312E91"/>
    <w:rsid w:val="7F33645C"/>
    <w:rsid w:val="7F4E4DC2"/>
    <w:rsid w:val="7F66205C"/>
    <w:rsid w:val="7FA8327A"/>
    <w:rsid w:val="7FB32EED"/>
    <w:rsid w:val="7FB6358D"/>
    <w:rsid w:val="7FE07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unhideWhenUsed/>
    <w:qFormat/>
    <w:uiPriority w:val="0"/>
    <w:tblPr>
      <w:tblCellMar>
        <w:top w:w="0" w:type="dxa"/>
        <w:left w:w="0" w:type="dxa"/>
        <w:bottom w:w="0" w:type="dxa"/>
        <w:right w:w="0" w:type="dxa"/>
      </w:tblCellMar>
    </w:tblPr>
  </w:style>
  <w:style w:type="character" w:customStyle="1" w:styleId="9">
    <w:name w:val="font21"/>
    <w:basedOn w:val="7"/>
    <w:qFormat/>
    <w:uiPriority w:val="0"/>
    <w:rPr>
      <w:rFonts w:ascii="宋体" w:hAnsi="宋体" w:eastAsia="宋体" w:cs="宋体"/>
      <w:color w:val="000000"/>
      <w:sz w:val="14"/>
      <w:szCs w:val="14"/>
      <w:u w:val="none"/>
    </w:rPr>
  </w:style>
  <w:style w:type="character" w:customStyle="1" w:styleId="10">
    <w:name w:val="font11"/>
    <w:basedOn w:val="7"/>
    <w:qFormat/>
    <w:uiPriority w:val="0"/>
    <w:rPr>
      <w:rFonts w:ascii="FangSong_GB2312" w:eastAsia="FangSong_GB2312" w:cs="FangSong_GB2312"/>
      <w:color w:val="000000"/>
      <w:sz w:val="14"/>
      <w:szCs w:val="14"/>
      <w:u w:val="none"/>
    </w:rPr>
  </w:style>
  <w:style w:type="character" w:customStyle="1" w:styleId="11">
    <w:name w:val="font01"/>
    <w:basedOn w:val="7"/>
    <w:qFormat/>
    <w:uiPriority w:val="0"/>
    <w:rPr>
      <w:rFonts w:hint="default" w:ascii="FangSong_GB2312" w:eastAsia="FangSong_GB2312" w:cs="FangSong_GB2312"/>
      <w:color w:val="000000"/>
      <w:sz w:val="14"/>
      <w:szCs w:val="1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1114</Words>
  <Characters>6356</Characters>
  <Lines>52</Lines>
  <Paragraphs>14</Paragraphs>
  <TotalTime>4</TotalTime>
  <ScaleCrop>false</ScaleCrop>
  <LinksUpToDate>false</LinksUpToDate>
  <CharactersWithSpaces>7456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2023-04-23T08:56:00Z</dcterms:created>
  <dc:creator>新一天</dc:creator>
  <cp:lastModifiedBy>红蜻蜓</cp:lastModifiedBy>
  <cp:lastPrinted>2023-07-13T03:38:47Z</cp:lastPrinted>
  <dcterms:modified xsi:type="dcterms:W3CDTF">2023-07-13T03:40:56Z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0226AD256BF548D49A825839A6C060D3</vt:lpwstr>
  </property>
</Properties>
</file>