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eastAsia="zh-CN"/>
          <w14:textFill>
            <w14:solidFill>
              <w14:schemeClr w14:val="tx1"/>
            </w14:solidFill>
          </w14:textFill>
        </w:rPr>
        <w:t>附件</w:t>
      </w: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1</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right"/>
        <w:textAlignment w:val="auto"/>
        <w:rPr>
          <w:rFonts w:hint="eastAsia" w:ascii="方正小标宋简体" w:hAnsi="方正小标宋简体" w:eastAsia="方正小标宋简体" w:cs="方正小标宋简体"/>
          <w:b w:val="0"/>
          <w:bCs w:val="0"/>
          <w:color w:val="000000" w:themeColor="text1"/>
          <w:spacing w:val="2"/>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2022年度</w:t>
      </w:r>
      <w:r>
        <w:rPr>
          <w:rFonts w:hint="eastAsia" w:ascii="方正小标宋简体" w:hAnsi="方正小标宋简体" w:eastAsia="方正小标宋简体" w:cs="方正小标宋简体"/>
          <w:b w:val="0"/>
          <w:bCs w:val="0"/>
          <w:color w:val="000000" w:themeColor="text1"/>
          <w:spacing w:val="2"/>
          <w:sz w:val="42"/>
          <w:szCs w:val="42"/>
          <w:lang w:eastAsia="zh-CN"/>
          <w14:textFill>
            <w14:solidFill>
              <w14:schemeClr w14:val="tx1"/>
            </w14:solidFill>
          </w14:textFill>
        </w:rPr>
        <w:t>预算单位</w:t>
      </w: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整体支出绩效评价基础数据表</w:t>
      </w:r>
    </w:p>
    <w:p>
      <w:pPr>
        <w:spacing w:line="115" w:lineRule="exact"/>
        <w:rPr>
          <w:color w:val="000000" w:themeColor="text1"/>
          <w14:textFill>
            <w14:solidFill>
              <w14:schemeClr w14:val="tx1"/>
            </w14:solidFill>
          </w14:textFill>
        </w:rPr>
      </w:pPr>
    </w:p>
    <w:tbl>
      <w:tblPr>
        <w:tblStyle w:val="7"/>
        <w:tblW w:w="96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850"/>
        <w:gridCol w:w="825"/>
        <w:gridCol w:w="990"/>
        <w:gridCol w:w="1140"/>
        <w:gridCol w:w="1185"/>
        <w:gridCol w:w="810"/>
        <w:gridCol w:w="8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850" w:type="dxa"/>
            <w:tcBorders>
              <w:bottom w:val="nil"/>
            </w:tcBorders>
            <w:vAlign w:val="center"/>
          </w:tcPr>
          <w:p>
            <w:pPr>
              <w:spacing w:before="33" w:line="198" w:lineRule="auto"/>
              <w:ind w:right="118" w:rightChars="0"/>
              <w:jc w:val="center"/>
              <w:rPr>
                <w:rFonts w:hint="eastAsia" w:asciiTheme="majorEastAsia" w:hAnsiTheme="majorEastAsia" w:eastAsiaTheme="majorEastAsia" w:cstheme="majorEastAsia"/>
                <w:color w:val="000000" w:themeColor="text1"/>
                <w:spacing w:val="2"/>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预算</w:t>
            </w:r>
            <w:r>
              <w:rPr>
                <w:rFonts w:hint="eastAsia" w:asciiTheme="majorEastAsia" w:hAnsiTheme="majorEastAsia" w:eastAsiaTheme="majorEastAsia" w:cstheme="majorEastAsia"/>
                <w:color w:val="000000" w:themeColor="text1"/>
                <w:spacing w:val="2"/>
                <w:sz w:val="24"/>
                <w:szCs w:val="24"/>
                <w:lang w:eastAsia="zh-CN"/>
                <w14:textFill>
                  <w14:solidFill>
                    <w14:schemeClr w14:val="tx1"/>
                  </w14:solidFill>
                </w14:textFill>
              </w:rPr>
              <w:t>单位</w:t>
            </w: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名称</w:t>
            </w:r>
          </w:p>
        </w:tc>
        <w:tc>
          <w:tcPr>
            <w:tcW w:w="5819" w:type="dxa"/>
            <w:gridSpan w:val="6"/>
            <w:vAlign w:val="top"/>
          </w:tcPr>
          <w:p>
            <w:pPr>
              <w:spacing w:before="103" w:line="219" w:lineRule="auto"/>
              <w:ind w:left="708"/>
              <w:rPr>
                <w:rFonts w:hint="eastAsia" w:asciiTheme="majorEastAsia" w:hAnsiTheme="majorEastAsia" w:eastAsiaTheme="majorEastAsia" w:cstheme="majorEastAsia"/>
                <w:color w:val="000000" w:themeColor="text1"/>
                <w:spacing w:val="-2"/>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2"/>
                <w:sz w:val="20"/>
                <w:szCs w:val="20"/>
                <w14:textFill>
                  <w14:solidFill>
                    <w14:schemeClr w14:val="tx1"/>
                  </w14:solidFill>
                </w14:textFill>
              </w:rPr>
              <w:t>岳阳市生态环境保护综合行政执法支队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trPr>
        <w:tc>
          <w:tcPr>
            <w:tcW w:w="3850" w:type="dxa"/>
            <w:vMerge w:val="restart"/>
            <w:tcBorders>
              <w:bottom w:val="nil"/>
            </w:tcBorders>
            <w:vAlign w:val="top"/>
          </w:tcPr>
          <w:p>
            <w:pPr>
              <w:spacing w:before="262" w:line="219" w:lineRule="auto"/>
              <w:ind w:left="575"/>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财政供养人员情况(人)</w:t>
            </w:r>
          </w:p>
        </w:tc>
        <w:tc>
          <w:tcPr>
            <w:tcW w:w="1815" w:type="dxa"/>
            <w:gridSpan w:val="2"/>
            <w:vAlign w:val="top"/>
          </w:tcPr>
          <w:p>
            <w:pPr>
              <w:spacing w:before="103"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编制数</w:t>
            </w:r>
          </w:p>
        </w:tc>
        <w:tc>
          <w:tcPr>
            <w:tcW w:w="2325" w:type="dxa"/>
            <w:gridSpan w:val="2"/>
            <w:vAlign w:val="top"/>
          </w:tcPr>
          <w:p>
            <w:pPr>
              <w:spacing w:before="83"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2022年实际在职人数</w:t>
            </w:r>
          </w:p>
        </w:tc>
        <w:tc>
          <w:tcPr>
            <w:tcW w:w="1679" w:type="dxa"/>
            <w:gridSpan w:val="2"/>
            <w:vAlign w:val="top"/>
          </w:tcPr>
          <w:p>
            <w:pPr>
              <w:spacing w:before="103" w:line="219" w:lineRule="auto"/>
              <w:ind w:left="708"/>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控制率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Merge w:val="continue"/>
            <w:tcBorders>
              <w:top w:val="nil"/>
            </w:tcBorders>
            <w:vAlign w:val="top"/>
          </w:tcPr>
          <w:p>
            <w:pPr>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815" w:type="dxa"/>
            <w:gridSpan w:val="2"/>
            <w:vAlign w:val="top"/>
          </w:tcPr>
          <w:p>
            <w:pPr>
              <w:jc w:val="center"/>
              <w:rPr>
                <w:rFonts w:hint="default"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30</w:t>
            </w:r>
          </w:p>
        </w:tc>
        <w:tc>
          <w:tcPr>
            <w:tcW w:w="2325" w:type="dxa"/>
            <w:gridSpan w:val="2"/>
            <w:vAlign w:val="top"/>
          </w:tcPr>
          <w:p>
            <w:pPr>
              <w:jc w:val="center"/>
              <w:rPr>
                <w:rFonts w:hint="default"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30</w:t>
            </w:r>
          </w:p>
        </w:tc>
        <w:tc>
          <w:tcPr>
            <w:tcW w:w="1679" w:type="dxa"/>
            <w:gridSpan w:val="2"/>
            <w:vAlign w:val="top"/>
          </w:tcPr>
          <w:p>
            <w:pPr>
              <w:jc w:val="center"/>
              <w:rPr>
                <w:rFonts w:hint="default"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850" w:type="dxa"/>
            <w:vAlign w:val="top"/>
          </w:tcPr>
          <w:p>
            <w:pPr>
              <w:spacing w:before="140" w:line="202" w:lineRule="auto"/>
              <w:ind w:left="6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4"/>
                <w:sz w:val="24"/>
                <w:szCs w:val="24"/>
                <w14:textFill>
                  <w14:solidFill>
                    <w14:schemeClr w14:val="tx1"/>
                  </w14:solidFill>
                </w14:textFill>
              </w:rPr>
              <w:t>经费控制情况(万元)</w:t>
            </w:r>
          </w:p>
        </w:tc>
        <w:tc>
          <w:tcPr>
            <w:tcW w:w="1815" w:type="dxa"/>
            <w:gridSpan w:val="2"/>
            <w:vAlign w:val="top"/>
          </w:tcPr>
          <w:p>
            <w:pPr>
              <w:spacing w:before="119"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2021年决算数</w:t>
            </w:r>
          </w:p>
        </w:tc>
        <w:tc>
          <w:tcPr>
            <w:tcW w:w="2325" w:type="dxa"/>
            <w:gridSpan w:val="2"/>
            <w:vAlign w:val="top"/>
          </w:tcPr>
          <w:p>
            <w:pPr>
              <w:spacing w:before="119"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2022年预算数</w:t>
            </w:r>
          </w:p>
        </w:tc>
        <w:tc>
          <w:tcPr>
            <w:tcW w:w="1679" w:type="dxa"/>
            <w:gridSpan w:val="2"/>
            <w:vAlign w:val="top"/>
          </w:tcPr>
          <w:p>
            <w:pPr>
              <w:spacing w:before="76" w:line="219" w:lineRule="auto"/>
              <w:jc w:val="center"/>
              <w:rPr>
                <w:rFonts w:hint="eastAsia" w:asciiTheme="majorEastAsia" w:hAnsiTheme="majorEastAsia" w:eastAsiaTheme="majorEastAsia" w:cs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cstheme="majorEastAsia"/>
                <w:b w:val="0"/>
                <w:bCs w:val="0"/>
                <w:color w:val="000000" w:themeColor="text1"/>
                <w:spacing w:val="-4"/>
                <w:sz w:val="24"/>
                <w:szCs w:val="24"/>
                <w14:textFill>
                  <w14:solidFill>
                    <w14:schemeClr w14:val="tx1"/>
                  </w14:solidFill>
                </w14:textFill>
              </w:rPr>
              <w:t>2022年决算数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141" w:line="202" w:lineRule="auto"/>
              <w:ind w:left="1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三公经费</w:t>
            </w:r>
          </w:p>
        </w:tc>
        <w:tc>
          <w:tcPr>
            <w:tcW w:w="1815"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5.39</w:t>
            </w:r>
          </w:p>
        </w:tc>
        <w:tc>
          <w:tcPr>
            <w:tcW w:w="232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679" w:type="dxa"/>
            <w:gridSpan w:val="2"/>
            <w:vAlign w:val="top"/>
          </w:tcPr>
          <w:p>
            <w:pPr>
              <w:jc w:val="center"/>
              <w:rPr>
                <w:rFonts w:hint="default"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7.51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149" w:line="193" w:lineRule="auto"/>
              <w:ind w:left="4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1、公务用车购置和维护经费</w:t>
            </w:r>
          </w:p>
        </w:tc>
        <w:tc>
          <w:tcPr>
            <w:tcW w:w="1815"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5.39</w:t>
            </w:r>
          </w:p>
        </w:tc>
        <w:tc>
          <w:tcPr>
            <w:tcW w:w="2325"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11.00</w:t>
            </w:r>
          </w:p>
        </w:tc>
        <w:tc>
          <w:tcPr>
            <w:tcW w:w="1679" w:type="dxa"/>
            <w:gridSpan w:val="2"/>
            <w:vAlign w:val="top"/>
          </w:tcPr>
          <w:p>
            <w:pPr>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81" w:line="219" w:lineRule="auto"/>
              <w:ind w:left="8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其中：公车购置</w:t>
            </w:r>
          </w:p>
        </w:tc>
        <w:tc>
          <w:tcPr>
            <w:tcW w:w="181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232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1679" w:type="dxa"/>
            <w:gridSpan w:val="2"/>
            <w:vAlign w:val="top"/>
          </w:tcPr>
          <w:p>
            <w:pPr>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850" w:type="dxa"/>
            <w:vAlign w:val="top"/>
          </w:tcPr>
          <w:p>
            <w:pPr>
              <w:spacing w:before="91" w:line="219" w:lineRule="auto"/>
              <w:ind w:left="142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公车运行维护</w:t>
            </w:r>
          </w:p>
        </w:tc>
        <w:tc>
          <w:tcPr>
            <w:tcW w:w="1815"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5.39</w:t>
            </w:r>
          </w:p>
        </w:tc>
        <w:tc>
          <w:tcPr>
            <w:tcW w:w="2325"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11.00</w:t>
            </w:r>
          </w:p>
        </w:tc>
        <w:tc>
          <w:tcPr>
            <w:tcW w:w="1679" w:type="dxa"/>
            <w:gridSpan w:val="2"/>
            <w:vAlign w:val="top"/>
          </w:tcPr>
          <w:p>
            <w:pPr>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5.53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3850" w:type="dxa"/>
            <w:vAlign w:val="top"/>
          </w:tcPr>
          <w:p>
            <w:pPr>
              <w:spacing w:before="81" w:line="220"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2、出国经费</w:t>
            </w:r>
          </w:p>
        </w:tc>
        <w:tc>
          <w:tcPr>
            <w:tcW w:w="181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232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1679" w:type="dxa"/>
            <w:gridSpan w:val="2"/>
            <w:vAlign w:val="top"/>
          </w:tcPr>
          <w:p>
            <w:pPr>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82" w:line="219"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3、公务接待</w:t>
            </w:r>
          </w:p>
        </w:tc>
        <w:tc>
          <w:tcPr>
            <w:tcW w:w="181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2325"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9.00</w:t>
            </w:r>
          </w:p>
        </w:tc>
        <w:tc>
          <w:tcPr>
            <w:tcW w:w="1679" w:type="dxa"/>
            <w:gridSpan w:val="2"/>
            <w:vAlign w:val="top"/>
          </w:tcPr>
          <w:p>
            <w:pPr>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1.98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143" w:line="200" w:lineRule="auto"/>
              <w:ind w:left="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9"/>
                <w:sz w:val="24"/>
                <w:szCs w:val="24"/>
                <w14:textFill>
                  <w14:solidFill>
                    <w14:schemeClr w14:val="tx1"/>
                  </w14:solidFill>
                </w14:textFill>
              </w:rPr>
              <w:t>项目支出：</w:t>
            </w:r>
          </w:p>
        </w:tc>
        <w:tc>
          <w:tcPr>
            <w:tcW w:w="1815"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252.40</w:t>
            </w:r>
          </w:p>
        </w:tc>
        <w:tc>
          <w:tcPr>
            <w:tcW w:w="232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117.92</w:t>
            </w:r>
          </w:p>
        </w:tc>
        <w:tc>
          <w:tcPr>
            <w:tcW w:w="1679" w:type="dxa"/>
            <w:gridSpan w:val="2"/>
            <w:vAlign w:val="center"/>
          </w:tcPr>
          <w:p>
            <w:pPr>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71.51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Align w:val="top"/>
          </w:tcPr>
          <w:p>
            <w:pPr>
              <w:spacing w:before="133" w:line="200"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1、业务工作经费</w:t>
            </w:r>
          </w:p>
        </w:tc>
        <w:tc>
          <w:tcPr>
            <w:tcW w:w="181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232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53.92</w:t>
            </w:r>
          </w:p>
        </w:tc>
        <w:tc>
          <w:tcPr>
            <w:tcW w:w="1679" w:type="dxa"/>
            <w:gridSpan w:val="2"/>
            <w:vAlign w:val="top"/>
          </w:tcPr>
          <w:p>
            <w:pPr>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14.86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850" w:type="dxa"/>
            <w:vAlign w:val="top"/>
          </w:tcPr>
          <w:p>
            <w:pPr>
              <w:spacing w:before="143" w:line="209"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2、运行维护经费</w:t>
            </w:r>
          </w:p>
        </w:tc>
        <w:tc>
          <w:tcPr>
            <w:tcW w:w="181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w:t>
            </w:r>
          </w:p>
        </w:tc>
        <w:tc>
          <w:tcPr>
            <w:tcW w:w="232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1679" w:type="dxa"/>
            <w:gridSpan w:val="2"/>
            <w:vAlign w:val="center"/>
          </w:tcPr>
          <w:p>
            <w:pPr>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41.96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Align w:val="top"/>
          </w:tcPr>
          <w:p>
            <w:pPr>
              <w:jc w:val="left"/>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w:t>
            </w:r>
          </w:p>
        </w:tc>
        <w:tc>
          <w:tcPr>
            <w:tcW w:w="181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2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gridSpan w:val="2"/>
            <w:vAlign w:val="top"/>
          </w:tcPr>
          <w:p>
            <w:pPr>
              <w:jc w:val="center"/>
              <w:rPr>
                <w:rFonts w:hint="eastAsia" w:ascii="宋体" w:hAnsi="宋体" w:eastAsia="宋体" w:cs="宋体"/>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850" w:type="dxa"/>
            <w:vAlign w:val="top"/>
          </w:tcPr>
          <w:p>
            <w:pPr>
              <w:spacing w:before="93" w:line="219" w:lineRule="auto"/>
              <w:ind w:firstLine="488" w:firstLineChars="200"/>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3、</w:t>
            </w:r>
            <w:r>
              <w:rPr>
                <w:rFonts w:hint="eastAsia" w:asciiTheme="majorEastAsia" w:hAnsiTheme="majorEastAsia" w:eastAsiaTheme="majorEastAsia" w:cstheme="majorEastAsia"/>
                <w:color w:val="000000" w:themeColor="text1"/>
                <w:spacing w:val="2"/>
                <w:sz w:val="24"/>
                <w:szCs w:val="24"/>
                <w:lang w:eastAsia="zh-CN"/>
                <w14:textFill>
                  <w14:solidFill>
                    <w14:schemeClr w14:val="tx1"/>
                  </w14:solidFill>
                </w14:textFill>
              </w:rPr>
              <w:t>区</w:t>
            </w: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级专项资金</w:t>
            </w:r>
            <w:r>
              <w:rPr>
                <w:rFonts w:hint="eastAsia" w:asciiTheme="majorEastAsia" w:hAnsiTheme="majorEastAsia" w:eastAsiaTheme="majorEastAsia" w:cstheme="majorEastAsia"/>
                <w:color w:val="000000" w:themeColor="text1"/>
                <w:spacing w:val="2"/>
                <w:sz w:val="21"/>
                <w:szCs w:val="21"/>
                <w14:textFill>
                  <w14:solidFill>
                    <w14:schemeClr w14:val="tx1"/>
                  </w14:solidFill>
                </w14:textFill>
              </w:rPr>
              <w:t>(一个专项一行)</w:t>
            </w:r>
          </w:p>
        </w:tc>
        <w:tc>
          <w:tcPr>
            <w:tcW w:w="181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2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gridSpan w:val="2"/>
            <w:vAlign w:val="top"/>
          </w:tcPr>
          <w:p>
            <w:pPr>
              <w:jc w:val="center"/>
              <w:rPr>
                <w:rFonts w:hint="eastAsia" w:ascii="宋体" w:hAnsi="宋体" w:eastAsia="宋体" w:cs="宋体"/>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81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2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gridSpan w:val="2"/>
            <w:vAlign w:val="top"/>
          </w:tcPr>
          <w:p>
            <w:pPr>
              <w:jc w:val="center"/>
              <w:rPr>
                <w:rFonts w:hint="eastAsia" w:ascii="宋体" w:hAnsi="宋体" w:eastAsia="宋体" w:cs="宋体"/>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85" w:line="220" w:lineRule="auto"/>
              <w:ind w:firstLine="492" w:firstLineChars="200"/>
              <w:jc w:val="left"/>
              <w:rPr>
                <w:rFonts w:hint="eastAsia" w:asciiTheme="majorEastAsia" w:hAnsiTheme="majorEastAsia" w:eastAsiaTheme="majorEastAsia" w:cstheme="majorEastAsia"/>
                <w:color w:val="000000" w:themeColor="text1"/>
                <w:spacing w:val="3"/>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lang w:val="en-US" w:eastAsia="zh-CN"/>
                <w14:textFill>
                  <w14:solidFill>
                    <w14:schemeClr w14:val="tx1"/>
                  </w14:solidFill>
                </w14:textFill>
              </w:rPr>
              <w:t>4、上级转移支付</w:t>
            </w:r>
            <w:r>
              <w:rPr>
                <w:rFonts w:hint="eastAsia" w:asciiTheme="majorEastAsia" w:hAnsiTheme="majorEastAsia" w:eastAsiaTheme="majorEastAsia" w:cstheme="majorEastAsia"/>
                <w:color w:val="000000" w:themeColor="text1"/>
                <w:spacing w:val="2"/>
                <w:sz w:val="21"/>
                <w:szCs w:val="21"/>
                <w14:textFill>
                  <w14:solidFill>
                    <w14:schemeClr w14:val="tx1"/>
                  </w14:solidFill>
                </w14:textFill>
              </w:rPr>
              <w:t>(一个专项一行</w:t>
            </w:r>
            <w:r>
              <w:rPr>
                <w:rFonts w:hint="eastAsia" w:asciiTheme="majorEastAsia" w:hAnsiTheme="majorEastAsia" w:eastAsiaTheme="majorEastAsia" w:cstheme="majorEastAsia"/>
                <w:color w:val="000000" w:themeColor="text1"/>
                <w:spacing w:val="2"/>
                <w:sz w:val="21"/>
                <w:szCs w:val="21"/>
                <w:lang w:eastAsia="zh-CN"/>
                <w14:textFill>
                  <w14:solidFill>
                    <w14:schemeClr w14:val="tx1"/>
                  </w14:solidFill>
                </w14:textFill>
              </w:rPr>
              <w:t>）</w:t>
            </w:r>
          </w:p>
        </w:tc>
        <w:tc>
          <w:tcPr>
            <w:tcW w:w="181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2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gridSpan w:val="2"/>
            <w:vAlign w:val="top"/>
          </w:tcPr>
          <w:p>
            <w:pPr>
              <w:jc w:val="center"/>
              <w:rPr>
                <w:rFonts w:hint="eastAsia" w:ascii="宋体" w:hAnsi="宋体" w:eastAsia="宋体" w:cs="宋体"/>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85" w:line="220" w:lineRule="auto"/>
              <w:ind w:firstLine="492" w:firstLineChars="200"/>
              <w:jc w:val="left"/>
              <w:rPr>
                <w:rFonts w:hint="eastAsia" w:asciiTheme="majorEastAsia" w:hAnsiTheme="majorEastAsia" w:eastAsiaTheme="majorEastAsia" w:cstheme="majorEastAsia"/>
                <w:color w:val="000000" w:themeColor="text1"/>
                <w:spacing w:val="3"/>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lang w:val="en-US" w:eastAsia="zh-CN"/>
                <w14:textFill>
                  <w14:solidFill>
                    <w14:schemeClr w14:val="tx1"/>
                  </w14:solidFill>
                </w14:textFill>
              </w:rPr>
              <w:t>综合绩效奖和平安岳阳建设奖</w:t>
            </w:r>
          </w:p>
        </w:tc>
        <w:tc>
          <w:tcPr>
            <w:tcW w:w="181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232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64.00</w:t>
            </w:r>
          </w:p>
        </w:tc>
        <w:tc>
          <w:tcPr>
            <w:tcW w:w="1679" w:type="dxa"/>
            <w:gridSpan w:val="2"/>
            <w:vAlign w:val="top"/>
          </w:tcPr>
          <w:p>
            <w:pPr>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85" w:line="220" w:lineRule="auto"/>
              <w:ind w:firstLine="492" w:firstLineChars="200"/>
              <w:jc w:val="left"/>
              <w:rPr>
                <w:rFonts w:hint="eastAsia" w:asciiTheme="majorEastAsia" w:hAnsiTheme="majorEastAsia" w:eastAsiaTheme="majorEastAsia" w:cstheme="majorEastAsia"/>
                <w:color w:val="000000" w:themeColor="text1"/>
                <w:spacing w:val="3"/>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lang w:val="en-US" w:eastAsia="zh-CN"/>
                <w14:textFill>
                  <w14:solidFill>
                    <w14:schemeClr w14:val="tx1"/>
                  </w14:solidFill>
                </w14:textFill>
              </w:rPr>
              <w:t>环境监测、监控及监察能力建设</w:t>
            </w:r>
          </w:p>
        </w:tc>
        <w:tc>
          <w:tcPr>
            <w:tcW w:w="181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232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1679" w:type="dxa"/>
            <w:gridSpan w:val="2"/>
            <w:vAlign w:val="top"/>
          </w:tcPr>
          <w:p>
            <w:pPr>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14.69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85" w:line="220" w:lineRule="auto"/>
              <w:ind w:left="9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公用经费</w:t>
            </w:r>
          </w:p>
        </w:tc>
        <w:tc>
          <w:tcPr>
            <w:tcW w:w="1815" w:type="dxa"/>
            <w:gridSpan w:val="2"/>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78.87</w:t>
            </w:r>
          </w:p>
        </w:tc>
        <w:tc>
          <w:tcPr>
            <w:tcW w:w="232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72.79</w:t>
            </w:r>
          </w:p>
        </w:tc>
        <w:tc>
          <w:tcPr>
            <w:tcW w:w="1679" w:type="dxa"/>
            <w:gridSpan w:val="2"/>
            <w:vAlign w:val="center"/>
          </w:tcPr>
          <w:p>
            <w:pPr>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55.66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85" w:line="219"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其中：办公经费</w:t>
            </w:r>
          </w:p>
        </w:tc>
        <w:tc>
          <w:tcPr>
            <w:tcW w:w="181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default" w:ascii="宋体" w:hAnsi="宋体" w:eastAsia="宋体" w:cs="宋体"/>
                <w:i w:val="0"/>
                <w:iCs w:val="0"/>
                <w:color w:val="000000"/>
                <w:kern w:val="0"/>
                <w:sz w:val="22"/>
                <w:szCs w:val="22"/>
                <w:u w:val="none"/>
                <w:lang w:val="en-US" w:eastAsia="zh-CN" w:bidi="ar"/>
              </w:rPr>
              <w:t>78.29</w:t>
            </w:r>
          </w:p>
        </w:tc>
        <w:tc>
          <w:tcPr>
            <w:tcW w:w="232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65.79</w:t>
            </w:r>
          </w:p>
        </w:tc>
        <w:tc>
          <w:tcPr>
            <w:tcW w:w="1679" w:type="dxa"/>
            <w:gridSpan w:val="2"/>
            <w:vAlign w:val="top"/>
          </w:tcPr>
          <w:p>
            <w:pPr>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43.79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Align w:val="top"/>
          </w:tcPr>
          <w:p>
            <w:pPr>
              <w:spacing w:before="135" w:line="198" w:lineRule="auto"/>
              <w:ind w:left="11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水费、电费、差旅费</w:t>
            </w:r>
          </w:p>
        </w:tc>
        <w:tc>
          <w:tcPr>
            <w:tcW w:w="181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0.38</w:t>
            </w:r>
          </w:p>
        </w:tc>
        <w:tc>
          <w:tcPr>
            <w:tcW w:w="2325" w:type="dxa"/>
            <w:gridSpan w:val="2"/>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w:t>
            </w:r>
          </w:p>
        </w:tc>
        <w:tc>
          <w:tcPr>
            <w:tcW w:w="1679" w:type="dxa"/>
            <w:gridSpan w:val="2"/>
            <w:vAlign w:val="center"/>
          </w:tcPr>
          <w:p>
            <w:pPr>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6.51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144" w:line="198" w:lineRule="auto"/>
              <w:ind w:left="112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会议费、培训费</w:t>
            </w:r>
          </w:p>
        </w:tc>
        <w:tc>
          <w:tcPr>
            <w:tcW w:w="181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0.20</w:t>
            </w:r>
          </w:p>
        </w:tc>
        <w:tc>
          <w:tcPr>
            <w:tcW w:w="232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w:t>
            </w:r>
          </w:p>
        </w:tc>
        <w:tc>
          <w:tcPr>
            <w:tcW w:w="1679" w:type="dxa"/>
            <w:gridSpan w:val="2"/>
            <w:vAlign w:val="center"/>
          </w:tcPr>
          <w:p>
            <w:pPr>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5.36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Align w:val="top"/>
          </w:tcPr>
          <w:p>
            <w:pPr>
              <w:spacing w:before="145" w:line="189" w:lineRule="auto"/>
              <w:ind w:left="10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政府采购金额</w:t>
            </w:r>
          </w:p>
        </w:tc>
        <w:tc>
          <w:tcPr>
            <w:tcW w:w="181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100.00</w:t>
            </w:r>
          </w:p>
        </w:tc>
        <w:tc>
          <w:tcPr>
            <w:tcW w:w="232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42.81</w:t>
            </w:r>
          </w:p>
        </w:tc>
        <w:tc>
          <w:tcPr>
            <w:tcW w:w="1679"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42.81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145" w:line="198" w:lineRule="auto"/>
              <w:ind w:left="1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部门基本支出预算调整</w:t>
            </w:r>
          </w:p>
        </w:tc>
        <w:tc>
          <w:tcPr>
            <w:tcW w:w="181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461.03</w:t>
            </w:r>
          </w:p>
        </w:tc>
        <w:tc>
          <w:tcPr>
            <w:tcW w:w="2325" w:type="dxa"/>
            <w:gridSpan w:val="2"/>
            <w:vAlign w:val="top"/>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338.36</w:t>
            </w:r>
          </w:p>
        </w:tc>
        <w:tc>
          <w:tcPr>
            <w:tcW w:w="1679"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513.94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3850" w:type="dxa"/>
            <w:vMerge w:val="restart"/>
            <w:tcBorders>
              <w:bottom w:val="nil"/>
            </w:tcBorders>
            <w:vAlign w:val="center"/>
          </w:tcPr>
          <w:p>
            <w:pPr>
              <w:spacing w:before="65" w:line="390" w:lineRule="exact"/>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position w:val="14"/>
                <w:sz w:val="24"/>
                <w:szCs w:val="24"/>
                <w14:textFill>
                  <w14:solidFill>
                    <w14:schemeClr w14:val="tx1"/>
                  </w14:solidFill>
                </w14:textFill>
              </w:rPr>
              <w:t>楼堂馆所控制情况</w:t>
            </w:r>
          </w:p>
          <w:p>
            <w:pPr>
              <w:spacing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(2022年完工项目)</w:t>
            </w:r>
          </w:p>
        </w:tc>
        <w:tc>
          <w:tcPr>
            <w:tcW w:w="82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批复规模</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(m²)</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实际规</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模(m²)</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规模控制率</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预算投资</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(万元)</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实际</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投资</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(万元)</w:t>
            </w:r>
          </w:p>
        </w:tc>
        <w:tc>
          <w:tcPr>
            <w:tcW w:w="86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投资概</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算控制</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Merge w:val="continue"/>
            <w:tcBorders>
              <w:top w:val="nil"/>
            </w:tcBorders>
            <w:vAlign w:val="top"/>
          </w:tcPr>
          <w:p>
            <w:pPr>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825"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990"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1140"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1185"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810"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869"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850" w:type="dxa"/>
            <w:vAlign w:val="top"/>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厉行节约保障措施</w:t>
            </w:r>
          </w:p>
        </w:tc>
        <w:tc>
          <w:tcPr>
            <w:tcW w:w="5819" w:type="dxa"/>
            <w:gridSpan w:val="6"/>
            <w:vAlign w:val="top"/>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Theme="majorEastAsia" w:hAnsiTheme="majorEastAsia" w:eastAsiaTheme="majorEastAsia" w:cstheme="majorEastAsia"/>
                <w:color w:val="000000" w:themeColor="text1"/>
                <w:sz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410" w:lineRule="exact"/>
        <w:ind w:left="0"/>
        <w:textAlignment w:val="auto"/>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说明：“项目支出”需要填报基本支出以外的所有项目支出情况，“公用经费”填报基本支出中的一般商品和服务支出。</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填表人：         联系电话：            单位负责人签字：</w:t>
      </w:r>
      <w:r>
        <w:rPr>
          <w:rFonts w:hint="eastAsia" w:asciiTheme="majorEastAsia" w:hAnsiTheme="majorEastAsia" w:eastAsiaTheme="majorEastAsia" w:cstheme="majorEastAsia"/>
          <w:color w:val="000000" w:themeColor="text1"/>
          <w:spacing w:val="0"/>
          <w:position w:val="0"/>
          <w:sz w:val="23"/>
          <w:szCs w:val="23"/>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填报日期：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themeColor="text1"/>
          <w:spacing w:val="10"/>
          <w:sz w:val="32"/>
          <w:szCs w:val="32"/>
          <w:lang w:eastAsia="zh-CN"/>
          <w14:textFill>
            <w14:solidFill>
              <w14:schemeClr w14:val="tx1"/>
            </w14:solidFill>
          </w14:textFill>
        </w:rPr>
        <w:sectPr>
          <w:footerReference r:id="rId3" w:type="default"/>
          <w:pgSz w:w="11906" w:h="16838"/>
          <w:pgMar w:top="1134" w:right="1417" w:bottom="1134" w:left="1134" w:header="851" w:footer="992" w:gutter="0"/>
          <w:pgNumType w:fmt="decimal"/>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eastAsia="zh-CN"/>
          <w14:textFill>
            <w14:solidFill>
              <w14:schemeClr w14:val="tx1"/>
            </w14:solidFill>
          </w14:textFill>
        </w:rPr>
        <w:t>附件</w:t>
      </w: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2</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pacing w:val="2"/>
          <w:sz w:val="42"/>
          <w:szCs w:val="42"/>
          <w:lang w:val="en-US" w:eastAsia="zh-CN"/>
          <w14:textFill>
            <w14:solidFill>
              <w14:schemeClr w14:val="tx1"/>
            </w14:solidFill>
          </w14:textFill>
        </w:rPr>
        <w:t xml:space="preserve">  </w:t>
      </w: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2022年度</w:t>
      </w:r>
      <w:r>
        <w:rPr>
          <w:rFonts w:hint="eastAsia" w:ascii="方正小标宋简体" w:hAnsi="方正小标宋简体" w:eastAsia="方正小标宋简体" w:cs="方正小标宋简体"/>
          <w:b w:val="0"/>
          <w:bCs w:val="0"/>
          <w:color w:val="000000" w:themeColor="text1"/>
          <w:spacing w:val="2"/>
          <w:sz w:val="42"/>
          <w:szCs w:val="42"/>
          <w:lang w:eastAsia="zh-CN"/>
          <w14:textFill>
            <w14:solidFill>
              <w14:schemeClr w14:val="tx1"/>
            </w14:solidFill>
          </w14:textFill>
        </w:rPr>
        <w:t>预算单位</w:t>
      </w: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整体支出绩效自评表</w:t>
      </w:r>
    </w:p>
    <w:p>
      <w:pPr>
        <w:spacing w:line="168" w:lineRule="exact"/>
        <w:rPr>
          <w:color w:val="000000" w:themeColor="text1"/>
          <w14:textFill>
            <w14:solidFill>
              <w14:schemeClr w14:val="tx1"/>
            </w14:solidFill>
          </w14:textFill>
        </w:rPr>
      </w:pPr>
    </w:p>
    <w:tbl>
      <w:tblPr>
        <w:tblStyle w:val="7"/>
        <w:tblW w:w="983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4"/>
        <w:gridCol w:w="1079"/>
        <w:gridCol w:w="1029"/>
        <w:gridCol w:w="1269"/>
        <w:gridCol w:w="1319"/>
        <w:gridCol w:w="1259"/>
        <w:gridCol w:w="719"/>
        <w:gridCol w:w="802"/>
        <w:gridCol w:w="12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084" w:type="dxa"/>
            <w:vAlign w:val="top"/>
          </w:tcPr>
          <w:p>
            <w:pPr>
              <w:keepNext w:val="0"/>
              <w:keepLines w:val="0"/>
              <w:pageBreakBefore w:val="0"/>
              <w:widowControl w:val="0"/>
              <w:kinsoku/>
              <w:wordWrap/>
              <w:overflowPunct/>
              <w:topLinePunct w:val="0"/>
              <w:autoSpaceDE/>
              <w:autoSpaceDN/>
              <w:bidi w:val="0"/>
              <w:adjustRightInd/>
              <w:snapToGrid/>
              <w:spacing w:line="198"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预算</w:t>
            </w:r>
            <w:r>
              <w:rPr>
                <w:rFonts w:hint="eastAsia" w:ascii="宋体" w:hAnsi="宋体" w:eastAsia="宋体" w:cs="宋体"/>
                <w:color w:val="000000" w:themeColor="text1"/>
                <w:spacing w:val="2"/>
                <w:sz w:val="21"/>
                <w:szCs w:val="21"/>
                <w:lang w:eastAsia="zh-CN"/>
                <w14:textFill>
                  <w14:solidFill>
                    <w14:schemeClr w14:val="tx1"/>
                  </w14:solidFill>
                </w14:textFill>
              </w:rPr>
              <w:t>单位</w:t>
            </w:r>
            <w:r>
              <w:rPr>
                <w:rFonts w:hint="eastAsia" w:ascii="宋体" w:hAnsi="宋体" w:eastAsia="宋体" w:cs="宋体"/>
                <w:color w:val="000000" w:themeColor="text1"/>
                <w:spacing w:val="2"/>
                <w:sz w:val="21"/>
                <w:szCs w:val="21"/>
                <w:lang w:val="en-US" w:eastAsia="zh-CN"/>
                <w14:textFill>
                  <w14:solidFill>
                    <w14:schemeClr w14:val="tx1"/>
                  </w14:solidFill>
                </w14:textFill>
              </w:rPr>
              <w:t xml:space="preserve"> </w:t>
            </w:r>
            <w:r>
              <w:rPr>
                <w:rFonts w:ascii="宋体" w:hAnsi="宋体" w:eastAsia="宋体" w:cs="宋体"/>
                <w:color w:val="000000" w:themeColor="text1"/>
                <w:spacing w:val="2"/>
                <w:sz w:val="21"/>
                <w:szCs w:val="21"/>
                <w14:textFill>
                  <w14:solidFill>
                    <w14:schemeClr w14:val="tx1"/>
                  </w14:solidFill>
                </w14:textFill>
              </w:rPr>
              <w:t>名称</w:t>
            </w:r>
          </w:p>
        </w:tc>
        <w:tc>
          <w:tcPr>
            <w:tcW w:w="8751" w:type="dxa"/>
            <w:gridSpan w:val="8"/>
            <w:vAlign w:val="top"/>
          </w:tcPr>
          <w:p>
            <w:pPr>
              <w:jc w:val="center"/>
              <w:rPr>
                <w:rFonts w:ascii="Arial"/>
                <w:color w:val="000000" w:themeColor="text1"/>
                <w:sz w:val="21"/>
                <w14:textFill>
                  <w14:solidFill>
                    <w14:schemeClr w14:val="tx1"/>
                  </w14:solidFill>
                </w14:textFill>
              </w:rPr>
            </w:pPr>
            <w:r>
              <w:rPr>
                <w:rFonts w:hint="eastAsia" w:asciiTheme="majorEastAsia" w:hAnsiTheme="majorEastAsia" w:eastAsiaTheme="majorEastAsia" w:cstheme="majorEastAsia"/>
                <w:color w:val="000000" w:themeColor="text1"/>
                <w:spacing w:val="-2"/>
                <w:sz w:val="20"/>
                <w:szCs w:val="20"/>
                <w14:textFill>
                  <w14:solidFill>
                    <w14:schemeClr w14:val="tx1"/>
                  </w14:solidFill>
                </w14:textFill>
              </w:rPr>
              <w:t>岳阳市生态环境保护综合行政执法支队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restart"/>
            <w:tcBorders>
              <w:bottom w:val="nil"/>
            </w:tcBorders>
            <w:vAlign w:val="top"/>
          </w:tcPr>
          <w:p>
            <w:pPr>
              <w:keepNext w:val="0"/>
              <w:keepLines w:val="0"/>
              <w:pageBreakBefore w:val="0"/>
              <w:widowControl w:val="0"/>
              <w:kinsoku/>
              <w:wordWrap/>
              <w:overflowPunct/>
              <w:topLinePunct w:val="0"/>
              <w:autoSpaceDE/>
              <w:autoSpaceDN/>
              <w:bidi w:val="0"/>
              <w:adjustRightInd/>
              <w:snapToGrid/>
              <w:spacing w:line="418" w:lineRule="auto"/>
              <w:ind w:left="0" w:right="0" w:firstLine="0"/>
              <w:jc w:val="center"/>
              <w:textAlignment w:val="auto"/>
              <w:rPr>
                <w:rFonts w:ascii="Arial"/>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80" w:lineRule="exact"/>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position w:val="4"/>
                <w:sz w:val="21"/>
                <w:szCs w:val="21"/>
                <w14:textFill>
                  <w14:solidFill>
                    <w14:schemeClr w14:val="tx1"/>
                  </w14:solidFill>
                </w14:textFill>
              </w:rPr>
              <w:t>年度预</w:t>
            </w:r>
          </w:p>
          <w:p>
            <w:pPr>
              <w:keepNext w:val="0"/>
              <w:keepLines w:val="0"/>
              <w:pageBreakBefore w:val="0"/>
              <w:widowControl w:val="0"/>
              <w:kinsoku/>
              <w:wordWrap/>
              <w:overflowPunct/>
              <w:topLinePunct w:val="0"/>
              <w:autoSpaceDE/>
              <w:autoSpaceDN/>
              <w:bidi w:val="0"/>
              <w:adjustRightInd/>
              <w:snapToGrid/>
              <w:spacing w:line="219"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算申请</w:t>
            </w:r>
          </w:p>
          <w:p>
            <w:pPr>
              <w:keepNext w:val="0"/>
              <w:keepLines w:val="0"/>
              <w:pageBreakBefore w:val="0"/>
              <w:widowControl w:val="0"/>
              <w:kinsoku/>
              <w:wordWrap/>
              <w:overflowPunct/>
              <w:topLinePunct w:val="0"/>
              <w:autoSpaceDE/>
              <w:autoSpaceDN/>
              <w:bidi w:val="0"/>
              <w:adjustRightInd/>
              <w:snapToGrid/>
              <w:spacing w:line="220"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1"/>
                <w:sz w:val="21"/>
                <w:szCs w:val="21"/>
                <w14:textFill>
                  <w14:solidFill>
                    <w14:schemeClr w14:val="tx1"/>
                  </w14:solidFill>
                </w14:textFill>
              </w:rPr>
              <w:t>(万元)</w:t>
            </w:r>
          </w:p>
        </w:tc>
        <w:tc>
          <w:tcPr>
            <w:tcW w:w="2108"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pacing w:val="0"/>
                <w:sz w:val="20"/>
                <w14:textFill>
                  <w14:solidFill>
                    <w14:schemeClr w14:val="tx1"/>
                  </w14:solidFill>
                </w14:textFill>
              </w:rPr>
            </w:pP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年初预算数</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全年预算数</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全年执行数</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执行率</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2108" w:type="dxa"/>
            <w:gridSpan w:val="2"/>
            <w:vAlign w:val="center"/>
          </w:tcPr>
          <w:p>
            <w:pPr>
              <w:keepNext w:val="0"/>
              <w:keepLines w:val="0"/>
              <w:pageBreakBefore w:val="0"/>
              <w:widowControl w:val="0"/>
              <w:kinsoku/>
              <w:wordWrap/>
              <w:overflowPunct/>
              <w:topLinePunct w:val="0"/>
              <w:autoSpaceDE/>
              <w:autoSpaceDN/>
              <w:bidi w:val="0"/>
              <w:adjustRightInd/>
              <w:snapToGrid/>
              <w:spacing w:line="193"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年度资金总额</w:t>
            </w: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default"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val="en-US" w:eastAsia="zh-CN"/>
                <w14:textFill>
                  <w14:solidFill>
                    <w14:schemeClr w14:val="tx1"/>
                  </w14:solidFill>
                </w14:textFill>
              </w:rPr>
              <w:t>456.28</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default"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val="en-US" w:eastAsia="zh-CN"/>
                <w14:textFill>
                  <w14:solidFill>
                    <w14:schemeClr w14:val="tx1"/>
                  </w14:solidFill>
                </w14:textFill>
              </w:rPr>
              <w:t>585.45</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default"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val="en-US" w:eastAsia="zh-CN"/>
                <w14:textFill>
                  <w14:solidFill>
                    <w14:schemeClr w14:val="tx1"/>
                  </w14:solidFill>
                </w14:textFill>
              </w:rPr>
              <w:t>585.45</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147" w:lineRule="exact"/>
              <w:ind w:left="0"/>
              <w:jc w:val="center"/>
              <w:textAlignment w:val="auto"/>
              <w:rPr>
                <w:rFonts w:ascii="宋体" w:hAnsi="宋体" w:eastAsia="宋体" w:cs="宋体"/>
                <w:color w:val="000000" w:themeColor="text1"/>
                <w:spacing w:val="0"/>
                <w:sz w:val="20"/>
                <w:szCs w:val="20"/>
                <w14:textFill>
                  <w14:solidFill>
                    <w14:schemeClr w14:val="tx1"/>
                  </w14:solidFill>
                </w14:textFill>
              </w:rPr>
            </w:pPr>
            <w:r>
              <w:rPr>
                <w:rFonts w:ascii="宋体" w:hAnsi="宋体" w:eastAsia="宋体" w:cs="宋体"/>
                <w:color w:val="000000" w:themeColor="text1"/>
                <w:spacing w:val="0"/>
                <w:position w:val="-3"/>
                <w:sz w:val="20"/>
                <w:szCs w:val="20"/>
                <w14:textFill>
                  <w14:solidFill>
                    <w14:schemeClr w14:val="tx1"/>
                  </w14:solidFill>
                </w14:textFill>
              </w:rPr>
              <w:t>10</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default"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val="en-US" w:eastAsia="zh-CN"/>
                <w14:textFill>
                  <w14:solidFill>
                    <w14:schemeClr w14:val="tx1"/>
                  </w14:solidFill>
                </w14:textFill>
              </w:rPr>
              <w:t>128.31%</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val="en-US" w:eastAsia="zh-CN"/>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84"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193" w:lineRule="auto"/>
              <w:ind w:left="0" w:firstLine="210" w:firstLineChars="100"/>
              <w:jc w:val="left"/>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按收入性质分：</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193" w:lineRule="auto"/>
              <w:ind w:left="0" w:firstLine="210" w:firstLineChars="100"/>
              <w:jc w:val="left"/>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按支出性质分：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84"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193" w:lineRule="auto"/>
              <w:ind w:left="0" w:firstLine="210" w:firstLineChars="100"/>
              <w:jc w:val="left"/>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 xml:space="preserve">其中： </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一般公共预算：</w:t>
            </w:r>
            <w:r>
              <w:rPr>
                <w:rFonts w:hint="eastAsia" w:ascii="宋体" w:hAnsi="宋体" w:eastAsia="宋体" w:cs="宋体"/>
                <w:color w:val="000000" w:themeColor="text1"/>
                <w:spacing w:val="0"/>
                <w:sz w:val="21"/>
                <w:szCs w:val="21"/>
                <w:lang w:val="en-US" w:eastAsia="zh-CN"/>
                <w14:textFill>
                  <w14:solidFill>
                    <w14:schemeClr w14:val="tx1"/>
                  </w14:solidFill>
                </w14:textFill>
              </w:rPr>
              <w:t>585.45</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194" w:lineRule="auto"/>
              <w:ind w:left="0" w:firstLine="210" w:firstLineChars="100"/>
              <w:jc w:val="left"/>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其中：基本支出：</w:t>
            </w:r>
            <w:r>
              <w:rPr>
                <w:rFonts w:hint="eastAsia" w:ascii="宋体" w:hAnsi="宋体" w:eastAsia="宋体" w:cs="宋体"/>
                <w:color w:val="000000" w:themeColor="text1"/>
                <w:spacing w:val="0"/>
                <w:sz w:val="21"/>
                <w:szCs w:val="21"/>
                <w:lang w:val="en-US" w:eastAsia="zh-CN"/>
                <w14:textFill>
                  <w14:solidFill>
                    <w14:schemeClr w14:val="tx1"/>
                  </w14:solidFill>
                </w14:textFill>
              </w:rPr>
              <w:t>513.94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84"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202" w:lineRule="auto"/>
              <w:ind w:left="0" w:firstLine="1050" w:firstLineChars="500"/>
              <w:jc w:val="left"/>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政府性基金拨款：</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201" w:lineRule="auto"/>
              <w:ind w:left="0" w:firstLine="840" w:firstLineChars="400"/>
              <w:jc w:val="left"/>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项目支出：</w:t>
            </w:r>
            <w:r>
              <w:rPr>
                <w:rFonts w:hint="eastAsia" w:ascii="宋体" w:hAnsi="宋体" w:eastAsia="宋体" w:cs="宋体"/>
                <w:color w:val="000000" w:themeColor="text1"/>
                <w:spacing w:val="0"/>
                <w:sz w:val="21"/>
                <w:szCs w:val="21"/>
                <w:lang w:val="en-US" w:eastAsia="zh-CN"/>
                <w14:textFill>
                  <w14:solidFill>
                    <w14:schemeClr w14:val="tx1"/>
                  </w14:solidFill>
                </w14:textFill>
              </w:rPr>
              <w:t>71.51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192" w:lineRule="auto"/>
              <w:ind w:left="0" w:firstLine="1050" w:firstLineChars="500"/>
              <w:jc w:val="left"/>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纳入专户管理的非税收入拨款：</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left"/>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192" w:lineRule="auto"/>
              <w:ind w:left="0" w:firstLine="1050" w:firstLineChars="500"/>
              <w:jc w:val="left"/>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其他资金：</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restart"/>
            <w:tcBorders>
              <w:bottom w:val="nil"/>
            </w:tcBorders>
            <w:vAlign w:val="top"/>
          </w:tcPr>
          <w:p>
            <w:pPr>
              <w:keepNext w:val="0"/>
              <w:keepLines w:val="0"/>
              <w:pageBreakBefore w:val="0"/>
              <w:widowControl w:val="0"/>
              <w:kinsoku/>
              <w:wordWrap/>
              <w:overflowPunct/>
              <w:topLinePunct w:val="0"/>
              <w:autoSpaceDE/>
              <w:autoSpaceDN/>
              <w:bidi w:val="0"/>
              <w:adjustRightInd/>
              <w:snapToGrid/>
              <w:spacing w:line="211"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7"/>
                <w:sz w:val="21"/>
                <w:szCs w:val="21"/>
                <w14:textFill>
                  <w14:solidFill>
                    <w14:schemeClr w14:val="tx1"/>
                  </w14:solidFill>
                </w14:textFill>
              </w:rPr>
              <w:t>年度总体</w:t>
            </w:r>
            <w:r>
              <w:rPr>
                <w:rFonts w:ascii="宋体" w:hAnsi="宋体" w:eastAsia="宋体" w:cs="宋体"/>
                <w:color w:val="000000" w:themeColor="text1"/>
                <w:spacing w:val="1"/>
                <w:sz w:val="21"/>
                <w:szCs w:val="21"/>
                <w14:textFill>
                  <w14:solidFill>
                    <w14:schemeClr w14:val="tx1"/>
                  </w14:solidFill>
                </w14:textFill>
              </w:rPr>
              <w:t xml:space="preserve"> </w:t>
            </w:r>
            <w:r>
              <w:rPr>
                <w:rFonts w:ascii="宋体" w:hAnsi="宋体" w:eastAsia="宋体" w:cs="宋体"/>
                <w:color w:val="000000" w:themeColor="text1"/>
                <w:spacing w:val="-19"/>
                <w:sz w:val="21"/>
                <w:szCs w:val="21"/>
                <w14:textFill>
                  <w14:solidFill>
                    <w14:schemeClr w14:val="tx1"/>
                  </w14:solidFill>
                </w14:textFill>
              </w:rPr>
              <w:t>目</w:t>
            </w:r>
            <w:r>
              <w:rPr>
                <w:rFonts w:ascii="宋体" w:hAnsi="宋体" w:eastAsia="宋体" w:cs="宋体"/>
                <w:color w:val="000000" w:themeColor="text1"/>
                <w:spacing w:val="-35"/>
                <w:sz w:val="21"/>
                <w:szCs w:val="21"/>
                <w14:textFill>
                  <w14:solidFill>
                    <w14:schemeClr w14:val="tx1"/>
                  </w14:solidFill>
                </w14:textFill>
              </w:rPr>
              <w:t xml:space="preserve"> </w:t>
            </w:r>
            <w:r>
              <w:rPr>
                <w:rFonts w:ascii="宋体" w:hAnsi="宋体" w:eastAsia="宋体" w:cs="宋体"/>
                <w:color w:val="000000" w:themeColor="text1"/>
                <w:spacing w:val="-19"/>
                <w:sz w:val="21"/>
                <w:szCs w:val="21"/>
                <w14:textFill>
                  <w14:solidFill>
                    <w14:schemeClr w14:val="tx1"/>
                  </w14:solidFill>
                </w14:textFill>
              </w:rPr>
              <w:t>标</w:t>
            </w: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191" w:lineRule="auto"/>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预期目标</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191"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left"/>
              <w:textAlignment w:val="auto"/>
              <w:rPr>
                <w:rFonts w:hint="eastAsia" w:ascii="宋体" w:hAnsi="宋体" w:eastAsia="宋体" w:cs="宋体"/>
                <w:color w:val="000000" w:themeColor="text1"/>
                <w:spacing w:val="-2"/>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推进“双随机”监管</w:t>
            </w:r>
          </w:p>
          <w:p>
            <w:pPr>
              <w:keepNext w:val="0"/>
              <w:keepLines w:val="0"/>
              <w:pageBreakBefore w:val="0"/>
              <w:widowControl w:val="0"/>
              <w:kinsoku/>
              <w:wordWrap/>
              <w:overflowPunct/>
              <w:topLinePunct w:val="0"/>
              <w:autoSpaceDE/>
              <w:autoSpaceDN/>
              <w:bidi w:val="0"/>
              <w:adjustRightInd/>
              <w:snapToGrid/>
              <w:spacing w:line="219" w:lineRule="auto"/>
              <w:ind w:left="0"/>
              <w:jc w:val="left"/>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推进环境信访受理</w:t>
            </w:r>
          </w:p>
          <w:p>
            <w:pPr>
              <w:keepNext w:val="0"/>
              <w:keepLines w:val="0"/>
              <w:pageBreakBefore w:val="0"/>
              <w:widowControl w:val="0"/>
              <w:kinsoku/>
              <w:wordWrap/>
              <w:overflowPunct/>
              <w:topLinePunct w:val="0"/>
              <w:autoSpaceDE/>
              <w:autoSpaceDN/>
              <w:bidi w:val="0"/>
              <w:adjustRightInd/>
              <w:snapToGrid/>
              <w:spacing w:line="219" w:lineRule="auto"/>
              <w:ind w:left="0"/>
              <w:jc w:val="left"/>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推进环境</w:t>
            </w:r>
            <w:r>
              <w:rPr>
                <w:rFonts w:hint="eastAsia" w:ascii="宋体" w:hAnsi="宋体" w:eastAsia="宋体" w:cs="宋体"/>
                <w:color w:val="000000" w:themeColor="text1"/>
                <w:spacing w:val="-2"/>
                <w:sz w:val="21"/>
                <w:szCs w:val="21"/>
                <w14:textFill>
                  <w14:solidFill>
                    <w14:schemeClr w14:val="tx1"/>
                  </w14:solidFill>
                </w14:textFill>
              </w:rPr>
              <w:t>应急</w:t>
            </w:r>
            <w:r>
              <w:rPr>
                <w:rFonts w:hint="eastAsia" w:ascii="宋体" w:hAnsi="宋体" w:eastAsia="宋体" w:cs="宋体"/>
                <w:color w:val="000000" w:themeColor="text1"/>
                <w:spacing w:val="-2"/>
                <w:sz w:val="21"/>
                <w:szCs w:val="21"/>
                <w:lang w:val="en-US" w:eastAsia="zh-CN"/>
                <w14:textFill>
                  <w14:solidFill>
                    <w14:schemeClr w14:val="tx1"/>
                  </w14:solidFill>
                </w14:textFill>
              </w:rPr>
              <w:t>监管</w:t>
            </w:r>
          </w:p>
          <w:p>
            <w:pPr>
              <w:keepNext w:val="0"/>
              <w:keepLines w:val="0"/>
              <w:pageBreakBefore w:val="0"/>
              <w:widowControl w:val="0"/>
              <w:kinsoku/>
              <w:wordWrap/>
              <w:overflowPunct/>
              <w:topLinePunct w:val="0"/>
              <w:autoSpaceDE/>
              <w:autoSpaceDN/>
              <w:bidi w:val="0"/>
              <w:adjustRightInd/>
              <w:snapToGrid/>
              <w:spacing w:line="219" w:lineRule="auto"/>
              <w:ind w:left="0"/>
              <w:jc w:val="left"/>
              <w:textAlignment w:val="auto"/>
              <w:rPr>
                <w:rFonts w:hint="eastAsia" w:ascii="宋体" w:hAnsi="宋体" w:eastAsia="宋体" w:cs="宋体"/>
                <w:color w:val="000000" w:themeColor="text1"/>
                <w:spacing w:val="-2"/>
                <w:sz w:val="21"/>
                <w:szCs w:val="21"/>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推进</w:t>
            </w:r>
            <w:r>
              <w:rPr>
                <w:rFonts w:hint="eastAsia" w:ascii="宋体" w:hAnsi="宋体" w:eastAsia="宋体" w:cs="宋体"/>
                <w:color w:val="000000" w:themeColor="text1"/>
                <w:spacing w:val="-2"/>
                <w:sz w:val="21"/>
                <w:szCs w:val="21"/>
                <w14:textFill>
                  <w14:solidFill>
                    <w14:schemeClr w14:val="tx1"/>
                  </w14:solidFill>
                </w14:textFill>
              </w:rPr>
              <w:t>防范化解重大生态环境风险隐患</w:t>
            </w:r>
          </w:p>
          <w:p>
            <w:pPr>
              <w:keepNext w:val="0"/>
              <w:keepLines w:val="0"/>
              <w:pageBreakBefore w:val="0"/>
              <w:widowControl w:val="0"/>
              <w:kinsoku/>
              <w:wordWrap/>
              <w:overflowPunct/>
              <w:topLinePunct w:val="0"/>
              <w:autoSpaceDE/>
              <w:autoSpaceDN/>
              <w:bidi w:val="0"/>
              <w:adjustRightInd/>
              <w:snapToGrid/>
              <w:spacing w:line="219" w:lineRule="auto"/>
              <w:ind w:left="0"/>
              <w:jc w:val="left"/>
              <w:textAlignment w:val="auto"/>
              <w:rPr>
                <w:rFonts w:hint="eastAsia" w:ascii="仿宋_GB2312" w:hAnsi="仿宋_GB2312" w:eastAsia="仿宋_GB2312" w:cs="仿宋_GB2312"/>
                <w:b/>
                <w:kern w:val="0"/>
                <w:sz w:val="32"/>
                <w:szCs w:val="32"/>
                <w:lang w:val="en-US" w:eastAsia="zh-CN"/>
              </w:rPr>
            </w:pPr>
            <w:r>
              <w:rPr>
                <w:rFonts w:hint="eastAsia" w:ascii="宋体" w:hAnsi="宋体" w:eastAsia="宋体" w:cs="宋体"/>
                <w:color w:val="000000" w:themeColor="text1"/>
                <w:spacing w:val="-2"/>
                <w:sz w:val="21"/>
                <w:szCs w:val="21"/>
                <w:lang w:val="en-US" w:eastAsia="zh-CN"/>
                <w14:textFill>
                  <w14:solidFill>
                    <w14:schemeClr w14:val="tx1"/>
                  </w14:solidFill>
                </w14:textFill>
              </w:rPr>
              <w:t>推进</w:t>
            </w:r>
            <w:r>
              <w:rPr>
                <w:rFonts w:hint="eastAsia" w:ascii="宋体" w:hAnsi="宋体" w:eastAsia="宋体" w:cs="宋体"/>
                <w:color w:val="000000" w:themeColor="text1"/>
                <w:spacing w:val="-2"/>
                <w:sz w:val="21"/>
                <w:szCs w:val="21"/>
                <w14:textFill>
                  <w14:solidFill>
                    <w14:schemeClr w14:val="tx1"/>
                  </w14:solidFill>
                </w14:textFill>
              </w:rPr>
              <w:t>饮用水源</w:t>
            </w:r>
            <w:r>
              <w:rPr>
                <w:rFonts w:hint="eastAsia" w:ascii="宋体" w:hAnsi="宋体" w:eastAsia="宋体" w:cs="宋体"/>
                <w:color w:val="000000" w:themeColor="text1"/>
                <w:spacing w:val="-2"/>
                <w:sz w:val="21"/>
                <w:szCs w:val="21"/>
                <w:lang w:val="en-US" w:eastAsia="zh-CN"/>
                <w14:textFill>
                  <w14:solidFill>
                    <w14:schemeClr w14:val="tx1"/>
                  </w14:solidFill>
                </w14:textFill>
              </w:rPr>
              <w:t>及</w:t>
            </w:r>
            <w:r>
              <w:rPr>
                <w:rFonts w:hint="eastAsia" w:ascii="宋体" w:hAnsi="宋体" w:eastAsia="宋体" w:cs="宋体"/>
                <w:color w:val="000000" w:themeColor="text1"/>
                <w:spacing w:val="-2"/>
                <w:sz w:val="21"/>
                <w:szCs w:val="21"/>
                <w14:textFill>
                  <w14:solidFill>
                    <w14:schemeClr w14:val="tx1"/>
                  </w14:solidFill>
                </w14:textFill>
              </w:rPr>
              <w:t>入河排污口整治</w:t>
            </w:r>
            <w:r>
              <w:rPr>
                <w:rFonts w:hint="eastAsia" w:ascii="宋体" w:hAnsi="宋体" w:eastAsia="宋体" w:cs="宋体"/>
                <w:color w:val="000000" w:themeColor="text1"/>
                <w:spacing w:val="-2"/>
                <w:sz w:val="21"/>
                <w:szCs w:val="21"/>
                <w:lang w:val="en-US" w:eastAsia="zh-CN"/>
                <w14:textFill>
                  <w14:solidFill>
                    <w14:schemeClr w14:val="tx1"/>
                  </w14:solidFill>
                </w14:textFill>
              </w:rPr>
              <w:t>行动</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val="en-US" w:eastAsia="zh-CN"/>
                <w14:textFill>
                  <w14:solidFill>
                    <w14:schemeClr w14:val="tx1"/>
                  </w14:solidFill>
                </w14:textFill>
              </w:rPr>
              <w:t>已完成100%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084" w:type="dxa"/>
            <w:vMerge w:val="restart"/>
            <w:tcBorders>
              <w:bottom w:val="nil"/>
            </w:tcBorders>
            <w:textDirection w:val="tbRlV"/>
            <w:vAlign w:val="top"/>
          </w:tcPr>
          <w:p>
            <w:pPr>
              <w:keepNext w:val="0"/>
              <w:keepLines w:val="0"/>
              <w:pageBreakBefore w:val="0"/>
              <w:widowControl w:val="0"/>
              <w:kinsoku/>
              <w:wordWrap/>
              <w:overflowPunct/>
              <w:topLinePunct w:val="0"/>
              <w:autoSpaceDE/>
              <w:autoSpaceDN/>
              <w:bidi w:val="0"/>
              <w:adjustRightInd/>
              <w:snapToGrid/>
              <w:spacing w:line="367" w:lineRule="auto"/>
              <w:ind w:left="0" w:right="0" w:firstLine="0"/>
              <w:jc w:val="center"/>
              <w:textAlignment w:val="auto"/>
              <w:rPr>
                <w:rFonts w:ascii="Arial"/>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17"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绩效指标</w:t>
            </w:r>
          </w:p>
        </w:tc>
        <w:tc>
          <w:tcPr>
            <w:tcW w:w="1079" w:type="dxa"/>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一级指标</w:t>
            </w:r>
          </w:p>
        </w:tc>
        <w:tc>
          <w:tcPr>
            <w:tcW w:w="1029" w:type="dxa"/>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二级指标</w:t>
            </w: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三级指标</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年度指标值</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实际完成值</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11"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偏差原因分析</w:t>
            </w:r>
          </w:p>
          <w:p>
            <w:pPr>
              <w:keepNext w:val="0"/>
              <w:keepLines w:val="0"/>
              <w:pageBreakBefore w:val="0"/>
              <w:widowControl w:val="0"/>
              <w:kinsoku/>
              <w:wordWrap/>
              <w:overflowPunct/>
              <w:topLinePunct w:val="0"/>
              <w:autoSpaceDE/>
              <w:autoSpaceDN/>
              <w:bidi w:val="0"/>
              <w:adjustRightInd/>
              <w:snapToGrid/>
              <w:spacing w:line="19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69"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69"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70"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70"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1" w:lineRule="exact"/>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position w:val="20"/>
                <w:sz w:val="21"/>
                <w:szCs w:val="21"/>
                <w14:textFill>
                  <w14:solidFill>
                    <w14:schemeClr w14:val="tx1"/>
                  </w14:solidFill>
                </w14:textFill>
              </w:rPr>
              <w:t>产出指标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9"/>
                <w:sz w:val="21"/>
                <w:szCs w:val="21"/>
                <w14:textFill>
                  <w14:solidFill>
                    <w14:schemeClr w14:val="tx1"/>
                  </w14:solidFill>
                </w14:textFill>
              </w:rPr>
              <w:t>(50分)</w:t>
            </w:r>
          </w:p>
        </w:tc>
        <w:tc>
          <w:tcPr>
            <w:tcW w:w="102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数量指标</w:t>
            </w: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2"/>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“双随机”抽查</w:t>
            </w:r>
            <w:r>
              <w:rPr>
                <w:rFonts w:hint="eastAsia" w:ascii="宋体" w:hAnsi="宋体" w:eastAsia="宋体" w:cs="宋体"/>
                <w:color w:val="000000" w:themeColor="text1"/>
                <w:spacing w:val="-2"/>
                <w:sz w:val="21"/>
                <w:szCs w:val="21"/>
                <w:lang w:val="en-US" w:eastAsia="zh-CN"/>
                <w14:textFill>
                  <w14:solidFill>
                    <w14:schemeClr w14:val="tx1"/>
                  </w14:solidFill>
                </w14:textFill>
              </w:rPr>
              <w:t>企业</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2"/>
                <w:sz w:val="21"/>
                <w:szCs w:val="21"/>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1462</w:t>
            </w:r>
            <w:r>
              <w:rPr>
                <w:rFonts w:hint="eastAsia" w:ascii="宋体" w:hAnsi="宋体" w:eastAsia="宋体" w:cs="宋体"/>
                <w:color w:val="000000" w:themeColor="text1"/>
                <w:spacing w:val="-2"/>
                <w:sz w:val="21"/>
                <w:szCs w:val="21"/>
                <w14:textFill>
                  <w14:solidFill>
                    <w14:schemeClr w14:val="tx1"/>
                  </w14:solidFill>
                </w14:textFill>
              </w:rPr>
              <w:t>家</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2"/>
                <w:sz w:val="21"/>
                <w:szCs w:val="21"/>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1462</w:t>
            </w:r>
            <w:r>
              <w:rPr>
                <w:rFonts w:hint="eastAsia" w:ascii="宋体" w:hAnsi="宋体" w:eastAsia="宋体" w:cs="宋体"/>
                <w:color w:val="000000" w:themeColor="text1"/>
                <w:spacing w:val="-2"/>
                <w:sz w:val="21"/>
                <w:szCs w:val="21"/>
                <w14:textFill>
                  <w14:solidFill>
                    <w14:schemeClr w14:val="tx1"/>
                  </w14:solidFill>
                </w14:textFill>
              </w:rPr>
              <w:t>家</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5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26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环境信访受理</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2160件</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2160件</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5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26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生态环境风险隐患</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695个</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695个</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5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26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饮用水源及入河排污口整治</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208个</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200个</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9"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ascii="Arial"/>
                <w:color w:val="000000" w:themeColor="text1"/>
                <w:sz w:val="20"/>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涉危废企业专项行动</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560家</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560家</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质量指标</w:t>
            </w: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环境信访受理率</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default"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100%</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default"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100%</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9"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26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饮用水源及入河排污口整治率</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100%</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96.15%</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3</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jc w:val="center"/>
              <w:textAlignment w:val="auto"/>
              <w:rPr>
                <w:rFonts w:ascii="Arial"/>
                <w:color w:val="000000" w:themeColor="text1"/>
                <w:sz w:val="19"/>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项目完成率</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100%</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100%</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jc w:val="center"/>
              <w:textAlignment w:val="auto"/>
              <w:rPr>
                <w:rFonts w:ascii="Arial"/>
                <w:color w:val="000000" w:themeColor="text1"/>
                <w:sz w:val="19"/>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时效指标</w:t>
            </w: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Arial" w:eastAsiaTheme="minorEastAsia"/>
                <w:color w:val="000000" w:themeColor="text1"/>
                <w:sz w:val="20"/>
                <w:lang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环境信访受理</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2022年</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2022年</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5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26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生态环境风险隐患</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每月一次</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已完成</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按期完成年初预算目标</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2022年</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2022年</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成本指标</w:t>
            </w: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Arial" w:eastAsiaTheme="minorEastAsia"/>
                <w:color w:val="000000" w:themeColor="text1"/>
                <w:sz w:val="20"/>
                <w:lang w:eastAsia="zh-CN"/>
                <w14:textFill>
                  <w14:solidFill>
                    <w14:schemeClr w14:val="tx1"/>
                  </w14:solidFill>
                </w14:textFill>
              </w:rPr>
            </w:pPr>
            <w:r>
              <w:rPr>
                <w:rFonts w:hint="eastAsia" w:ascii="Arial"/>
                <w:color w:val="000000" w:themeColor="text1"/>
                <w:sz w:val="20"/>
                <w:lang w:eastAsia="zh-CN"/>
                <w14:textFill>
                  <w14:solidFill>
                    <w14:schemeClr w14:val="tx1"/>
                  </w14:solidFill>
                </w14:textFill>
              </w:rPr>
              <w:t>成本控制</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456.28万</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585.45万</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6</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2</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0"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1"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1"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1"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91" w:lineRule="exact"/>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position w:val="21"/>
                <w:sz w:val="21"/>
                <w:szCs w:val="21"/>
                <w14:textFill>
                  <w14:solidFill>
                    <w14:schemeClr w14:val="tx1"/>
                  </w14:solidFill>
                </w14:textFill>
              </w:rPr>
              <w:t>效益指标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9"/>
                <w:sz w:val="21"/>
                <w:szCs w:val="21"/>
                <w14:textFill>
                  <w14:solidFill>
                    <w14:schemeClr w14:val="tx1"/>
                  </w14:solidFill>
                </w14:textFill>
              </w:rPr>
              <w:t>(30分)</w:t>
            </w: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经济效</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益指标</w:t>
            </w: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ascii="Arial" w:hAnsiTheme="minorHAnsi" w:eastAsiaTheme="minorEastAsia" w:cstheme="minorBidi"/>
                <w:color w:val="000000" w:themeColor="text1"/>
                <w:kern w:val="2"/>
                <w:sz w:val="20"/>
                <w:szCs w:val="24"/>
                <w:lang w:val="en-US" w:eastAsia="zh-CN" w:bidi="ar-SA"/>
                <w14:textFill>
                  <w14:solidFill>
                    <w14:schemeClr w14:val="tx1"/>
                  </w14:solidFill>
                </w14:textFill>
              </w:rPr>
            </w:pPr>
            <w:r>
              <w:rPr>
                <w:rFonts w:hint="eastAsia" w:ascii="Arial" w:cstheme="minorBidi"/>
                <w:color w:val="000000" w:themeColor="text1"/>
                <w:kern w:val="2"/>
                <w:sz w:val="20"/>
                <w:szCs w:val="24"/>
                <w:lang w:val="en-US" w:eastAsia="zh-CN" w:bidi="ar-SA"/>
                <w14:textFill>
                  <w14:solidFill>
                    <w14:schemeClr w14:val="tx1"/>
                  </w14:solidFill>
                </w14:textFill>
              </w:rPr>
              <w:t>反向促进经济发展</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有发展</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eastAsia"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有发展</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7</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7</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2"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社会效</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益指标</w:t>
            </w: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ascii="Arial" w:hAnsiTheme="minorHAnsi" w:eastAsiaTheme="minorEastAsia" w:cstheme="minorBidi"/>
                <w:color w:val="000000" w:themeColor="text1"/>
                <w:kern w:val="2"/>
                <w:sz w:val="20"/>
                <w:szCs w:val="24"/>
                <w:lang w:val="en-US" w:eastAsia="zh-CN" w:bidi="ar-SA"/>
                <w14:textFill>
                  <w14:solidFill>
                    <w14:schemeClr w14:val="tx1"/>
                  </w14:solidFill>
                </w14:textFill>
              </w:rPr>
            </w:pPr>
            <w:r>
              <w:rPr>
                <w:rFonts w:hint="eastAsia" w:ascii="Arial"/>
                <w:color w:val="000000" w:themeColor="text1"/>
                <w:sz w:val="20"/>
                <w14:textFill>
                  <w14:solidFill>
                    <w14:schemeClr w14:val="tx1"/>
                  </w14:solidFill>
                </w14:textFill>
              </w:rPr>
              <w:t>改善居民生产、生活环境，提升幸福生活</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Arial" w:hAnsiTheme="minorHAnsi" w:eastAsiaTheme="minorEastAsia" w:cstheme="minorBidi"/>
                <w:color w:val="000000" w:themeColor="text1"/>
                <w:kern w:val="2"/>
                <w:sz w:val="20"/>
                <w:szCs w:val="24"/>
                <w:lang w:val="en-US" w:eastAsia="zh-CN" w:bidi="ar-SA"/>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有所改善</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ascii="Arial" w:hAnsiTheme="minorHAnsi" w:eastAsiaTheme="minorEastAsia" w:cstheme="minorBidi"/>
                <w:color w:val="000000" w:themeColor="text1"/>
                <w:kern w:val="2"/>
                <w:sz w:val="20"/>
                <w:szCs w:val="24"/>
                <w:lang w:val="en-US" w:eastAsia="zh-CN" w:bidi="ar-SA"/>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有所改善</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8</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8</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37"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生态效</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益指标</w:t>
            </w: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Arial" w:eastAsiaTheme="minorEastAsia"/>
                <w:color w:val="000000" w:themeColor="text1"/>
                <w:sz w:val="20"/>
                <w:lang w:eastAsia="zh-CN"/>
                <w14:textFill>
                  <w14:solidFill>
                    <w14:schemeClr w14:val="tx1"/>
                  </w14:solidFill>
                </w14:textFill>
              </w:rPr>
            </w:pPr>
            <w:r>
              <w:rPr>
                <w:rFonts w:hint="eastAsia" w:ascii="Arial"/>
                <w:color w:val="000000" w:themeColor="text1"/>
                <w:sz w:val="20"/>
                <w:lang w:eastAsia="zh-CN"/>
                <w14:textFill>
                  <w14:solidFill>
                    <w14:schemeClr w14:val="tx1"/>
                  </w14:solidFill>
                </w14:textFill>
              </w:rPr>
              <w:t>改善</w:t>
            </w:r>
            <w:r>
              <w:rPr>
                <w:rFonts w:hint="eastAsia" w:ascii="Arial"/>
                <w:color w:val="000000" w:themeColor="text1"/>
                <w:sz w:val="20"/>
                <w14:textFill>
                  <w14:solidFill>
                    <w14:schemeClr w14:val="tx1"/>
                  </w14:solidFill>
                </w14:textFill>
              </w:rPr>
              <w:t>饮用水源</w:t>
            </w:r>
            <w:r>
              <w:rPr>
                <w:rFonts w:hint="eastAsia" w:ascii="Arial"/>
                <w:color w:val="000000" w:themeColor="text1"/>
                <w:sz w:val="20"/>
                <w:lang w:val="en-US" w:eastAsia="zh-CN"/>
                <w14:textFill>
                  <w14:solidFill>
                    <w14:schemeClr w14:val="tx1"/>
                  </w14:solidFill>
                </w14:textFill>
              </w:rPr>
              <w:t>及</w:t>
            </w:r>
            <w:r>
              <w:rPr>
                <w:rFonts w:hint="eastAsia" w:ascii="Arial"/>
                <w:color w:val="000000" w:themeColor="text1"/>
                <w:sz w:val="20"/>
                <w14:textFill>
                  <w14:solidFill>
                    <w14:schemeClr w14:val="tx1"/>
                  </w14:solidFill>
                </w14:textFill>
              </w:rPr>
              <w:t>入河排污口</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Arial" w:eastAsiaTheme="minorEastAsia"/>
                <w:color w:val="000000" w:themeColor="text1"/>
                <w:sz w:val="20"/>
                <w:lang w:eastAsia="zh-CN"/>
                <w14:textFill>
                  <w14:solidFill>
                    <w14:schemeClr w14:val="tx1"/>
                  </w14:solidFill>
                </w14:textFill>
              </w:rPr>
            </w:pPr>
            <w:r>
              <w:rPr>
                <w:rFonts w:hint="eastAsia" w:ascii="Arial"/>
                <w:color w:val="000000" w:themeColor="text1"/>
                <w:sz w:val="20"/>
                <w:lang w:eastAsia="zh-CN"/>
                <w14:textFill>
                  <w14:solidFill>
                    <w14:schemeClr w14:val="tx1"/>
                  </w14:solidFill>
                </w14:textFill>
              </w:rPr>
              <w:t>有改善</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eastAsia="zh-CN"/>
                <w14:textFill>
                  <w14:solidFill>
                    <w14:schemeClr w14:val="tx1"/>
                  </w14:solidFill>
                </w14:textFill>
              </w:rPr>
            </w:pPr>
            <w:r>
              <w:rPr>
                <w:rFonts w:hint="eastAsia" w:ascii="Arial"/>
                <w:color w:val="000000" w:themeColor="text1"/>
                <w:sz w:val="20"/>
                <w:lang w:eastAsia="zh-CN"/>
                <w14:textFill>
                  <w14:solidFill>
                    <w14:schemeClr w14:val="tx1"/>
                  </w14:solidFill>
                </w14:textFill>
              </w:rPr>
              <w:t>有改善</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7</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7</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3"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可持续影</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响指标</w:t>
            </w:r>
          </w:p>
        </w:tc>
        <w:tc>
          <w:tcPr>
            <w:tcW w:w="1269" w:type="dxa"/>
            <w:vAlign w:val="center"/>
          </w:tcPr>
          <w:p>
            <w:pPr>
              <w:keepNext w:val="0"/>
              <w:keepLines w:val="0"/>
              <w:pageBreakBefore w:val="0"/>
              <w:widowControl w:val="0"/>
              <w:kinsoku/>
              <w:wordWrap/>
              <w:overflowPunct/>
              <w:topLinePunct w:val="0"/>
              <w:autoSpaceDE/>
              <w:autoSpaceDN/>
              <w:bidi w:val="0"/>
              <w:adjustRightInd/>
              <w:snapToGrid/>
              <w:ind w:left="0"/>
              <w:jc w:val="both"/>
              <w:textAlignment w:val="auto"/>
              <w:rPr>
                <w:rFonts w:hint="eastAsia" w:ascii="Arial" w:eastAsiaTheme="minorEastAsia"/>
                <w:color w:val="000000" w:themeColor="text1"/>
                <w:sz w:val="21"/>
                <w:lang w:eastAsia="zh-CN"/>
                <w14:textFill>
                  <w14:solidFill>
                    <w14:schemeClr w14:val="tx1"/>
                  </w14:solidFill>
                </w14:textFill>
              </w:rPr>
            </w:pPr>
            <w:r>
              <w:rPr>
                <w:rFonts w:hint="eastAsia" w:ascii="Arial"/>
                <w:color w:val="000000" w:themeColor="text1"/>
                <w:sz w:val="21"/>
                <w:lang w:eastAsia="zh-CN"/>
                <w14:textFill>
                  <w14:solidFill>
                    <w14:schemeClr w14:val="tx1"/>
                  </w14:solidFill>
                </w14:textFill>
              </w:rPr>
              <w:t>生态环境加强的监管</w:t>
            </w:r>
          </w:p>
        </w:tc>
        <w:tc>
          <w:tcPr>
            <w:tcW w:w="1319" w:type="dxa"/>
            <w:vAlign w:val="center"/>
          </w:tcPr>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环境质量稳步提升　</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已完成</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8</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8</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9"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4"/>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9"/>
                <w:sz w:val="21"/>
                <w:szCs w:val="21"/>
                <w14:textFill>
                  <w14:solidFill>
                    <w14:schemeClr w14:val="tx1"/>
                  </w14:solidFill>
                </w14:textFill>
              </w:rPr>
              <w:t>(10分)</w:t>
            </w: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2"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服务对象</w:t>
            </w:r>
          </w:p>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满意度指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标</w:t>
            </w:r>
          </w:p>
        </w:tc>
        <w:tc>
          <w:tcPr>
            <w:tcW w:w="1269" w:type="dxa"/>
            <w:vAlign w:val="center"/>
          </w:tcPr>
          <w:p>
            <w:pPr>
              <w:keepNext w:val="0"/>
              <w:keepLines w:val="0"/>
              <w:pageBreakBefore w:val="0"/>
              <w:widowControl w:val="0"/>
              <w:kinsoku/>
              <w:wordWrap/>
              <w:overflowPunct/>
              <w:topLinePunct w:val="0"/>
              <w:autoSpaceDE/>
              <w:autoSpaceDN/>
              <w:bidi w:val="0"/>
              <w:adjustRightInd/>
              <w:snapToGrid/>
              <w:spacing w:line="202"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服务对象</w:t>
            </w:r>
          </w:p>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满意度指</w:t>
            </w:r>
          </w:p>
          <w:p>
            <w:pPr>
              <w:keepNext w:val="0"/>
              <w:keepLines w:val="0"/>
              <w:pageBreakBefore w:val="0"/>
              <w:widowControl w:val="0"/>
              <w:kinsoku/>
              <w:wordWrap/>
              <w:overflowPunct/>
              <w:topLinePunct w:val="0"/>
              <w:autoSpaceDE/>
              <w:autoSpaceDN/>
              <w:bidi w:val="0"/>
              <w:adjustRightInd/>
              <w:snapToGrid/>
              <w:ind w:left="0"/>
              <w:jc w:val="center"/>
              <w:textAlignment w:val="auto"/>
              <w:rPr>
                <w:rFonts w:hint="default" w:ascii="Arial" w:eastAsia="宋体"/>
                <w:color w:val="000000" w:themeColor="text1"/>
                <w:sz w:val="21"/>
                <w:lang w:val="en-US" w:eastAsia="zh-CN"/>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标</w:t>
            </w:r>
            <w:r>
              <w:rPr>
                <w:rFonts w:hint="eastAsia" w:ascii="宋体" w:hAnsi="宋体" w:eastAsia="宋体" w:cs="宋体"/>
                <w:color w:val="000000" w:themeColor="text1"/>
                <w:sz w:val="21"/>
                <w:szCs w:val="21"/>
                <w:lang w:val="en-US" w:eastAsia="zh-CN"/>
                <w14:textFill>
                  <w14:solidFill>
                    <w14:schemeClr w14:val="tx1"/>
                  </w14:solidFill>
                </w14:textFill>
              </w:rPr>
              <w:t>95%</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95%</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hint="default" w:ascii="宋体" w:hAnsi="宋体" w:eastAsia="宋体" w:cs="宋体"/>
                <w:color w:val="000000" w:themeColor="text1"/>
                <w:spacing w:val="-2"/>
                <w:sz w:val="21"/>
                <w:szCs w:val="21"/>
                <w:lang w:val="en-US" w:eastAsia="zh-CN"/>
                <w14:textFill>
                  <w14:solidFill>
                    <w14:schemeClr w14:val="tx1"/>
                  </w14:solidFill>
                </w14:textFill>
              </w:rPr>
            </w:pPr>
            <w:r>
              <w:rPr>
                <w:rFonts w:hint="eastAsia" w:ascii="宋体" w:hAnsi="宋体" w:eastAsia="宋体" w:cs="宋体"/>
                <w:color w:val="000000" w:themeColor="text1"/>
                <w:spacing w:val="-2"/>
                <w:sz w:val="21"/>
                <w:szCs w:val="21"/>
                <w:lang w:val="en-US" w:eastAsia="zh-CN"/>
                <w14:textFill>
                  <w14:solidFill>
                    <w14:schemeClr w14:val="tx1"/>
                  </w14:solidFill>
                </w14:textFill>
              </w:rPr>
              <w:t>95%</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default" w:ascii="Arial"/>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default" w:ascii="Arial"/>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65" w:hRule="atLeast"/>
        </w:trPr>
        <w:tc>
          <w:tcPr>
            <w:tcW w:w="7039" w:type="dxa"/>
            <w:gridSpan w:val="6"/>
            <w:vAlign w:val="center"/>
          </w:tcPr>
          <w:p>
            <w:pPr>
              <w:keepNext w:val="0"/>
              <w:keepLines w:val="0"/>
              <w:pageBreakBefore w:val="0"/>
              <w:widowControl w:val="0"/>
              <w:kinsoku/>
              <w:wordWrap/>
              <w:overflowPunct/>
              <w:topLinePunct w:val="0"/>
              <w:autoSpaceDE/>
              <w:autoSpaceDN/>
              <w:bidi w:val="0"/>
              <w:adjustRightInd/>
              <w:snapToGrid/>
              <w:spacing w:line="251" w:lineRule="exact"/>
              <w:ind w:left="0" w:firstLine="3274"/>
              <w:jc w:val="center"/>
              <w:textAlignment w:val="auto"/>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297815" cy="158750"/>
                  <wp:effectExtent l="0" t="0" r="6985" b="1333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a:stretch>
                            <a:fillRect/>
                          </a:stretch>
                        </pic:blipFill>
                        <pic:spPr>
                          <a:xfrm>
                            <a:off x="0" y="0"/>
                            <a:ext cx="297815" cy="158750"/>
                          </a:xfrm>
                          <a:prstGeom prst="rect">
                            <a:avLst/>
                          </a:prstGeom>
                          <a:noFill/>
                          <a:ln>
                            <a:noFill/>
                          </a:ln>
                        </pic:spPr>
                      </pic:pic>
                    </a:graphicData>
                  </a:graphic>
                </wp:inline>
              </w:drawing>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16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6"/>
                <w:sz w:val="21"/>
                <w:szCs w:val="21"/>
                <w14:textFill>
                  <w14:solidFill>
                    <w14:schemeClr w14:val="tx1"/>
                  </w14:solidFill>
                </w14:textFill>
              </w:rPr>
              <w:t>100</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default" w:ascii="Arial" w:eastAsiaTheme="minorEastAsia"/>
                <w:color w:val="000000" w:themeColor="text1"/>
                <w:sz w:val="21"/>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95</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22"/>
          <w:position w:val="-1"/>
          <w:sz w:val="22"/>
          <w:szCs w:val="22"/>
          <w:lang w:val="en-US" w:eastAsia="zh-CN"/>
          <w14:textFill>
            <w14:solidFill>
              <w14:schemeClr w14:val="tx1"/>
            </w14:solidFill>
          </w14:textFill>
        </w:rPr>
      </w:pPr>
      <w:r>
        <w:rPr>
          <w:rFonts w:ascii="仿宋" w:hAnsi="仿宋" w:eastAsia="仿宋" w:cs="仿宋"/>
          <w:color w:val="000000" w:themeColor="text1"/>
          <w:spacing w:val="-22"/>
          <w:sz w:val="22"/>
          <w:szCs w:val="22"/>
          <w14:textFill>
            <w14:solidFill>
              <w14:schemeClr w14:val="tx1"/>
            </w14:solidFill>
          </w14:textFill>
        </w:rPr>
        <w:t>填表人：</w:t>
      </w:r>
      <w:r>
        <w:rPr>
          <w:rFonts w:ascii="仿宋" w:hAnsi="仿宋" w:eastAsia="仿宋" w:cs="仿宋"/>
          <w:color w:val="000000" w:themeColor="text1"/>
          <w:spacing w:val="9"/>
          <w:sz w:val="22"/>
          <w:szCs w:val="22"/>
          <w14:textFill>
            <w14:solidFill>
              <w14:schemeClr w14:val="tx1"/>
            </w14:solidFill>
          </w14:textFill>
        </w:rPr>
        <w:t xml:space="preserve">    </w:t>
      </w:r>
      <w:r>
        <w:rPr>
          <w:rFonts w:ascii="仿宋" w:hAnsi="仿宋" w:eastAsia="仿宋" w:cs="仿宋"/>
          <w:color w:val="000000" w:themeColor="text1"/>
          <w:spacing w:val="3"/>
          <w:sz w:val="22"/>
          <w:szCs w:val="22"/>
          <w14:textFill>
            <w14:solidFill>
              <w14:schemeClr w14:val="tx1"/>
            </w14:solidFill>
          </w14:textFill>
        </w:rPr>
        <w:t xml:space="preserve">        </w:t>
      </w:r>
      <w:r>
        <w:rPr>
          <w:rFonts w:ascii="仿宋" w:hAnsi="仿宋" w:eastAsia="仿宋" w:cs="仿宋"/>
          <w:color w:val="000000" w:themeColor="text1"/>
          <w:spacing w:val="-22"/>
          <w:sz w:val="22"/>
          <w:szCs w:val="22"/>
          <w14:textFill>
            <w14:solidFill>
              <w14:schemeClr w14:val="tx1"/>
            </w14:solidFill>
          </w14:textFill>
        </w:rPr>
        <w:t>联系电话：</w:t>
      </w:r>
      <w:r>
        <w:rPr>
          <w:rFonts w:ascii="仿宋" w:hAnsi="仿宋" w:eastAsia="仿宋" w:cs="仿宋"/>
          <w:color w:val="000000" w:themeColor="text1"/>
          <w:spacing w:val="2"/>
          <w:sz w:val="22"/>
          <w:szCs w:val="22"/>
          <w14:textFill>
            <w14:solidFill>
              <w14:schemeClr w14:val="tx1"/>
            </w14:solidFill>
          </w14:textFill>
        </w:rPr>
        <w:t xml:space="preserve">             </w:t>
      </w:r>
      <w:r>
        <w:rPr>
          <w:rFonts w:ascii="仿宋" w:hAnsi="仿宋" w:eastAsia="仿宋" w:cs="仿宋"/>
          <w:color w:val="000000" w:themeColor="text1"/>
          <w:spacing w:val="-22"/>
          <w:position w:val="-1"/>
          <w:sz w:val="22"/>
          <w:szCs w:val="22"/>
          <w14:textFill>
            <w14:solidFill>
              <w14:schemeClr w14:val="tx1"/>
            </w14:solidFill>
          </w14:textFill>
        </w:rPr>
        <w:t>单位负责人签字：</w:t>
      </w:r>
      <w:r>
        <w:rPr>
          <w:rFonts w:hint="eastAsia" w:ascii="仿宋" w:hAnsi="仿宋" w:eastAsia="仿宋" w:cs="仿宋"/>
          <w:color w:val="000000" w:themeColor="text1"/>
          <w:spacing w:val="-22"/>
          <w:position w:val="-1"/>
          <w:sz w:val="22"/>
          <w:szCs w:val="22"/>
          <w:lang w:val="en-US" w:eastAsia="zh-CN"/>
          <w14:textFill>
            <w14:solidFill>
              <w14:schemeClr w14:val="tx1"/>
            </w14:solidFill>
          </w14:textFill>
        </w:rPr>
        <w:t xml:space="preserve">                      </w:t>
      </w:r>
      <w:r>
        <w:rPr>
          <w:rFonts w:ascii="仿宋" w:hAnsi="仿宋" w:eastAsia="仿宋" w:cs="仿宋"/>
          <w:color w:val="000000" w:themeColor="text1"/>
          <w:spacing w:val="9"/>
          <w:sz w:val="22"/>
          <w:szCs w:val="22"/>
          <w14:textFill>
            <w14:solidFill>
              <w14:schemeClr w14:val="tx1"/>
            </w14:solidFill>
          </w14:textFill>
        </w:rPr>
        <w:t xml:space="preserve"> </w:t>
      </w:r>
      <w:r>
        <w:rPr>
          <w:rFonts w:ascii="仿宋" w:hAnsi="仿宋" w:eastAsia="仿宋" w:cs="仿宋"/>
          <w:color w:val="000000" w:themeColor="text1"/>
          <w:spacing w:val="-22"/>
          <w:sz w:val="22"/>
          <w:szCs w:val="22"/>
          <w14:textFill>
            <w14:solidFill>
              <w14:schemeClr w14:val="tx1"/>
            </w14:solidFill>
          </w14:textFill>
        </w:rPr>
        <w:t>填报日期：</w:t>
      </w:r>
      <w:r>
        <w:rPr>
          <w:rFonts w:ascii="仿宋" w:hAnsi="仿宋" w:eastAsia="仿宋" w:cs="仿宋"/>
          <w:color w:val="000000" w:themeColor="text1"/>
          <w:spacing w:val="3"/>
          <w:sz w:val="22"/>
          <w:szCs w:val="22"/>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sectPr>
          <w:pgSz w:w="11906" w:h="16838"/>
          <w:pgMar w:top="1134" w:right="1417" w:bottom="1134" w:left="1134" w:header="851" w:footer="992" w:gutter="0"/>
          <w:pgNumType w:fmt="decimal"/>
          <w:cols w:space="0" w:num="1"/>
          <w:rtlGutter w:val="0"/>
          <w:docGrid w:type="lines" w:linePitch="312" w:charSpace="0"/>
        </w:sectPr>
      </w:pPr>
      <w:r>
        <w:rPr>
          <w:rFonts w:hint="eastAsia" w:ascii="仿宋" w:hAnsi="仿宋" w:eastAsia="仿宋" w:cs="仿宋"/>
          <w:color w:val="000000" w:themeColor="text1"/>
          <w:spacing w:val="0"/>
          <w:position w:val="0"/>
          <w:sz w:val="22"/>
          <w:szCs w:val="2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t>附件</w:t>
      </w: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3</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2"/>
          <w:szCs w:val="4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pPr>
      <w:r>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2022年度</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pPr>
      <w:r>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岳阳市生态环境保护综合行政执法支队</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pPr>
      <w:r>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整体支出绩效自评报告</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pPr>
      <w:r>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t>部门(单位)名称：   ( 盖 章 )</w:t>
      </w:r>
    </w:p>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pPr>
      <w:r>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t>年  月  日</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2022年度</w:t>
      </w: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岳阳市生态环境保护综合行政执法支队</w:t>
      </w: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整体支出绩效自评报告</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一、单位基本情况</w:t>
      </w:r>
    </w:p>
    <w:p>
      <w:pPr>
        <w:keepNext w:val="0"/>
        <w:keepLines w:val="0"/>
        <w:pageBreakBefore w:val="0"/>
        <w:widowControl w:val="0"/>
        <w:kinsoku/>
        <w:wordWrap/>
        <w:overflowPunct/>
        <w:topLinePunct w:val="0"/>
        <w:autoSpaceDE/>
        <w:autoSpaceDN/>
        <w:bidi w:val="0"/>
        <w:adjustRightInd/>
        <w:snapToGrid/>
        <w:ind w:left="0" w:firstLine="643" w:firstLineChars="200"/>
        <w:jc w:val="left"/>
        <w:textAlignment w:val="auto"/>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t>(一)职能职责</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市生态环保综合执法支队以市生态环境局名义对外开展行政执法活动,在履行职责过程中坚持和加强党对生态环境保护行政执法工作的集中统一领导。主要职责是:</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1、贯彻执行国家有关生态环境保护行政执法方面的法律、法规、规章和政策规定。</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2、依法行使法律、法规、规章赋予的污染防治、生态保护、核与辐射安全等方面的行政处罚权以及与行政处罚相关的行政检查、行政强制权等行政执法职能;负责全市生态环境重大复杂违法案件和跨县(市、区)违法案件的查处。</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3、负责对县(市、区)生态环境保护综合行政执法工作进行业务指导、组织协调、考核评价和稽查。</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4、负责组织或配合生态环境保护联合执法行动。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5、负责生态环境保护行政执法和刑事司法工作衔接,移送涉嫌犯罪案件。</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6、负责组织实施重点污染源自动监控相关工作。</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7、负责环境应急与事故调查处理和管理;受理、承办、交办、督办生态环境保护信访(举报、投诉)案件;协调处理重要信访事项。</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8、完成上级部门交办的其他任务。</w:t>
      </w:r>
    </w:p>
    <w:p>
      <w:pPr>
        <w:keepNext w:val="0"/>
        <w:keepLines w:val="0"/>
        <w:pageBreakBefore w:val="0"/>
        <w:widowControl w:val="0"/>
        <w:kinsoku/>
        <w:wordWrap/>
        <w:overflowPunct/>
        <w:topLinePunct w:val="0"/>
        <w:autoSpaceDE/>
        <w:autoSpaceDN/>
        <w:bidi w:val="0"/>
        <w:adjustRightInd/>
        <w:snapToGrid/>
        <w:ind w:left="0" w:firstLine="643" w:firstLineChars="200"/>
        <w:jc w:val="left"/>
        <w:textAlignment w:val="auto"/>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t>(二)机构设置</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市生态环保综合执法支队核定编制31名,其中支队长1名,副支队长4名,正科级纪检员1名;内设机构副科级领导职数2名;大队正科</w:t>
      </w:r>
      <w:bookmarkStart w:id="0" w:name="_GoBack"/>
      <w:bookmarkEnd w:id="0"/>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级领导职数2名,副科级领导职数4名。下设四个机构，分别为综合科、稽查科、直属一大队、直属二大队。</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二、一般公共预算支出情况</w:t>
      </w:r>
    </w:p>
    <w:p>
      <w:pPr>
        <w:keepNext w:val="0"/>
        <w:keepLines w:val="0"/>
        <w:pageBreakBefore w:val="0"/>
        <w:widowControl w:val="0"/>
        <w:kinsoku/>
        <w:wordWrap/>
        <w:overflowPunct/>
        <w:topLinePunct w:val="0"/>
        <w:autoSpaceDE/>
        <w:autoSpaceDN/>
        <w:bidi w:val="0"/>
        <w:adjustRightInd/>
        <w:snapToGrid/>
        <w:ind w:left="0" w:firstLine="643" w:firstLineChars="200"/>
        <w:jc w:val="left"/>
        <w:textAlignment w:val="auto"/>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t>(一)基本支出情况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2022年基本支出预算数338.36万元，实际支出决算数513.94万元。其中：人员经费458.28万元，主要包括：基本工资、津贴补贴、奖金、伙食补助、机关事业单位基本养老保险缴费、职工基本医疗保险缴费、其他社会保障缴费、住房公积金等；公用经费55.66万元，主要包括：办公费、印刷费、咨询费、邮电费、差旅费、维修费、租赁费、会议费、培训费、公务接待费、劳务费、委托业务费、工会经费、公务用车运行维护费、其他交通费用、其他商品和服务支出等。</w:t>
      </w:r>
    </w:p>
    <w:p>
      <w:pPr>
        <w:keepNext w:val="0"/>
        <w:keepLines w:val="0"/>
        <w:pageBreakBefore w:val="0"/>
        <w:widowControl w:val="0"/>
        <w:kinsoku/>
        <w:wordWrap/>
        <w:overflowPunct/>
        <w:topLinePunct w:val="0"/>
        <w:autoSpaceDE/>
        <w:autoSpaceDN/>
        <w:bidi w:val="0"/>
        <w:adjustRightInd/>
        <w:snapToGrid/>
        <w:ind w:left="0" w:firstLine="643" w:firstLineChars="200"/>
        <w:jc w:val="left"/>
        <w:textAlignment w:val="auto"/>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t>(二)项目支出情况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2022年项目支出预算数117.92万元，实际支出决算数71.51万元，用于业务工作经费支出。</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三、政府性基金预算支出情况</w:t>
      </w:r>
    </w:p>
    <w:p>
      <w:pPr>
        <w:ind w:firstLine="640" w:firstLineChars="200"/>
        <w:jc w:val="left"/>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FangSong_GB2312" w:hAnsi="FangSong_GB2312" w:eastAsia="FangSong_GB2312" w:cs="FangSong_GB2312"/>
          <w:color w:val="000000" w:themeColor="text1"/>
          <w:sz w:val="32"/>
          <w:szCs w:val="32"/>
          <w14:textFill>
            <w14:solidFill>
              <w14:schemeClr w14:val="tx1"/>
            </w14:solidFill>
          </w14:textFill>
        </w:rPr>
        <w:t>2022年度本单位无政府性基金安排的支出。</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四、国有资本经营预算支出情况</w:t>
      </w:r>
    </w:p>
    <w:p>
      <w:pPr>
        <w:ind w:firstLine="640" w:firstLineChars="200"/>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FangSong_GB2312" w:hAnsi="FangSong_GB2312" w:eastAsia="FangSong_GB2312" w:cs="FangSong_GB2312"/>
          <w:color w:val="000000" w:themeColor="text1"/>
          <w:sz w:val="32"/>
          <w:szCs w:val="32"/>
          <w14:textFill>
            <w14:solidFill>
              <w14:schemeClr w14:val="tx1"/>
            </w14:solidFill>
          </w14:textFill>
        </w:rPr>
        <w:t>2022年度本单位无国有资本经营预算支出。</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五、社会保险基金预算支出情况</w:t>
      </w:r>
    </w:p>
    <w:p>
      <w:pPr>
        <w:ind w:firstLine="640" w:firstLineChars="200"/>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FangSong_GB2312" w:hAnsi="FangSong_GB2312" w:eastAsia="FangSong_GB2312" w:cs="FangSong_GB2312"/>
          <w:color w:val="000000" w:themeColor="text1"/>
          <w:sz w:val="32"/>
          <w:szCs w:val="32"/>
          <w14:textFill>
            <w14:solidFill>
              <w14:schemeClr w14:val="tx1"/>
            </w14:solidFill>
          </w14:textFill>
        </w:rPr>
        <w:t>2022年度本单位无国有资本经营预算支出。</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六、部门整体支出绩效情况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本单位各项项目资金其主要用途是确保单位的正常运转，促进各项工作任务顺利完成。在人员经费支出、公共支出严格执行区委区政府的各项制度；在项目经费的使用上，在保证各项任务顺利完成的同时，严格落实厉行节约的原则；三公经费的使用严格控制在预算申报的范围内。</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七、存在的问题及原因分析</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预算执行进度有待进一步提高。针对这些不足，我单位将积极采取改进措施，持续改进，不断规范和强化管理。</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八、下一步改进措施</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进一步加强局内部机构各科室的预算管理意识，严格按照预算编制的相关制度和要求，公用经费根据单位的年度工作重点和项目专项工作规划，本着“勤俭节约、保障运转’的原则进行预算的编制；编制范围尽可能的全面，不漏项；在预算编制时首先需满足固定性的、相对刚性的费用支出项目，尽量压缩变动性的、有控制空间的费用项目；杜绝预算编制粗放、拍脑袋现象的发生，进一步提高预算编制的科学性、合理性、严谨性和可控性。</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九、部门整体支出绩效自评结果拟应用和公开情况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本单位高度重视此项绩效自评工作，积极落实主体责任，切实加强组织领导，按照绩效评价相关制度规定，明确具体责任人，认真开展自评，撰写了此份绩效评价报告，确保绩效自评工作顺利实施，并将按照要求进行信息公开，对存在的问题积极整改。</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报告需要以下附件：</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1、部门整体支出绩效评价基础数据表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2、部门整体支出绩效自评表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3、项目支出绩效自评表(一个一级项目支出一张表)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4、政府性基金预算支出情况表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5、国有资本经营预算支出情况表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6、社会保险基金预算支出情况表</w:t>
      </w:r>
    </w:p>
    <w:p>
      <w:pPr>
        <w:spacing w:before="169" w:line="776" w:lineRule="exact"/>
        <w:rPr>
          <w:rFonts w:hint="eastAsia" w:ascii="宋体" w:hAnsi="宋体" w:eastAsia="宋体" w:cs="宋体"/>
          <w:b/>
          <w:bCs/>
          <w:color w:val="000000" w:themeColor="text1"/>
          <w:spacing w:val="19"/>
          <w:position w:val="17"/>
          <w:sz w:val="36"/>
          <w:szCs w:val="36"/>
          <w:lang w:eastAsia="zh-CN"/>
          <w14:textFill>
            <w14:solidFill>
              <w14:schemeClr w14:val="tx1"/>
            </w14:solidFill>
          </w14:textFill>
        </w:rPr>
        <w:sectPr>
          <w:pgSz w:w="11906" w:h="16838"/>
          <w:pgMar w:top="1701" w:right="1701" w:bottom="1701" w:left="1701" w:header="851" w:footer="992" w:gutter="0"/>
          <w:pgNumType w:fmt="decimal"/>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附件5</w:t>
      </w:r>
    </w:p>
    <w:p>
      <w:pPr>
        <w:ind w:firstLine="1440" w:firstLineChars="400"/>
        <w:jc w:val="both"/>
        <w:rPr>
          <w:rFonts w:hint="eastAsia" w:eastAsia="方正小标宋简体"/>
          <w:sz w:val="36"/>
          <w:szCs w:val="36"/>
          <w:lang w:eastAsia="zh-CN"/>
        </w:rPr>
      </w:pPr>
    </w:p>
    <w:p>
      <w:pPr>
        <w:ind w:firstLine="1440" w:firstLineChars="400"/>
        <w:jc w:val="both"/>
        <w:rPr>
          <w:rFonts w:eastAsia="方正小标宋简体"/>
          <w:spacing w:val="-6"/>
          <w:sz w:val="36"/>
          <w:szCs w:val="36"/>
        </w:rPr>
      </w:pPr>
      <w:r>
        <w:rPr>
          <w:rFonts w:hint="eastAsia" w:eastAsia="方正小标宋简体"/>
          <w:sz w:val="36"/>
          <w:szCs w:val="36"/>
          <w:lang w:eastAsia="zh-CN"/>
        </w:rPr>
        <w:t>区级</w:t>
      </w:r>
      <w:r>
        <w:rPr>
          <w:rFonts w:eastAsia="方正小标宋简体"/>
          <w:sz w:val="36"/>
          <w:szCs w:val="36"/>
        </w:rPr>
        <w:t>预算</w:t>
      </w:r>
      <w:r>
        <w:rPr>
          <w:rFonts w:hint="eastAsia" w:eastAsia="方正小标宋简体"/>
          <w:sz w:val="36"/>
          <w:szCs w:val="36"/>
          <w:lang w:eastAsia="zh-CN"/>
        </w:rPr>
        <w:t>单位</w:t>
      </w:r>
      <w:r>
        <w:rPr>
          <w:rFonts w:eastAsia="方正小标宋简体"/>
          <w:spacing w:val="-6"/>
          <w:sz w:val="36"/>
          <w:szCs w:val="36"/>
        </w:rPr>
        <w:t>绩效自评工作考核评分表</w:t>
      </w:r>
    </w:p>
    <w:tbl>
      <w:tblPr>
        <w:tblStyle w:val="4"/>
        <w:tblW w:w="9510" w:type="dxa"/>
        <w:jc w:val="center"/>
        <w:tblLayout w:type="fixed"/>
        <w:tblCellMar>
          <w:top w:w="0" w:type="dxa"/>
          <w:left w:w="108" w:type="dxa"/>
          <w:bottom w:w="0" w:type="dxa"/>
          <w:right w:w="108" w:type="dxa"/>
        </w:tblCellMar>
      </w:tblPr>
      <w:tblGrid>
        <w:gridCol w:w="774"/>
        <w:gridCol w:w="1501"/>
        <w:gridCol w:w="6482"/>
        <w:gridCol w:w="753"/>
      </w:tblGrid>
      <w:tr>
        <w:tblPrEx>
          <w:tblCellMar>
            <w:top w:w="0" w:type="dxa"/>
            <w:left w:w="108" w:type="dxa"/>
            <w:bottom w:w="0" w:type="dxa"/>
            <w:right w:w="108" w:type="dxa"/>
          </w:tblCellMar>
        </w:tblPrEx>
        <w:trPr>
          <w:trHeight w:val="630" w:hRule="atLeast"/>
          <w:tblHeader/>
          <w:jc w:val="center"/>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一级指标</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二级指标</w:t>
            </w:r>
          </w:p>
        </w:tc>
        <w:tc>
          <w:tcPr>
            <w:tcW w:w="6482"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评分标准</w:t>
            </w:r>
          </w:p>
        </w:tc>
        <w:tc>
          <w:tcPr>
            <w:tcW w:w="753"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评分</w:t>
            </w:r>
          </w:p>
        </w:tc>
      </w:tr>
      <w:tr>
        <w:tblPrEx>
          <w:tblCellMar>
            <w:top w:w="0" w:type="dxa"/>
            <w:left w:w="108" w:type="dxa"/>
            <w:bottom w:w="0" w:type="dxa"/>
            <w:right w:w="108" w:type="dxa"/>
          </w:tblCellMar>
        </w:tblPrEx>
        <w:trPr>
          <w:trHeight w:val="1234" w:hRule="atLeast"/>
          <w:jc w:val="center"/>
        </w:trPr>
        <w:tc>
          <w:tcPr>
            <w:tcW w:w="774"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实施评价</w:t>
            </w:r>
          </w:p>
          <w:p>
            <w:pPr>
              <w:spacing w:line="320" w:lineRule="exact"/>
              <w:jc w:val="center"/>
              <w:rPr>
                <w:rFonts w:hint="eastAsia" w:asciiTheme="majorEastAsia" w:hAnsiTheme="majorEastAsia" w:eastAsiaTheme="majorEastAsia" w:cstheme="majorEastAsia"/>
                <w:szCs w:val="21"/>
              </w:rPr>
            </w:pPr>
          </w:p>
          <w:p>
            <w:pPr>
              <w:spacing w:line="32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30分</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单位自查</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（20分）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区</w:t>
            </w:r>
            <w:r>
              <w:rPr>
                <w:rFonts w:hint="eastAsia" w:asciiTheme="majorEastAsia" w:hAnsiTheme="majorEastAsia" w:eastAsiaTheme="majorEastAsia" w:cstheme="majorEastAsia"/>
                <w:sz w:val="21"/>
                <w:szCs w:val="21"/>
              </w:rPr>
              <w:t>级预算单位都要开展绩效自查，转移支付项目单位都要开展绩效自查，区级主管部门都要汇总本区域转移支付情况；以上各项每发现一个单位没有做相应工作的，扣1分，最多扣20分。</w:t>
            </w:r>
          </w:p>
        </w:tc>
        <w:tc>
          <w:tcPr>
            <w:tcW w:w="753" w:type="dxa"/>
            <w:tcBorders>
              <w:top w:val="single" w:color="auto" w:sz="4" w:space="0"/>
              <w:left w:val="nil"/>
              <w:bottom w:val="single" w:color="auto" w:sz="4" w:space="0"/>
              <w:right w:val="single" w:color="auto" w:sz="4" w:space="0"/>
            </w:tcBorders>
            <w:vAlign w:val="center"/>
          </w:tcPr>
          <w:p>
            <w:pPr>
              <w:spacing w:line="240" w:lineRule="exac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val="en-US" w:eastAsia="zh-CN"/>
              </w:rPr>
              <w:t>20</w:t>
            </w:r>
          </w:p>
        </w:tc>
      </w:tr>
      <w:tr>
        <w:tblPrEx>
          <w:tblCellMar>
            <w:top w:w="0" w:type="dxa"/>
            <w:left w:w="108" w:type="dxa"/>
            <w:bottom w:w="0" w:type="dxa"/>
            <w:right w:w="108" w:type="dxa"/>
          </w:tblCellMar>
        </w:tblPrEx>
        <w:trPr>
          <w:trHeight w:val="682"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nil"/>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提交报告</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（10分）</w:t>
            </w:r>
          </w:p>
        </w:tc>
        <w:tc>
          <w:tcPr>
            <w:tcW w:w="6482" w:type="dxa"/>
            <w:tcBorders>
              <w:top w:val="nil"/>
              <w:left w:val="nil"/>
              <w:bottom w:val="single" w:color="auto" w:sz="4" w:space="0"/>
              <w:right w:val="single" w:color="auto" w:sz="4" w:space="0"/>
            </w:tcBorders>
            <w:vAlign w:val="center"/>
          </w:tcPr>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按时向</w:t>
            </w:r>
            <w:r>
              <w:rPr>
                <w:rFonts w:hint="eastAsia" w:asciiTheme="majorEastAsia" w:hAnsiTheme="majorEastAsia" w:eastAsiaTheme="majorEastAsia" w:cstheme="majorEastAsia"/>
                <w:sz w:val="21"/>
                <w:szCs w:val="21"/>
                <w:lang w:eastAsia="zh-CN"/>
              </w:rPr>
              <w:t>区</w:t>
            </w:r>
            <w:r>
              <w:rPr>
                <w:rFonts w:hint="eastAsia" w:asciiTheme="majorEastAsia" w:hAnsiTheme="majorEastAsia" w:eastAsiaTheme="majorEastAsia" w:cstheme="majorEastAsia"/>
                <w:sz w:val="21"/>
                <w:szCs w:val="21"/>
              </w:rPr>
              <w:t>财政局报送报告的得10分；每推迟一天报送报告的扣1分，最多扣10分。</w:t>
            </w:r>
          </w:p>
        </w:tc>
        <w:tc>
          <w:tcPr>
            <w:tcW w:w="753" w:type="dxa"/>
            <w:tcBorders>
              <w:top w:val="nil"/>
              <w:left w:val="nil"/>
              <w:bottom w:val="single" w:color="auto" w:sz="4" w:space="0"/>
              <w:right w:val="single" w:color="auto" w:sz="4" w:space="0"/>
            </w:tcBorders>
            <w:vAlign w:val="center"/>
          </w:tcPr>
          <w:p>
            <w:pPr>
              <w:spacing w:line="240" w:lineRule="exact"/>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10</w:t>
            </w:r>
          </w:p>
        </w:tc>
      </w:tr>
      <w:tr>
        <w:tblPrEx>
          <w:tblCellMar>
            <w:top w:w="0" w:type="dxa"/>
            <w:left w:w="108" w:type="dxa"/>
            <w:bottom w:w="0" w:type="dxa"/>
            <w:right w:w="108" w:type="dxa"/>
          </w:tblCellMar>
        </w:tblPrEx>
        <w:trPr>
          <w:trHeight w:val="1408" w:hRule="atLeast"/>
          <w:jc w:val="center"/>
        </w:trPr>
        <w:tc>
          <w:tcPr>
            <w:tcW w:w="774"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自评报告</w:t>
            </w:r>
          </w:p>
          <w:p>
            <w:pPr>
              <w:spacing w:line="240" w:lineRule="exact"/>
              <w:jc w:val="center"/>
              <w:rPr>
                <w:rFonts w:hint="eastAsia" w:asciiTheme="majorEastAsia" w:hAnsiTheme="majorEastAsia" w:eastAsiaTheme="majorEastAsia" w:cstheme="majorEastAsia"/>
                <w:szCs w:val="21"/>
              </w:rPr>
            </w:pPr>
          </w:p>
          <w:p>
            <w:pPr>
              <w:spacing w:line="24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val="en-US" w:eastAsia="zh-CN"/>
              </w:rPr>
              <w:t>70</w:t>
            </w:r>
            <w:r>
              <w:rPr>
                <w:rFonts w:hint="eastAsia" w:asciiTheme="majorEastAsia" w:hAnsiTheme="majorEastAsia" w:eastAsiaTheme="majorEastAsia" w:cstheme="majorEastAsia"/>
                <w:szCs w:val="21"/>
              </w:rPr>
              <w:t>分</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自评报告</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的完整性</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（15分）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1.绩效自评报告正文部分内容齐全的，得8分；否则每少一个部分扣2分，最多扣8分。</w:t>
            </w:r>
          </w:p>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2.绩效自评报告附件部分内容齐全的，得7分；否则每少一个部分扣2分，最多扣7分。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both"/>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15</w:t>
            </w:r>
          </w:p>
        </w:tc>
      </w:tr>
      <w:tr>
        <w:tblPrEx>
          <w:tblCellMar>
            <w:top w:w="0" w:type="dxa"/>
            <w:left w:w="108" w:type="dxa"/>
            <w:bottom w:w="0" w:type="dxa"/>
            <w:right w:w="108" w:type="dxa"/>
          </w:tblCellMar>
        </w:tblPrEx>
        <w:trPr>
          <w:trHeight w:val="3405"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single" w:color="auto" w:sz="4" w:space="0"/>
              <w:left w:val="nil"/>
              <w:bottom w:val="nil"/>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绩效自评表</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20</w:t>
            </w:r>
            <w:r>
              <w:rPr>
                <w:rFonts w:hint="eastAsia" w:asciiTheme="majorEastAsia" w:hAnsiTheme="majorEastAsia" w:eastAsiaTheme="majorEastAsia" w:cstheme="majorEastAsia"/>
                <w:sz w:val="21"/>
                <w:szCs w:val="21"/>
              </w:rPr>
              <w:t>分）</w:t>
            </w:r>
          </w:p>
        </w:tc>
        <w:tc>
          <w:tcPr>
            <w:tcW w:w="64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1.部门整体支出和项目支出绩效指标反映产出、效益、服务对象满意度方面的指标和预算执行率的权重符合</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岳阳市市级预算部门绩效自评操作规程</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的，得</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分，否则按比例扣除相应的分数。</w:t>
            </w:r>
          </w:p>
          <w:p>
            <w:pPr>
              <w:keepNext w:val="0"/>
              <w:keepLines w:val="0"/>
              <w:pageBreakBefore w:val="0"/>
              <w:widowControl w:val="0"/>
              <w:kinsoku/>
              <w:wordWrap/>
              <w:overflowPunct/>
              <w:topLinePunct w:val="0"/>
              <w:autoSpaceDE/>
              <w:autoSpaceDN/>
              <w:bidi w:val="0"/>
              <w:spacing w:line="24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2.部门整体支出和项目支出绩效指标全部细化到三级指标的，得</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分；部分细化的，酌情扣分；没有细化的，不得分。</w:t>
            </w:r>
          </w:p>
          <w:p>
            <w:pPr>
              <w:keepNext w:val="0"/>
              <w:keepLines w:val="0"/>
              <w:pageBreakBefore w:val="0"/>
              <w:widowControl w:val="0"/>
              <w:kinsoku/>
              <w:wordWrap/>
              <w:overflowPunct/>
              <w:topLinePunct w:val="0"/>
              <w:autoSpaceDE/>
              <w:autoSpaceDN/>
              <w:bidi w:val="0"/>
              <w:spacing w:line="24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部门整体支出和项目支出三级绩效指标内涵明确、具体、可衡量的得5分；突出核心指标，精简实用的得3分；指标与部门整体支出和项目支出密切相关，全面反映产出和效益的得2分；否则每项酌情扣分，最多扣10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both"/>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20</w:t>
            </w:r>
          </w:p>
        </w:tc>
      </w:tr>
      <w:tr>
        <w:tblPrEx>
          <w:tblCellMar>
            <w:top w:w="0" w:type="dxa"/>
            <w:left w:w="108" w:type="dxa"/>
            <w:bottom w:w="0" w:type="dxa"/>
            <w:right w:w="108" w:type="dxa"/>
          </w:tblCellMar>
        </w:tblPrEx>
        <w:trPr>
          <w:trHeight w:val="1640"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绩效评价</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报告反映</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问题情况</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20</w:t>
            </w:r>
            <w:r>
              <w:rPr>
                <w:rFonts w:hint="eastAsia" w:asciiTheme="majorEastAsia" w:hAnsiTheme="majorEastAsia" w:eastAsiaTheme="majorEastAsia" w:cstheme="majorEastAsia"/>
                <w:sz w:val="21"/>
                <w:szCs w:val="21"/>
              </w:rPr>
              <w:t>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3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0"/>
                <w:sz w:val="21"/>
                <w:szCs w:val="21"/>
              </w:rPr>
              <w:t>从预算和预算绩效管理，部门履职效能，资金分</w:t>
            </w:r>
            <w:r>
              <w:rPr>
                <w:rFonts w:hint="eastAsia" w:asciiTheme="majorEastAsia" w:hAnsiTheme="majorEastAsia" w:eastAsiaTheme="majorEastAsia" w:cstheme="majorEastAsia"/>
                <w:spacing w:val="9"/>
                <w:sz w:val="21"/>
                <w:szCs w:val="21"/>
              </w:rPr>
              <w:t>配、使用和管理，资产和财务管理，政府</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7"/>
                <w:sz w:val="21"/>
                <w:szCs w:val="21"/>
              </w:rPr>
              <w:t>采购等方面归纳问题、分析原因全面的，得20分；反映问题、分析原因较</w:t>
            </w:r>
            <w:r>
              <w:rPr>
                <w:rFonts w:hint="eastAsia" w:asciiTheme="majorEastAsia" w:hAnsiTheme="majorEastAsia" w:eastAsiaTheme="majorEastAsia" w:cstheme="majorEastAsia"/>
                <w:spacing w:val="6"/>
                <w:sz w:val="21"/>
                <w:szCs w:val="21"/>
              </w:rPr>
              <w:t>全面的，得16—</w:t>
            </w:r>
            <w:r>
              <w:rPr>
                <w:rFonts w:hint="eastAsia" w:asciiTheme="majorEastAsia" w:hAnsiTheme="majorEastAsia" w:eastAsiaTheme="majorEastAsia" w:cstheme="majorEastAsia"/>
                <w:spacing w:val="-73"/>
                <w:sz w:val="21"/>
                <w:szCs w:val="21"/>
              </w:rPr>
              <w:t xml:space="preserve"> </w:t>
            </w:r>
            <w:r>
              <w:rPr>
                <w:rFonts w:hint="eastAsia" w:asciiTheme="majorEastAsia" w:hAnsiTheme="majorEastAsia" w:eastAsiaTheme="majorEastAsia" w:cstheme="majorEastAsia"/>
                <w:spacing w:val="6"/>
                <w:sz w:val="21"/>
                <w:szCs w:val="21"/>
              </w:rPr>
              <w:t>18</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12"/>
                <w:sz w:val="21"/>
                <w:szCs w:val="21"/>
              </w:rPr>
              <w:t>分；反映问题、分析原因不全面的，得13—</w:t>
            </w:r>
            <w:r>
              <w:rPr>
                <w:rFonts w:hint="eastAsia" w:asciiTheme="majorEastAsia" w:hAnsiTheme="majorEastAsia" w:eastAsiaTheme="majorEastAsia" w:cstheme="majorEastAsia"/>
                <w:spacing w:val="-68"/>
                <w:sz w:val="21"/>
                <w:szCs w:val="21"/>
              </w:rPr>
              <w:t xml:space="preserve"> </w:t>
            </w:r>
            <w:r>
              <w:rPr>
                <w:rFonts w:hint="eastAsia" w:asciiTheme="majorEastAsia" w:hAnsiTheme="majorEastAsia" w:eastAsiaTheme="majorEastAsia" w:cstheme="majorEastAsia"/>
                <w:spacing w:val="12"/>
                <w:sz w:val="21"/>
                <w:szCs w:val="21"/>
              </w:rPr>
              <w:t>15分；问题未归纳</w:t>
            </w:r>
            <w:r>
              <w:rPr>
                <w:rFonts w:hint="eastAsia" w:asciiTheme="majorEastAsia" w:hAnsiTheme="majorEastAsia" w:eastAsiaTheme="majorEastAsia" w:cstheme="majorEastAsia"/>
                <w:spacing w:val="11"/>
                <w:sz w:val="21"/>
                <w:szCs w:val="21"/>
              </w:rPr>
              <w:t>且过于简单的，得10—</w:t>
            </w:r>
            <w:r>
              <w:rPr>
                <w:rFonts w:hint="eastAsia" w:asciiTheme="majorEastAsia" w:hAnsiTheme="majorEastAsia" w:eastAsiaTheme="majorEastAsia" w:cstheme="majorEastAsia"/>
                <w:spacing w:val="-68"/>
                <w:sz w:val="21"/>
                <w:szCs w:val="21"/>
              </w:rPr>
              <w:t xml:space="preserve"> </w:t>
            </w:r>
            <w:r>
              <w:rPr>
                <w:rFonts w:hint="eastAsia" w:asciiTheme="majorEastAsia" w:hAnsiTheme="majorEastAsia" w:eastAsiaTheme="majorEastAsia" w:cstheme="majorEastAsia"/>
                <w:spacing w:val="11"/>
                <w:sz w:val="21"/>
                <w:szCs w:val="21"/>
              </w:rPr>
              <w:t>12</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13"/>
                <w:sz w:val="21"/>
                <w:szCs w:val="21"/>
              </w:rPr>
              <w:t>分；只提出资金不足问题的不得分；其他情况酌情扣分，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both"/>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19</w:t>
            </w:r>
          </w:p>
        </w:tc>
      </w:tr>
      <w:tr>
        <w:tblPrEx>
          <w:tblCellMar>
            <w:top w:w="0" w:type="dxa"/>
            <w:left w:w="108" w:type="dxa"/>
            <w:bottom w:w="0" w:type="dxa"/>
            <w:right w:w="108" w:type="dxa"/>
          </w:tblCellMar>
        </w:tblPrEx>
        <w:trPr>
          <w:trHeight w:val="1313"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针对问题</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提出可行性建议的情况</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（15分）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6"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3"/>
                <w:sz w:val="21"/>
                <w:szCs w:val="21"/>
              </w:rPr>
              <w:t>建议与问题对应且全面的得15分，建议比较全面的得12—</w:t>
            </w:r>
            <w:r>
              <w:rPr>
                <w:rFonts w:hint="eastAsia" w:asciiTheme="majorEastAsia" w:hAnsiTheme="majorEastAsia" w:eastAsiaTheme="majorEastAsia" w:cstheme="majorEastAsia"/>
                <w:spacing w:val="-55"/>
                <w:sz w:val="21"/>
                <w:szCs w:val="21"/>
              </w:rPr>
              <w:t xml:space="preserve"> </w:t>
            </w:r>
            <w:r>
              <w:rPr>
                <w:rFonts w:hint="eastAsia" w:asciiTheme="majorEastAsia" w:hAnsiTheme="majorEastAsia" w:eastAsiaTheme="majorEastAsia" w:cstheme="majorEastAsia"/>
                <w:spacing w:val="3"/>
                <w:sz w:val="21"/>
                <w:szCs w:val="21"/>
              </w:rPr>
              <w:t>14分，建议不全面的得9—</w:t>
            </w:r>
            <w:r>
              <w:rPr>
                <w:rFonts w:hint="eastAsia" w:asciiTheme="majorEastAsia" w:hAnsiTheme="majorEastAsia" w:eastAsiaTheme="majorEastAsia" w:cstheme="majorEastAsia"/>
                <w:spacing w:val="-72"/>
                <w:sz w:val="21"/>
                <w:szCs w:val="21"/>
              </w:rPr>
              <w:t xml:space="preserve"> </w:t>
            </w:r>
            <w:r>
              <w:rPr>
                <w:rFonts w:hint="eastAsia" w:asciiTheme="majorEastAsia" w:hAnsiTheme="majorEastAsia" w:eastAsiaTheme="majorEastAsia" w:cstheme="majorEastAsia"/>
                <w:spacing w:val="3"/>
                <w:sz w:val="21"/>
                <w:szCs w:val="21"/>
              </w:rPr>
              <w:t>11</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2"/>
                <w:sz w:val="21"/>
                <w:szCs w:val="21"/>
              </w:rPr>
              <w:t>分，建议过于简单的得6—8分，只提出加大资金投入建议的不得分；其他情况酌情扣分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both"/>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14</w:t>
            </w:r>
          </w:p>
        </w:tc>
      </w:tr>
      <w:tr>
        <w:tblPrEx>
          <w:tblCellMar>
            <w:top w:w="0" w:type="dxa"/>
            <w:left w:w="108" w:type="dxa"/>
            <w:bottom w:w="0" w:type="dxa"/>
            <w:right w:w="108" w:type="dxa"/>
          </w:tblCellMar>
        </w:tblPrEx>
        <w:trPr>
          <w:trHeight w:val="540"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合计</w:t>
            </w:r>
          </w:p>
        </w:tc>
        <w:tc>
          <w:tcPr>
            <w:tcW w:w="150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100分</w:t>
            </w:r>
          </w:p>
        </w:tc>
        <w:tc>
          <w:tcPr>
            <w:tcW w:w="6482"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asciiTheme="majorEastAsia" w:hAnsiTheme="majorEastAsia" w:eastAsiaTheme="majorEastAsia" w:cstheme="majorEastAsia"/>
                <w:sz w:val="21"/>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98</w:t>
            </w:r>
          </w:p>
        </w:tc>
      </w:tr>
    </w:tbl>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p>
    <w:sectPr>
      <w:pgSz w:w="11906" w:h="16838"/>
      <w:pgMar w:top="1701" w:right="1701" w:bottom="1701" w:left="170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FangSong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zMTZhY2EwN2Y3OTViOWRmMDQwYWY3NzFjNDQ3OWUifQ=="/>
  </w:docVars>
  <w:rsids>
    <w:rsidRoot w:val="53FC3987"/>
    <w:rsid w:val="000A3765"/>
    <w:rsid w:val="001D7282"/>
    <w:rsid w:val="0039081D"/>
    <w:rsid w:val="005E6ECB"/>
    <w:rsid w:val="00744EA1"/>
    <w:rsid w:val="009419CA"/>
    <w:rsid w:val="00955854"/>
    <w:rsid w:val="009C7330"/>
    <w:rsid w:val="00A00FBB"/>
    <w:rsid w:val="00BF0721"/>
    <w:rsid w:val="00C03795"/>
    <w:rsid w:val="00CE3756"/>
    <w:rsid w:val="00D27A74"/>
    <w:rsid w:val="00E831C8"/>
    <w:rsid w:val="00EF287A"/>
    <w:rsid w:val="01057CDE"/>
    <w:rsid w:val="010B4A82"/>
    <w:rsid w:val="01192786"/>
    <w:rsid w:val="01201E6A"/>
    <w:rsid w:val="012D57C0"/>
    <w:rsid w:val="01457029"/>
    <w:rsid w:val="014900E3"/>
    <w:rsid w:val="014F5749"/>
    <w:rsid w:val="01521E95"/>
    <w:rsid w:val="01727F7E"/>
    <w:rsid w:val="01764DBE"/>
    <w:rsid w:val="01806F8C"/>
    <w:rsid w:val="0182483A"/>
    <w:rsid w:val="01863406"/>
    <w:rsid w:val="018D011E"/>
    <w:rsid w:val="019614B0"/>
    <w:rsid w:val="019C71AC"/>
    <w:rsid w:val="01BF03AA"/>
    <w:rsid w:val="01C33E74"/>
    <w:rsid w:val="01DF3C26"/>
    <w:rsid w:val="01EE0A2C"/>
    <w:rsid w:val="0200044D"/>
    <w:rsid w:val="020654E4"/>
    <w:rsid w:val="020C72F8"/>
    <w:rsid w:val="02121B7C"/>
    <w:rsid w:val="021813DE"/>
    <w:rsid w:val="021B6B30"/>
    <w:rsid w:val="02363BD8"/>
    <w:rsid w:val="023809F7"/>
    <w:rsid w:val="02431066"/>
    <w:rsid w:val="02595CF1"/>
    <w:rsid w:val="025C47D6"/>
    <w:rsid w:val="0263675C"/>
    <w:rsid w:val="02656E75"/>
    <w:rsid w:val="027431E5"/>
    <w:rsid w:val="02B544DB"/>
    <w:rsid w:val="02CB5D99"/>
    <w:rsid w:val="02F61D91"/>
    <w:rsid w:val="02FC4679"/>
    <w:rsid w:val="02FE5E0A"/>
    <w:rsid w:val="0347190C"/>
    <w:rsid w:val="034760CE"/>
    <w:rsid w:val="03487959"/>
    <w:rsid w:val="03505BE1"/>
    <w:rsid w:val="036D41A2"/>
    <w:rsid w:val="037F229C"/>
    <w:rsid w:val="03911277"/>
    <w:rsid w:val="039A540B"/>
    <w:rsid w:val="03BD010E"/>
    <w:rsid w:val="03E2685C"/>
    <w:rsid w:val="03E66326"/>
    <w:rsid w:val="03FF6E0F"/>
    <w:rsid w:val="0404259A"/>
    <w:rsid w:val="04051601"/>
    <w:rsid w:val="04150B3B"/>
    <w:rsid w:val="041D7587"/>
    <w:rsid w:val="04327F62"/>
    <w:rsid w:val="04344800"/>
    <w:rsid w:val="045F666C"/>
    <w:rsid w:val="0460075C"/>
    <w:rsid w:val="04613BEE"/>
    <w:rsid w:val="0462054D"/>
    <w:rsid w:val="04675C34"/>
    <w:rsid w:val="046C0B29"/>
    <w:rsid w:val="04816E5C"/>
    <w:rsid w:val="048924DD"/>
    <w:rsid w:val="04914D95"/>
    <w:rsid w:val="0495144B"/>
    <w:rsid w:val="04AC07A1"/>
    <w:rsid w:val="04C63115"/>
    <w:rsid w:val="04CF5236"/>
    <w:rsid w:val="04CF5AF0"/>
    <w:rsid w:val="04D24FF1"/>
    <w:rsid w:val="04DE1BAB"/>
    <w:rsid w:val="04E411E4"/>
    <w:rsid w:val="04F37BBA"/>
    <w:rsid w:val="05085366"/>
    <w:rsid w:val="05145F64"/>
    <w:rsid w:val="054037EF"/>
    <w:rsid w:val="054E7FFF"/>
    <w:rsid w:val="05621117"/>
    <w:rsid w:val="058C5045"/>
    <w:rsid w:val="059C7C89"/>
    <w:rsid w:val="05A50C70"/>
    <w:rsid w:val="05B525CA"/>
    <w:rsid w:val="05C4448F"/>
    <w:rsid w:val="05E616EC"/>
    <w:rsid w:val="06146BAF"/>
    <w:rsid w:val="06286BB6"/>
    <w:rsid w:val="06405E9C"/>
    <w:rsid w:val="064D5380"/>
    <w:rsid w:val="064E0F6B"/>
    <w:rsid w:val="06617309"/>
    <w:rsid w:val="06650E6A"/>
    <w:rsid w:val="06854A05"/>
    <w:rsid w:val="068B5259"/>
    <w:rsid w:val="06986D10"/>
    <w:rsid w:val="06A14716"/>
    <w:rsid w:val="06C90184"/>
    <w:rsid w:val="06C9437B"/>
    <w:rsid w:val="06ED564C"/>
    <w:rsid w:val="06F22A7B"/>
    <w:rsid w:val="07023424"/>
    <w:rsid w:val="07043735"/>
    <w:rsid w:val="0725074E"/>
    <w:rsid w:val="07313C60"/>
    <w:rsid w:val="07331F0A"/>
    <w:rsid w:val="076971BD"/>
    <w:rsid w:val="076D43AE"/>
    <w:rsid w:val="077323CA"/>
    <w:rsid w:val="0775145F"/>
    <w:rsid w:val="07967DE0"/>
    <w:rsid w:val="07970994"/>
    <w:rsid w:val="07B913B4"/>
    <w:rsid w:val="07BA1C6A"/>
    <w:rsid w:val="07BD44A3"/>
    <w:rsid w:val="07CE6155"/>
    <w:rsid w:val="07E11DA2"/>
    <w:rsid w:val="07E40515"/>
    <w:rsid w:val="07EE6091"/>
    <w:rsid w:val="08017E70"/>
    <w:rsid w:val="0805190B"/>
    <w:rsid w:val="082A5F7E"/>
    <w:rsid w:val="08391F38"/>
    <w:rsid w:val="083A18D9"/>
    <w:rsid w:val="083F775B"/>
    <w:rsid w:val="0848472A"/>
    <w:rsid w:val="084D20E7"/>
    <w:rsid w:val="08674899"/>
    <w:rsid w:val="08754155"/>
    <w:rsid w:val="087B77E7"/>
    <w:rsid w:val="087D3D34"/>
    <w:rsid w:val="0889236C"/>
    <w:rsid w:val="088E051E"/>
    <w:rsid w:val="08935A7B"/>
    <w:rsid w:val="08A91E6C"/>
    <w:rsid w:val="08BA1B19"/>
    <w:rsid w:val="08D059DD"/>
    <w:rsid w:val="08DC08E7"/>
    <w:rsid w:val="092D1C9E"/>
    <w:rsid w:val="09377E5E"/>
    <w:rsid w:val="09383E9F"/>
    <w:rsid w:val="0939426E"/>
    <w:rsid w:val="09504F8C"/>
    <w:rsid w:val="09616470"/>
    <w:rsid w:val="096C1F5A"/>
    <w:rsid w:val="096C76C1"/>
    <w:rsid w:val="09906B28"/>
    <w:rsid w:val="09912E95"/>
    <w:rsid w:val="099C1A23"/>
    <w:rsid w:val="09A948AF"/>
    <w:rsid w:val="09AC2A76"/>
    <w:rsid w:val="09B04837"/>
    <w:rsid w:val="09C95891"/>
    <w:rsid w:val="09D8005F"/>
    <w:rsid w:val="0A002E0D"/>
    <w:rsid w:val="0A140987"/>
    <w:rsid w:val="0A241A5C"/>
    <w:rsid w:val="0A2E3566"/>
    <w:rsid w:val="0A393280"/>
    <w:rsid w:val="0A5F2F6C"/>
    <w:rsid w:val="0A670B4E"/>
    <w:rsid w:val="0A851E03"/>
    <w:rsid w:val="0A985A6F"/>
    <w:rsid w:val="0AA808AF"/>
    <w:rsid w:val="0ABD142C"/>
    <w:rsid w:val="0AC644AE"/>
    <w:rsid w:val="0ACB61B4"/>
    <w:rsid w:val="0ACD4157"/>
    <w:rsid w:val="0AE964B0"/>
    <w:rsid w:val="0B163034"/>
    <w:rsid w:val="0B1F5B6D"/>
    <w:rsid w:val="0B2F4AF7"/>
    <w:rsid w:val="0B3312B6"/>
    <w:rsid w:val="0B4064B3"/>
    <w:rsid w:val="0B6E529C"/>
    <w:rsid w:val="0B701D27"/>
    <w:rsid w:val="0B7245CE"/>
    <w:rsid w:val="0B943886"/>
    <w:rsid w:val="0B9C3CD1"/>
    <w:rsid w:val="0BB324D8"/>
    <w:rsid w:val="0BB672C7"/>
    <w:rsid w:val="0BC07BBF"/>
    <w:rsid w:val="0BC429EF"/>
    <w:rsid w:val="0BCE65D1"/>
    <w:rsid w:val="0BD60937"/>
    <w:rsid w:val="0BD912A4"/>
    <w:rsid w:val="0BE135FA"/>
    <w:rsid w:val="0BEE4F6B"/>
    <w:rsid w:val="0C03261E"/>
    <w:rsid w:val="0C0439FA"/>
    <w:rsid w:val="0C0B17DF"/>
    <w:rsid w:val="0C0F382B"/>
    <w:rsid w:val="0C160980"/>
    <w:rsid w:val="0C1B4EF7"/>
    <w:rsid w:val="0C1C297E"/>
    <w:rsid w:val="0C1D4988"/>
    <w:rsid w:val="0C297E69"/>
    <w:rsid w:val="0C55038F"/>
    <w:rsid w:val="0C6B7DF9"/>
    <w:rsid w:val="0C6E2A56"/>
    <w:rsid w:val="0C7A708D"/>
    <w:rsid w:val="0CCA7495"/>
    <w:rsid w:val="0CD16BA2"/>
    <w:rsid w:val="0CD745A0"/>
    <w:rsid w:val="0CDE4E30"/>
    <w:rsid w:val="0D012A51"/>
    <w:rsid w:val="0D094F84"/>
    <w:rsid w:val="0D280615"/>
    <w:rsid w:val="0D2C07EB"/>
    <w:rsid w:val="0D2F57DE"/>
    <w:rsid w:val="0D353632"/>
    <w:rsid w:val="0D392C4E"/>
    <w:rsid w:val="0D482FA9"/>
    <w:rsid w:val="0D4A4299"/>
    <w:rsid w:val="0D5F1E28"/>
    <w:rsid w:val="0D671080"/>
    <w:rsid w:val="0D783B34"/>
    <w:rsid w:val="0D81754C"/>
    <w:rsid w:val="0DBE6AB7"/>
    <w:rsid w:val="0DBF116A"/>
    <w:rsid w:val="0DC00E38"/>
    <w:rsid w:val="0DC8400B"/>
    <w:rsid w:val="0DD34552"/>
    <w:rsid w:val="0DE03EAA"/>
    <w:rsid w:val="0DE12394"/>
    <w:rsid w:val="0DF36262"/>
    <w:rsid w:val="0E1E619E"/>
    <w:rsid w:val="0E267F81"/>
    <w:rsid w:val="0E365DE9"/>
    <w:rsid w:val="0E4822EE"/>
    <w:rsid w:val="0E4E185D"/>
    <w:rsid w:val="0E522FBE"/>
    <w:rsid w:val="0E5D141B"/>
    <w:rsid w:val="0E8648D6"/>
    <w:rsid w:val="0E8C08DC"/>
    <w:rsid w:val="0E8E43C0"/>
    <w:rsid w:val="0E964CBE"/>
    <w:rsid w:val="0EB05323"/>
    <w:rsid w:val="0EBE40CB"/>
    <w:rsid w:val="0EC36A56"/>
    <w:rsid w:val="0EC62499"/>
    <w:rsid w:val="0ECE4E6F"/>
    <w:rsid w:val="0EDA5C56"/>
    <w:rsid w:val="0EFE4287"/>
    <w:rsid w:val="0F0D525E"/>
    <w:rsid w:val="0F2A2A37"/>
    <w:rsid w:val="0F2E6C95"/>
    <w:rsid w:val="0F4675CA"/>
    <w:rsid w:val="0F471A79"/>
    <w:rsid w:val="0F500384"/>
    <w:rsid w:val="0F5B4015"/>
    <w:rsid w:val="0F6071C8"/>
    <w:rsid w:val="0F7B0394"/>
    <w:rsid w:val="0FA00CB6"/>
    <w:rsid w:val="0FA434D3"/>
    <w:rsid w:val="0FB2047F"/>
    <w:rsid w:val="0FB471F7"/>
    <w:rsid w:val="0FC95C51"/>
    <w:rsid w:val="0FC965F5"/>
    <w:rsid w:val="0FCD6B4B"/>
    <w:rsid w:val="0FCF7138"/>
    <w:rsid w:val="0FD35AB6"/>
    <w:rsid w:val="0FE017B9"/>
    <w:rsid w:val="0FE04B17"/>
    <w:rsid w:val="0FEC2891"/>
    <w:rsid w:val="0FF71EB7"/>
    <w:rsid w:val="10225AB2"/>
    <w:rsid w:val="102D74F0"/>
    <w:rsid w:val="103C47DA"/>
    <w:rsid w:val="103D5CB0"/>
    <w:rsid w:val="1043497A"/>
    <w:rsid w:val="104B6B58"/>
    <w:rsid w:val="105552F6"/>
    <w:rsid w:val="108449FF"/>
    <w:rsid w:val="108B34B0"/>
    <w:rsid w:val="109E2943"/>
    <w:rsid w:val="10C8346E"/>
    <w:rsid w:val="10FE6AB1"/>
    <w:rsid w:val="1112624E"/>
    <w:rsid w:val="11153798"/>
    <w:rsid w:val="11297158"/>
    <w:rsid w:val="114B2C9B"/>
    <w:rsid w:val="115D78BB"/>
    <w:rsid w:val="116001E2"/>
    <w:rsid w:val="11793618"/>
    <w:rsid w:val="11813452"/>
    <w:rsid w:val="11913DD4"/>
    <w:rsid w:val="11961E43"/>
    <w:rsid w:val="11987ED2"/>
    <w:rsid w:val="119969A0"/>
    <w:rsid w:val="11A91B68"/>
    <w:rsid w:val="11B76464"/>
    <w:rsid w:val="11BC2DF3"/>
    <w:rsid w:val="11C43676"/>
    <w:rsid w:val="11EA3CA0"/>
    <w:rsid w:val="11F403BB"/>
    <w:rsid w:val="11FA6A1C"/>
    <w:rsid w:val="120B6973"/>
    <w:rsid w:val="12155876"/>
    <w:rsid w:val="12183A1B"/>
    <w:rsid w:val="122A11A6"/>
    <w:rsid w:val="123D1BD2"/>
    <w:rsid w:val="123E6D4D"/>
    <w:rsid w:val="125613C2"/>
    <w:rsid w:val="125D4EF7"/>
    <w:rsid w:val="12637C4E"/>
    <w:rsid w:val="127030C8"/>
    <w:rsid w:val="12B310FA"/>
    <w:rsid w:val="12B7582D"/>
    <w:rsid w:val="12C621E8"/>
    <w:rsid w:val="12CF0716"/>
    <w:rsid w:val="12D95227"/>
    <w:rsid w:val="12E33197"/>
    <w:rsid w:val="12EE1C9C"/>
    <w:rsid w:val="12F863E6"/>
    <w:rsid w:val="13094CA6"/>
    <w:rsid w:val="132156D8"/>
    <w:rsid w:val="132911E2"/>
    <w:rsid w:val="133868AE"/>
    <w:rsid w:val="135133AE"/>
    <w:rsid w:val="13914897"/>
    <w:rsid w:val="13A55CD5"/>
    <w:rsid w:val="13B654E3"/>
    <w:rsid w:val="13B819E6"/>
    <w:rsid w:val="13BC4189"/>
    <w:rsid w:val="13C169EC"/>
    <w:rsid w:val="13CA717D"/>
    <w:rsid w:val="13CE022A"/>
    <w:rsid w:val="13DF25B8"/>
    <w:rsid w:val="13E2403C"/>
    <w:rsid w:val="14047D3B"/>
    <w:rsid w:val="141A00EA"/>
    <w:rsid w:val="143A1FCF"/>
    <w:rsid w:val="14430D66"/>
    <w:rsid w:val="14477E65"/>
    <w:rsid w:val="14710CBF"/>
    <w:rsid w:val="14791934"/>
    <w:rsid w:val="147D213D"/>
    <w:rsid w:val="148F22EE"/>
    <w:rsid w:val="14A04833"/>
    <w:rsid w:val="14B12779"/>
    <w:rsid w:val="14B37576"/>
    <w:rsid w:val="14F4219E"/>
    <w:rsid w:val="14F63C77"/>
    <w:rsid w:val="150135C1"/>
    <w:rsid w:val="151C632A"/>
    <w:rsid w:val="152E4EB1"/>
    <w:rsid w:val="153E3566"/>
    <w:rsid w:val="154034C3"/>
    <w:rsid w:val="156B6CDB"/>
    <w:rsid w:val="15726626"/>
    <w:rsid w:val="15820278"/>
    <w:rsid w:val="15914EE6"/>
    <w:rsid w:val="15A42FA4"/>
    <w:rsid w:val="15A6418F"/>
    <w:rsid w:val="15AA091B"/>
    <w:rsid w:val="15BC6BD3"/>
    <w:rsid w:val="15CF095E"/>
    <w:rsid w:val="15DA784E"/>
    <w:rsid w:val="15DB017B"/>
    <w:rsid w:val="15E6370B"/>
    <w:rsid w:val="15E835FB"/>
    <w:rsid w:val="15E84717"/>
    <w:rsid w:val="160F0091"/>
    <w:rsid w:val="16144614"/>
    <w:rsid w:val="163E3AB2"/>
    <w:rsid w:val="165E3F72"/>
    <w:rsid w:val="166D0110"/>
    <w:rsid w:val="167050F1"/>
    <w:rsid w:val="16713DA7"/>
    <w:rsid w:val="16797776"/>
    <w:rsid w:val="16952546"/>
    <w:rsid w:val="16AB3FBF"/>
    <w:rsid w:val="16AC1654"/>
    <w:rsid w:val="16B12C6E"/>
    <w:rsid w:val="16BF0789"/>
    <w:rsid w:val="16CD5BA2"/>
    <w:rsid w:val="16D42F73"/>
    <w:rsid w:val="16DA34D2"/>
    <w:rsid w:val="16DA4E41"/>
    <w:rsid w:val="16F042AC"/>
    <w:rsid w:val="16F626B5"/>
    <w:rsid w:val="16FB005D"/>
    <w:rsid w:val="16FC4F3B"/>
    <w:rsid w:val="171630EB"/>
    <w:rsid w:val="17435DB3"/>
    <w:rsid w:val="174849B3"/>
    <w:rsid w:val="175075E0"/>
    <w:rsid w:val="175D3461"/>
    <w:rsid w:val="175F4C67"/>
    <w:rsid w:val="175F580B"/>
    <w:rsid w:val="17665207"/>
    <w:rsid w:val="17794395"/>
    <w:rsid w:val="178D50A9"/>
    <w:rsid w:val="178F0FE3"/>
    <w:rsid w:val="17B85018"/>
    <w:rsid w:val="17E339CC"/>
    <w:rsid w:val="17F33C57"/>
    <w:rsid w:val="181D4FAC"/>
    <w:rsid w:val="182B38C1"/>
    <w:rsid w:val="18351597"/>
    <w:rsid w:val="18353961"/>
    <w:rsid w:val="18455C50"/>
    <w:rsid w:val="18474510"/>
    <w:rsid w:val="184F1D16"/>
    <w:rsid w:val="1852374B"/>
    <w:rsid w:val="185629F1"/>
    <w:rsid w:val="18685D91"/>
    <w:rsid w:val="188F0DAB"/>
    <w:rsid w:val="18905464"/>
    <w:rsid w:val="18910B5C"/>
    <w:rsid w:val="18A62960"/>
    <w:rsid w:val="18BD3DC4"/>
    <w:rsid w:val="18C149F3"/>
    <w:rsid w:val="18D233DB"/>
    <w:rsid w:val="18DC433F"/>
    <w:rsid w:val="18DD0C18"/>
    <w:rsid w:val="18DE4BF6"/>
    <w:rsid w:val="18EC1CA5"/>
    <w:rsid w:val="18F23C9D"/>
    <w:rsid w:val="18F554AB"/>
    <w:rsid w:val="18FE49D5"/>
    <w:rsid w:val="19081158"/>
    <w:rsid w:val="190F3527"/>
    <w:rsid w:val="19100497"/>
    <w:rsid w:val="19183CAC"/>
    <w:rsid w:val="193964B7"/>
    <w:rsid w:val="19521C94"/>
    <w:rsid w:val="195657BB"/>
    <w:rsid w:val="196B19EB"/>
    <w:rsid w:val="19717C66"/>
    <w:rsid w:val="198E7C2B"/>
    <w:rsid w:val="199945D5"/>
    <w:rsid w:val="199B5065"/>
    <w:rsid w:val="19D37D58"/>
    <w:rsid w:val="19DD0438"/>
    <w:rsid w:val="1A0A04E6"/>
    <w:rsid w:val="1A187AC0"/>
    <w:rsid w:val="1A213466"/>
    <w:rsid w:val="1A3F3F76"/>
    <w:rsid w:val="1A4B4BAE"/>
    <w:rsid w:val="1A5F35C0"/>
    <w:rsid w:val="1A8006B2"/>
    <w:rsid w:val="1A8D640E"/>
    <w:rsid w:val="1A974192"/>
    <w:rsid w:val="1ACA62AD"/>
    <w:rsid w:val="1ADA675E"/>
    <w:rsid w:val="1AE11CDA"/>
    <w:rsid w:val="1B113A6D"/>
    <w:rsid w:val="1B144B8D"/>
    <w:rsid w:val="1B17013D"/>
    <w:rsid w:val="1B1B14D3"/>
    <w:rsid w:val="1B1F6AF1"/>
    <w:rsid w:val="1B250DAE"/>
    <w:rsid w:val="1B2A34EB"/>
    <w:rsid w:val="1B2B0F4C"/>
    <w:rsid w:val="1B2D2734"/>
    <w:rsid w:val="1B3860E1"/>
    <w:rsid w:val="1B3F36F6"/>
    <w:rsid w:val="1B422830"/>
    <w:rsid w:val="1B4B369E"/>
    <w:rsid w:val="1B5271D4"/>
    <w:rsid w:val="1B6D7C0D"/>
    <w:rsid w:val="1B84594F"/>
    <w:rsid w:val="1B884364"/>
    <w:rsid w:val="1BA912AB"/>
    <w:rsid w:val="1BC74329"/>
    <w:rsid w:val="1BC90A36"/>
    <w:rsid w:val="1BD0347B"/>
    <w:rsid w:val="1BD40AF3"/>
    <w:rsid w:val="1BD802A4"/>
    <w:rsid w:val="1BDF236A"/>
    <w:rsid w:val="1C0435DD"/>
    <w:rsid w:val="1C044A22"/>
    <w:rsid w:val="1C0500B1"/>
    <w:rsid w:val="1C165874"/>
    <w:rsid w:val="1C1D4C3D"/>
    <w:rsid w:val="1C212C7F"/>
    <w:rsid w:val="1C4C28F3"/>
    <w:rsid w:val="1C71314E"/>
    <w:rsid w:val="1C82672C"/>
    <w:rsid w:val="1C89138D"/>
    <w:rsid w:val="1C8E76D2"/>
    <w:rsid w:val="1C937172"/>
    <w:rsid w:val="1C975C4B"/>
    <w:rsid w:val="1CA27BB1"/>
    <w:rsid w:val="1CAF7DCF"/>
    <w:rsid w:val="1CB07D7A"/>
    <w:rsid w:val="1CDA4D56"/>
    <w:rsid w:val="1CF810AC"/>
    <w:rsid w:val="1D0B3755"/>
    <w:rsid w:val="1D124C24"/>
    <w:rsid w:val="1D2C6C65"/>
    <w:rsid w:val="1D402518"/>
    <w:rsid w:val="1D4E7169"/>
    <w:rsid w:val="1D554265"/>
    <w:rsid w:val="1D69344A"/>
    <w:rsid w:val="1D6B31E8"/>
    <w:rsid w:val="1D6B7F83"/>
    <w:rsid w:val="1D776C3D"/>
    <w:rsid w:val="1D95321A"/>
    <w:rsid w:val="1DB85E5C"/>
    <w:rsid w:val="1DC46662"/>
    <w:rsid w:val="1DCA5E3A"/>
    <w:rsid w:val="1DCF5405"/>
    <w:rsid w:val="1DD75183"/>
    <w:rsid w:val="1DDE2626"/>
    <w:rsid w:val="1DFD7C50"/>
    <w:rsid w:val="1E080AB5"/>
    <w:rsid w:val="1E0E0D58"/>
    <w:rsid w:val="1E2A197B"/>
    <w:rsid w:val="1E35255F"/>
    <w:rsid w:val="1E3C5A5F"/>
    <w:rsid w:val="1E475D36"/>
    <w:rsid w:val="1E4E24A0"/>
    <w:rsid w:val="1E502588"/>
    <w:rsid w:val="1E53413D"/>
    <w:rsid w:val="1E550992"/>
    <w:rsid w:val="1E5A7A32"/>
    <w:rsid w:val="1E671817"/>
    <w:rsid w:val="1E6C3B44"/>
    <w:rsid w:val="1E7A4122"/>
    <w:rsid w:val="1E8879EE"/>
    <w:rsid w:val="1EB31B66"/>
    <w:rsid w:val="1EB95D76"/>
    <w:rsid w:val="1EC54236"/>
    <w:rsid w:val="1ED464CA"/>
    <w:rsid w:val="1EDA5DF7"/>
    <w:rsid w:val="1EED4A44"/>
    <w:rsid w:val="1EFA39EA"/>
    <w:rsid w:val="1F00206F"/>
    <w:rsid w:val="1F0177DA"/>
    <w:rsid w:val="1F18467A"/>
    <w:rsid w:val="1F232A42"/>
    <w:rsid w:val="1F2645A8"/>
    <w:rsid w:val="1F4B71B8"/>
    <w:rsid w:val="1F4C39A9"/>
    <w:rsid w:val="1F5665AD"/>
    <w:rsid w:val="1F692382"/>
    <w:rsid w:val="1F8815CD"/>
    <w:rsid w:val="1F8D1995"/>
    <w:rsid w:val="1F935BDD"/>
    <w:rsid w:val="1F9730E6"/>
    <w:rsid w:val="1FDE0273"/>
    <w:rsid w:val="1FEF73C9"/>
    <w:rsid w:val="20020491"/>
    <w:rsid w:val="203C7C11"/>
    <w:rsid w:val="20421AEB"/>
    <w:rsid w:val="20471AED"/>
    <w:rsid w:val="20487E48"/>
    <w:rsid w:val="20666EBF"/>
    <w:rsid w:val="206F239E"/>
    <w:rsid w:val="2086258B"/>
    <w:rsid w:val="20A45C99"/>
    <w:rsid w:val="20AD18F5"/>
    <w:rsid w:val="20B77D0F"/>
    <w:rsid w:val="20BB288C"/>
    <w:rsid w:val="20D06EB4"/>
    <w:rsid w:val="20E40557"/>
    <w:rsid w:val="20EF04D3"/>
    <w:rsid w:val="210C69CF"/>
    <w:rsid w:val="21107C1A"/>
    <w:rsid w:val="213018E1"/>
    <w:rsid w:val="21392BC1"/>
    <w:rsid w:val="21431802"/>
    <w:rsid w:val="21463D2C"/>
    <w:rsid w:val="2151198F"/>
    <w:rsid w:val="2172070D"/>
    <w:rsid w:val="217B2C80"/>
    <w:rsid w:val="217D2EA2"/>
    <w:rsid w:val="21851E83"/>
    <w:rsid w:val="21861507"/>
    <w:rsid w:val="219020E3"/>
    <w:rsid w:val="21916EE8"/>
    <w:rsid w:val="219A308D"/>
    <w:rsid w:val="219F5834"/>
    <w:rsid w:val="21A35D48"/>
    <w:rsid w:val="21C12688"/>
    <w:rsid w:val="21CC4855"/>
    <w:rsid w:val="21E233A3"/>
    <w:rsid w:val="21E23F6C"/>
    <w:rsid w:val="21E345FD"/>
    <w:rsid w:val="22171E1E"/>
    <w:rsid w:val="22383B4D"/>
    <w:rsid w:val="22466CD3"/>
    <w:rsid w:val="225D1D49"/>
    <w:rsid w:val="225D33C8"/>
    <w:rsid w:val="226239FE"/>
    <w:rsid w:val="22626562"/>
    <w:rsid w:val="226A76AE"/>
    <w:rsid w:val="22733EB6"/>
    <w:rsid w:val="22906578"/>
    <w:rsid w:val="22973E77"/>
    <w:rsid w:val="22AB58F3"/>
    <w:rsid w:val="22C13FD4"/>
    <w:rsid w:val="22C24771"/>
    <w:rsid w:val="22CB0895"/>
    <w:rsid w:val="231527D7"/>
    <w:rsid w:val="23185AD8"/>
    <w:rsid w:val="23336451"/>
    <w:rsid w:val="23474320"/>
    <w:rsid w:val="23492735"/>
    <w:rsid w:val="235B5F37"/>
    <w:rsid w:val="235C3EA6"/>
    <w:rsid w:val="23604810"/>
    <w:rsid w:val="237A7609"/>
    <w:rsid w:val="239167F3"/>
    <w:rsid w:val="23BE4330"/>
    <w:rsid w:val="23BF0A62"/>
    <w:rsid w:val="23C263BB"/>
    <w:rsid w:val="23D04F68"/>
    <w:rsid w:val="23D50A64"/>
    <w:rsid w:val="23FC0268"/>
    <w:rsid w:val="240B4621"/>
    <w:rsid w:val="241061D3"/>
    <w:rsid w:val="24114322"/>
    <w:rsid w:val="24122F3C"/>
    <w:rsid w:val="24181A61"/>
    <w:rsid w:val="241A4D23"/>
    <w:rsid w:val="244328F6"/>
    <w:rsid w:val="245032E9"/>
    <w:rsid w:val="24536196"/>
    <w:rsid w:val="24626203"/>
    <w:rsid w:val="247573F6"/>
    <w:rsid w:val="247A4BE7"/>
    <w:rsid w:val="24806762"/>
    <w:rsid w:val="24814D5C"/>
    <w:rsid w:val="24831C33"/>
    <w:rsid w:val="248601CB"/>
    <w:rsid w:val="24917BA8"/>
    <w:rsid w:val="24981483"/>
    <w:rsid w:val="249B0370"/>
    <w:rsid w:val="24A24AC6"/>
    <w:rsid w:val="24B93055"/>
    <w:rsid w:val="24C252E5"/>
    <w:rsid w:val="24C93BB5"/>
    <w:rsid w:val="24D02E03"/>
    <w:rsid w:val="24F86BC7"/>
    <w:rsid w:val="250F44FD"/>
    <w:rsid w:val="2514288A"/>
    <w:rsid w:val="256609A5"/>
    <w:rsid w:val="25781237"/>
    <w:rsid w:val="257A6914"/>
    <w:rsid w:val="2588530F"/>
    <w:rsid w:val="25963C8A"/>
    <w:rsid w:val="25981462"/>
    <w:rsid w:val="25AB3731"/>
    <w:rsid w:val="25B464A2"/>
    <w:rsid w:val="25BA0209"/>
    <w:rsid w:val="25BB4BF0"/>
    <w:rsid w:val="25E62DA9"/>
    <w:rsid w:val="25F465E7"/>
    <w:rsid w:val="25F6641C"/>
    <w:rsid w:val="25F74FA1"/>
    <w:rsid w:val="25FC3091"/>
    <w:rsid w:val="25FD11FA"/>
    <w:rsid w:val="25FF3210"/>
    <w:rsid w:val="2611098A"/>
    <w:rsid w:val="264221C6"/>
    <w:rsid w:val="265D3370"/>
    <w:rsid w:val="26666555"/>
    <w:rsid w:val="268B7C99"/>
    <w:rsid w:val="268C4A4A"/>
    <w:rsid w:val="269A7501"/>
    <w:rsid w:val="26A3584F"/>
    <w:rsid w:val="26A66B0A"/>
    <w:rsid w:val="26A73989"/>
    <w:rsid w:val="26A86D42"/>
    <w:rsid w:val="26C30557"/>
    <w:rsid w:val="26CB2EBC"/>
    <w:rsid w:val="26CB4B73"/>
    <w:rsid w:val="26E34A7B"/>
    <w:rsid w:val="26E9756C"/>
    <w:rsid w:val="26FA4570"/>
    <w:rsid w:val="27217FF0"/>
    <w:rsid w:val="27242893"/>
    <w:rsid w:val="273612F4"/>
    <w:rsid w:val="27445146"/>
    <w:rsid w:val="277602F5"/>
    <w:rsid w:val="278038CA"/>
    <w:rsid w:val="27C33BB0"/>
    <w:rsid w:val="27C55F98"/>
    <w:rsid w:val="27CC0CD0"/>
    <w:rsid w:val="27D071BC"/>
    <w:rsid w:val="27D4538F"/>
    <w:rsid w:val="27DE15AE"/>
    <w:rsid w:val="27E03A2F"/>
    <w:rsid w:val="280D297A"/>
    <w:rsid w:val="28276A98"/>
    <w:rsid w:val="285710C8"/>
    <w:rsid w:val="285C4BAF"/>
    <w:rsid w:val="285D0F42"/>
    <w:rsid w:val="28703320"/>
    <w:rsid w:val="289539A5"/>
    <w:rsid w:val="289F019A"/>
    <w:rsid w:val="28CC6ED5"/>
    <w:rsid w:val="28F010D9"/>
    <w:rsid w:val="28F05C88"/>
    <w:rsid w:val="29082E70"/>
    <w:rsid w:val="291343EF"/>
    <w:rsid w:val="29166F16"/>
    <w:rsid w:val="294D5371"/>
    <w:rsid w:val="295A5964"/>
    <w:rsid w:val="29626133"/>
    <w:rsid w:val="29702C6A"/>
    <w:rsid w:val="298756CC"/>
    <w:rsid w:val="29A81FA5"/>
    <w:rsid w:val="29AB297C"/>
    <w:rsid w:val="29C535D7"/>
    <w:rsid w:val="29C65905"/>
    <w:rsid w:val="29DA5777"/>
    <w:rsid w:val="29DF2425"/>
    <w:rsid w:val="2A0E6FDD"/>
    <w:rsid w:val="2A142C99"/>
    <w:rsid w:val="2A1E4871"/>
    <w:rsid w:val="2A214539"/>
    <w:rsid w:val="2A367BB2"/>
    <w:rsid w:val="2A3D54FD"/>
    <w:rsid w:val="2A410FE5"/>
    <w:rsid w:val="2A4173A1"/>
    <w:rsid w:val="2A596631"/>
    <w:rsid w:val="2A5A05BF"/>
    <w:rsid w:val="2A5F2983"/>
    <w:rsid w:val="2A601F6F"/>
    <w:rsid w:val="2A64640A"/>
    <w:rsid w:val="2A7A07C0"/>
    <w:rsid w:val="2A9C3DF6"/>
    <w:rsid w:val="2AB17620"/>
    <w:rsid w:val="2AB30FEA"/>
    <w:rsid w:val="2AB657B1"/>
    <w:rsid w:val="2AE07913"/>
    <w:rsid w:val="2AEA3FC0"/>
    <w:rsid w:val="2AEA4AC4"/>
    <w:rsid w:val="2AF23A16"/>
    <w:rsid w:val="2B0E64B5"/>
    <w:rsid w:val="2B166BF6"/>
    <w:rsid w:val="2B2B0DE1"/>
    <w:rsid w:val="2B3E1E16"/>
    <w:rsid w:val="2B5D0E3B"/>
    <w:rsid w:val="2B5E2134"/>
    <w:rsid w:val="2B6F3EEE"/>
    <w:rsid w:val="2B70774D"/>
    <w:rsid w:val="2B7D446F"/>
    <w:rsid w:val="2B8D4A3E"/>
    <w:rsid w:val="2BBD52B7"/>
    <w:rsid w:val="2BCC1BD6"/>
    <w:rsid w:val="2BDF0CFB"/>
    <w:rsid w:val="2BE234F2"/>
    <w:rsid w:val="2BE33AA6"/>
    <w:rsid w:val="2BE40B44"/>
    <w:rsid w:val="2BEF68A7"/>
    <w:rsid w:val="2BF22DBE"/>
    <w:rsid w:val="2BF73785"/>
    <w:rsid w:val="2C0F30B3"/>
    <w:rsid w:val="2C1235EB"/>
    <w:rsid w:val="2C162BEC"/>
    <w:rsid w:val="2C2F0BC4"/>
    <w:rsid w:val="2C391765"/>
    <w:rsid w:val="2C3D18DD"/>
    <w:rsid w:val="2C3D5EB9"/>
    <w:rsid w:val="2C4C0F0A"/>
    <w:rsid w:val="2C5254C3"/>
    <w:rsid w:val="2C532EF2"/>
    <w:rsid w:val="2C5C500F"/>
    <w:rsid w:val="2C6E3526"/>
    <w:rsid w:val="2C6F1E54"/>
    <w:rsid w:val="2C993631"/>
    <w:rsid w:val="2C9B7E11"/>
    <w:rsid w:val="2CAF1058"/>
    <w:rsid w:val="2CB32C99"/>
    <w:rsid w:val="2CBC36F5"/>
    <w:rsid w:val="2CC907F0"/>
    <w:rsid w:val="2CCC5126"/>
    <w:rsid w:val="2CF756B7"/>
    <w:rsid w:val="2CF9252D"/>
    <w:rsid w:val="2CF97782"/>
    <w:rsid w:val="2D107154"/>
    <w:rsid w:val="2D143281"/>
    <w:rsid w:val="2D1C79F8"/>
    <w:rsid w:val="2D324177"/>
    <w:rsid w:val="2D5A7835"/>
    <w:rsid w:val="2D6578A0"/>
    <w:rsid w:val="2D7343C9"/>
    <w:rsid w:val="2DE44256"/>
    <w:rsid w:val="2DE557EB"/>
    <w:rsid w:val="2E0E6D42"/>
    <w:rsid w:val="2E0F4249"/>
    <w:rsid w:val="2E2F0A58"/>
    <w:rsid w:val="2E447583"/>
    <w:rsid w:val="2E4B4467"/>
    <w:rsid w:val="2E5520B9"/>
    <w:rsid w:val="2E63548C"/>
    <w:rsid w:val="2E640C1C"/>
    <w:rsid w:val="2E6B523D"/>
    <w:rsid w:val="2E7A08F9"/>
    <w:rsid w:val="2E7B33BD"/>
    <w:rsid w:val="2E836803"/>
    <w:rsid w:val="2E96363C"/>
    <w:rsid w:val="2EB86707"/>
    <w:rsid w:val="2EC92184"/>
    <w:rsid w:val="2ECD27F6"/>
    <w:rsid w:val="2F0E1C14"/>
    <w:rsid w:val="2F366FC1"/>
    <w:rsid w:val="2F5034C7"/>
    <w:rsid w:val="2F866106"/>
    <w:rsid w:val="2FA3249D"/>
    <w:rsid w:val="2FB27C17"/>
    <w:rsid w:val="2FC05B92"/>
    <w:rsid w:val="2FDE3BE4"/>
    <w:rsid w:val="2FEC1413"/>
    <w:rsid w:val="2FEF5C51"/>
    <w:rsid w:val="301F1E0F"/>
    <w:rsid w:val="302E6295"/>
    <w:rsid w:val="303329F0"/>
    <w:rsid w:val="303818E5"/>
    <w:rsid w:val="303F1851"/>
    <w:rsid w:val="303F79AD"/>
    <w:rsid w:val="30492212"/>
    <w:rsid w:val="304C3A2B"/>
    <w:rsid w:val="30596318"/>
    <w:rsid w:val="306F339C"/>
    <w:rsid w:val="30762710"/>
    <w:rsid w:val="30814CF1"/>
    <w:rsid w:val="308E4163"/>
    <w:rsid w:val="30C20BA4"/>
    <w:rsid w:val="30C478ED"/>
    <w:rsid w:val="30EC01FB"/>
    <w:rsid w:val="30F54D00"/>
    <w:rsid w:val="31026564"/>
    <w:rsid w:val="310A5122"/>
    <w:rsid w:val="312107CD"/>
    <w:rsid w:val="31210CA8"/>
    <w:rsid w:val="31215285"/>
    <w:rsid w:val="312D0344"/>
    <w:rsid w:val="31346C1B"/>
    <w:rsid w:val="314A407E"/>
    <w:rsid w:val="317038BB"/>
    <w:rsid w:val="317958D0"/>
    <w:rsid w:val="318D218C"/>
    <w:rsid w:val="31964319"/>
    <w:rsid w:val="319A32FE"/>
    <w:rsid w:val="31A53AB7"/>
    <w:rsid w:val="31A801F9"/>
    <w:rsid w:val="31C57FB2"/>
    <w:rsid w:val="31C932E2"/>
    <w:rsid w:val="31F61F62"/>
    <w:rsid w:val="320358D0"/>
    <w:rsid w:val="32052FE4"/>
    <w:rsid w:val="320B77FD"/>
    <w:rsid w:val="321976B1"/>
    <w:rsid w:val="321D6876"/>
    <w:rsid w:val="3220390C"/>
    <w:rsid w:val="322B51BC"/>
    <w:rsid w:val="322F26BF"/>
    <w:rsid w:val="32313F22"/>
    <w:rsid w:val="32643522"/>
    <w:rsid w:val="326470BA"/>
    <w:rsid w:val="32744A8B"/>
    <w:rsid w:val="32753DA5"/>
    <w:rsid w:val="32764F2C"/>
    <w:rsid w:val="32886DB3"/>
    <w:rsid w:val="32895C45"/>
    <w:rsid w:val="32A43D99"/>
    <w:rsid w:val="32B141E0"/>
    <w:rsid w:val="32B44D2D"/>
    <w:rsid w:val="32C90A49"/>
    <w:rsid w:val="32FA2D7F"/>
    <w:rsid w:val="32FC6C4E"/>
    <w:rsid w:val="33085CC5"/>
    <w:rsid w:val="33262CBA"/>
    <w:rsid w:val="332B323C"/>
    <w:rsid w:val="332E3189"/>
    <w:rsid w:val="335B62EC"/>
    <w:rsid w:val="335E79BA"/>
    <w:rsid w:val="3360061D"/>
    <w:rsid w:val="336549AB"/>
    <w:rsid w:val="33782709"/>
    <w:rsid w:val="3392025F"/>
    <w:rsid w:val="33A8285D"/>
    <w:rsid w:val="33AC1E29"/>
    <w:rsid w:val="33B17041"/>
    <w:rsid w:val="33B202F3"/>
    <w:rsid w:val="33B20F64"/>
    <w:rsid w:val="33EE53FA"/>
    <w:rsid w:val="33FD7485"/>
    <w:rsid w:val="34012F1B"/>
    <w:rsid w:val="343D6F56"/>
    <w:rsid w:val="34467089"/>
    <w:rsid w:val="34523AB5"/>
    <w:rsid w:val="346B4B47"/>
    <w:rsid w:val="346E4F77"/>
    <w:rsid w:val="34762AAC"/>
    <w:rsid w:val="348402A8"/>
    <w:rsid w:val="34B510BB"/>
    <w:rsid w:val="34BB2714"/>
    <w:rsid w:val="34C25EF7"/>
    <w:rsid w:val="34D20F28"/>
    <w:rsid w:val="34E22DC0"/>
    <w:rsid w:val="350233D4"/>
    <w:rsid w:val="35195F01"/>
    <w:rsid w:val="35313A72"/>
    <w:rsid w:val="35493C91"/>
    <w:rsid w:val="355C0228"/>
    <w:rsid w:val="357800DF"/>
    <w:rsid w:val="358527FB"/>
    <w:rsid w:val="358B5BCF"/>
    <w:rsid w:val="359A77E8"/>
    <w:rsid w:val="35A1790B"/>
    <w:rsid w:val="35A45B99"/>
    <w:rsid w:val="35A73618"/>
    <w:rsid w:val="35B01090"/>
    <w:rsid w:val="35DD2073"/>
    <w:rsid w:val="35DF75FB"/>
    <w:rsid w:val="35EB21A5"/>
    <w:rsid w:val="35F52D00"/>
    <w:rsid w:val="35FF153A"/>
    <w:rsid w:val="3606622C"/>
    <w:rsid w:val="36077316"/>
    <w:rsid w:val="3613278E"/>
    <w:rsid w:val="36356D4F"/>
    <w:rsid w:val="36405687"/>
    <w:rsid w:val="36414112"/>
    <w:rsid w:val="365F3D60"/>
    <w:rsid w:val="36645530"/>
    <w:rsid w:val="367851C1"/>
    <w:rsid w:val="369510BC"/>
    <w:rsid w:val="36973632"/>
    <w:rsid w:val="36A30194"/>
    <w:rsid w:val="36AA1648"/>
    <w:rsid w:val="36D21A02"/>
    <w:rsid w:val="37104DEB"/>
    <w:rsid w:val="372D0977"/>
    <w:rsid w:val="37337382"/>
    <w:rsid w:val="374D5647"/>
    <w:rsid w:val="374F42A7"/>
    <w:rsid w:val="37506DBE"/>
    <w:rsid w:val="3759338C"/>
    <w:rsid w:val="37654002"/>
    <w:rsid w:val="378E3E66"/>
    <w:rsid w:val="37C244FC"/>
    <w:rsid w:val="37D95C79"/>
    <w:rsid w:val="37E81F7B"/>
    <w:rsid w:val="38026A1B"/>
    <w:rsid w:val="38197832"/>
    <w:rsid w:val="383903C6"/>
    <w:rsid w:val="383C423B"/>
    <w:rsid w:val="38415136"/>
    <w:rsid w:val="386C1D38"/>
    <w:rsid w:val="387A25A5"/>
    <w:rsid w:val="38963295"/>
    <w:rsid w:val="389D2F53"/>
    <w:rsid w:val="38A945B7"/>
    <w:rsid w:val="38B93EF9"/>
    <w:rsid w:val="38CC2A09"/>
    <w:rsid w:val="38D677A2"/>
    <w:rsid w:val="38D770AE"/>
    <w:rsid w:val="38F70050"/>
    <w:rsid w:val="38FC33FC"/>
    <w:rsid w:val="38FD0E84"/>
    <w:rsid w:val="38FF1B5B"/>
    <w:rsid w:val="390273B1"/>
    <w:rsid w:val="39153767"/>
    <w:rsid w:val="39225CA9"/>
    <w:rsid w:val="3923070B"/>
    <w:rsid w:val="392C49BB"/>
    <w:rsid w:val="39381E2B"/>
    <w:rsid w:val="3942282F"/>
    <w:rsid w:val="3953338B"/>
    <w:rsid w:val="396B7002"/>
    <w:rsid w:val="396C2A15"/>
    <w:rsid w:val="39AC01F9"/>
    <w:rsid w:val="39B73BAC"/>
    <w:rsid w:val="39B7517F"/>
    <w:rsid w:val="39BA3B51"/>
    <w:rsid w:val="39C20795"/>
    <w:rsid w:val="39E90E2B"/>
    <w:rsid w:val="39E94D86"/>
    <w:rsid w:val="39F1638E"/>
    <w:rsid w:val="3A001C79"/>
    <w:rsid w:val="3A1513BA"/>
    <w:rsid w:val="3A2E618D"/>
    <w:rsid w:val="3A4109A1"/>
    <w:rsid w:val="3A742C8C"/>
    <w:rsid w:val="3A7B2702"/>
    <w:rsid w:val="3A896EEE"/>
    <w:rsid w:val="3AAA2893"/>
    <w:rsid w:val="3ABB15C7"/>
    <w:rsid w:val="3AD8279E"/>
    <w:rsid w:val="3AE73EDB"/>
    <w:rsid w:val="3B08641D"/>
    <w:rsid w:val="3B1C7A19"/>
    <w:rsid w:val="3B2B5582"/>
    <w:rsid w:val="3B4234D4"/>
    <w:rsid w:val="3B7622BA"/>
    <w:rsid w:val="3B7C1C88"/>
    <w:rsid w:val="3B8107C8"/>
    <w:rsid w:val="3B8972AA"/>
    <w:rsid w:val="3BA219B8"/>
    <w:rsid w:val="3BA96003"/>
    <w:rsid w:val="3BC61A51"/>
    <w:rsid w:val="3BE14893"/>
    <w:rsid w:val="3BE8265C"/>
    <w:rsid w:val="3BE92A35"/>
    <w:rsid w:val="3BEB460F"/>
    <w:rsid w:val="3BEF1DA2"/>
    <w:rsid w:val="3BF64635"/>
    <w:rsid w:val="3BF956C3"/>
    <w:rsid w:val="3C0E5CDB"/>
    <w:rsid w:val="3C4D3B02"/>
    <w:rsid w:val="3C5B1D89"/>
    <w:rsid w:val="3C85498F"/>
    <w:rsid w:val="3C8946A5"/>
    <w:rsid w:val="3CA372A1"/>
    <w:rsid w:val="3CA600E0"/>
    <w:rsid w:val="3CB765A9"/>
    <w:rsid w:val="3CBA4326"/>
    <w:rsid w:val="3CBC0BE3"/>
    <w:rsid w:val="3CC614DA"/>
    <w:rsid w:val="3CD01DA9"/>
    <w:rsid w:val="3CDA38F5"/>
    <w:rsid w:val="3CDD517D"/>
    <w:rsid w:val="3CE33FC3"/>
    <w:rsid w:val="3CEA3B31"/>
    <w:rsid w:val="3CF9401E"/>
    <w:rsid w:val="3CFC6325"/>
    <w:rsid w:val="3D093C71"/>
    <w:rsid w:val="3D1A22C0"/>
    <w:rsid w:val="3D294B1B"/>
    <w:rsid w:val="3D2B034D"/>
    <w:rsid w:val="3D5A60CA"/>
    <w:rsid w:val="3D9F4364"/>
    <w:rsid w:val="3DA702BF"/>
    <w:rsid w:val="3DB92106"/>
    <w:rsid w:val="3DCF457D"/>
    <w:rsid w:val="3DF169A7"/>
    <w:rsid w:val="3DF2399F"/>
    <w:rsid w:val="3DF40FE4"/>
    <w:rsid w:val="3E0519AD"/>
    <w:rsid w:val="3E4A1D40"/>
    <w:rsid w:val="3E4C287B"/>
    <w:rsid w:val="3E633FD2"/>
    <w:rsid w:val="3E6F32D2"/>
    <w:rsid w:val="3E742C66"/>
    <w:rsid w:val="3E7E19E7"/>
    <w:rsid w:val="3E8572BF"/>
    <w:rsid w:val="3E917B82"/>
    <w:rsid w:val="3E9656A5"/>
    <w:rsid w:val="3E997463"/>
    <w:rsid w:val="3E9F7600"/>
    <w:rsid w:val="3EBE48FE"/>
    <w:rsid w:val="3ECD5479"/>
    <w:rsid w:val="3ED62B90"/>
    <w:rsid w:val="3EE34DD3"/>
    <w:rsid w:val="3EF434CC"/>
    <w:rsid w:val="3EFB6FF7"/>
    <w:rsid w:val="3EFF0A75"/>
    <w:rsid w:val="3F1054CE"/>
    <w:rsid w:val="3F2534F3"/>
    <w:rsid w:val="3F3A1B65"/>
    <w:rsid w:val="3F3A5EB9"/>
    <w:rsid w:val="3F522210"/>
    <w:rsid w:val="3F544AF6"/>
    <w:rsid w:val="3F5C361D"/>
    <w:rsid w:val="3F5E64F5"/>
    <w:rsid w:val="3F656E2C"/>
    <w:rsid w:val="3F6D5029"/>
    <w:rsid w:val="3F92376D"/>
    <w:rsid w:val="3F9C1CD6"/>
    <w:rsid w:val="3FB035B9"/>
    <w:rsid w:val="3FC45A80"/>
    <w:rsid w:val="3FDE13B9"/>
    <w:rsid w:val="3FE029F1"/>
    <w:rsid w:val="3FE457AE"/>
    <w:rsid w:val="3FE57701"/>
    <w:rsid w:val="400035C5"/>
    <w:rsid w:val="400C4E03"/>
    <w:rsid w:val="40126EBB"/>
    <w:rsid w:val="401A4D54"/>
    <w:rsid w:val="40262C07"/>
    <w:rsid w:val="404209E3"/>
    <w:rsid w:val="40451C67"/>
    <w:rsid w:val="404A1B2B"/>
    <w:rsid w:val="404A601E"/>
    <w:rsid w:val="404C52F4"/>
    <w:rsid w:val="405C0FC1"/>
    <w:rsid w:val="40733CBA"/>
    <w:rsid w:val="407A4DF7"/>
    <w:rsid w:val="40B16CC2"/>
    <w:rsid w:val="40B81BAD"/>
    <w:rsid w:val="40BB2365"/>
    <w:rsid w:val="40D23962"/>
    <w:rsid w:val="40D61BC8"/>
    <w:rsid w:val="40DC4F1D"/>
    <w:rsid w:val="40DF2097"/>
    <w:rsid w:val="40E71ABD"/>
    <w:rsid w:val="413C11C7"/>
    <w:rsid w:val="41447F0E"/>
    <w:rsid w:val="414733E0"/>
    <w:rsid w:val="41566753"/>
    <w:rsid w:val="416A21FA"/>
    <w:rsid w:val="416B09D7"/>
    <w:rsid w:val="417D1E08"/>
    <w:rsid w:val="417D5552"/>
    <w:rsid w:val="4188208C"/>
    <w:rsid w:val="419B51EE"/>
    <w:rsid w:val="41B11897"/>
    <w:rsid w:val="41C57D35"/>
    <w:rsid w:val="41F34606"/>
    <w:rsid w:val="4200399D"/>
    <w:rsid w:val="420E20BD"/>
    <w:rsid w:val="421647B9"/>
    <w:rsid w:val="42263E3B"/>
    <w:rsid w:val="422C70F1"/>
    <w:rsid w:val="423C6CFA"/>
    <w:rsid w:val="42442693"/>
    <w:rsid w:val="428D1B97"/>
    <w:rsid w:val="42B608A5"/>
    <w:rsid w:val="42BC6C8F"/>
    <w:rsid w:val="42C5446D"/>
    <w:rsid w:val="42E94337"/>
    <w:rsid w:val="43031943"/>
    <w:rsid w:val="431327F1"/>
    <w:rsid w:val="43182DB2"/>
    <w:rsid w:val="4368794F"/>
    <w:rsid w:val="436D0FB5"/>
    <w:rsid w:val="437518D1"/>
    <w:rsid w:val="438D1E49"/>
    <w:rsid w:val="43B23B98"/>
    <w:rsid w:val="43C80076"/>
    <w:rsid w:val="43D8550E"/>
    <w:rsid w:val="43DC0C7D"/>
    <w:rsid w:val="43EA69D8"/>
    <w:rsid w:val="44356D2F"/>
    <w:rsid w:val="44390E25"/>
    <w:rsid w:val="44433468"/>
    <w:rsid w:val="44437F9F"/>
    <w:rsid w:val="444F5C68"/>
    <w:rsid w:val="44613E6E"/>
    <w:rsid w:val="446A5324"/>
    <w:rsid w:val="447E7804"/>
    <w:rsid w:val="44943661"/>
    <w:rsid w:val="44A05C5C"/>
    <w:rsid w:val="44AC7417"/>
    <w:rsid w:val="44B16853"/>
    <w:rsid w:val="44FA2B2E"/>
    <w:rsid w:val="450D5FAD"/>
    <w:rsid w:val="45172F07"/>
    <w:rsid w:val="451D5184"/>
    <w:rsid w:val="452F3716"/>
    <w:rsid w:val="453C65FD"/>
    <w:rsid w:val="454B256E"/>
    <w:rsid w:val="455D76E4"/>
    <w:rsid w:val="45646F33"/>
    <w:rsid w:val="45671007"/>
    <w:rsid w:val="456C331B"/>
    <w:rsid w:val="45A26739"/>
    <w:rsid w:val="45B07140"/>
    <w:rsid w:val="45C43431"/>
    <w:rsid w:val="45EE3358"/>
    <w:rsid w:val="46066722"/>
    <w:rsid w:val="461976C3"/>
    <w:rsid w:val="461C0664"/>
    <w:rsid w:val="463D42BA"/>
    <w:rsid w:val="46521A41"/>
    <w:rsid w:val="465D50F1"/>
    <w:rsid w:val="46771C91"/>
    <w:rsid w:val="467F06A4"/>
    <w:rsid w:val="4694259D"/>
    <w:rsid w:val="46A64B43"/>
    <w:rsid w:val="46AA5A85"/>
    <w:rsid w:val="46AC6264"/>
    <w:rsid w:val="46C01696"/>
    <w:rsid w:val="46C52BE0"/>
    <w:rsid w:val="46D118AB"/>
    <w:rsid w:val="46F30AEE"/>
    <w:rsid w:val="47123940"/>
    <w:rsid w:val="47204C1C"/>
    <w:rsid w:val="4726595C"/>
    <w:rsid w:val="47600773"/>
    <w:rsid w:val="47661F26"/>
    <w:rsid w:val="476E25F3"/>
    <w:rsid w:val="47783B12"/>
    <w:rsid w:val="477D5156"/>
    <w:rsid w:val="477F2265"/>
    <w:rsid w:val="47890AD6"/>
    <w:rsid w:val="478D2FF6"/>
    <w:rsid w:val="478F6037"/>
    <w:rsid w:val="4798720D"/>
    <w:rsid w:val="47BF7C9C"/>
    <w:rsid w:val="47C2246C"/>
    <w:rsid w:val="47CA5F05"/>
    <w:rsid w:val="47DA1720"/>
    <w:rsid w:val="47E11737"/>
    <w:rsid w:val="47E77D53"/>
    <w:rsid w:val="47EE48C0"/>
    <w:rsid w:val="47F35E3E"/>
    <w:rsid w:val="47FB766F"/>
    <w:rsid w:val="48064E6E"/>
    <w:rsid w:val="4808575C"/>
    <w:rsid w:val="480B439D"/>
    <w:rsid w:val="482F10F4"/>
    <w:rsid w:val="48606A0B"/>
    <w:rsid w:val="486D78BB"/>
    <w:rsid w:val="48915636"/>
    <w:rsid w:val="48985F31"/>
    <w:rsid w:val="48AC6E35"/>
    <w:rsid w:val="48BD43A0"/>
    <w:rsid w:val="48C96968"/>
    <w:rsid w:val="48F84416"/>
    <w:rsid w:val="490874C4"/>
    <w:rsid w:val="491A6A98"/>
    <w:rsid w:val="491D4AAF"/>
    <w:rsid w:val="4926292B"/>
    <w:rsid w:val="49371235"/>
    <w:rsid w:val="494324F6"/>
    <w:rsid w:val="49455D20"/>
    <w:rsid w:val="497B341F"/>
    <w:rsid w:val="49B415EE"/>
    <w:rsid w:val="49B63FD6"/>
    <w:rsid w:val="49BF4D00"/>
    <w:rsid w:val="49D1562B"/>
    <w:rsid w:val="49DE1EF5"/>
    <w:rsid w:val="49E579C4"/>
    <w:rsid w:val="49EA2381"/>
    <w:rsid w:val="49F43753"/>
    <w:rsid w:val="49F54A10"/>
    <w:rsid w:val="49F94CE9"/>
    <w:rsid w:val="49FE0E45"/>
    <w:rsid w:val="4A040938"/>
    <w:rsid w:val="4A11169A"/>
    <w:rsid w:val="4A212635"/>
    <w:rsid w:val="4A2175B6"/>
    <w:rsid w:val="4A4260CB"/>
    <w:rsid w:val="4A611E1A"/>
    <w:rsid w:val="4A7055A6"/>
    <w:rsid w:val="4A9C47ED"/>
    <w:rsid w:val="4AA71D5E"/>
    <w:rsid w:val="4AAA6CA9"/>
    <w:rsid w:val="4ADF73EB"/>
    <w:rsid w:val="4AE008D2"/>
    <w:rsid w:val="4B0B3617"/>
    <w:rsid w:val="4B2815DF"/>
    <w:rsid w:val="4B473F5E"/>
    <w:rsid w:val="4B49191E"/>
    <w:rsid w:val="4B507FB2"/>
    <w:rsid w:val="4B647620"/>
    <w:rsid w:val="4B695935"/>
    <w:rsid w:val="4B7A55E6"/>
    <w:rsid w:val="4B82653E"/>
    <w:rsid w:val="4B894031"/>
    <w:rsid w:val="4B8C1A83"/>
    <w:rsid w:val="4B946154"/>
    <w:rsid w:val="4BB12731"/>
    <w:rsid w:val="4BE10A59"/>
    <w:rsid w:val="4BE123D1"/>
    <w:rsid w:val="4C0A534C"/>
    <w:rsid w:val="4C0F01F9"/>
    <w:rsid w:val="4C270B31"/>
    <w:rsid w:val="4C3202E6"/>
    <w:rsid w:val="4C6370A1"/>
    <w:rsid w:val="4C736886"/>
    <w:rsid w:val="4C7F7CEF"/>
    <w:rsid w:val="4C821AA7"/>
    <w:rsid w:val="4CA43125"/>
    <w:rsid w:val="4CAC2A11"/>
    <w:rsid w:val="4CB01CB9"/>
    <w:rsid w:val="4CCD33EA"/>
    <w:rsid w:val="4CCF426B"/>
    <w:rsid w:val="4CFE069C"/>
    <w:rsid w:val="4D033F9C"/>
    <w:rsid w:val="4D055E23"/>
    <w:rsid w:val="4D2433AC"/>
    <w:rsid w:val="4D4A4A28"/>
    <w:rsid w:val="4D5D7D7F"/>
    <w:rsid w:val="4D625C01"/>
    <w:rsid w:val="4D7D6BD2"/>
    <w:rsid w:val="4D8F350E"/>
    <w:rsid w:val="4D924E46"/>
    <w:rsid w:val="4D9877E4"/>
    <w:rsid w:val="4DBD22E7"/>
    <w:rsid w:val="4DC73507"/>
    <w:rsid w:val="4DDA6A5F"/>
    <w:rsid w:val="4DDB7205"/>
    <w:rsid w:val="4DDF772B"/>
    <w:rsid w:val="4DEB15AD"/>
    <w:rsid w:val="4DF87443"/>
    <w:rsid w:val="4E370600"/>
    <w:rsid w:val="4E435024"/>
    <w:rsid w:val="4E4E7E80"/>
    <w:rsid w:val="4E534A5B"/>
    <w:rsid w:val="4E5C5562"/>
    <w:rsid w:val="4E5F69A8"/>
    <w:rsid w:val="4E655726"/>
    <w:rsid w:val="4E754A02"/>
    <w:rsid w:val="4E95725E"/>
    <w:rsid w:val="4E9A6CF9"/>
    <w:rsid w:val="4EA65FD0"/>
    <w:rsid w:val="4EC06849"/>
    <w:rsid w:val="4ED33DCB"/>
    <w:rsid w:val="4EE34782"/>
    <w:rsid w:val="4EE63F4F"/>
    <w:rsid w:val="4F007E65"/>
    <w:rsid w:val="4F0A1AF8"/>
    <w:rsid w:val="4F203D73"/>
    <w:rsid w:val="4F27252E"/>
    <w:rsid w:val="4F323E26"/>
    <w:rsid w:val="4F3913E8"/>
    <w:rsid w:val="4F501419"/>
    <w:rsid w:val="4F594DAC"/>
    <w:rsid w:val="4F6C3F07"/>
    <w:rsid w:val="4F830574"/>
    <w:rsid w:val="4F8D5FB6"/>
    <w:rsid w:val="4F9753D7"/>
    <w:rsid w:val="4FA54804"/>
    <w:rsid w:val="4FBF34BA"/>
    <w:rsid w:val="4FCA2B98"/>
    <w:rsid w:val="4FCB218A"/>
    <w:rsid w:val="4FCE7BAE"/>
    <w:rsid w:val="4FFE4A87"/>
    <w:rsid w:val="500344EA"/>
    <w:rsid w:val="500B7B4C"/>
    <w:rsid w:val="503C3296"/>
    <w:rsid w:val="504B0F0D"/>
    <w:rsid w:val="50527689"/>
    <w:rsid w:val="506633AA"/>
    <w:rsid w:val="507237E3"/>
    <w:rsid w:val="50911DB8"/>
    <w:rsid w:val="50943033"/>
    <w:rsid w:val="509D389C"/>
    <w:rsid w:val="50A642FD"/>
    <w:rsid w:val="50AF647F"/>
    <w:rsid w:val="50BB317D"/>
    <w:rsid w:val="50D06E68"/>
    <w:rsid w:val="50D37C72"/>
    <w:rsid w:val="50E466DC"/>
    <w:rsid w:val="50EA1869"/>
    <w:rsid w:val="50FD00F4"/>
    <w:rsid w:val="50FF056E"/>
    <w:rsid w:val="510F2A7F"/>
    <w:rsid w:val="512746EF"/>
    <w:rsid w:val="51283E4C"/>
    <w:rsid w:val="51291D35"/>
    <w:rsid w:val="512B3A7F"/>
    <w:rsid w:val="51414399"/>
    <w:rsid w:val="515D5FD6"/>
    <w:rsid w:val="516A7012"/>
    <w:rsid w:val="51721A38"/>
    <w:rsid w:val="517D016D"/>
    <w:rsid w:val="51A45867"/>
    <w:rsid w:val="51AD7250"/>
    <w:rsid w:val="51CF1465"/>
    <w:rsid w:val="51D1247D"/>
    <w:rsid w:val="51EC4955"/>
    <w:rsid w:val="51F067B7"/>
    <w:rsid w:val="52077D46"/>
    <w:rsid w:val="52187D0D"/>
    <w:rsid w:val="52361B9C"/>
    <w:rsid w:val="52362A26"/>
    <w:rsid w:val="523B0BAD"/>
    <w:rsid w:val="524B7169"/>
    <w:rsid w:val="5250515D"/>
    <w:rsid w:val="526921DD"/>
    <w:rsid w:val="5297132B"/>
    <w:rsid w:val="529F28D8"/>
    <w:rsid w:val="529F6FBB"/>
    <w:rsid w:val="52C076EC"/>
    <w:rsid w:val="52C25708"/>
    <w:rsid w:val="52C315CC"/>
    <w:rsid w:val="52CD10CA"/>
    <w:rsid w:val="52EB6F11"/>
    <w:rsid w:val="52F0249E"/>
    <w:rsid w:val="5353575F"/>
    <w:rsid w:val="535B2E70"/>
    <w:rsid w:val="535C4E8B"/>
    <w:rsid w:val="536278AA"/>
    <w:rsid w:val="53673357"/>
    <w:rsid w:val="53676B5F"/>
    <w:rsid w:val="536E21FF"/>
    <w:rsid w:val="5385006E"/>
    <w:rsid w:val="538A4A6D"/>
    <w:rsid w:val="53B45677"/>
    <w:rsid w:val="53DD2466"/>
    <w:rsid w:val="53E34323"/>
    <w:rsid w:val="53FC3987"/>
    <w:rsid w:val="5427381E"/>
    <w:rsid w:val="543B788E"/>
    <w:rsid w:val="54447CBB"/>
    <w:rsid w:val="545062A7"/>
    <w:rsid w:val="545C3555"/>
    <w:rsid w:val="54617320"/>
    <w:rsid w:val="547A28DC"/>
    <w:rsid w:val="54827775"/>
    <w:rsid w:val="54AC5134"/>
    <w:rsid w:val="54DE6078"/>
    <w:rsid w:val="54E86EBD"/>
    <w:rsid w:val="54F2526E"/>
    <w:rsid w:val="55075D9B"/>
    <w:rsid w:val="55184BBF"/>
    <w:rsid w:val="551874CA"/>
    <w:rsid w:val="551E6A56"/>
    <w:rsid w:val="552006D3"/>
    <w:rsid w:val="55301CB3"/>
    <w:rsid w:val="55327054"/>
    <w:rsid w:val="553A26BA"/>
    <w:rsid w:val="5556054C"/>
    <w:rsid w:val="55862A42"/>
    <w:rsid w:val="55990578"/>
    <w:rsid w:val="55A56891"/>
    <w:rsid w:val="55AC66CB"/>
    <w:rsid w:val="55C33131"/>
    <w:rsid w:val="55CD7903"/>
    <w:rsid w:val="55E172A0"/>
    <w:rsid w:val="55E24605"/>
    <w:rsid w:val="55F81C60"/>
    <w:rsid w:val="55FA0F14"/>
    <w:rsid w:val="56097F90"/>
    <w:rsid w:val="56133E90"/>
    <w:rsid w:val="56474D43"/>
    <w:rsid w:val="564C1D1D"/>
    <w:rsid w:val="565F1E2E"/>
    <w:rsid w:val="56670F45"/>
    <w:rsid w:val="566F1BE2"/>
    <w:rsid w:val="567B004B"/>
    <w:rsid w:val="56825178"/>
    <w:rsid w:val="568F784B"/>
    <w:rsid w:val="569C0124"/>
    <w:rsid w:val="56A17AE8"/>
    <w:rsid w:val="56C9634D"/>
    <w:rsid w:val="56D41BE8"/>
    <w:rsid w:val="56EC7A5D"/>
    <w:rsid w:val="56F4599D"/>
    <w:rsid w:val="570D0322"/>
    <w:rsid w:val="57180ACE"/>
    <w:rsid w:val="571B61B6"/>
    <w:rsid w:val="57213E7D"/>
    <w:rsid w:val="5723561B"/>
    <w:rsid w:val="572362C9"/>
    <w:rsid w:val="572F37C6"/>
    <w:rsid w:val="5736629C"/>
    <w:rsid w:val="57540996"/>
    <w:rsid w:val="57802A35"/>
    <w:rsid w:val="578C3658"/>
    <w:rsid w:val="57AD2A52"/>
    <w:rsid w:val="57B66918"/>
    <w:rsid w:val="57BD6FCE"/>
    <w:rsid w:val="57D214D2"/>
    <w:rsid w:val="57DA1A42"/>
    <w:rsid w:val="58002D08"/>
    <w:rsid w:val="58057728"/>
    <w:rsid w:val="581D1F94"/>
    <w:rsid w:val="582872BA"/>
    <w:rsid w:val="5829318A"/>
    <w:rsid w:val="582D7EE9"/>
    <w:rsid w:val="583343BB"/>
    <w:rsid w:val="583439B3"/>
    <w:rsid w:val="583B5787"/>
    <w:rsid w:val="586759C7"/>
    <w:rsid w:val="58C07CA9"/>
    <w:rsid w:val="58DE5A38"/>
    <w:rsid w:val="58FA7B16"/>
    <w:rsid w:val="58FB22A6"/>
    <w:rsid w:val="59003437"/>
    <w:rsid w:val="59182EE7"/>
    <w:rsid w:val="5921212C"/>
    <w:rsid w:val="59395687"/>
    <w:rsid w:val="596F472F"/>
    <w:rsid w:val="5974345D"/>
    <w:rsid w:val="597534AA"/>
    <w:rsid w:val="59951C91"/>
    <w:rsid w:val="59982867"/>
    <w:rsid w:val="59A11ED6"/>
    <w:rsid w:val="59AB0DFC"/>
    <w:rsid w:val="59C1557F"/>
    <w:rsid w:val="59C8615E"/>
    <w:rsid w:val="59E771C2"/>
    <w:rsid w:val="59E84659"/>
    <w:rsid w:val="59FF2575"/>
    <w:rsid w:val="5A344FB0"/>
    <w:rsid w:val="5A360707"/>
    <w:rsid w:val="5A482568"/>
    <w:rsid w:val="5A5755C9"/>
    <w:rsid w:val="5A5A13C0"/>
    <w:rsid w:val="5A772EA3"/>
    <w:rsid w:val="5A7D29E6"/>
    <w:rsid w:val="5A821401"/>
    <w:rsid w:val="5A8A2B4B"/>
    <w:rsid w:val="5A9F5080"/>
    <w:rsid w:val="5AAB6618"/>
    <w:rsid w:val="5AC52E1B"/>
    <w:rsid w:val="5AE91049"/>
    <w:rsid w:val="5AEF582B"/>
    <w:rsid w:val="5B0B5334"/>
    <w:rsid w:val="5B1B7ACD"/>
    <w:rsid w:val="5B247C71"/>
    <w:rsid w:val="5B2A406A"/>
    <w:rsid w:val="5B2B06FA"/>
    <w:rsid w:val="5B392BD6"/>
    <w:rsid w:val="5B561D67"/>
    <w:rsid w:val="5B774FD6"/>
    <w:rsid w:val="5B814790"/>
    <w:rsid w:val="5B82237F"/>
    <w:rsid w:val="5B824855"/>
    <w:rsid w:val="5B856A19"/>
    <w:rsid w:val="5B88245B"/>
    <w:rsid w:val="5B8A0D7A"/>
    <w:rsid w:val="5B8B0F7C"/>
    <w:rsid w:val="5B9E05AD"/>
    <w:rsid w:val="5BBB1AC4"/>
    <w:rsid w:val="5BE11C63"/>
    <w:rsid w:val="5BF24E07"/>
    <w:rsid w:val="5BFB55EA"/>
    <w:rsid w:val="5C15792E"/>
    <w:rsid w:val="5C1A5869"/>
    <w:rsid w:val="5C2404DB"/>
    <w:rsid w:val="5C290BF2"/>
    <w:rsid w:val="5C4E1E1E"/>
    <w:rsid w:val="5C4F343B"/>
    <w:rsid w:val="5C6A79EB"/>
    <w:rsid w:val="5C912690"/>
    <w:rsid w:val="5C970365"/>
    <w:rsid w:val="5C9F632F"/>
    <w:rsid w:val="5CCB04A2"/>
    <w:rsid w:val="5CCD7E04"/>
    <w:rsid w:val="5CD51F6A"/>
    <w:rsid w:val="5CD6026B"/>
    <w:rsid w:val="5CE319F6"/>
    <w:rsid w:val="5CE42846"/>
    <w:rsid w:val="5CE9406B"/>
    <w:rsid w:val="5D0656E1"/>
    <w:rsid w:val="5D566DF5"/>
    <w:rsid w:val="5D5736EC"/>
    <w:rsid w:val="5D592213"/>
    <w:rsid w:val="5D7067ED"/>
    <w:rsid w:val="5D77660D"/>
    <w:rsid w:val="5D7A7C97"/>
    <w:rsid w:val="5D8A240A"/>
    <w:rsid w:val="5D8A4019"/>
    <w:rsid w:val="5D9907FA"/>
    <w:rsid w:val="5DCD4FAD"/>
    <w:rsid w:val="5DD45E20"/>
    <w:rsid w:val="5DD77F01"/>
    <w:rsid w:val="5DF376B4"/>
    <w:rsid w:val="5DF974C4"/>
    <w:rsid w:val="5E150E16"/>
    <w:rsid w:val="5E156702"/>
    <w:rsid w:val="5E2C3CE8"/>
    <w:rsid w:val="5E480DBB"/>
    <w:rsid w:val="5E532C32"/>
    <w:rsid w:val="5E566885"/>
    <w:rsid w:val="5E6B78B9"/>
    <w:rsid w:val="5E72530D"/>
    <w:rsid w:val="5E7B3471"/>
    <w:rsid w:val="5E811840"/>
    <w:rsid w:val="5EAC620C"/>
    <w:rsid w:val="5EB56E43"/>
    <w:rsid w:val="5EDB6E5E"/>
    <w:rsid w:val="5F050603"/>
    <w:rsid w:val="5F0F5BF5"/>
    <w:rsid w:val="5F1070E5"/>
    <w:rsid w:val="5F137093"/>
    <w:rsid w:val="5F475DFB"/>
    <w:rsid w:val="5F4A6912"/>
    <w:rsid w:val="5FA342D5"/>
    <w:rsid w:val="5FA40581"/>
    <w:rsid w:val="5FBF418B"/>
    <w:rsid w:val="5FC03F1C"/>
    <w:rsid w:val="5FC128D4"/>
    <w:rsid w:val="5FC577B3"/>
    <w:rsid w:val="5FFB751D"/>
    <w:rsid w:val="5FFC1DCE"/>
    <w:rsid w:val="602423C7"/>
    <w:rsid w:val="603F2394"/>
    <w:rsid w:val="604407B5"/>
    <w:rsid w:val="60487E62"/>
    <w:rsid w:val="605A5C34"/>
    <w:rsid w:val="60630B92"/>
    <w:rsid w:val="606E4C0D"/>
    <w:rsid w:val="60935B47"/>
    <w:rsid w:val="60C76F62"/>
    <w:rsid w:val="60CE1254"/>
    <w:rsid w:val="60D321CB"/>
    <w:rsid w:val="60D467A9"/>
    <w:rsid w:val="60EA12BA"/>
    <w:rsid w:val="60EB3CE8"/>
    <w:rsid w:val="61034470"/>
    <w:rsid w:val="61041400"/>
    <w:rsid w:val="6108421E"/>
    <w:rsid w:val="610C08D6"/>
    <w:rsid w:val="611504BF"/>
    <w:rsid w:val="61233B56"/>
    <w:rsid w:val="6129287D"/>
    <w:rsid w:val="6132559A"/>
    <w:rsid w:val="61535DEE"/>
    <w:rsid w:val="6166167A"/>
    <w:rsid w:val="617020C2"/>
    <w:rsid w:val="61755B39"/>
    <w:rsid w:val="617A0C46"/>
    <w:rsid w:val="618B1EF3"/>
    <w:rsid w:val="61A33787"/>
    <w:rsid w:val="61A66AB4"/>
    <w:rsid w:val="61BC38FA"/>
    <w:rsid w:val="61BE0E4F"/>
    <w:rsid w:val="61C85E7F"/>
    <w:rsid w:val="61CD78CF"/>
    <w:rsid w:val="61DA14FE"/>
    <w:rsid w:val="61E53D34"/>
    <w:rsid w:val="61E73697"/>
    <w:rsid w:val="61EE3162"/>
    <w:rsid w:val="61F62056"/>
    <w:rsid w:val="620208E6"/>
    <w:rsid w:val="620E46C5"/>
    <w:rsid w:val="620F37AC"/>
    <w:rsid w:val="621536B2"/>
    <w:rsid w:val="621C707C"/>
    <w:rsid w:val="621E0130"/>
    <w:rsid w:val="62271A32"/>
    <w:rsid w:val="6245212D"/>
    <w:rsid w:val="624B2E9D"/>
    <w:rsid w:val="62504ABA"/>
    <w:rsid w:val="62510C1A"/>
    <w:rsid w:val="62607DE0"/>
    <w:rsid w:val="62757089"/>
    <w:rsid w:val="62AE05DB"/>
    <w:rsid w:val="62B60A29"/>
    <w:rsid w:val="62BA5EE7"/>
    <w:rsid w:val="62F04E93"/>
    <w:rsid w:val="62F14EED"/>
    <w:rsid w:val="62FF3767"/>
    <w:rsid w:val="63074094"/>
    <w:rsid w:val="63256E52"/>
    <w:rsid w:val="6337684E"/>
    <w:rsid w:val="63403C73"/>
    <w:rsid w:val="6351410B"/>
    <w:rsid w:val="635D4427"/>
    <w:rsid w:val="635F082F"/>
    <w:rsid w:val="637013A0"/>
    <w:rsid w:val="63710CD7"/>
    <w:rsid w:val="639A0C81"/>
    <w:rsid w:val="63A00543"/>
    <w:rsid w:val="63BE2991"/>
    <w:rsid w:val="63D672A4"/>
    <w:rsid w:val="63E900E8"/>
    <w:rsid w:val="63F105D2"/>
    <w:rsid w:val="64003000"/>
    <w:rsid w:val="64020FD8"/>
    <w:rsid w:val="640B49C1"/>
    <w:rsid w:val="64156CD8"/>
    <w:rsid w:val="64413D22"/>
    <w:rsid w:val="64470699"/>
    <w:rsid w:val="644B6CD5"/>
    <w:rsid w:val="646253D3"/>
    <w:rsid w:val="64627D01"/>
    <w:rsid w:val="6473435B"/>
    <w:rsid w:val="64864D44"/>
    <w:rsid w:val="64A01013"/>
    <w:rsid w:val="64C76164"/>
    <w:rsid w:val="64D3186F"/>
    <w:rsid w:val="64EF2266"/>
    <w:rsid w:val="64F33559"/>
    <w:rsid w:val="64FD2EEA"/>
    <w:rsid w:val="64FF1ABC"/>
    <w:rsid w:val="650E3520"/>
    <w:rsid w:val="654069DE"/>
    <w:rsid w:val="65413B3E"/>
    <w:rsid w:val="654B3E81"/>
    <w:rsid w:val="655555A6"/>
    <w:rsid w:val="655F14F0"/>
    <w:rsid w:val="65660277"/>
    <w:rsid w:val="656E6D13"/>
    <w:rsid w:val="65990AED"/>
    <w:rsid w:val="65A63707"/>
    <w:rsid w:val="65A80F59"/>
    <w:rsid w:val="65AA319F"/>
    <w:rsid w:val="65AC5539"/>
    <w:rsid w:val="65BB595A"/>
    <w:rsid w:val="65F22562"/>
    <w:rsid w:val="65F65692"/>
    <w:rsid w:val="660C7338"/>
    <w:rsid w:val="66407FD5"/>
    <w:rsid w:val="665346CA"/>
    <w:rsid w:val="6661498D"/>
    <w:rsid w:val="666B3926"/>
    <w:rsid w:val="668C5B9C"/>
    <w:rsid w:val="66A421AD"/>
    <w:rsid w:val="66C77BCC"/>
    <w:rsid w:val="66CF58C8"/>
    <w:rsid w:val="66D00FF0"/>
    <w:rsid w:val="66E50A5C"/>
    <w:rsid w:val="66E5305A"/>
    <w:rsid w:val="66FA0A76"/>
    <w:rsid w:val="670314C2"/>
    <w:rsid w:val="670A28DD"/>
    <w:rsid w:val="671F2137"/>
    <w:rsid w:val="67256725"/>
    <w:rsid w:val="672C3BD3"/>
    <w:rsid w:val="67441F0C"/>
    <w:rsid w:val="674465E9"/>
    <w:rsid w:val="67594618"/>
    <w:rsid w:val="675B3954"/>
    <w:rsid w:val="676B6466"/>
    <w:rsid w:val="67954429"/>
    <w:rsid w:val="67C47F84"/>
    <w:rsid w:val="67D85572"/>
    <w:rsid w:val="67DD10E7"/>
    <w:rsid w:val="67E51A4F"/>
    <w:rsid w:val="67E81C89"/>
    <w:rsid w:val="67F16AAB"/>
    <w:rsid w:val="67FC2A34"/>
    <w:rsid w:val="68022928"/>
    <w:rsid w:val="68163291"/>
    <w:rsid w:val="68244FDF"/>
    <w:rsid w:val="682634A6"/>
    <w:rsid w:val="68335612"/>
    <w:rsid w:val="683D75EE"/>
    <w:rsid w:val="683F6341"/>
    <w:rsid w:val="68413BF7"/>
    <w:rsid w:val="684A3899"/>
    <w:rsid w:val="68516552"/>
    <w:rsid w:val="685D249D"/>
    <w:rsid w:val="68600066"/>
    <w:rsid w:val="6861776A"/>
    <w:rsid w:val="687222C2"/>
    <w:rsid w:val="6879445C"/>
    <w:rsid w:val="687A5897"/>
    <w:rsid w:val="687D194E"/>
    <w:rsid w:val="68945561"/>
    <w:rsid w:val="689D6C87"/>
    <w:rsid w:val="68A05E34"/>
    <w:rsid w:val="68A4599C"/>
    <w:rsid w:val="68AD0074"/>
    <w:rsid w:val="68D4182F"/>
    <w:rsid w:val="68DA458B"/>
    <w:rsid w:val="68E565D8"/>
    <w:rsid w:val="68ED4DA7"/>
    <w:rsid w:val="68FC5EBD"/>
    <w:rsid w:val="69122538"/>
    <w:rsid w:val="69194FE8"/>
    <w:rsid w:val="691F4315"/>
    <w:rsid w:val="69544350"/>
    <w:rsid w:val="69703FA0"/>
    <w:rsid w:val="69997B9C"/>
    <w:rsid w:val="69A84304"/>
    <w:rsid w:val="69B52A42"/>
    <w:rsid w:val="69B67148"/>
    <w:rsid w:val="69BE4DB3"/>
    <w:rsid w:val="69CF0E91"/>
    <w:rsid w:val="69CF0ED8"/>
    <w:rsid w:val="69D52B56"/>
    <w:rsid w:val="69D54DDD"/>
    <w:rsid w:val="69E028D2"/>
    <w:rsid w:val="69E874BD"/>
    <w:rsid w:val="69F54308"/>
    <w:rsid w:val="6A0A7A54"/>
    <w:rsid w:val="6A2622A1"/>
    <w:rsid w:val="6A35577F"/>
    <w:rsid w:val="6A3A22EA"/>
    <w:rsid w:val="6A3F2D1D"/>
    <w:rsid w:val="6A592054"/>
    <w:rsid w:val="6A777087"/>
    <w:rsid w:val="6A820574"/>
    <w:rsid w:val="6A99048F"/>
    <w:rsid w:val="6AA077DB"/>
    <w:rsid w:val="6AA47C92"/>
    <w:rsid w:val="6AB13B26"/>
    <w:rsid w:val="6AB909BB"/>
    <w:rsid w:val="6ABA0C51"/>
    <w:rsid w:val="6ABD020C"/>
    <w:rsid w:val="6ADD6D64"/>
    <w:rsid w:val="6B0F06C2"/>
    <w:rsid w:val="6B2B6878"/>
    <w:rsid w:val="6B633F4F"/>
    <w:rsid w:val="6B70680D"/>
    <w:rsid w:val="6B816F14"/>
    <w:rsid w:val="6B8A298B"/>
    <w:rsid w:val="6B8A779B"/>
    <w:rsid w:val="6BAD6C20"/>
    <w:rsid w:val="6BB456BB"/>
    <w:rsid w:val="6BB62A44"/>
    <w:rsid w:val="6BD81D0A"/>
    <w:rsid w:val="6BE052CE"/>
    <w:rsid w:val="6BF2692A"/>
    <w:rsid w:val="6BF358A4"/>
    <w:rsid w:val="6C051F4E"/>
    <w:rsid w:val="6C096C12"/>
    <w:rsid w:val="6C1A5960"/>
    <w:rsid w:val="6C417EB8"/>
    <w:rsid w:val="6C613F45"/>
    <w:rsid w:val="6C756221"/>
    <w:rsid w:val="6C7B08BB"/>
    <w:rsid w:val="6C816AF9"/>
    <w:rsid w:val="6C846694"/>
    <w:rsid w:val="6CA841D2"/>
    <w:rsid w:val="6CB10385"/>
    <w:rsid w:val="6CD209D6"/>
    <w:rsid w:val="6CDF0F3A"/>
    <w:rsid w:val="6CE47854"/>
    <w:rsid w:val="6D0D25B8"/>
    <w:rsid w:val="6D490A6B"/>
    <w:rsid w:val="6D582A6D"/>
    <w:rsid w:val="6D604FD1"/>
    <w:rsid w:val="6D635FBA"/>
    <w:rsid w:val="6D6534EB"/>
    <w:rsid w:val="6D6C0EA8"/>
    <w:rsid w:val="6D732F9C"/>
    <w:rsid w:val="6D9239A2"/>
    <w:rsid w:val="6DB664EE"/>
    <w:rsid w:val="6DBC6250"/>
    <w:rsid w:val="6DC64BAC"/>
    <w:rsid w:val="6E037AD7"/>
    <w:rsid w:val="6E056523"/>
    <w:rsid w:val="6E074EC9"/>
    <w:rsid w:val="6E160E52"/>
    <w:rsid w:val="6E2E569B"/>
    <w:rsid w:val="6E4064F1"/>
    <w:rsid w:val="6E4E39FC"/>
    <w:rsid w:val="6E5545BD"/>
    <w:rsid w:val="6E5D1964"/>
    <w:rsid w:val="6E614B19"/>
    <w:rsid w:val="6E616F13"/>
    <w:rsid w:val="6E7369B5"/>
    <w:rsid w:val="6E7B5CAB"/>
    <w:rsid w:val="6EAA56FE"/>
    <w:rsid w:val="6EB37B5B"/>
    <w:rsid w:val="6EBE6FBB"/>
    <w:rsid w:val="6ED70BA2"/>
    <w:rsid w:val="6EDB7671"/>
    <w:rsid w:val="6EF77260"/>
    <w:rsid w:val="6F2302E3"/>
    <w:rsid w:val="6F314C13"/>
    <w:rsid w:val="6F382FA6"/>
    <w:rsid w:val="6F391F60"/>
    <w:rsid w:val="6F694006"/>
    <w:rsid w:val="6F6C5490"/>
    <w:rsid w:val="6F761900"/>
    <w:rsid w:val="6FA71AD5"/>
    <w:rsid w:val="6FAF2607"/>
    <w:rsid w:val="6FD47D24"/>
    <w:rsid w:val="6FE17D06"/>
    <w:rsid w:val="6FF536DD"/>
    <w:rsid w:val="6FFD71B3"/>
    <w:rsid w:val="700D2412"/>
    <w:rsid w:val="70112883"/>
    <w:rsid w:val="70243856"/>
    <w:rsid w:val="703F2471"/>
    <w:rsid w:val="704B4131"/>
    <w:rsid w:val="70531ED5"/>
    <w:rsid w:val="705A528C"/>
    <w:rsid w:val="7068062C"/>
    <w:rsid w:val="707F47B3"/>
    <w:rsid w:val="70954F53"/>
    <w:rsid w:val="70A94A40"/>
    <w:rsid w:val="70D80F32"/>
    <w:rsid w:val="70D97C76"/>
    <w:rsid w:val="70F76E40"/>
    <w:rsid w:val="711337D0"/>
    <w:rsid w:val="713173E8"/>
    <w:rsid w:val="71420658"/>
    <w:rsid w:val="7143472C"/>
    <w:rsid w:val="71440341"/>
    <w:rsid w:val="71531561"/>
    <w:rsid w:val="71597148"/>
    <w:rsid w:val="716D089C"/>
    <w:rsid w:val="71715206"/>
    <w:rsid w:val="71743A1D"/>
    <w:rsid w:val="71774D56"/>
    <w:rsid w:val="71901CEF"/>
    <w:rsid w:val="719438F4"/>
    <w:rsid w:val="719D7F3F"/>
    <w:rsid w:val="71B55DFD"/>
    <w:rsid w:val="71B834E8"/>
    <w:rsid w:val="71D0750E"/>
    <w:rsid w:val="71D803D1"/>
    <w:rsid w:val="71E501C6"/>
    <w:rsid w:val="71F40A44"/>
    <w:rsid w:val="7202163F"/>
    <w:rsid w:val="723B04C8"/>
    <w:rsid w:val="724E6817"/>
    <w:rsid w:val="72600D68"/>
    <w:rsid w:val="72604620"/>
    <w:rsid w:val="726B02C1"/>
    <w:rsid w:val="726D2C67"/>
    <w:rsid w:val="729A0F74"/>
    <w:rsid w:val="72F03574"/>
    <w:rsid w:val="72F77CB6"/>
    <w:rsid w:val="731438BD"/>
    <w:rsid w:val="733155C8"/>
    <w:rsid w:val="73422D3C"/>
    <w:rsid w:val="7358435F"/>
    <w:rsid w:val="73625723"/>
    <w:rsid w:val="737007D9"/>
    <w:rsid w:val="738B5B50"/>
    <w:rsid w:val="73AA53A0"/>
    <w:rsid w:val="73B04F6B"/>
    <w:rsid w:val="73D20D1A"/>
    <w:rsid w:val="73E168D2"/>
    <w:rsid w:val="73E873C4"/>
    <w:rsid w:val="73F07AA4"/>
    <w:rsid w:val="74010DBC"/>
    <w:rsid w:val="74054701"/>
    <w:rsid w:val="740D2C3F"/>
    <w:rsid w:val="74135925"/>
    <w:rsid w:val="742827DB"/>
    <w:rsid w:val="742D6CA9"/>
    <w:rsid w:val="742E58A2"/>
    <w:rsid w:val="74525628"/>
    <w:rsid w:val="745F06BF"/>
    <w:rsid w:val="746C713B"/>
    <w:rsid w:val="748D2368"/>
    <w:rsid w:val="749217E0"/>
    <w:rsid w:val="74B22D8C"/>
    <w:rsid w:val="74C26B38"/>
    <w:rsid w:val="74C55FC1"/>
    <w:rsid w:val="74CC7EC1"/>
    <w:rsid w:val="74DA7552"/>
    <w:rsid w:val="74E41FDD"/>
    <w:rsid w:val="74EF6361"/>
    <w:rsid w:val="74F347DF"/>
    <w:rsid w:val="74FA7FE6"/>
    <w:rsid w:val="74FD4A9B"/>
    <w:rsid w:val="751D43A6"/>
    <w:rsid w:val="75453AE1"/>
    <w:rsid w:val="75573AC9"/>
    <w:rsid w:val="75595449"/>
    <w:rsid w:val="758B283A"/>
    <w:rsid w:val="75BD313A"/>
    <w:rsid w:val="75BF6D3D"/>
    <w:rsid w:val="75DC1EF4"/>
    <w:rsid w:val="75E50837"/>
    <w:rsid w:val="75EF5520"/>
    <w:rsid w:val="75F63713"/>
    <w:rsid w:val="76143A54"/>
    <w:rsid w:val="7637074A"/>
    <w:rsid w:val="763B63B0"/>
    <w:rsid w:val="764772A3"/>
    <w:rsid w:val="767B7960"/>
    <w:rsid w:val="769A6195"/>
    <w:rsid w:val="76A44430"/>
    <w:rsid w:val="76A71FBB"/>
    <w:rsid w:val="76AA5D81"/>
    <w:rsid w:val="76AB50DC"/>
    <w:rsid w:val="76BB3C83"/>
    <w:rsid w:val="76C80EC7"/>
    <w:rsid w:val="76F73D47"/>
    <w:rsid w:val="77006E1F"/>
    <w:rsid w:val="77032A24"/>
    <w:rsid w:val="771670C1"/>
    <w:rsid w:val="772C16E9"/>
    <w:rsid w:val="77683E14"/>
    <w:rsid w:val="77734EA5"/>
    <w:rsid w:val="77A06542"/>
    <w:rsid w:val="77A922C9"/>
    <w:rsid w:val="77AC049C"/>
    <w:rsid w:val="77B23714"/>
    <w:rsid w:val="77BB772D"/>
    <w:rsid w:val="77D43FD2"/>
    <w:rsid w:val="77FA155A"/>
    <w:rsid w:val="781137AD"/>
    <w:rsid w:val="781D13FA"/>
    <w:rsid w:val="782817E9"/>
    <w:rsid w:val="78555C26"/>
    <w:rsid w:val="78640057"/>
    <w:rsid w:val="787A66CA"/>
    <w:rsid w:val="78810787"/>
    <w:rsid w:val="78826969"/>
    <w:rsid w:val="788E3AAC"/>
    <w:rsid w:val="78B515B5"/>
    <w:rsid w:val="78C21620"/>
    <w:rsid w:val="78CE2D76"/>
    <w:rsid w:val="78EE2375"/>
    <w:rsid w:val="78FA244C"/>
    <w:rsid w:val="78FE1B78"/>
    <w:rsid w:val="79024116"/>
    <w:rsid w:val="790B5E4F"/>
    <w:rsid w:val="790D572F"/>
    <w:rsid w:val="79233654"/>
    <w:rsid w:val="79455569"/>
    <w:rsid w:val="79470AE2"/>
    <w:rsid w:val="795123A8"/>
    <w:rsid w:val="79535AC3"/>
    <w:rsid w:val="79620961"/>
    <w:rsid w:val="79987ED2"/>
    <w:rsid w:val="79AE1AE3"/>
    <w:rsid w:val="79AE77FB"/>
    <w:rsid w:val="79B85AA8"/>
    <w:rsid w:val="79C342A8"/>
    <w:rsid w:val="79C34F9F"/>
    <w:rsid w:val="79C81B6A"/>
    <w:rsid w:val="79E83652"/>
    <w:rsid w:val="79EF6059"/>
    <w:rsid w:val="7A074D7D"/>
    <w:rsid w:val="7A1053E1"/>
    <w:rsid w:val="7A17618B"/>
    <w:rsid w:val="7A1E05C7"/>
    <w:rsid w:val="7A3F1ABF"/>
    <w:rsid w:val="7A413A99"/>
    <w:rsid w:val="7A4642A9"/>
    <w:rsid w:val="7A4B6B30"/>
    <w:rsid w:val="7A5D3D51"/>
    <w:rsid w:val="7A5F0CF7"/>
    <w:rsid w:val="7A675EA5"/>
    <w:rsid w:val="7A6B3865"/>
    <w:rsid w:val="7A6D1D3E"/>
    <w:rsid w:val="7A7041ED"/>
    <w:rsid w:val="7A832390"/>
    <w:rsid w:val="7A92679C"/>
    <w:rsid w:val="7A955810"/>
    <w:rsid w:val="7A985E92"/>
    <w:rsid w:val="7A9C2E47"/>
    <w:rsid w:val="7A9E009C"/>
    <w:rsid w:val="7AC019FF"/>
    <w:rsid w:val="7ACA6FB9"/>
    <w:rsid w:val="7AF46C5F"/>
    <w:rsid w:val="7AF91BCC"/>
    <w:rsid w:val="7B0C5BAE"/>
    <w:rsid w:val="7B2374FE"/>
    <w:rsid w:val="7B34342A"/>
    <w:rsid w:val="7B3873CB"/>
    <w:rsid w:val="7B496993"/>
    <w:rsid w:val="7B783675"/>
    <w:rsid w:val="7B796807"/>
    <w:rsid w:val="7BAC2D3A"/>
    <w:rsid w:val="7BAE3C97"/>
    <w:rsid w:val="7BB16076"/>
    <w:rsid w:val="7BB46DB9"/>
    <w:rsid w:val="7BC02341"/>
    <w:rsid w:val="7BD74454"/>
    <w:rsid w:val="7BE96DEC"/>
    <w:rsid w:val="7C021A51"/>
    <w:rsid w:val="7C033C13"/>
    <w:rsid w:val="7C041A0F"/>
    <w:rsid w:val="7C110306"/>
    <w:rsid w:val="7C212B8A"/>
    <w:rsid w:val="7C8464A1"/>
    <w:rsid w:val="7C9D2D7B"/>
    <w:rsid w:val="7CA26867"/>
    <w:rsid w:val="7CB43A8E"/>
    <w:rsid w:val="7CC106AB"/>
    <w:rsid w:val="7CDF4250"/>
    <w:rsid w:val="7D09113D"/>
    <w:rsid w:val="7D157A0E"/>
    <w:rsid w:val="7D1658AD"/>
    <w:rsid w:val="7D1D4159"/>
    <w:rsid w:val="7D243099"/>
    <w:rsid w:val="7D4B3993"/>
    <w:rsid w:val="7D5F5E30"/>
    <w:rsid w:val="7D6C208F"/>
    <w:rsid w:val="7D897D56"/>
    <w:rsid w:val="7D9B14E5"/>
    <w:rsid w:val="7DAA42B2"/>
    <w:rsid w:val="7DAA569A"/>
    <w:rsid w:val="7DB1501E"/>
    <w:rsid w:val="7DB676D9"/>
    <w:rsid w:val="7DBE16CF"/>
    <w:rsid w:val="7DC37DE3"/>
    <w:rsid w:val="7DD45912"/>
    <w:rsid w:val="7E0D4E8F"/>
    <w:rsid w:val="7E107D04"/>
    <w:rsid w:val="7E202441"/>
    <w:rsid w:val="7E394E62"/>
    <w:rsid w:val="7E4B691E"/>
    <w:rsid w:val="7E616C7B"/>
    <w:rsid w:val="7E733A70"/>
    <w:rsid w:val="7E8A0780"/>
    <w:rsid w:val="7EA574A2"/>
    <w:rsid w:val="7EBB0DC0"/>
    <w:rsid w:val="7EC42E15"/>
    <w:rsid w:val="7EC50C54"/>
    <w:rsid w:val="7ED11A3C"/>
    <w:rsid w:val="7ED91C72"/>
    <w:rsid w:val="7EEB5BB3"/>
    <w:rsid w:val="7F1568D7"/>
    <w:rsid w:val="7F2E0D24"/>
    <w:rsid w:val="7F312E91"/>
    <w:rsid w:val="7F33645C"/>
    <w:rsid w:val="7F4E4DC2"/>
    <w:rsid w:val="7F66205C"/>
    <w:rsid w:val="7FA8327A"/>
    <w:rsid w:val="7FB32EED"/>
    <w:rsid w:val="7FB6358D"/>
    <w:rsid w:val="7FE0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3483</Words>
  <Characters>3871</Characters>
  <Lines>0</Lines>
  <Paragraphs>0</Paragraphs>
  <TotalTime>5</TotalTime>
  <ScaleCrop>false</ScaleCrop>
  <LinksUpToDate>false</LinksUpToDate>
  <CharactersWithSpaces>3985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2023-04-23T08:56:00Z</dcterms:created>
  <dc:creator>新一天</dc:creator>
  <cp:lastModifiedBy>王奇</cp:lastModifiedBy>
  <cp:lastPrinted>2023-05-26T08:11:00Z</cp:lastPrinted>
  <dcterms:modified xsi:type="dcterms:W3CDTF">2023-07-11T08:38:59Z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50306CC149C84F98BF850919EA3E5AFB_13</vt:lpwstr>
  </property>
</Properties>
</file>