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420" w:firstLineChars="0"/>
        <w:textAlignment w:val="auto"/>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1</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right"/>
        <w:textAlignment w:val="auto"/>
        <w:rPr>
          <w:rFonts w:hint="eastAsia" w:ascii="方正小标宋简体" w:hAnsi="方正小标宋简体" w:eastAsia="方正小标宋简体" w:cs="方正小标宋简体"/>
          <w:b w:val="0"/>
          <w:bCs w:val="0"/>
          <w:color w:val="000000" w:themeColor="text1"/>
          <w:spacing w:val="2"/>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2022年度</w:t>
      </w:r>
      <w:r>
        <w:rPr>
          <w:rFonts w:hint="eastAsia" w:ascii="方正小标宋简体" w:hAnsi="方正小标宋简体" w:eastAsia="方正小标宋简体" w:cs="方正小标宋简体"/>
          <w:b w:val="0"/>
          <w:bCs w:val="0"/>
          <w:color w:val="000000" w:themeColor="text1"/>
          <w:spacing w:val="2"/>
          <w:sz w:val="42"/>
          <w:szCs w:val="42"/>
          <w:lang w:eastAsia="zh-CN"/>
          <w14:textFill>
            <w14:solidFill>
              <w14:schemeClr w14:val="tx1"/>
            </w14:solidFill>
          </w14:textFill>
        </w:rPr>
        <w:t>预算单位</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整体支出绩效评价基础数据表</w:t>
      </w:r>
    </w:p>
    <w:p>
      <w:pPr>
        <w:spacing w:line="115" w:lineRule="exact"/>
        <w:rPr>
          <w:color w:val="000000" w:themeColor="text1"/>
          <w14:textFill>
            <w14:solidFill>
              <w14:schemeClr w14:val="tx1"/>
            </w14:solidFill>
          </w14:textFill>
        </w:rPr>
      </w:pPr>
    </w:p>
    <w:tbl>
      <w:tblPr>
        <w:tblStyle w:val="8"/>
        <w:tblW w:w="966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850"/>
        <w:gridCol w:w="825"/>
        <w:gridCol w:w="990"/>
        <w:gridCol w:w="1140"/>
        <w:gridCol w:w="1185"/>
        <w:gridCol w:w="810"/>
        <w:gridCol w:w="8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3850" w:type="dxa"/>
            <w:tcBorders>
              <w:bottom w:val="nil"/>
            </w:tcBorders>
            <w:vAlign w:val="center"/>
          </w:tcPr>
          <w:p>
            <w:pPr>
              <w:spacing w:before="33" w:line="198" w:lineRule="auto"/>
              <w:ind w:right="118" w:rightChars="0"/>
              <w:jc w:val="center"/>
              <w:rPr>
                <w:rFonts w:hint="eastAsia" w:asciiTheme="majorEastAsia" w:hAnsiTheme="majorEastAsia" w:eastAsiaTheme="majorEastAsia" w:cstheme="majorEastAsia"/>
                <w:color w:val="000000" w:themeColor="text1"/>
                <w:spacing w:val="2"/>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预算</w:t>
            </w:r>
            <w:r>
              <w:rPr>
                <w:rFonts w:hint="eastAsia" w:asciiTheme="majorEastAsia" w:hAnsiTheme="majorEastAsia" w:eastAsiaTheme="majorEastAsia" w:cstheme="majorEastAsia"/>
                <w:color w:val="000000" w:themeColor="text1"/>
                <w:spacing w:val="2"/>
                <w:sz w:val="24"/>
                <w:szCs w:val="24"/>
                <w:lang w:eastAsia="zh-CN"/>
                <w14:textFill>
                  <w14:solidFill>
                    <w14:schemeClr w14:val="tx1"/>
                  </w14:solidFill>
                </w14:textFill>
              </w:rPr>
              <w:t>单位</w:t>
            </w: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名称</w:t>
            </w:r>
          </w:p>
        </w:tc>
        <w:tc>
          <w:tcPr>
            <w:tcW w:w="5819" w:type="dxa"/>
            <w:gridSpan w:val="6"/>
            <w:vAlign w:val="top"/>
          </w:tcPr>
          <w:p>
            <w:pPr>
              <w:spacing w:before="103" w:line="219" w:lineRule="auto"/>
              <w:ind w:left="708"/>
              <w:jc w:val="center"/>
              <w:rPr>
                <w:rFonts w:hint="eastAsia" w:asciiTheme="majorEastAsia" w:hAnsiTheme="majorEastAsia" w:eastAsiaTheme="majorEastAsia" w:cstheme="majorEastAsia"/>
                <w:color w:val="000000" w:themeColor="text1"/>
                <w:spacing w:val="-2"/>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lang w:eastAsia="zh-CN"/>
                <w14:textFill>
                  <w14:solidFill>
                    <w14:schemeClr w14:val="tx1"/>
                  </w14:solidFill>
                </w14:textFill>
              </w:rPr>
              <w:t>岳阳市生态环境局湘阴分局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5" w:hRule="atLeast"/>
        </w:trPr>
        <w:tc>
          <w:tcPr>
            <w:tcW w:w="3850" w:type="dxa"/>
            <w:vMerge w:val="restart"/>
            <w:tcBorders>
              <w:bottom w:val="nil"/>
            </w:tcBorders>
            <w:vAlign w:val="top"/>
          </w:tcPr>
          <w:p>
            <w:pPr>
              <w:spacing w:before="262" w:line="219" w:lineRule="auto"/>
              <w:ind w:left="575"/>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财政供养人员情况(人)</w:t>
            </w:r>
          </w:p>
        </w:tc>
        <w:tc>
          <w:tcPr>
            <w:tcW w:w="1815" w:type="dxa"/>
            <w:gridSpan w:val="2"/>
            <w:vAlign w:val="top"/>
          </w:tcPr>
          <w:p>
            <w:pPr>
              <w:spacing w:before="103"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编制数</w:t>
            </w:r>
          </w:p>
        </w:tc>
        <w:tc>
          <w:tcPr>
            <w:tcW w:w="2325" w:type="dxa"/>
            <w:gridSpan w:val="2"/>
            <w:vAlign w:val="top"/>
          </w:tcPr>
          <w:p>
            <w:pPr>
              <w:spacing w:before="83"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2022年实际在职人数</w:t>
            </w:r>
          </w:p>
        </w:tc>
        <w:tc>
          <w:tcPr>
            <w:tcW w:w="1679" w:type="dxa"/>
            <w:gridSpan w:val="2"/>
            <w:vAlign w:val="top"/>
          </w:tcPr>
          <w:p>
            <w:pPr>
              <w:spacing w:before="103" w:line="219" w:lineRule="auto"/>
              <w:ind w:left="708"/>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控制率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Merge w:val="continue"/>
            <w:tcBorders>
              <w:top w:val="nil"/>
            </w:tcBorders>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815"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106</w:t>
            </w:r>
          </w:p>
        </w:tc>
        <w:tc>
          <w:tcPr>
            <w:tcW w:w="2325" w:type="dxa"/>
            <w:gridSpan w:val="2"/>
            <w:vAlign w:val="top"/>
          </w:tcPr>
          <w:p>
            <w:pPr>
              <w:jc w:val="center"/>
              <w:rPr>
                <w:rFonts w:hint="default"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106</w:t>
            </w:r>
          </w:p>
        </w:tc>
        <w:tc>
          <w:tcPr>
            <w:tcW w:w="1679" w:type="dxa"/>
            <w:gridSpan w:val="2"/>
            <w:vAlign w:val="top"/>
          </w:tcPr>
          <w:p>
            <w:pPr>
              <w:jc w:val="cente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3850" w:type="dxa"/>
            <w:vAlign w:val="top"/>
          </w:tcPr>
          <w:p>
            <w:pPr>
              <w:spacing w:before="140" w:line="202" w:lineRule="auto"/>
              <w:ind w:left="6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4"/>
                <w:sz w:val="24"/>
                <w:szCs w:val="24"/>
                <w14:textFill>
                  <w14:solidFill>
                    <w14:schemeClr w14:val="tx1"/>
                  </w14:solidFill>
                </w14:textFill>
              </w:rPr>
              <w:t>经费控制情况(万元)</w:t>
            </w:r>
          </w:p>
        </w:tc>
        <w:tc>
          <w:tcPr>
            <w:tcW w:w="1815" w:type="dxa"/>
            <w:gridSpan w:val="2"/>
            <w:vAlign w:val="top"/>
          </w:tcPr>
          <w:p>
            <w:pPr>
              <w:spacing w:before="119"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2021年决算数</w:t>
            </w:r>
          </w:p>
        </w:tc>
        <w:tc>
          <w:tcPr>
            <w:tcW w:w="2325" w:type="dxa"/>
            <w:gridSpan w:val="2"/>
            <w:vAlign w:val="top"/>
          </w:tcPr>
          <w:p>
            <w:pPr>
              <w:spacing w:before="119"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2022年预算数</w:t>
            </w:r>
          </w:p>
        </w:tc>
        <w:tc>
          <w:tcPr>
            <w:tcW w:w="1679" w:type="dxa"/>
            <w:gridSpan w:val="2"/>
            <w:vAlign w:val="top"/>
          </w:tcPr>
          <w:p>
            <w:pPr>
              <w:spacing w:before="76" w:line="219" w:lineRule="auto"/>
              <w:jc w:val="center"/>
              <w:rPr>
                <w:rFonts w:hint="eastAsia" w:asciiTheme="majorEastAsia" w:hAnsiTheme="majorEastAsia" w:eastAsiaTheme="majorEastAsia" w:cstheme="majorEastAsia"/>
                <w:b w:val="0"/>
                <w:bCs w:val="0"/>
                <w:color w:val="000000" w:themeColor="text1"/>
                <w:sz w:val="24"/>
                <w:szCs w:val="24"/>
                <w14:textFill>
                  <w14:solidFill>
                    <w14:schemeClr w14:val="tx1"/>
                  </w14:solidFill>
                </w14:textFill>
              </w:rPr>
            </w:pPr>
            <w:r>
              <w:rPr>
                <w:rFonts w:hint="eastAsia" w:asciiTheme="majorEastAsia" w:hAnsiTheme="majorEastAsia" w:eastAsiaTheme="majorEastAsia" w:cstheme="majorEastAsia"/>
                <w:b w:val="0"/>
                <w:bCs w:val="0"/>
                <w:color w:val="000000" w:themeColor="text1"/>
                <w:spacing w:val="-4"/>
                <w:sz w:val="24"/>
                <w:szCs w:val="24"/>
                <w14:textFill>
                  <w14:solidFill>
                    <w14:schemeClr w14:val="tx1"/>
                  </w14:solidFill>
                </w14:textFill>
              </w:rPr>
              <w:t>2022年决算数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1" w:line="202" w:lineRule="auto"/>
              <w:ind w:left="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三公经费</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lang w:val="en-US" w:eastAsia="zh-CN"/>
                <w14:textFill>
                  <w14:solidFill>
                    <w14:schemeClr w14:val="tx1"/>
                  </w14:solidFill>
                </w14:textFill>
              </w:rPr>
              <w:t>6.81</w:t>
            </w:r>
          </w:p>
        </w:tc>
        <w:tc>
          <w:tcPr>
            <w:tcW w:w="2325" w:type="dxa"/>
            <w:gridSpan w:val="2"/>
            <w:vAlign w:val="top"/>
          </w:tcPr>
          <w:p>
            <w:pPr>
              <w:jc w:val="center"/>
              <w:rPr>
                <w:rFonts w:hint="eastAsia" w:asciiTheme="majorEastAsia" w:hAnsiTheme="majorEastAsia" w:eastAsiaTheme="majorEastAsia" w:cstheme="majorEastAsia"/>
                <w:b/>
                <w:bCs/>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lang w:val="en-US" w:eastAsia="zh-CN"/>
                <w14:textFill>
                  <w14:solidFill>
                    <w14:schemeClr w14:val="tx1"/>
                  </w14:solidFill>
                </w14:textFill>
              </w:rPr>
              <w:t>9</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4"/>
                <w:szCs w:val="24"/>
                <w:lang w:val="en-US" w:eastAsia="zh-CN"/>
                <w14:textFill>
                  <w14:solidFill>
                    <w14:schemeClr w14:val="tx1"/>
                  </w14:solidFill>
                </w14:textFill>
              </w:rPr>
              <w:t>5.31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149" w:line="193" w:lineRule="auto"/>
              <w:ind w:left="4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z w:val="24"/>
                <w:szCs w:val="24"/>
                <w14:textFill>
                  <w14:solidFill>
                    <w14:schemeClr w14:val="tx1"/>
                  </w14:solidFill>
                </w14:textFill>
              </w:rPr>
              <w:t>1、公务用车购置和维护经费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5.33</w:t>
            </w:r>
          </w:p>
        </w:tc>
        <w:tc>
          <w:tcPr>
            <w:tcW w:w="232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3</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2.68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81" w:line="219" w:lineRule="auto"/>
              <w:ind w:left="8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其中：公车购置</w:t>
            </w:r>
          </w:p>
        </w:tc>
        <w:tc>
          <w:tcPr>
            <w:tcW w:w="181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232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679"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850" w:type="dxa"/>
            <w:vAlign w:val="top"/>
          </w:tcPr>
          <w:p>
            <w:pPr>
              <w:spacing w:before="91" w:line="219" w:lineRule="auto"/>
              <w:ind w:left="142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公车运行维护</w:t>
            </w:r>
          </w:p>
        </w:tc>
        <w:tc>
          <w:tcPr>
            <w:tcW w:w="181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5.33</w:t>
            </w:r>
          </w:p>
        </w:tc>
        <w:tc>
          <w:tcPr>
            <w:tcW w:w="232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3</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2.68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3850" w:type="dxa"/>
            <w:vAlign w:val="top"/>
          </w:tcPr>
          <w:p>
            <w:pPr>
              <w:spacing w:before="81" w:line="220"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2、出国经费</w:t>
            </w:r>
          </w:p>
        </w:tc>
        <w:tc>
          <w:tcPr>
            <w:tcW w:w="181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232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679"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2" w:line="21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3、公务接待</w:t>
            </w:r>
          </w:p>
        </w:tc>
        <w:tc>
          <w:tcPr>
            <w:tcW w:w="181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1.48</w:t>
            </w:r>
          </w:p>
        </w:tc>
        <w:tc>
          <w:tcPr>
            <w:tcW w:w="232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6</w:t>
            </w:r>
          </w:p>
        </w:tc>
        <w:tc>
          <w:tcPr>
            <w:tcW w:w="1679"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2.63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3" w:line="200" w:lineRule="auto"/>
              <w:ind w:left="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9"/>
                <w:sz w:val="24"/>
                <w:szCs w:val="24"/>
                <w14:textFill>
                  <w14:solidFill>
                    <w14:schemeClr w14:val="tx1"/>
                  </w14:solidFill>
                </w14:textFill>
              </w:rPr>
              <w:t>项目支出：</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196.44</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82.95</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82.95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3850" w:type="dxa"/>
            <w:vAlign w:val="top"/>
          </w:tcPr>
          <w:p>
            <w:pPr>
              <w:spacing w:before="133" w:line="200"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1、业务工作经费</w:t>
            </w:r>
          </w:p>
        </w:tc>
        <w:tc>
          <w:tcPr>
            <w:tcW w:w="1815" w:type="dxa"/>
            <w:gridSpan w:val="2"/>
            <w:vAlign w:val="top"/>
          </w:tcPr>
          <w:p>
            <w:pPr>
              <w:ind w:firstLine="630" w:firstLineChars="300"/>
              <w:jc w:val="both"/>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196.44</w:t>
            </w:r>
          </w:p>
        </w:tc>
        <w:tc>
          <w:tcPr>
            <w:tcW w:w="232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82.95</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82.95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3850" w:type="dxa"/>
            <w:vAlign w:val="top"/>
          </w:tcPr>
          <w:p>
            <w:pPr>
              <w:spacing w:before="143" w:line="20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2、运行维护经费</w:t>
            </w:r>
          </w:p>
        </w:tc>
        <w:tc>
          <w:tcPr>
            <w:tcW w:w="181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232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679"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jc w:val="left"/>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4"/>
                <w:szCs w:val="24"/>
                <w:lang w:val="en-US" w:eastAsia="zh-CN"/>
                <w14:textFill>
                  <w14:solidFill>
                    <w14:schemeClr w14:val="tx1"/>
                  </w14:solidFill>
                </w14:textFill>
              </w:rPr>
              <w:t>......</w:t>
            </w:r>
          </w:p>
        </w:tc>
        <w:tc>
          <w:tcPr>
            <w:tcW w:w="1815" w:type="dxa"/>
            <w:gridSpan w:val="2"/>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c>
          <w:tcPr>
            <w:tcW w:w="2325" w:type="dxa"/>
            <w:gridSpan w:val="2"/>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c>
          <w:tcPr>
            <w:tcW w:w="1679" w:type="dxa"/>
            <w:gridSpan w:val="2"/>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850" w:type="dxa"/>
            <w:vAlign w:val="top"/>
          </w:tcPr>
          <w:p>
            <w:pPr>
              <w:spacing w:before="93" w:line="219" w:lineRule="auto"/>
              <w:ind w:firstLine="488" w:firstLineChars="200"/>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3、</w:t>
            </w:r>
            <w:r>
              <w:rPr>
                <w:rFonts w:hint="eastAsia" w:asciiTheme="majorEastAsia" w:hAnsiTheme="majorEastAsia" w:eastAsiaTheme="majorEastAsia" w:cstheme="majorEastAsia"/>
                <w:color w:val="000000" w:themeColor="text1"/>
                <w:spacing w:val="2"/>
                <w:sz w:val="24"/>
                <w:szCs w:val="24"/>
                <w:lang w:eastAsia="zh-CN"/>
                <w14:textFill>
                  <w14:solidFill>
                    <w14:schemeClr w14:val="tx1"/>
                  </w14:solidFill>
                </w14:textFill>
              </w:rPr>
              <w:t>区</w:t>
            </w:r>
            <w:r>
              <w:rPr>
                <w:rFonts w:hint="eastAsia" w:asciiTheme="majorEastAsia" w:hAnsiTheme="majorEastAsia" w:eastAsiaTheme="majorEastAsia" w:cstheme="majorEastAsia"/>
                <w:color w:val="000000" w:themeColor="text1"/>
                <w:spacing w:val="2"/>
                <w:sz w:val="24"/>
                <w:szCs w:val="24"/>
                <w14:textFill>
                  <w14:solidFill>
                    <w14:schemeClr w14:val="tx1"/>
                  </w14:solidFill>
                </w14:textFill>
              </w:rPr>
              <w:t>级专项资金</w:t>
            </w:r>
            <w:r>
              <w:rPr>
                <w:rFonts w:hint="eastAsia" w:asciiTheme="majorEastAsia" w:hAnsiTheme="majorEastAsia" w:eastAsiaTheme="majorEastAsia" w:cstheme="majorEastAsia"/>
                <w:color w:val="000000" w:themeColor="text1"/>
                <w:spacing w:val="2"/>
                <w:sz w:val="21"/>
                <w:szCs w:val="21"/>
                <w14:textFill>
                  <w14:solidFill>
                    <w14:schemeClr w14:val="tx1"/>
                  </w14:solidFill>
                </w14:textFill>
              </w:rPr>
              <w:t>(一个专项一行)</w:t>
            </w:r>
          </w:p>
        </w:tc>
        <w:tc>
          <w:tcPr>
            <w:tcW w:w="181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232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679"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1815" w:type="dxa"/>
            <w:gridSpan w:val="2"/>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c>
          <w:tcPr>
            <w:tcW w:w="2325" w:type="dxa"/>
            <w:gridSpan w:val="2"/>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c>
          <w:tcPr>
            <w:tcW w:w="1679" w:type="dxa"/>
            <w:gridSpan w:val="2"/>
            <w:vAlign w:val="top"/>
          </w:tcPr>
          <w:p>
            <w:pPr>
              <w:jc w:val="center"/>
              <w:rPr>
                <w:rFonts w:hint="eastAsia" w:asciiTheme="majorEastAsia" w:hAnsiTheme="majorEastAsia" w:eastAsiaTheme="majorEastAsia" w:cstheme="majorEastAsia"/>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firstLine="492" w:firstLineChars="200"/>
              <w:jc w:val="left"/>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lang w:val="en-US" w:eastAsia="zh-CN"/>
                <w14:textFill>
                  <w14:solidFill>
                    <w14:schemeClr w14:val="tx1"/>
                  </w14:solidFill>
                </w14:textFill>
              </w:rPr>
              <w:t>4、上级转移支付</w:t>
            </w:r>
            <w:r>
              <w:rPr>
                <w:rFonts w:hint="eastAsia" w:asciiTheme="majorEastAsia" w:hAnsiTheme="majorEastAsia" w:eastAsiaTheme="majorEastAsia" w:cstheme="majorEastAsia"/>
                <w:color w:val="000000" w:themeColor="text1"/>
                <w:spacing w:val="2"/>
                <w:sz w:val="21"/>
                <w:szCs w:val="21"/>
                <w14:textFill>
                  <w14:solidFill>
                    <w14:schemeClr w14:val="tx1"/>
                  </w14:solidFill>
                </w14:textFill>
              </w:rPr>
              <w:t>(一个专项一行</w:t>
            </w:r>
            <w:r>
              <w:rPr>
                <w:rFonts w:hint="eastAsia" w:asciiTheme="majorEastAsia" w:hAnsiTheme="majorEastAsia" w:eastAsiaTheme="majorEastAsia" w:cstheme="majorEastAsia"/>
                <w:color w:val="000000" w:themeColor="text1"/>
                <w:spacing w:val="2"/>
                <w:sz w:val="21"/>
                <w:szCs w:val="21"/>
                <w:lang w:eastAsia="zh-CN"/>
                <w14:textFill>
                  <w14:solidFill>
                    <w14:schemeClr w14:val="tx1"/>
                  </w14:solidFill>
                </w14:textFill>
              </w:rPr>
              <w:t>）</w:t>
            </w:r>
          </w:p>
        </w:tc>
        <w:tc>
          <w:tcPr>
            <w:tcW w:w="181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2325"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679" w:type="dxa"/>
            <w:gridSpan w:val="2"/>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85" w:line="220" w:lineRule="auto"/>
              <w:ind w:left="9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公用经费</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243.51</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249.87</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502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85" w:line="219" w:lineRule="auto"/>
              <w:ind w:left="38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其中：办公经费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14.13</w:t>
            </w:r>
          </w:p>
        </w:tc>
        <w:tc>
          <w:tcPr>
            <w:tcW w:w="232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8</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21.5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spacing w:before="135" w:line="198" w:lineRule="auto"/>
              <w:ind w:left="1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水费、电费、差旅费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27.39</w:t>
            </w:r>
          </w:p>
        </w:tc>
        <w:tc>
          <w:tcPr>
            <w:tcW w:w="232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32</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44.2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3850" w:type="dxa"/>
            <w:vAlign w:val="top"/>
          </w:tcPr>
          <w:p>
            <w:pPr>
              <w:spacing w:before="144" w:line="198" w:lineRule="auto"/>
              <w:ind w:left="112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会议费、培训费</w:t>
            </w:r>
          </w:p>
        </w:tc>
        <w:tc>
          <w:tcPr>
            <w:tcW w:w="181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5.68</w:t>
            </w:r>
          </w:p>
        </w:tc>
        <w:tc>
          <w:tcPr>
            <w:tcW w:w="2325"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6</w:t>
            </w:r>
          </w:p>
        </w:tc>
        <w:tc>
          <w:tcPr>
            <w:tcW w:w="1679" w:type="dxa"/>
            <w:gridSpan w:val="2"/>
            <w:vAlign w:val="top"/>
          </w:tcPr>
          <w:p>
            <w:pPr>
              <w:jc w:val="center"/>
              <w:rPr>
                <w:rFonts w:hint="default"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2.75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Align w:val="top"/>
          </w:tcPr>
          <w:p>
            <w:pPr>
              <w:spacing w:before="145" w:line="189" w:lineRule="auto"/>
              <w:ind w:left="10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政府采购金额</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468</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150</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389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3850" w:type="dxa"/>
            <w:vAlign w:val="top"/>
          </w:tcPr>
          <w:p>
            <w:pPr>
              <w:spacing w:before="145" w:line="198" w:lineRule="auto"/>
              <w:ind w:left="114"/>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部门基本支出预算调整</w:t>
            </w:r>
          </w:p>
        </w:tc>
        <w:tc>
          <w:tcPr>
            <w:tcW w:w="181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1671.56</w:t>
            </w:r>
          </w:p>
        </w:tc>
        <w:tc>
          <w:tcPr>
            <w:tcW w:w="2325"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1623.36</w:t>
            </w:r>
          </w:p>
        </w:tc>
        <w:tc>
          <w:tcPr>
            <w:tcW w:w="1679" w:type="dxa"/>
            <w:gridSpan w:val="2"/>
            <w:vAlign w:val="top"/>
          </w:tcPr>
          <w:p>
            <w:pPr>
              <w:jc w:val="center"/>
              <w:rPr>
                <w:rFonts w:hint="default" w:asciiTheme="majorEastAsia" w:hAnsiTheme="majorEastAsia" w:eastAsiaTheme="majorEastAsia" w:cstheme="majorEastAsia"/>
                <w:b/>
                <w:bCs/>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21"/>
                <w:lang w:val="en-US" w:eastAsia="zh-CN"/>
                <w14:textFill>
                  <w14:solidFill>
                    <w14:schemeClr w14:val="tx1"/>
                  </w14:solidFill>
                </w14:textFill>
              </w:rPr>
              <w:t>1972.49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3850" w:type="dxa"/>
            <w:vMerge w:val="restart"/>
            <w:tcBorders>
              <w:bottom w:val="nil"/>
            </w:tcBorders>
            <w:vAlign w:val="center"/>
          </w:tcPr>
          <w:p>
            <w:pPr>
              <w:spacing w:before="65" w:line="390" w:lineRule="exact"/>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position w:val="14"/>
                <w:sz w:val="24"/>
                <w:szCs w:val="24"/>
                <w14:textFill>
                  <w14:solidFill>
                    <w14:schemeClr w14:val="tx1"/>
                  </w14:solidFill>
                </w14:textFill>
              </w:rPr>
              <w:t>楼堂馆所控制情况</w:t>
            </w:r>
          </w:p>
          <w:p>
            <w:pPr>
              <w:spacing w:line="219" w:lineRule="auto"/>
              <w:jc w:val="center"/>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3"/>
                <w:sz w:val="24"/>
                <w:szCs w:val="24"/>
                <w14:textFill>
                  <w14:solidFill>
                    <w14:schemeClr w14:val="tx1"/>
                  </w14:solidFill>
                </w14:textFill>
              </w:rPr>
              <w:t>(2022年完工项目)</w:t>
            </w:r>
          </w:p>
        </w:tc>
        <w:tc>
          <w:tcPr>
            <w:tcW w:w="82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批复规模</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(m²)</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实际规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模(m²)</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规模控制率</w:t>
            </w:r>
          </w:p>
        </w:tc>
        <w:tc>
          <w:tcPr>
            <w:tcW w:w="11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预算投资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(万元)</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投资</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(万元)</w:t>
            </w:r>
          </w:p>
        </w:tc>
        <w:tc>
          <w:tcPr>
            <w:tcW w:w="86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投资概</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算控制</w:t>
            </w:r>
          </w:p>
          <w:p>
            <w:pPr>
              <w:keepNext w:val="0"/>
              <w:keepLines w:val="0"/>
              <w:pageBreakBefore w:val="0"/>
              <w:widowControl w:val="0"/>
              <w:kinsoku/>
              <w:wordWrap/>
              <w:overflowPunct/>
              <w:topLinePunct w:val="0"/>
              <w:autoSpaceDE/>
              <w:autoSpaceDN/>
              <w:bidi w:val="0"/>
              <w:adjustRightInd/>
              <w:snapToGrid/>
              <w:spacing w:line="240" w:lineRule="exact"/>
              <w:ind w:left="0" w:right="0" w:firstLine="0"/>
              <w:jc w:val="center"/>
              <w:textAlignment w:val="auto"/>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0"/>
                <w:szCs w:val="20"/>
                <w14:textFill>
                  <w14:solidFill>
                    <w14:schemeClr w14:val="tx1"/>
                  </w14:solidFill>
                </w14:textFill>
              </w:rPr>
              <w:t>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 w:hRule="atLeast"/>
        </w:trPr>
        <w:tc>
          <w:tcPr>
            <w:tcW w:w="3850" w:type="dxa"/>
            <w:vMerge w:val="continue"/>
            <w:tcBorders>
              <w:top w:val="nil"/>
            </w:tcBorders>
            <w:vAlign w:val="top"/>
          </w:tcPr>
          <w:p>
            <w:pPr>
              <w:jc w:val="left"/>
              <w:rPr>
                <w:rFonts w:hint="eastAsia" w:asciiTheme="majorEastAsia" w:hAnsiTheme="majorEastAsia" w:eastAsiaTheme="majorEastAsia" w:cstheme="majorEastAsia"/>
                <w:color w:val="000000" w:themeColor="text1"/>
                <w:sz w:val="24"/>
                <w:szCs w:val="24"/>
                <w14:textFill>
                  <w14:solidFill>
                    <w14:schemeClr w14:val="tx1"/>
                  </w14:solidFill>
                </w14:textFill>
              </w:rPr>
            </w:pPr>
          </w:p>
        </w:tc>
        <w:tc>
          <w:tcPr>
            <w:tcW w:w="825"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990"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140"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1185"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810"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c>
          <w:tcPr>
            <w:tcW w:w="869" w:type="dxa"/>
            <w:vAlign w:val="top"/>
          </w:tcPr>
          <w:p>
            <w:pPr>
              <w:jc w:val="cente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pPr>
            <w:r>
              <w:rPr>
                <w:rFonts w:hint="eastAsia" w:asciiTheme="majorEastAsia" w:hAnsiTheme="majorEastAsia" w:eastAsiaTheme="majorEastAsia" w:cstheme="majorEastAsia"/>
                <w:color w:val="000000" w:themeColor="text1"/>
                <w:sz w:val="21"/>
                <w:lang w:val="en-US" w:eastAsia="zh-CN"/>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850" w:type="dxa"/>
            <w:vAlign w:val="top"/>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Theme="majorEastAsia" w:hAnsiTheme="majorEastAsia" w:eastAsiaTheme="majorEastAsia" w:cstheme="majorEastAsia"/>
                <w:color w:val="000000" w:themeColor="text1"/>
                <w:sz w:val="24"/>
                <w:szCs w:val="24"/>
                <w14:textFill>
                  <w14:solidFill>
                    <w14:schemeClr w14:val="tx1"/>
                  </w14:solidFill>
                </w14:textFill>
              </w:rPr>
            </w:pPr>
            <w:r>
              <w:rPr>
                <w:rFonts w:hint="eastAsia" w:asciiTheme="majorEastAsia" w:hAnsiTheme="majorEastAsia" w:eastAsiaTheme="majorEastAsia" w:cstheme="majorEastAsia"/>
                <w:color w:val="000000" w:themeColor="text1"/>
                <w:spacing w:val="1"/>
                <w:sz w:val="24"/>
                <w:szCs w:val="24"/>
                <w14:textFill>
                  <w14:solidFill>
                    <w14:schemeClr w14:val="tx1"/>
                  </w14:solidFill>
                </w14:textFill>
              </w:rPr>
              <w:t>厉行节约保障措施</w:t>
            </w:r>
          </w:p>
        </w:tc>
        <w:tc>
          <w:tcPr>
            <w:tcW w:w="5819" w:type="dxa"/>
            <w:gridSpan w:val="6"/>
            <w:vAlign w:val="top"/>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Theme="majorEastAsia" w:hAnsiTheme="majorEastAsia" w:eastAsiaTheme="majorEastAsia" w:cstheme="majorEastAsia"/>
                <w:color w:val="000000" w:themeColor="text1"/>
                <w:sz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410" w:lineRule="exact"/>
        <w:ind w:left="0"/>
        <w:textAlignment w:val="auto"/>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pP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说明：“项目支出”需要填报基本支出以外的所有项目支出情况，“公用经费”填报基本支出中的一般商品和服务支出。</w:t>
      </w:r>
    </w:p>
    <w:p>
      <w:pPr>
        <w:keepNext w:val="0"/>
        <w:keepLines w:val="0"/>
        <w:pageBreakBefore w:val="0"/>
        <w:widowControl w:val="0"/>
        <w:kinsoku/>
        <w:wordWrap/>
        <w:overflowPunct/>
        <w:topLinePunct w:val="0"/>
        <w:autoSpaceDE/>
        <w:autoSpaceDN/>
        <w:bidi w:val="0"/>
        <w:adjustRightInd/>
        <w:snapToGrid/>
        <w:jc w:val="left"/>
        <w:textAlignment w:val="auto"/>
        <w:rPr>
          <w:rFonts w:hint="default"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sectPr>
          <w:footerReference r:id="rId3" w:type="default"/>
          <w:pgSz w:w="11906" w:h="16838"/>
          <w:pgMar w:top="1134" w:right="1417" w:bottom="1134" w:left="1134" w:header="851" w:footer="992" w:gutter="0"/>
          <w:pgNumType w:fmt="decimal"/>
          <w:cols w:space="0" w:num="1"/>
          <w:rtlGutter w:val="0"/>
          <w:docGrid w:type="lines" w:linePitch="312" w:charSpace="0"/>
        </w:sectPr>
      </w:pP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填表人</w:t>
      </w:r>
      <w:r>
        <w:rPr>
          <w:rFonts w:hint="eastAsia" w:asciiTheme="majorEastAsia" w:hAnsiTheme="majorEastAsia" w:eastAsiaTheme="majorEastAsia" w:cstheme="majorEastAsia"/>
          <w:color w:val="000000" w:themeColor="text1"/>
          <w:spacing w:val="0"/>
          <w:position w:val="0"/>
          <w:sz w:val="23"/>
          <w:szCs w:val="23"/>
          <w:lang w:eastAsia="zh-CN"/>
          <w14:textFill>
            <w14:solidFill>
              <w14:schemeClr w14:val="tx1"/>
            </w14:solidFill>
          </w14:textFill>
        </w:rPr>
        <w:t>：陈虎</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 xml:space="preserve">  联系电话： </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13077155818</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 xml:space="preserve">     单位负责人签字：</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填报日期：</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2023.7.5</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2</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pacing w:val="2"/>
          <w:sz w:val="42"/>
          <w:szCs w:val="42"/>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2022年度</w:t>
      </w:r>
      <w:r>
        <w:rPr>
          <w:rFonts w:hint="eastAsia" w:ascii="方正小标宋简体" w:hAnsi="方正小标宋简体" w:eastAsia="方正小标宋简体" w:cs="方正小标宋简体"/>
          <w:b w:val="0"/>
          <w:bCs w:val="0"/>
          <w:color w:val="000000" w:themeColor="text1"/>
          <w:spacing w:val="2"/>
          <w:sz w:val="42"/>
          <w:szCs w:val="42"/>
          <w:lang w:eastAsia="zh-CN"/>
          <w14:textFill>
            <w14:solidFill>
              <w14:schemeClr w14:val="tx1"/>
            </w14:solidFill>
          </w14:textFill>
        </w:rPr>
        <w:t>预算单位</w:t>
      </w:r>
      <w:r>
        <w:rPr>
          <w:rFonts w:hint="eastAsia" w:ascii="方正小标宋简体" w:hAnsi="方正小标宋简体" w:eastAsia="方正小标宋简体" w:cs="方正小标宋简体"/>
          <w:b w:val="0"/>
          <w:bCs w:val="0"/>
          <w:color w:val="000000" w:themeColor="text1"/>
          <w:spacing w:val="2"/>
          <w:sz w:val="42"/>
          <w:szCs w:val="42"/>
          <w14:textFill>
            <w14:solidFill>
              <w14:schemeClr w14:val="tx1"/>
            </w14:solidFill>
          </w14:textFill>
        </w:rPr>
        <w:t>整体支出绩效自评表</w:t>
      </w:r>
    </w:p>
    <w:p>
      <w:pPr>
        <w:spacing w:line="168" w:lineRule="exact"/>
        <w:rPr>
          <w:color w:val="000000" w:themeColor="text1"/>
          <w14:textFill>
            <w14:solidFill>
              <w14:schemeClr w14:val="tx1"/>
            </w14:solidFill>
          </w14:textFill>
        </w:rPr>
      </w:pPr>
    </w:p>
    <w:tbl>
      <w:tblPr>
        <w:tblStyle w:val="8"/>
        <w:tblW w:w="9835"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0"/>
        <w:gridCol w:w="1143"/>
        <w:gridCol w:w="1029"/>
        <w:gridCol w:w="1291"/>
        <w:gridCol w:w="1297"/>
        <w:gridCol w:w="1259"/>
        <w:gridCol w:w="719"/>
        <w:gridCol w:w="802"/>
        <w:gridCol w:w="1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1020" w:type="dxa"/>
            <w:vAlign w:val="top"/>
          </w:tcPr>
          <w:p>
            <w:pPr>
              <w:keepNext w:val="0"/>
              <w:keepLines w:val="0"/>
              <w:pageBreakBefore w:val="0"/>
              <w:widowControl w:val="0"/>
              <w:kinsoku/>
              <w:wordWrap/>
              <w:overflowPunct/>
              <w:topLinePunct w:val="0"/>
              <w:autoSpaceDE/>
              <w:autoSpaceDN/>
              <w:bidi w:val="0"/>
              <w:adjustRightInd/>
              <w:snapToGrid/>
              <w:spacing w:line="198"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预算</w:t>
            </w:r>
            <w:r>
              <w:rPr>
                <w:rFonts w:hint="eastAsia" w:ascii="宋体" w:hAnsi="宋体" w:eastAsia="宋体" w:cs="宋体"/>
                <w:color w:val="000000" w:themeColor="text1"/>
                <w:spacing w:val="2"/>
                <w:sz w:val="21"/>
                <w:szCs w:val="21"/>
                <w:lang w:eastAsia="zh-CN"/>
                <w14:textFill>
                  <w14:solidFill>
                    <w14:schemeClr w14:val="tx1"/>
                  </w14:solidFill>
                </w14:textFill>
              </w:rPr>
              <w:t>单位</w:t>
            </w:r>
            <w:r>
              <w:rPr>
                <w:rFonts w:hint="eastAsia" w:ascii="宋体" w:hAnsi="宋体" w:eastAsia="宋体" w:cs="宋体"/>
                <w:color w:val="000000" w:themeColor="text1"/>
                <w:spacing w:val="2"/>
                <w:sz w:val="21"/>
                <w:szCs w:val="21"/>
                <w:lang w:val="en-US" w:eastAsia="zh-CN"/>
                <w14:textFill>
                  <w14:solidFill>
                    <w14:schemeClr w14:val="tx1"/>
                  </w14:solidFill>
                </w14:textFill>
              </w:rPr>
              <w:t xml:space="preserve"> </w:t>
            </w:r>
            <w:r>
              <w:rPr>
                <w:rFonts w:ascii="宋体" w:hAnsi="宋体" w:eastAsia="宋体" w:cs="宋体"/>
                <w:color w:val="000000" w:themeColor="text1"/>
                <w:spacing w:val="2"/>
                <w:sz w:val="21"/>
                <w:szCs w:val="21"/>
                <w14:textFill>
                  <w14:solidFill>
                    <w14:schemeClr w14:val="tx1"/>
                  </w14:solidFill>
                </w14:textFill>
              </w:rPr>
              <w:t>名称</w:t>
            </w:r>
          </w:p>
        </w:tc>
        <w:tc>
          <w:tcPr>
            <w:tcW w:w="8815" w:type="dxa"/>
            <w:gridSpan w:val="8"/>
            <w:vAlign w:val="top"/>
          </w:tcPr>
          <w:p>
            <w:pPr>
              <w:jc w:val="center"/>
              <w:rPr>
                <w:rFonts w:ascii="Arial"/>
                <w:color w:val="000000" w:themeColor="text1"/>
                <w:sz w:val="21"/>
                <w14:textFill>
                  <w14:solidFill>
                    <w14:schemeClr w14:val="tx1"/>
                  </w14:solidFill>
                </w14:textFill>
              </w:rPr>
            </w:pPr>
            <w:r>
              <w:rPr>
                <w:rFonts w:hint="eastAsia" w:ascii="Arial"/>
                <w:color w:val="000000" w:themeColor="text1"/>
                <w:sz w:val="21"/>
                <w14:textFill>
                  <w14:solidFill>
                    <w14:schemeClr w14:val="tx1"/>
                  </w14:solidFill>
                </w14:textFill>
              </w:rPr>
              <w:t>岳阳市生态环境局</w:t>
            </w:r>
            <w:r>
              <w:rPr>
                <w:rFonts w:hint="eastAsia" w:ascii="Arial"/>
                <w:color w:val="000000" w:themeColor="text1"/>
                <w:sz w:val="21"/>
                <w:lang w:eastAsia="zh-CN"/>
                <w14:textFill>
                  <w14:solidFill>
                    <w14:schemeClr w14:val="tx1"/>
                  </w14:solidFill>
                </w14:textFill>
              </w:rPr>
              <w:t>湘阴</w:t>
            </w:r>
            <w:r>
              <w:rPr>
                <w:rFonts w:hint="eastAsia" w:ascii="Arial"/>
                <w:color w:val="000000" w:themeColor="text1"/>
                <w:sz w:val="21"/>
                <w14:textFill>
                  <w14:solidFill>
                    <w14:schemeClr w14:val="tx1"/>
                  </w14:solidFill>
                </w14:textFill>
              </w:rPr>
              <w:t>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20"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418" w:lineRule="auto"/>
              <w:ind w:left="0" w:right="0" w:firstLine="0"/>
              <w:jc w:val="center"/>
              <w:textAlignment w:val="auto"/>
              <w:rPr>
                <w:rFonts w:ascii="Arial"/>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80" w:lineRule="exact"/>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position w:val="4"/>
                <w:sz w:val="21"/>
                <w:szCs w:val="21"/>
                <w14:textFill>
                  <w14:solidFill>
                    <w14:schemeClr w14:val="tx1"/>
                  </w14:solidFill>
                </w14:textFill>
              </w:rPr>
              <w:t>年度预</w:t>
            </w:r>
          </w:p>
          <w:p>
            <w:pPr>
              <w:keepNext w:val="0"/>
              <w:keepLines w:val="0"/>
              <w:pageBreakBefore w:val="0"/>
              <w:widowControl w:val="0"/>
              <w:kinsoku/>
              <w:wordWrap/>
              <w:overflowPunct/>
              <w:topLinePunct w:val="0"/>
              <w:autoSpaceDE/>
              <w:autoSpaceDN/>
              <w:bidi w:val="0"/>
              <w:adjustRightInd/>
              <w:snapToGrid/>
              <w:spacing w:line="219"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算申请</w:t>
            </w:r>
          </w:p>
          <w:p>
            <w:pPr>
              <w:keepNext w:val="0"/>
              <w:keepLines w:val="0"/>
              <w:pageBreakBefore w:val="0"/>
              <w:widowControl w:val="0"/>
              <w:kinsoku/>
              <w:wordWrap/>
              <w:overflowPunct/>
              <w:topLinePunct w:val="0"/>
              <w:autoSpaceDE/>
              <w:autoSpaceDN/>
              <w:bidi w:val="0"/>
              <w:adjustRightInd/>
              <w:snapToGrid/>
              <w:spacing w:line="220"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11"/>
                <w:sz w:val="21"/>
                <w:szCs w:val="21"/>
                <w14:textFill>
                  <w14:solidFill>
                    <w14:schemeClr w14:val="tx1"/>
                  </w14:solidFill>
                </w14:textFill>
              </w:rPr>
              <w:t>(万元)</w:t>
            </w:r>
          </w:p>
        </w:tc>
        <w:tc>
          <w:tcPr>
            <w:tcW w:w="2172"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pacing w:val="0"/>
                <w:sz w:val="20"/>
                <w14:textFill>
                  <w14:solidFill>
                    <w14:schemeClr w14:val="tx1"/>
                  </w14:solidFill>
                </w14:textFill>
              </w:rPr>
            </w:pP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年初预算数</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全年预算数</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全年执行数</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194"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20"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2172" w:type="dxa"/>
            <w:gridSpan w:val="2"/>
            <w:vAlign w:val="center"/>
          </w:tcPr>
          <w:p>
            <w:pPr>
              <w:keepNext w:val="0"/>
              <w:keepLines w:val="0"/>
              <w:pageBreakBefore w:val="0"/>
              <w:widowControl w:val="0"/>
              <w:kinsoku/>
              <w:wordWrap/>
              <w:overflowPunct/>
              <w:topLinePunct w:val="0"/>
              <w:autoSpaceDE/>
              <w:autoSpaceDN/>
              <w:bidi w:val="0"/>
              <w:adjustRightInd/>
              <w:snapToGrid/>
              <w:spacing w:line="193"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default"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1623.36</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default"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1972.49</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default"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1972.49</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47" w:lineRule="exact"/>
              <w:ind w:left="0"/>
              <w:jc w:val="center"/>
              <w:textAlignment w:val="auto"/>
              <w:rPr>
                <w:rFonts w:ascii="宋体" w:hAnsi="宋体" w:eastAsia="宋体" w:cs="宋体"/>
                <w:color w:val="000000" w:themeColor="text1"/>
                <w:spacing w:val="0"/>
                <w:sz w:val="20"/>
                <w:szCs w:val="20"/>
                <w14:textFill>
                  <w14:solidFill>
                    <w14:schemeClr w14:val="tx1"/>
                  </w14:solidFill>
                </w14:textFill>
              </w:rPr>
            </w:pPr>
            <w:r>
              <w:rPr>
                <w:rFonts w:ascii="宋体" w:hAnsi="宋体" w:eastAsia="宋体" w:cs="宋体"/>
                <w:color w:val="000000" w:themeColor="text1"/>
                <w:spacing w:val="0"/>
                <w:position w:val="-3"/>
                <w:sz w:val="20"/>
                <w:szCs w:val="20"/>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100%</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val="en-US" w:eastAsia="zh-CN"/>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0" w:hRule="atLeast"/>
        </w:trPr>
        <w:tc>
          <w:tcPr>
            <w:tcW w:w="1020"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760"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按收入性质分：</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按支出性质分：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1020"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760" w:type="dxa"/>
            <w:gridSpan w:val="4"/>
            <w:vAlign w:val="center"/>
          </w:tcPr>
          <w:p>
            <w:pPr>
              <w:keepNext w:val="0"/>
              <w:keepLines w:val="0"/>
              <w:pageBreakBefore w:val="0"/>
              <w:widowControl w:val="0"/>
              <w:kinsoku/>
              <w:wordWrap/>
              <w:overflowPunct/>
              <w:topLinePunct w:val="0"/>
              <w:autoSpaceDE/>
              <w:autoSpaceDN/>
              <w:bidi w:val="0"/>
              <w:adjustRightInd/>
              <w:snapToGrid/>
              <w:spacing w:line="193" w:lineRule="auto"/>
              <w:ind w:left="0" w:firstLine="210" w:firstLineChars="1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 xml:space="preserve">其中： </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一般公共预算：</w:t>
            </w:r>
            <w:r>
              <w:rPr>
                <w:rFonts w:hint="eastAsia" w:ascii="宋体" w:hAnsi="宋体" w:eastAsia="宋体" w:cs="宋体"/>
                <w:color w:val="000000" w:themeColor="text1"/>
                <w:spacing w:val="0"/>
                <w:sz w:val="21"/>
                <w:szCs w:val="21"/>
                <w:lang w:val="en-US" w:eastAsia="zh-CN"/>
                <w14:textFill>
                  <w14:solidFill>
                    <w14:schemeClr w14:val="tx1"/>
                  </w14:solidFill>
                </w14:textFill>
              </w:rPr>
              <w:t>1972.49</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4" w:lineRule="auto"/>
              <w:ind w:left="0" w:firstLine="210" w:firstLineChars="1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其中：基本支出：</w:t>
            </w:r>
            <w:r>
              <w:rPr>
                <w:rFonts w:hint="eastAsia" w:ascii="宋体" w:hAnsi="宋体" w:eastAsia="宋体" w:cs="宋体"/>
                <w:color w:val="000000" w:themeColor="text1"/>
                <w:spacing w:val="0"/>
                <w:sz w:val="21"/>
                <w:szCs w:val="21"/>
                <w:lang w:val="en-US" w:eastAsia="zh-CN"/>
                <w14:textFill>
                  <w14:solidFill>
                    <w14:schemeClr w14:val="tx1"/>
                  </w14:solidFill>
                </w14:textFill>
              </w:rPr>
              <w:t>1483.8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020"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760" w:type="dxa"/>
            <w:gridSpan w:val="4"/>
            <w:vAlign w:val="center"/>
          </w:tcPr>
          <w:p>
            <w:pPr>
              <w:keepNext w:val="0"/>
              <w:keepLines w:val="0"/>
              <w:pageBreakBefore w:val="0"/>
              <w:widowControl w:val="0"/>
              <w:kinsoku/>
              <w:wordWrap/>
              <w:overflowPunct/>
              <w:topLinePunct w:val="0"/>
              <w:autoSpaceDE/>
              <w:autoSpaceDN/>
              <w:bidi w:val="0"/>
              <w:adjustRightInd/>
              <w:snapToGrid/>
              <w:spacing w:line="202" w:lineRule="auto"/>
              <w:ind w:left="0" w:firstLine="1050" w:firstLineChars="500"/>
              <w:jc w:val="left"/>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政府性基金拨款：</w:t>
            </w:r>
            <w:r>
              <w:rPr>
                <w:rFonts w:hint="eastAsia" w:ascii="宋体" w:hAnsi="宋体" w:eastAsia="宋体" w:cs="宋体"/>
                <w:color w:val="000000" w:themeColor="text1"/>
                <w:spacing w:val="0"/>
                <w:sz w:val="21"/>
                <w:szCs w:val="21"/>
                <w:lang w:val="en-US" w:eastAsia="zh-CN"/>
                <w14:textFill>
                  <w14:solidFill>
                    <w14:schemeClr w14:val="tx1"/>
                  </w14:solidFill>
                </w14:textFill>
              </w:rPr>
              <w:t>0</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firstLine="840" w:firstLineChars="400"/>
              <w:jc w:val="left"/>
              <w:textAlignment w:val="auto"/>
              <w:rPr>
                <w:rFonts w:hint="default"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r>
              <w:rPr>
                <w:rFonts w:hint="eastAsia" w:ascii="宋体" w:hAnsi="宋体" w:eastAsia="宋体" w:cs="宋体"/>
                <w:color w:val="000000" w:themeColor="text1"/>
                <w:spacing w:val="0"/>
                <w:sz w:val="21"/>
                <w:szCs w:val="21"/>
                <w:lang w:val="en-US" w:eastAsia="zh-CN"/>
                <w14:textFill>
                  <w14:solidFill>
                    <w14:schemeClr w14:val="tx1"/>
                  </w14:solidFill>
                </w14:textFill>
              </w:rPr>
              <w:t>488.69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 w:hRule="atLeast"/>
        </w:trPr>
        <w:tc>
          <w:tcPr>
            <w:tcW w:w="1020" w:type="dxa"/>
            <w:vMerge w:val="continue"/>
            <w:tcBorders>
              <w:top w:val="nil"/>
              <w:bottom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760" w:type="dxa"/>
            <w:gridSpan w:val="4"/>
            <w:vAlign w:val="center"/>
          </w:tcPr>
          <w:p>
            <w:pPr>
              <w:keepNext w:val="0"/>
              <w:keepLines w:val="0"/>
              <w:pageBreakBefore w:val="0"/>
              <w:widowControl w:val="0"/>
              <w:kinsoku/>
              <w:wordWrap/>
              <w:overflowPunct/>
              <w:topLinePunct w:val="0"/>
              <w:autoSpaceDE/>
              <w:autoSpaceDN/>
              <w:bidi w:val="0"/>
              <w:adjustRightInd/>
              <w:snapToGrid/>
              <w:spacing w:line="192" w:lineRule="auto"/>
              <w:ind w:left="0" w:firstLine="1050" w:firstLineChars="500"/>
              <w:jc w:val="left"/>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纳入专户管理的非税收入拨款：</w:t>
            </w:r>
            <w:r>
              <w:rPr>
                <w:rFonts w:hint="eastAsia" w:ascii="宋体" w:hAnsi="宋体" w:eastAsia="宋体" w:cs="宋体"/>
                <w:color w:val="000000" w:themeColor="text1"/>
                <w:spacing w:val="0"/>
                <w:sz w:val="21"/>
                <w:szCs w:val="21"/>
                <w:lang w:val="en-US" w:eastAsia="zh-CN"/>
                <w14:textFill>
                  <w14:solidFill>
                    <w14:schemeClr w14:val="tx1"/>
                  </w14:solidFill>
                </w14:textFill>
              </w:rPr>
              <w:t>0</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left"/>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20" w:type="dxa"/>
            <w:vMerge w:val="continue"/>
            <w:tcBorders>
              <w:top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760" w:type="dxa"/>
            <w:gridSpan w:val="4"/>
            <w:vAlign w:val="center"/>
          </w:tcPr>
          <w:p>
            <w:pPr>
              <w:keepNext w:val="0"/>
              <w:keepLines w:val="0"/>
              <w:pageBreakBefore w:val="0"/>
              <w:widowControl w:val="0"/>
              <w:kinsoku/>
              <w:wordWrap/>
              <w:overflowPunct/>
              <w:topLinePunct w:val="0"/>
              <w:autoSpaceDE/>
              <w:autoSpaceDN/>
              <w:bidi w:val="0"/>
              <w:adjustRightInd/>
              <w:snapToGrid/>
              <w:spacing w:line="192" w:lineRule="auto"/>
              <w:ind w:left="0" w:firstLine="1050" w:firstLineChars="500"/>
              <w:jc w:val="left"/>
              <w:textAlignment w:val="auto"/>
              <w:rPr>
                <w:rFonts w:hint="eastAsia" w:ascii="宋体" w:hAnsi="宋体" w:eastAsia="宋体" w:cs="宋体"/>
                <w:color w:val="000000" w:themeColor="text1"/>
                <w:spacing w:val="0"/>
                <w:sz w:val="21"/>
                <w:szCs w:val="21"/>
                <w:lang w:val="en-US" w:eastAsia="zh-CN"/>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其他资金：</w:t>
            </w:r>
            <w:r>
              <w:rPr>
                <w:rFonts w:hint="eastAsia" w:ascii="宋体" w:hAnsi="宋体" w:eastAsia="宋体" w:cs="宋体"/>
                <w:color w:val="000000" w:themeColor="text1"/>
                <w:spacing w:val="0"/>
                <w:sz w:val="21"/>
                <w:szCs w:val="21"/>
                <w:lang w:val="en-US" w:eastAsia="zh-CN"/>
                <w14:textFill>
                  <w14:solidFill>
                    <w14:schemeClr w14:val="tx1"/>
                  </w14:solidFill>
                </w14:textFill>
              </w:rPr>
              <w:t>0</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left"/>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 w:hRule="atLeast"/>
        </w:trPr>
        <w:tc>
          <w:tcPr>
            <w:tcW w:w="1020" w:type="dxa"/>
            <w:vMerge w:val="restart"/>
            <w:tcBorders>
              <w:bottom w:val="nil"/>
            </w:tcBorders>
            <w:vAlign w:val="top"/>
          </w:tcPr>
          <w:p>
            <w:pPr>
              <w:keepNext w:val="0"/>
              <w:keepLines w:val="0"/>
              <w:pageBreakBefore w:val="0"/>
              <w:widowControl w:val="0"/>
              <w:kinsoku/>
              <w:wordWrap/>
              <w:overflowPunct/>
              <w:topLinePunct w:val="0"/>
              <w:autoSpaceDE/>
              <w:autoSpaceDN/>
              <w:bidi w:val="0"/>
              <w:adjustRightInd/>
              <w:snapToGrid/>
              <w:spacing w:line="211"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7"/>
                <w:sz w:val="21"/>
                <w:szCs w:val="21"/>
                <w14:textFill>
                  <w14:solidFill>
                    <w14:schemeClr w14:val="tx1"/>
                  </w14:solidFill>
                </w14:textFill>
              </w:rPr>
              <w:t>年度总体</w:t>
            </w:r>
            <w:r>
              <w:rPr>
                <w:rFonts w:ascii="宋体" w:hAnsi="宋体" w:eastAsia="宋体" w:cs="宋体"/>
                <w:color w:val="000000" w:themeColor="text1"/>
                <w:spacing w:val="1"/>
                <w:sz w:val="21"/>
                <w:szCs w:val="21"/>
                <w14:textFill>
                  <w14:solidFill>
                    <w14:schemeClr w14:val="tx1"/>
                  </w14:solidFill>
                </w14:textFill>
              </w:rPr>
              <w:t xml:space="preserve"> </w:t>
            </w:r>
            <w:r>
              <w:rPr>
                <w:rFonts w:ascii="宋体" w:hAnsi="宋体" w:eastAsia="宋体" w:cs="宋体"/>
                <w:color w:val="000000" w:themeColor="text1"/>
                <w:spacing w:val="-19"/>
                <w:sz w:val="21"/>
                <w:szCs w:val="21"/>
                <w14:textFill>
                  <w14:solidFill>
                    <w14:schemeClr w14:val="tx1"/>
                  </w14:solidFill>
                </w14:textFill>
              </w:rPr>
              <w:t>目</w:t>
            </w:r>
            <w:r>
              <w:rPr>
                <w:rFonts w:ascii="宋体" w:hAnsi="宋体" w:eastAsia="宋体" w:cs="宋体"/>
                <w:color w:val="000000" w:themeColor="text1"/>
                <w:spacing w:val="-35"/>
                <w:sz w:val="21"/>
                <w:szCs w:val="21"/>
                <w14:textFill>
                  <w14:solidFill>
                    <w14:schemeClr w14:val="tx1"/>
                  </w14:solidFill>
                </w14:textFill>
              </w:rPr>
              <w:t xml:space="preserve"> </w:t>
            </w:r>
            <w:r>
              <w:rPr>
                <w:rFonts w:ascii="宋体" w:hAnsi="宋体" w:eastAsia="宋体" w:cs="宋体"/>
                <w:color w:val="000000" w:themeColor="text1"/>
                <w:spacing w:val="-19"/>
                <w:sz w:val="21"/>
                <w:szCs w:val="21"/>
                <w14:textFill>
                  <w14:solidFill>
                    <w14:schemeClr w14:val="tx1"/>
                  </w14:solidFill>
                </w14:textFill>
              </w:rPr>
              <w:t>标</w:t>
            </w:r>
          </w:p>
        </w:tc>
        <w:tc>
          <w:tcPr>
            <w:tcW w:w="4760" w:type="dxa"/>
            <w:gridSpan w:val="4"/>
            <w:vAlign w:val="center"/>
          </w:tcPr>
          <w:p>
            <w:pPr>
              <w:keepNext w:val="0"/>
              <w:keepLines w:val="0"/>
              <w:pageBreakBefore w:val="0"/>
              <w:widowControl w:val="0"/>
              <w:kinsoku/>
              <w:wordWrap/>
              <w:overflowPunct/>
              <w:topLinePunct w:val="0"/>
              <w:autoSpaceDE/>
              <w:autoSpaceDN/>
              <w:bidi w:val="0"/>
              <w:adjustRightInd/>
              <w:snapToGrid/>
              <w:spacing w:line="191" w:lineRule="auto"/>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191"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20" w:type="dxa"/>
            <w:vMerge w:val="continue"/>
            <w:tcBorders>
              <w:top w:val="nil"/>
            </w:tcBorders>
            <w:vAlign w:val="top"/>
          </w:tcPr>
          <w:p>
            <w:pPr>
              <w:keepNext w:val="0"/>
              <w:keepLines w:val="0"/>
              <w:pageBreakBefore w:val="0"/>
              <w:widowControl w:val="0"/>
              <w:kinsoku/>
              <w:wordWrap/>
              <w:overflowPunct/>
              <w:topLinePunct w:val="0"/>
              <w:autoSpaceDE/>
              <w:autoSpaceDN/>
              <w:bidi w:val="0"/>
              <w:adjustRightInd/>
              <w:snapToGrid/>
              <w:ind w:left="0" w:right="0" w:firstLine="0"/>
              <w:jc w:val="center"/>
              <w:textAlignment w:val="auto"/>
              <w:rPr>
                <w:rFonts w:ascii="Arial"/>
                <w:color w:val="000000" w:themeColor="text1"/>
                <w:sz w:val="21"/>
                <w:szCs w:val="21"/>
                <w14:textFill>
                  <w14:solidFill>
                    <w14:schemeClr w14:val="tx1"/>
                  </w14:solidFill>
                </w14:textFill>
              </w:rPr>
            </w:pPr>
          </w:p>
        </w:tc>
        <w:tc>
          <w:tcPr>
            <w:tcW w:w="4760"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pacing w:val="0"/>
                <w:sz w:val="20"/>
                <w14:textFill>
                  <w14:solidFill>
                    <w14:schemeClr w14:val="tx1"/>
                  </w14:solidFill>
                </w14:textFill>
              </w:rPr>
            </w:pPr>
            <w:r>
              <w:rPr>
                <w:rFonts w:hint="eastAsia" w:ascii="Arial"/>
                <w:color w:val="000000" w:themeColor="text1"/>
                <w:spacing w:val="0"/>
                <w:sz w:val="20"/>
                <w14:textFill>
                  <w14:solidFill>
                    <w14:schemeClr w14:val="tx1"/>
                  </w14:solidFill>
                </w14:textFill>
              </w:rPr>
              <w:t>目标1：坚持绿色发展，着力巩固生态环境工作“大格局”                                                                   目标2：坚持标本兼治，着力打好蓝天保卫战。                                                                     目标3：坚持分类治理，着力打好碧水保卫战。目标4：坚持问题导向，着力抓好突出环境问题整改。目标5：服务经济发展，不断提升服务水平。目标6：服务经济发展，不断提升服务水平。目标7：坚持严管重罚，着力强化环境监管能力</w:t>
            </w:r>
          </w:p>
        </w:tc>
        <w:tc>
          <w:tcPr>
            <w:tcW w:w="405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pacing w:val="0"/>
                <w:sz w:val="20"/>
                <w:lang w:val="en-US" w:eastAsia="zh-CN"/>
                <w14:textFill>
                  <w14:solidFill>
                    <w14:schemeClr w14:val="tx1"/>
                  </w14:solidFill>
                </w14:textFill>
              </w:rPr>
            </w:pPr>
            <w:r>
              <w:rPr>
                <w:rFonts w:hint="eastAsia" w:ascii="Arial"/>
                <w:color w:val="000000" w:themeColor="text1"/>
                <w:spacing w:val="0"/>
                <w:sz w:val="20"/>
                <w:lang w:eastAsia="zh-CN"/>
                <w14:textFill>
                  <w14:solidFill>
                    <w14:schemeClr w14:val="tx1"/>
                  </w14:solidFill>
                </w14:textFill>
              </w:rPr>
              <w:t>完成</w:t>
            </w:r>
            <w:r>
              <w:rPr>
                <w:rFonts w:hint="eastAsia" w:ascii="Arial"/>
                <w:color w:val="000000" w:themeColor="text1"/>
                <w:spacing w:val="0"/>
                <w:sz w:val="20"/>
                <w:lang w:val="en-US" w:eastAsia="zh-CN"/>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020" w:type="dxa"/>
            <w:vMerge w:val="restart"/>
            <w:tcBorders>
              <w:bottom w:val="nil"/>
            </w:tcBorders>
            <w:textDirection w:val="tbRlV"/>
            <w:vAlign w:val="top"/>
          </w:tcPr>
          <w:p>
            <w:pPr>
              <w:keepNext w:val="0"/>
              <w:keepLines w:val="0"/>
              <w:pageBreakBefore w:val="0"/>
              <w:widowControl w:val="0"/>
              <w:kinsoku/>
              <w:wordWrap/>
              <w:overflowPunct/>
              <w:topLinePunct w:val="0"/>
              <w:autoSpaceDE/>
              <w:autoSpaceDN/>
              <w:bidi w:val="0"/>
              <w:adjustRightInd/>
              <w:snapToGrid/>
              <w:spacing w:line="367" w:lineRule="auto"/>
              <w:ind w:left="0" w:right="0" w:firstLine="0"/>
              <w:jc w:val="center"/>
              <w:textAlignment w:val="auto"/>
              <w:rPr>
                <w:rFonts w:ascii="Arial"/>
                <w:color w:val="000000" w:themeColor="text1"/>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17" w:lineRule="auto"/>
              <w:ind w:left="0" w:right="0" w:firstLine="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绩效指标</w:t>
            </w:r>
          </w:p>
        </w:tc>
        <w:tc>
          <w:tcPr>
            <w:tcW w:w="1143"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29"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年度指标值</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实际完成值</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11"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偏差原因分析</w:t>
            </w:r>
          </w:p>
          <w:p>
            <w:pPr>
              <w:keepNext w:val="0"/>
              <w:keepLines w:val="0"/>
              <w:pageBreakBefore w:val="0"/>
              <w:widowControl w:val="0"/>
              <w:kinsoku/>
              <w:wordWrap/>
              <w:overflowPunct/>
              <w:topLinePunct w:val="0"/>
              <w:autoSpaceDE/>
              <w:autoSpaceDN/>
              <w:bidi w:val="0"/>
              <w:adjustRightInd/>
              <w:snapToGrid/>
              <w:spacing w:line="190" w:lineRule="auto"/>
              <w:ind w:lef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0"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69"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69"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7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7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1" w:lineRule="exact"/>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position w:val="20"/>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(50分)</w:t>
            </w: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数量指标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强力开展各项行动</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10次</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10次</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质量指标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全县环境质量达标</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default" w:ascii="Arial" w:hAnsi="Arial" w:cs="Arial"/>
                <w:color w:val="000000" w:themeColor="text1"/>
                <w:sz w:val="20"/>
                <w14:textFill>
                  <w14:solidFill>
                    <w14:schemeClr w14:val="tx1"/>
                  </w14:solidFill>
                </w14:textFill>
              </w:rPr>
              <w:t>≥</w:t>
            </w:r>
            <w:r>
              <w:rPr>
                <w:rFonts w:hint="eastAsia" w:ascii="Arial"/>
                <w:color w:val="000000" w:themeColor="text1"/>
                <w:sz w:val="20"/>
                <w:lang w:val="en-US" w:eastAsia="zh-CN"/>
                <w14:textFill>
                  <w14:solidFill>
                    <w14:schemeClr w14:val="tx1"/>
                  </w14:solidFill>
                </w14:textFill>
              </w:rPr>
              <w:t>90%</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90%</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时效指标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按时完成各项指标任务</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2022年度</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2022年度</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15</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9"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成本指标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财政支出绩效目标</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1972.49万元</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1972.49万元</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15</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0"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1" w:lineRule="auto"/>
              <w:ind w:left="0"/>
              <w:jc w:val="center"/>
              <w:textAlignment w:val="auto"/>
              <w:rPr>
                <w:rFonts w:ascii="Arial"/>
                <w:color w:val="000000" w:themeColor="text1"/>
                <w:sz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1" w:lineRule="exact"/>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(30分)</w:t>
            </w: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推动污染治理环保产业发展</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 xml:space="preserve">效益明显 </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eastAsia="zh-CN"/>
                <w14:textFill>
                  <w14:solidFill>
                    <w14:schemeClr w14:val="tx1"/>
                  </w14:solidFill>
                </w14:textFill>
              </w:rPr>
            </w:pPr>
            <w:r>
              <w:rPr>
                <w:rFonts w:hint="eastAsia" w:ascii="Arial"/>
                <w:color w:val="000000" w:themeColor="text1"/>
                <w:sz w:val="20"/>
                <w:lang w:eastAsia="zh-CN"/>
                <w14:textFill>
                  <w14:solidFill>
                    <w14:schemeClr w14:val="tx1"/>
                  </w14:solidFill>
                </w14:textFill>
              </w:rPr>
              <w:t>有所改善</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2"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提升了公众环保意识，提升生态环境保护社会影响度</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 xml:space="preserve">效益明显 </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eastAsia="zh-CN"/>
                <w14:textFill>
                  <w14:solidFill>
                    <w14:schemeClr w14:val="tx1"/>
                  </w14:solidFill>
                </w14:textFill>
              </w:rPr>
            </w:pPr>
            <w:r>
              <w:rPr>
                <w:rFonts w:hint="eastAsia" w:ascii="Arial"/>
                <w:color w:val="000000" w:themeColor="text1"/>
                <w:sz w:val="20"/>
                <w:lang w:eastAsia="zh-CN"/>
                <w14:textFill>
                  <w14:solidFill>
                    <w14:schemeClr w14:val="tx1"/>
                  </w14:solidFill>
                </w14:textFill>
              </w:rPr>
              <w:t>有所提升</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10</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0"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37"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益指标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县域生态环境考核</w:t>
            </w:r>
          </w:p>
        </w:tc>
        <w:tc>
          <w:tcPr>
            <w:tcW w:w="1297"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达标</w:t>
            </w:r>
          </w:p>
        </w:tc>
        <w:tc>
          <w:tcPr>
            <w:tcW w:w="125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14:textFill>
                  <w14:solidFill>
                    <w14:schemeClr w14:val="tx1"/>
                  </w14:solidFill>
                </w14:textFill>
              </w:rPr>
              <w:t>达标</w:t>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hint="eastAsia" w:ascii="Arial" w:eastAsiaTheme="minorEastAsia"/>
                <w:color w:val="000000" w:themeColor="text1"/>
                <w:sz w:val="20"/>
                <w:lang w:val="en-US" w:eastAsia="zh-CN"/>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jc w:val="center"/>
              <w:textAlignment w:val="auto"/>
              <w:rPr>
                <w:rFonts w:ascii="Arial"/>
                <w:color w:val="000000" w:themeColor="text1"/>
                <w:sz w:val="20"/>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jc w:val="center"/>
              <w:textAlignment w:val="auto"/>
              <w:rPr>
                <w:rFonts w:ascii="Arial"/>
                <w:color w:val="000000" w:themeColor="text1"/>
                <w:sz w:val="2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0"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3"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可持续影</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响指标</w:t>
            </w:r>
          </w:p>
        </w:tc>
        <w:tc>
          <w:tcPr>
            <w:tcW w:w="129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Arial"/>
                <w:color w:val="000000" w:themeColor="text1"/>
                <w:sz w:val="21"/>
                <w14:textFill>
                  <w14:solidFill>
                    <w14:schemeClr w14:val="tx1"/>
                  </w14:solidFill>
                </w14:textFill>
              </w:rPr>
              <w:t>绿色发展稳步推进</w:t>
            </w:r>
          </w:p>
        </w:tc>
        <w:tc>
          <w:tcPr>
            <w:tcW w:w="129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Arial"/>
                <w:color w:val="000000" w:themeColor="text1"/>
                <w:sz w:val="21"/>
                <w14:textFill>
                  <w14:solidFill>
                    <w14:schemeClr w14:val="tx1"/>
                  </w14:solidFill>
                </w14:textFill>
              </w:rPr>
              <w:t xml:space="preserve">效益明显 </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Arial"/>
                <w:color w:val="000000" w:themeColor="text1"/>
                <w:sz w:val="21"/>
                <w14:textFill>
                  <w14:solidFill>
                    <w14:schemeClr w14:val="tx1"/>
                  </w14:solidFill>
                </w14:textFill>
              </w:rPr>
              <w:t>效益明显</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Arial" w:eastAsiaTheme="minorEastAsia"/>
                <w:color w:val="000000" w:themeColor="text1"/>
                <w:sz w:val="21"/>
                <w:lang w:val="en-US" w:eastAsia="zh-CN"/>
                <w14:textFill>
                  <w14:solidFill>
                    <w14:schemeClr w14:val="tx1"/>
                  </w14:solidFill>
                </w14:textFill>
              </w:rPr>
            </w:pPr>
            <w:r>
              <w:rPr>
                <w:rFonts w:hint="eastAsia" w:ascii="Arial"/>
                <w:color w:val="000000" w:themeColor="text1"/>
                <w:sz w:val="21"/>
                <w:lang w:val="en-US" w:eastAsia="zh-CN"/>
                <w14:textFill>
                  <w14:solidFill>
                    <w14:schemeClr w14:val="tx1"/>
                  </w14:solidFill>
                </w14:textFill>
              </w:rPr>
              <w:t>5</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ascii="Arial"/>
                <w:color w:val="000000" w:themeColor="text1"/>
                <w:sz w:val="21"/>
                <w14:textFill>
                  <w14:solidFill>
                    <w14:schemeClr w14:val="tx1"/>
                  </w14:solidFill>
                </w14:textFill>
              </w:rPr>
            </w:pPr>
            <w:r>
              <w:rPr>
                <w:rFonts w:hint="eastAsia" w:ascii="Arial"/>
                <w:color w:val="000000" w:themeColor="text1"/>
                <w:sz w:val="21"/>
                <w:lang w:val="en-US" w:eastAsia="zh-CN"/>
                <w14:textFill>
                  <w14:solidFill>
                    <w14:schemeClr w14:val="tx1"/>
                  </w14:solidFill>
                </w14:textFill>
              </w:rPr>
              <w:t>5</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9" w:hRule="atLeast"/>
        </w:trPr>
        <w:tc>
          <w:tcPr>
            <w:tcW w:w="1020" w:type="dxa"/>
            <w:vMerge w:val="continue"/>
            <w:tcBorders>
              <w:top w:val="nil"/>
              <w:bottom w:val="nil"/>
            </w:tcBorders>
            <w:textDirection w:val="tbRlV"/>
            <w:vAlign w:val="top"/>
          </w:tcPr>
          <w:p>
            <w:pPr>
              <w:rPr>
                <w:rFonts w:ascii="Arial"/>
                <w:color w:val="000000" w:themeColor="text1"/>
                <w:sz w:val="21"/>
                <w14:textFill>
                  <w14:solidFill>
                    <w14:schemeClr w14:val="tx1"/>
                  </w14:solidFill>
                </w14:textFill>
              </w:rPr>
            </w:pPr>
          </w:p>
        </w:tc>
        <w:tc>
          <w:tcPr>
            <w:tcW w:w="1143"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4"/>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9"/>
                <w:sz w:val="21"/>
                <w:szCs w:val="21"/>
                <w14:textFill>
                  <w14:solidFill>
                    <w14:schemeClr w14:val="tx1"/>
                  </w14:solidFill>
                </w14:textFill>
              </w:rPr>
              <w:t>(10分)</w:t>
            </w:r>
          </w:p>
        </w:tc>
        <w:tc>
          <w:tcPr>
            <w:tcW w:w="1029"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2"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2"/>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19"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3"/>
                <w:sz w:val="21"/>
                <w:szCs w:val="21"/>
                <w14:textFill>
                  <w14:solidFill>
                    <w14:schemeClr w14:val="tx1"/>
                  </w14:solidFill>
                </w14:textFill>
              </w:rPr>
              <w:t>满意度指</w:t>
            </w:r>
          </w:p>
          <w:p>
            <w:pPr>
              <w:keepNext w:val="0"/>
              <w:keepLines w:val="0"/>
              <w:pageBreakBefore w:val="0"/>
              <w:widowControl w:val="0"/>
              <w:kinsoku/>
              <w:wordWrap/>
              <w:overflowPunct/>
              <w:topLinePunct w:val="0"/>
              <w:autoSpaceDE/>
              <w:autoSpaceDN/>
              <w:bidi w:val="0"/>
              <w:adjustRightInd/>
              <w:snapToGrid/>
              <w:spacing w:line="22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z w:val="21"/>
                <w:szCs w:val="21"/>
                <w14:textFill>
                  <w14:solidFill>
                    <w14:schemeClr w14:val="tx1"/>
                  </w14:solidFill>
                </w14:textFill>
              </w:rPr>
              <w:t>标</w:t>
            </w:r>
          </w:p>
        </w:tc>
        <w:tc>
          <w:tcPr>
            <w:tcW w:w="1291"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Arial"/>
                <w:color w:val="000000" w:themeColor="text1"/>
                <w:sz w:val="21"/>
                <w14:textFill>
                  <w14:solidFill>
                    <w14:schemeClr w14:val="tx1"/>
                  </w14:solidFill>
                </w14:textFill>
              </w:rPr>
              <w:t>社会公众满意度</w:t>
            </w:r>
          </w:p>
        </w:tc>
        <w:tc>
          <w:tcPr>
            <w:tcW w:w="1297"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default" w:ascii="Arial" w:hAnsi="Arial" w:cs="Arial"/>
                <w:color w:val="000000" w:themeColor="text1"/>
                <w:sz w:val="20"/>
                <w14:textFill>
                  <w14:solidFill>
                    <w14:schemeClr w14:val="tx1"/>
                  </w14:solidFill>
                </w14:textFill>
              </w:rPr>
              <w:t>≥</w:t>
            </w:r>
            <w:r>
              <w:rPr>
                <w:rFonts w:hint="eastAsia" w:ascii="Arial"/>
                <w:color w:val="000000" w:themeColor="text1"/>
                <w:sz w:val="20"/>
                <w:lang w:val="en-US" w:eastAsia="zh-CN"/>
                <w14:textFill>
                  <w14:solidFill>
                    <w14:schemeClr w14:val="tx1"/>
                  </w14:solidFill>
                </w14:textFill>
              </w:rPr>
              <w:t>95%</w:t>
            </w:r>
          </w:p>
        </w:tc>
        <w:tc>
          <w:tcPr>
            <w:tcW w:w="125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r>
              <w:rPr>
                <w:rFonts w:hint="eastAsia" w:ascii="Arial"/>
                <w:color w:val="000000" w:themeColor="text1"/>
                <w:sz w:val="20"/>
                <w:lang w:val="en-US" w:eastAsia="zh-CN"/>
                <w14:textFill>
                  <w14:solidFill>
                    <w14:schemeClr w14:val="tx1"/>
                  </w14:solidFill>
                </w14:textFill>
              </w:rPr>
              <w:t>95%</w:t>
            </w:r>
          </w:p>
        </w:tc>
        <w:tc>
          <w:tcPr>
            <w:tcW w:w="719"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Arial" w:eastAsiaTheme="minorEastAsia"/>
                <w:color w:val="000000" w:themeColor="text1"/>
                <w:sz w:val="21"/>
                <w:lang w:val="en-US" w:eastAsia="zh-CN"/>
                <w14:textFill>
                  <w14:solidFill>
                    <w14:schemeClr w14:val="tx1"/>
                  </w14:solidFill>
                </w14:textFill>
              </w:rPr>
            </w:pPr>
            <w:r>
              <w:rPr>
                <w:rFonts w:hint="eastAsia" w:ascii="Arial"/>
                <w:color w:val="000000" w:themeColor="text1"/>
                <w:sz w:val="21"/>
                <w:lang w:val="en-US" w:eastAsia="zh-CN"/>
                <w14:textFill>
                  <w14:solidFill>
                    <w14:schemeClr w14:val="tx1"/>
                  </w14:solidFill>
                </w14:textFill>
              </w:rPr>
              <w:t>10</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leftChars="0"/>
              <w:jc w:val="center"/>
              <w:textAlignment w:val="auto"/>
              <w:rPr>
                <w:rFonts w:hint="default" w:ascii="Arial" w:eastAsiaTheme="minorEastAsia"/>
                <w:color w:val="000000" w:themeColor="text1"/>
                <w:sz w:val="21"/>
                <w:lang w:val="en-US" w:eastAsia="zh-CN"/>
                <w14:textFill>
                  <w14:solidFill>
                    <w14:schemeClr w14:val="tx1"/>
                  </w14:solidFill>
                </w14:textFill>
              </w:rPr>
            </w:pPr>
            <w:r>
              <w:rPr>
                <w:rFonts w:hint="eastAsia" w:ascii="Arial"/>
                <w:color w:val="000000" w:themeColor="text1"/>
                <w:sz w:val="21"/>
                <w:lang w:val="en-US" w:eastAsia="zh-CN"/>
                <w14:textFill>
                  <w14:solidFill>
                    <w14:schemeClr w14:val="tx1"/>
                  </w14:solidFill>
                </w14:textFill>
              </w:rPr>
              <w:t>10</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65" w:hRule="atLeast"/>
        </w:trPr>
        <w:tc>
          <w:tcPr>
            <w:tcW w:w="7039" w:type="dxa"/>
            <w:gridSpan w:val="6"/>
            <w:vAlign w:val="center"/>
          </w:tcPr>
          <w:p>
            <w:pPr>
              <w:keepNext w:val="0"/>
              <w:keepLines w:val="0"/>
              <w:pageBreakBefore w:val="0"/>
              <w:widowControl w:val="0"/>
              <w:kinsoku/>
              <w:wordWrap/>
              <w:overflowPunct/>
              <w:topLinePunct w:val="0"/>
              <w:autoSpaceDE/>
              <w:autoSpaceDN/>
              <w:bidi w:val="0"/>
              <w:adjustRightInd/>
              <w:snapToGrid/>
              <w:spacing w:line="251" w:lineRule="exact"/>
              <w:ind w:left="0" w:firstLine="3274"/>
              <w:jc w:val="center"/>
              <w:textAlignment w:val="auto"/>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297815" cy="158750"/>
                  <wp:effectExtent l="0" t="0" r="6985" b="133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a:stretch>
                            <a:fillRect/>
                          </a:stretch>
                        </pic:blipFill>
                        <pic:spPr>
                          <a:xfrm>
                            <a:off x="0" y="0"/>
                            <a:ext cx="297815" cy="158750"/>
                          </a:xfrm>
                          <a:prstGeom prst="rect">
                            <a:avLst/>
                          </a:prstGeom>
                          <a:noFill/>
                          <a:ln>
                            <a:noFill/>
                          </a:ln>
                        </pic:spPr>
                      </pic:pic>
                    </a:graphicData>
                  </a:graphic>
                </wp:inline>
              </w:drawing>
            </w:r>
          </w:p>
        </w:tc>
        <w:tc>
          <w:tcPr>
            <w:tcW w:w="719" w:type="dxa"/>
            <w:vAlign w:val="center"/>
          </w:tcPr>
          <w:p>
            <w:pPr>
              <w:keepNext w:val="0"/>
              <w:keepLines w:val="0"/>
              <w:pageBreakBefore w:val="0"/>
              <w:widowControl w:val="0"/>
              <w:kinsoku/>
              <w:wordWrap/>
              <w:overflowPunct/>
              <w:topLinePunct w:val="0"/>
              <w:autoSpaceDE/>
              <w:autoSpaceDN/>
              <w:bidi w:val="0"/>
              <w:adjustRightInd/>
              <w:snapToGrid/>
              <w:spacing w:line="160" w:lineRule="auto"/>
              <w:ind w:left="0"/>
              <w:jc w:val="center"/>
              <w:textAlignment w:val="auto"/>
              <w:rPr>
                <w:rFonts w:ascii="宋体" w:hAnsi="宋体" w:eastAsia="宋体" w:cs="宋体"/>
                <w:color w:val="000000" w:themeColor="text1"/>
                <w:sz w:val="21"/>
                <w:szCs w:val="21"/>
                <w14:textFill>
                  <w14:solidFill>
                    <w14:schemeClr w14:val="tx1"/>
                  </w14:solidFill>
                </w14:textFill>
              </w:rPr>
            </w:pPr>
            <w:r>
              <w:rPr>
                <w:rFonts w:ascii="宋体" w:hAnsi="宋体" w:eastAsia="宋体" w:cs="宋体"/>
                <w:color w:val="000000" w:themeColor="text1"/>
                <w:spacing w:val="-6"/>
                <w:sz w:val="21"/>
                <w:szCs w:val="21"/>
                <w14:textFill>
                  <w14:solidFill>
                    <w14:schemeClr w14:val="tx1"/>
                  </w14:solidFill>
                </w14:textFill>
              </w:rPr>
              <w:t>100</w:t>
            </w:r>
          </w:p>
        </w:tc>
        <w:tc>
          <w:tcPr>
            <w:tcW w:w="802"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hint="default" w:ascii="Arial" w:eastAsiaTheme="minorEastAsia"/>
                <w:color w:val="000000" w:themeColor="text1"/>
                <w:sz w:val="21"/>
                <w:lang w:val="en-US" w:eastAsia="zh-CN"/>
                <w14:textFill>
                  <w14:solidFill>
                    <w14:schemeClr w14:val="tx1"/>
                  </w14:solidFill>
                </w14:textFill>
              </w:rPr>
            </w:pPr>
            <w:r>
              <w:rPr>
                <w:rFonts w:hint="eastAsia" w:ascii="Arial"/>
                <w:color w:val="000000" w:themeColor="text1"/>
                <w:sz w:val="21"/>
                <w:lang w:val="en-US" w:eastAsia="zh-CN"/>
                <w14:textFill>
                  <w14:solidFill>
                    <w14:schemeClr w14:val="tx1"/>
                  </w14:solidFill>
                </w14:textFill>
              </w:rPr>
              <w:t>100</w:t>
            </w:r>
          </w:p>
        </w:tc>
        <w:tc>
          <w:tcPr>
            <w:tcW w:w="1275" w:type="dxa"/>
            <w:vAlign w:val="center"/>
          </w:tcPr>
          <w:p>
            <w:pPr>
              <w:keepNext w:val="0"/>
              <w:keepLines w:val="0"/>
              <w:pageBreakBefore w:val="0"/>
              <w:widowControl w:val="0"/>
              <w:kinsoku/>
              <w:wordWrap/>
              <w:overflowPunct/>
              <w:topLinePunct w:val="0"/>
              <w:autoSpaceDE/>
              <w:autoSpaceDN/>
              <w:bidi w:val="0"/>
              <w:adjustRightInd/>
              <w:snapToGrid/>
              <w:ind w:left="0"/>
              <w:jc w:val="center"/>
              <w:textAlignment w:val="auto"/>
              <w:rPr>
                <w:rFonts w:ascii="Arial"/>
                <w:color w:val="000000" w:themeColor="text1"/>
                <w:sz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jc w:val="left"/>
        <w:textAlignment w:val="auto"/>
        <w:rPr>
          <w:rFonts w:hint="default"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sectPr>
          <w:footerReference r:id="rId4" w:type="default"/>
          <w:pgSz w:w="11906" w:h="16838"/>
          <w:pgMar w:top="1134" w:right="1417" w:bottom="1134" w:left="1134" w:header="851" w:footer="992" w:gutter="0"/>
          <w:pgNumType w:fmt="decimal"/>
          <w:cols w:space="0" w:num="1"/>
          <w:rtlGutter w:val="0"/>
          <w:docGrid w:type="lines" w:linePitch="312" w:charSpace="0"/>
        </w:sectPr>
      </w:pP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填表人</w:t>
      </w:r>
      <w:r>
        <w:rPr>
          <w:rFonts w:hint="eastAsia" w:asciiTheme="majorEastAsia" w:hAnsiTheme="majorEastAsia" w:eastAsiaTheme="majorEastAsia" w:cstheme="majorEastAsia"/>
          <w:color w:val="000000" w:themeColor="text1"/>
          <w:spacing w:val="0"/>
          <w:position w:val="0"/>
          <w:sz w:val="23"/>
          <w:szCs w:val="23"/>
          <w:lang w:eastAsia="zh-CN"/>
          <w14:textFill>
            <w14:solidFill>
              <w14:schemeClr w14:val="tx1"/>
            </w14:solidFill>
          </w14:textFill>
        </w:rPr>
        <w:t>：陈虎</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 xml:space="preserve">  联系电话： </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13077155818</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 xml:space="preserve">      责人签字：</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 xml:space="preserve">    </w:t>
      </w:r>
      <w:r>
        <w:rPr>
          <w:rFonts w:hint="eastAsia" w:asciiTheme="majorEastAsia" w:hAnsiTheme="majorEastAsia" w:eastAsiaTheme="majorEastAsia" w:cstheme="majorEastAsia"/>
          <w:color w:val="000000" w:themeColor="text1"/>
          <w:spacing w:val="0"/>
          <w:position w:val="0"/>
          <w:sz w:val="23"/>
          <w:szCs w:val="23"/>
          <w14:textFill>
            <w14:solidFill>
              <w14:schemeClr w14:val="tx1"/>
            </w14:solidFill>
          </w14:textFill>
        </w:rPr>
        <w:t>填报日期：</w:t>
      </w:r>
      <w:r>
        <w:rPr>
          <w:rFonts w:hint="eastAsia" w:asciiTheme="majorEastAsia" w:hAnsiTheme="majorEastAsia" w:eastAsiaTheme="majorEastAsia" w:cstheme="majorEastAsia"/>
          <w:color w:val="000000" w:themeColor="text1"/>
          <w:spacing w:val="0"/>
          <w:position w:val="0"/>
          <w:sz w:val="23"/>
          <w:szCs w:val="23"/>
          <w:lang w:val="en-US" w:eastAsia="zh-CN"/>
          <w14:textFill>
            <w14:solidFill>
              <w14:schemeClr w14:val="tx1"/>
            </w14:solidFill>
          </w14:textFill>
        </w:rPr>
        <w:t>2023.7.5</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22"/>
          <w:position w:val="-1"/>
          <w:sz w:val="22"/>
          <w:szCs w:val="22"/>
          <w:lang w:val="en-US" w:eastAsia="zh-CN"/>
          <w14:textFill>
            <w14:solidFill>
              <w14:schemeClr w14:val="tx1"/>
            </w14:solidFill>
          </w14:textFill>
        </w:rPr>
      </w:pPr>
      <w:r>
        <w:rPr>
          <w:rFonts w:ascii="仿宋" w:hAnsi="仿宋" w:eastAsia="仿宋" w:cs="仿宋"/>
          <w:color w:val="000000" w:themeColor="text1"/>
          <w:spacing w:val="3"/>
          <w:sz w:val="22"/>
          <w:szCs w:val="22"/>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sectPr>
          <w:pgSz w:w="11906" w:h="16838"/>
          <w:pgMar w:top="1134" w:right="1417" w:bottom="1134" w:left="1134" w:header="851" w:footer="992" w:gutter="0"/>
          <w:pgNumType w:fmt="decimal"/>
          <w:cols w:space="0" w:num="1"/>
          <w:rtlGutter w:val="0"/>
          <w:docGrid w:type="lines" w:linePitch="312" w:charSpace="0"/>
        </w:sectPr>
      </w:pPr>
      <w:r>
        <w:rPr>
          <w:rFonts w:hint="eastAsia" w:ascii="仿宋" w:hAnsi="仿宋" w:eastAsia="仿宋" w:cs="仿宋"/>
          <w:color w:val="000000" w:themeColor="text1"/>
          <w:spacing w:val="0"/>
          <w:position w:val="0"/>
          <w:sz w:val="22"/>
          <w:szCs w:val="22"/>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t>附件</w:t>
      </w: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2"/>
          <w:szCs w:val="4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2022年度岳阳市生态环境局</w:t>
      </w:r>
      <w:r>
        <w:rPr>
          <w:rFonts w:hint="eastAsia"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湘阴</w:t>
      </w: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分局</w:t>
      </w:r>
    </w:p>
    <w:p>
      <w:pPr>
        <w:keepNext w:val="0"/>
        <w:keepLines w:val="0"/>
        <w:pageBreakBefore w:val="0"/>
        <w:widowControl w:val="0"/>
        <w:kinsoku/>
        <w:wordWrap/>
        <w:overflowPunct/>
        <w:topLinePunct w:val="0"/>
        <w:autoSpaceDE/>
        <w:autoSpaceDN/>
        <w:bidi w:val="0"/>
        <w:adjustRightInd/>
        <w:snapToGrid/>
        <w:spacing w:line="700" w:lineRule="exact"/>
        <w:ind w:firstLine="0" w:firstLineChars="0"/>
        <w:jc w:val="center"/>
        <w:textAlignment w:val="auto"/>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pPr>
      <w:r>
        <w:rPr>
          <w:rFonts w:hint="default" w:ascii="方正小标宋简体" w:hAnsi="方正小标宋简体" w:eastAsia="方正小标宋简体" w:cs="方正小标宋简体"/>
          <w:b w:val="0"/>
          <w:bCs w:val="0"/>
          <w:color w:val="000000" w:themeColor="text1"/>
          <w:spacing w:val="2"/>
          <w:sz w:val="44"/>
          <w:szCs w:val="44"/>
          <w:lang w:val="en-US" w:eastAsia="zh-CN"/>
          <w14:textFill>
            <w14:solidFill>
              <w14:schemeClr w14:val="tx1"/>
            </w14:solidFill>
          </w14:textFill>
        </w:rPr>
        <w:t>整体支出绩效自评报告</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pPr>
      <w:r>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t>部门(单位)名称：岳阳市生态环境局湘阴分局</w:t>
      </w:r>
    </w:p>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pPr>
      <w:r>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t>( 盖 章 )</w:t>
      </w:r>
    </w:p>
    <w:p>
      <w:pPr>
        <w:keepNext w:val="0"/>
        <w:keepLines w:val="0"/>
        <w:pageBreakBefore w:val="0"/>
        <w:widowControl w:val="0"/>
        <w:kinsoku/>
        <w:wordWrap/>
        <w:overflowPunct/>
        <w:topLinePunct w:val="0"/>
        <w:autoSpaceDE/>
        <w:autoSpaceDN/>
        <w:bidi w:val="0"/>
        <w:adjustRightInd/>
        <w:snapToGrid/>
        <w:ind w:left="0"/>
        <w:jc w:val="center"/>
        <w:textAlignment w:val="auto"/>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pPr>
      <w:r>
        <w:rPr>
          <w:rFonts w:hint="eastAsia" w:ascii="楷体_GB2312" w:hAnsi="楷体_GB2312" w:eastAsia="楷体_GB2312" w:cs="楷体_GB2312"/>
          <w:color w:val="000000" w:themeColor="text1"/>
          <w:spacing w:val="0"/>
          <w:position w:val="0"/>
          <w:sz w:val="36"/>
          <w:szCs w:val="36"/>
          <w:lang w:val="en-US" w:eastAsia="zh-CN"/>
          <w14:textFill>
            <w14:solidFill>
              <w14:schemeClr w14:val="tx1"/>
            </w14:solidFill>
          </w14:textFill>
        </w:rPr>
        <w:t>2023年7 月 5 日</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2022年度岳阳市生态环境局湘阴分局</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整体支出绩效自评报告</w:t>
      </w: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jc w:val="left"/>
        <w:textAlignment w:val="auto"/>
        <w:rPr>
          <w:rFonts w:hint="default" w:ascii="仿宋" w:hAnsi="仿宋" w:eastAsia="仿宋" w:cs="仿宋"/>
          <w:color w:val="000000" w:themeColor="text1"/>
          <w:spacing w:val="0"/>
          <w:position w:val="0"/>
          <w:sz w:val="22"/>
          <w:szCs w:val="22"/>
          <w:lang w:val="en-US" w:eastAsia="zh-CN"/>
          <w14:textFill>
            <w14:solidFill>
              <w14:schemeClr w14:val="tx1"/>
            </w14:solidFill>
          </w14:textFill>
        </w:rPr>
      </w:pPr>
    </w:p>
    <w:p>
      <w:pPr>
        <w:keepNext w:val="0"/>
        <w:keepLines w:val="0"/>
        <w:pageBreakBefore w:val="0"/>
        <w:widowControl w:val="0"/>
        <w:numPr>
          <w:ilvl w:val="0"/>
          <w:numId w:val="1"/>
        </w:numPr>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单位基本情况</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（一）职能职责</w:t>
      </w:r>
    </w:p>
    <w:p>
      <w:pPr>
        <w:pStyle w:val="4"/>
        <w:spacing w:before="0" w:beforeAutospacing="0" w:after="0" w:afterAutospacing="0" w:line="480" w:lineRule="auto"/>
        <w:ind w:firstLine="480"/>
        <w:jc w:val="both"/>
        <w:rPr>
          <w:rFonts w:hint="eastAsia" w:ascii="仿宋" w:hAnsi="仿宋" w:eastAsia="仿宋" w:cs="仿宋"/>
          <w:color w:val="555555"/>
          <w:sz w:val="30"/>
          <w:szCs w:val="30"/>
        </w:rPr>
      </w:pPr>
      <w:r>
        <w:rPr>
          <w:rFonts w:hint="eastAsia" w:ascii="仿宋" w:hAnsi="仿宋" w:eastAsia="仿宋" w:cs="仿宋"/>
          <w:sz w:val="30"/>
          <w:szCs w:val="30"/>
        </w:rPr>
        <w:t>1、</w:t>
      </w:r>
      <w:r>
        <w:rPr>
          <w:rFonts w:hint="eastAsia" w:ascii="仿宋" w:hAnsi="仿宋" w:eastAsia="仿宋" w:cs="仿宋"/>
          <w:color w:val="555555"/>
          <w:sz w:val="30"/>
          <w:szCs w:val="30"/>
        </w:rPr>
        <w:t>受市生态环境局委托，承担辖区内的生态环境相关工作；承担市生态环境局</w:t>
      </w:r>
      <w:r>
        <w:rPr>
          <w:rFonts w:hint="eastAsia" w:ascii="仿宋" w:hAnsi="仿宋" w:eastAsia="仿宋" w:cs="仿宋"/>
          <w:color w:val="555555"/>
          <w:sz w:val="30"/>
          <w:szCs w:val="30"/>
          <w:lang w:eastAsia="zh-CN"/>
        </w:rPr>
        <w:t>和县委、县政府</w:t>
      </w:r>
      <w:r>
        <w:rPr>
          <w:rFonts w:hint="eastAsia" w:ascii="仿宋" w:hAnsi="仿宋" w:eastAsia="仿宋" w:cs="仿宋"/>
          <w:color w:val="555555"/>
          <w:sz w:val="30"/>
          <w:szCs w:val="30"/>
        </w:rPr>
        <w:t>交办的其他任务。</w:t>
      </w:r>
    </w:p>
    <w:p>
      <w:pPr>
        <w:pStyle w:val="4"/>
        <w:spacing w:before="0" w:beforeAutospacing="0" w:after="0" w:afterAutospacing="0" w:line="480" w:lineRule="auto"/>
        <w:ind w:firstLine="480"/>
        <w:jc w:val="both"/>
        <w:rPr>
          <w:rFonts w:hint="eastAsia" w:ascii="仿宋" w:hAnsi="仿宋" w:eastAsia="仿宋" w:cs="仿宋"/>
          <w:color w:val="555555"/>
          <w:sz w:val="30"/>
          <w:szCs w:val="30"/>
        </w:rPr>
      </w:pPr>
      <w:r>
        <w:rPr>
          <w:rFonts w:hint="eastAsia" w:ascii="仿宋" w:hAnsi="仿宋" w:eastAsia="仿宋" w:cs="仿宋"/>
          <w:color w:val="555555"/>
          <w:sz w:val="30"/>
          <w:szCs w:val="30"/>
        </w:rPr>
        <w:t>2、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pPr>
        <w:pStyle w:val="4"/>
        <w:spacing w:before="0" w:beforeAutospacing="0" w:after="0" w:afterAutospacing="0" w:line="480" w:lineRule="auto"/>
        <w:ind w:firstLine="480"/>
        <w:jc w:val="both"/>
        <w:rPr>
          <w:rFonts w:hint="eastAsia" w:ascii="仿宋" w:hAnsi="仿宋" w:eastAsia="仿宋" w:cs="仿宋"/>
          <w:color w:val="555555"/>
          <w:sz w:val="30"/>
          <w:szCs w:val="30"/>
          <w:lang w:eastAsia="zh-CN"/>
        </w:rPr>
      </w:pPr>
      <w:r>
        <w:rPr>
          <w:rFonts w:hint="eastAsia" w:ascii="仿宋" w:hAnsi="仿宋" w:eastAsia="仿宋" w:cs="仿宋"/>
          <w:color w:val="555555"/>
          <w:sz w:val="30"/>
          <w:szCs w:val="30"/>
        </w:rPr>
        <w:t>3、负责本辖区生态环境</w:t>
      </w:r>
      <w:r>
        <w:rPr>
          <w:rFonts w:hint="eastAsia" w:ascii="仿宋" w:hAnsi="仿宋" w:eastAsia="仿宋" w:cs="仿宋"/>
          <w:color w:val="555555"/>
          <w:sz w:val="30"/>
          <w:szCs w:val="30"/>
          <w:lang w:eastAsia="zh-CN"/>
        </w:rPr>
        <w:t>质量监测、</w:t>
      </w:r>
      <w:r>
        <w:rPr>
          <w:rFonts w:hint="eastAsia" w:ascii="仿宋" w:hAnsi="仿宋" w:eastAsia="仿宋" w:cs="仿宋"/>
          <w:color w:val="555555"/>
          <w:sz w:val="30"/>
          <w:szCs w:val="30"/>
        </w:rPr>
        <w:t>执法监测、污染源监测和应急监测</w:t>
      </w:r>
      <w:r>
        <w:rPr>
          <w:rFonts w:hint="eastAsia" w:ascii="仿宋" w:hAnsi="仿宋" w:eastAsia="仿宋" w:cs="仿宋"/>
          <w:color w:val="555555"/>
          <w:sz w:val="30"/>
          <w:szCs w:val="30"/>
          <w:lang w:eastAsia="zh-CN"/>
        </w:rPr>
        <w:t>；负责辖区内生态文明示范县创建。</w:t>
      </w:r>
    </w:p>
    <w:p>
      <w:pPr>
        <w:pStyle w:val="4"/>
        <w:spacing w:before="0" w:beforeAutospacing="0" w:after="0" w:afterAutospacing="0" w:line="480" w:lineRule="auto"/>
        <w:ind w:firstLine="480"/>
        <w:jc w:val="both"/>
        <w:rPr>
          <w:rFonts w:hint="default" w:ascii="仿宋" w:hAnsi="仿宋" w:eastAsia="仿宋" w:cs="仿宋"/>
          <w:color w:val="555555"/>
          <w:sz w:val="30"/>
          <w:szCs w:val="30"/>
          <w:lang w:val="en-US" w:eastAsia="zh-CN"/>
        </w:rPr>
      </w:pPr>
      <w:r>
        <w:rPr>
          <w:rFonts w:hint="eastAsia" w:ascii="仿宋" w:hAnsi="仿宋" w:eastAsia="仿宋" w:cs="仿宋"/>
          <w:color w:val="555555"/>
          <w:sz w:val="30"/>
          <w:szCs w:val="30"/>
          <w:lang w:val="en-US" w:eastAsia="zh-CN"/>
        </w:rPr>
        <w:t>4、承担辖区内固体废物、化学品、持久性有机物、重金属、电磁辐射源等年度调查技术工作；承担企业固体废物、化学品等污染防治技术的指导与服务工作；参与危险（固体）废物、重金属、辐射事故应急与调查技术工作；承担废弃电器电子产品拆解技术审查和电子废物环境管理相关技术指导与服务工作。承担辖区内主要污染物排污权有偿使用和指标储备相关技术性、事务性工作。承担辖区内生态环境数据资源建设、信息系统及基础设备设施的管理运维工作，提供网络安全与信息化技术支持和服务保障。承担为机关行政审批、行政许可和综合执法等工作提供技术支撑和事务性工作。承办上级交办的其他事项。</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（二）机构设置</w:t>
      </w:r>
    </w:p>
    <w:p>
      <w:pPr>
        <w:widowControl/>
        <w:spacing w:line="60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岳阳市生态环境局</w:t>
      </w:r>
      <w:r>
        <w:rPr>
          <w:rFonts w:hint="eastAsia" w:ascii="仿宋" w:hAnsi="仿宋" w:eastAsia="仿宋" w:cs="仿宋"/>
          <w:sz w:val="30"/>
          <w:szCs w:val="30"/>
          <w:lang w:eastAsia="zh-CN"/>
        </w:rPr>
        <w:t>湘阴</w:t>
      </w:r>
      <w:r>
        <w:rPr>
          <w:rFonts w:hint="eastAsia" w:ascii="仿宋" w:hAnsi="仿宋" w:eastAsia="仿宋" w:cs="仿宋"/>
          <w:sz w:val="30"/>
          <w:szCs w:val="30"/>
        </w:rPr>
        <w:t>分局部门</w:t>
      </w:r>
      <w:r>
        <w:rPr>
          <w:rFonts w:hint="eastAsia" w:ascii="仿宋" w:hAnsi="仿宋" w:eastAsia="仿宋" w:cs="仿宋"/>
          <w:sz w:val="30"/>
          <w:szCs w:val="30"/>
          <w:lang w:eastAsia="zh-CN"/>
        </w:rPr>
        <w:t>预算</w:t>
      </w:r>
      <w:r>
        <w:rPr>
          <w:rFonts w:hint="eastAsia" w:ascii="仿宋" w:hAnsi="仿宋" w:eastAsia="仿宋" w:cs="仿宋"/>
          <w:sz w:val="30"/>
          <w:szCs w:val="30"/>
        </w:rPr>
        <w:t>包括局机关本级决算及所属二级机构（根据财政预算管理制度，所属二级机构由岳阳市生态环境局</w:t>
      </w:r>
      <w:r>
        <w:rPr>
          <w:rFonts w:hint="eastAsia" w:ascii="仿宋" w:hAnsi="仿宋" w:eastAsia="仿宋" w:cs="仿宋"/>
          <w:sz w:val="30"/>
          <w:szCs w:val="30"/>
          <w:lang w:eastAsia="zh-CN"/>
        </w:rPr>
        <w:t>湘阴</w:t>
      </w:r>
      <w:r>
        <w:rPr>
          <w:rFonts w:hint="eastAsia" w:ascii="仿宋" w:hAnsi="仿宋" w:eastAsia="仿宋" w:cs="仿宋"/>
          <w:sz w:val="30"/>
          <w:szCs w:val="30"/>
        </w:rPr>
        <w:t>分局统一预算），</w:t>
      </w:r>
      <w:r>
        <w:rPr>
          <w:rFonts w:hint="eastAsia" w:ascii="仿宋" w:hAnsi="仿宋" w:eastAsia="仿宋" w:cs="仿宋"/>
          <w:sz w:val="30"/>
          <w:szCs w:val="30"/>
          <w:lang w:eastAsia="zh-CN"/>
        </w:rPr>
        <w:t>湘阴分局</w:t>
      </w:r>
      <w:r>
        <w:rPr>
          <w:rFonts w:hint="eastAsia" w:ascii="仿宋" w:hAnsi="仿宋" w:eastAsia="仿宋" w:cs="仿宋"/>
          <w:color w:val="555555"/>
          <w:sz w:val="30"/>
          <w:szCs w:val="30"/>
        </w:rPr>
        <w:t>现有编制数</w:t>
      </w:r>
      <w:r>
        <w:rPr>
          <w:rFonts w:hint="eastAsia" w:ascii="仿宋" w:hAnsi="仿宋" w:eastAsia="仿宋" w:cs="仿宋"/>
          <w:color w:val="555555"/>
          <w:sz w:val="30"/>
          <w:szCs w:val="30"/>
          <w:lang w:val="en-US" w:eastAsia="zh-CN"/>
        </w:rPr>
        <w:t>106</w:t>
      </w:r>
      <w:r>
        <w:rPr>
          <w:rFonts w:hint="eastAsia" w:ascii="仿宋" w:hAnsi="仿宋" w:eastAsia="仿宋" w:cs="仿宋"/>
          <w:color w:val="555555"/>
          <w:sz w:val="30"/>
          <w:szCs w:val="30"/>
          <w:lang w:eastAsia="zh-CN"/>
        </w:rPr>
        <w:t>人</w:t>
      </w:r>
      <w:r>
        <w:rPr>
          <w:rFonts w:hint="eastAsia" w:ascii="仿宋" w:hAnsi="仿宋" w:eastAsia="仿宋" w:cs="仿宋"/>
          <w:color w:val="555555"/>
          <w:sz w:val="30"/>
          <w:szCs w:val="30"/>
        </w:rPr>
        <w:t>，其中行政编制</w:t>
      </w:r>
      <w:r>
        <w:rPr>
          <w:rFonts w:hint="eastAsia" w:ascii="仿宋" w:hAnsi="仿宋" w:eastAsia="仿宋" w:cs="仿宋"/>
          <w:color w:val="555555"/>
          <w:sz w:val="30"/>
          <w:szCs w:val="30"/>
          <w:lang w:val="en-US" w:eastAsia="zh-CN"/>
        </w:rPr>
        <w:t>16</w:t>
      </w:r>
      <w:r>
        <w:rPr>
          <w:rFonts w:hint="eastAsia" w:ascii="仿宋" w:hAnsi="仿宋" w:eastAsia="仿宋" w:cs="仿宋"/>
          <w:color w:val="555555"/>
          <w:sz w:val="30"/>
          <w:szCs w:val="30"/>
          <w:lang w:eastAsia="zh-CN"/>
        </w:rPr>
        <w:t>人</w:t>
      </w:r>
      <w:r>
        <w:rPr>
          <w:rFonts w:hint="eastAsia" w:ascii="仿宋" w:hAnsi="仿宋" w:eastAsia="仿宋" w:cs="仿宋"/>
          <w:color w:val="555555"/>
          <w:sz w:val="30"/>
          <w:szCs w:val="30"/>
        </w:rPr>
        <w:t>，</w:t>
      </w:r>
      <w:r>
        <w:rPr>
          <w:rFonts w:hint="eastAsia" w:ascii="仿宋" w:hAnsi="仿宋" w:eastAsia="仿宋" w:cs="仿宋"/>
          <w:color w:val="555555"/>
          <w:sz w:val="30"/>
          <w:szCs w:val="30"/>
          <w:lang w:eastAsia="zh-CN"/>
        </w:rPr>
        <w:t>参公编制</w:t>
      </w:r>
      <w:r>
        <w:rPr>
          <w:rFonts w:hint="eastAsia" w:ascii="仿宋" w:hAnsi="仿宋" w:eastAsia="仿宋" w:cs="仿宋"/>
          <w:color w:val="555555"/>
          <w:sz w:val="30"/>
          <w:szCs w:val="30"/>
          <w:lang w:val="en-US" w:eastAsia="zh-CN"/>
        </w:rPr>
        <w:t>25人、</w:t>
      </w:r>
      <w:r>
        <w:rPr>
          <w:rFonts w:hint="eastAsia" w:ascii="仿宋" w:hAnsi="仿宋" w:eastAsia="仿宋" w:cs="仿宋"/>
          <w:color w:val="555555"/>
          <w:sz w:val="30"/>
          <w:szCs w:val="30"/>
        </w:rPr>
        <w:t>全额事业编制</w:t>
      </w:r>
      <w:r>
        <w:rPr>
          <w:rFonts w:hint="eastAsia" w:ascii="仿宋" w:hAnsi="仿宋" w:eastAsia="仿宋" w:cs="仿宋"/>
          <w:color w:val="555555"/>
          <w:sz w:val="30"/>
          <w:szCs w:val="30"/>
          <w:lang w:val="en-US" w:eastAsia="zh-CN"/>
        </w:rPr>
        <w:t>65</w:t>
      </w:r>
      <w:r>
        <w:rPr>
          <w:rFonts w:hint="eastAsia" w:ascii="仿宋" w:hAnsi="仿宋" w:eastAsia="仿宋" w:cs="仿宋"/>
          <w:color w:val="555555"/>
          <w:sz w:val="30"/>
          <w:szCs w:val="30"/>
          <w:lang w:eastAsia="zh-CN"/>
        </w:rPr>
        <w:t>人</w:t>
      </w:r>
      <w:r>
        <w:rPr>
          <w:rFonts w:hint="eastAsia" w:ascii="仿宋" w:hAnsi="仿宋" w:eastAsia="仿宋" w:cs="仿宋"/>
          <w:color w:val="555555"/>
          <w:sz w:val="30"/>
          <w:szCs w:val="30"/>
        </w:rPr>
        <w:t>。</w:t>
      </w:r>
      <w:r>
        <w:rPr>
          <w:rFonts w:hint="eastAsia" w:ascii="仿宋" w:hAnsi="仿宋" w:eastAsia="仿宋" w:cs="仿宋"/>
          <w:color w:val="555555"/>
          <w:sz w:val="30"/>
          <w:szCs w:val="30"/>
          <w:lang w:val="en-US" w:eastAsia="zh-CN"/>
        </w:rPr>
        <w:t>年初</w:t>
      </w:r>
      <w:r>
        <w:rPr>
          <w:rFonts w:hint="eastAsia" w:ascii="仿宋" w:hAnsi="仿宋" w:eastAsia="仿宋" w:cs="仿宋"/>
          <w:color w:val="555555"/>
          <w:sz w:val="30"/>
          <w:szCs w:val="30"/>
        </w:rPr>
        <w:t>在职职工</w:t>
      </w:r>
      <w:r>
        <w:rPr>
          <w:rFonts w:hint="eastAsia" w:ascii="仿宋" w:hAnsi="仿宋" w:eastAsia="仿宋" w:cs="仿宋"/>
          <w:color w:val="555555"/>
          <w:sz w:val="30"/>
          <w:szCs w:val="30"/>
          <w:lang w:val="en-US" w:eastAsia="zh-CN"/>
        </w:rPr>
        <w:t>109</w:t>
      </w:r>
      <w:r>
        <w:rPr>
          <w:rFonts w:hint="eastAsia" w:ascii="仿宋" w:hAnsi="仿宋" w:eastAsia="仿宋" w:cs="仿宋"/>
          <w:color w:val="555555"/>
          <w:sz w:val="30"/>
          <w:szCs w:val="30"/>
        </w:rPr>
        <w:t>人，其中：行政人员</w:t>
      </w:r>
      <w:r>
        <w:rPr>
          <w:rFonts w:hint="eastAsia" w:ascii="仿宋" w:hAnsi="仿宋" w:eastAsia="仿宋" w:cs="仿宋"/>
          <w:color w:val="555555"/>
          <w:sz w:val="30"/>
          <w:szCs w:val="30"/>
          <w:lang w:val="en-US" w:eastAsia="zh-CN"/>
        </w:rPr>
        <w:t>44</w:t>
      </w:r>
      <w:r>
        <w:rPr>
          <w:rFonts w:hint="eastAsia" w:ascii="仿宋" w:hAnsi="仿宋" w:eastAsia="仿宋" w:cs="仿宋"/>
          <w:color w:val="555555"/>
          <w:sz w:val="30"/>
          <w:szCs w:val="30"/>
        </w:rPr>
        <w:t>人、事业人员</w:t>
      </w:r>
      <w:r>
        <w:rPr>
          <w:rFonts w:hint="eastAsia" w:ascii="仿宋" w:hAnsi="仿宋" w:eastAsia="仿宋" w:cs="仿宋"/>
          <w:color w:val="555555"/>
          <w:sz w:val="30"/>
          <w:szCs w:val="30"/>
          <w:lang w:val="en-US" w:eastAsia="zh-CN"/>
        </w:rPr>
        <w:t>65</w:t>
      </w:r>
      <w:r>
        <w:rPr>
          <w:rFonts w:hint="eastAsia" w:ascii="仿宋" w:hAnsi="仿宋" w:eastAsia="仿宋" w:cs="仿宋"/>
          <w:color w:val="555555"/>
          <w:sz w:val="30"/>
          <w:szCs w:val="30"/>
        </w:rPr>
        <w:t>人（全额事业人员</w:t>
      </w:r>
      <w:r>
        <w:rPr>
          <w:rFonts w:hint="eastAsia" w:ascii="仿宋" w:hAnsi="仿宋" w:eastAsia="仿宋" w:cs="仿宋"/>
          <w:color w:val="555555"/>
          <w:sz w:val="30"/>
          <w:szCs w:val="30"/>
          <w:lang w:val="en-US" w:eastAsia="zh-CN"/>
        </w:rPr>
        <w:t>65</w:t>
      </w:r>
      <w:r>
        <w:rPr>
          <w:rFonts w:hint="eastAsia" w:ascii="仿宋" w:hAnsi="仿宋" w:eastAsia="仿宋" w:cs="仿宋"/>
          <w:color w:val="555555"/>
          <w:sz w:val="30"/>
          <w:szCs w:val="30"/>
        </w:rPr>
        <w:t>人）；离退休人员</w:t>
      </w:r>
      <w:r>
        <w:rPr>
          <w:rFonts w:hint="eastAsia" w:ascii="仿宋" w:hAnsi="仿宋" w:eastAsia="仿宋" w:cs="仿宋"/>
          <w:color w:val="555555"/>
          <w:sz w:val="30"/>
          <w:szCs w:val="30"/>
          <w:lang w:val="en-US" w:eastAsia="zh-CN"/>
        </w:rPr>
        <w:t>19</w:t>
      </w:r>
      <w:r>
        <w:rPr>
          <w:rFonts w:hint="eastAsia" w:ascii="仿宋" w:hAnsi="仿宋" w:eastAsia="仿宋" w:cs="仿宋"/>
          <w:color w:val="555555"/>
          <w:sz w:val="30"/>
          <w:szCs w:val="30"/>
        </w:rPr>
        <w:t>人（全额退休人员</w:t>
      </w:r>
      <w:r>
        <w:rPr>
          <w:rFonts w:hint="eastAsia" w:ascii="仿宋" w:hAnsi="仿宋" w:eastAsia="仿宋" w:cs="仿宋"/>
          <w:color w:val="555555"/>
          <w:sz w:val="30"/>
          <w:szCs w:val="30"/>
          <w:lang w:val="en-US" w:eastAsia="zh-CN"/>
        </w:rPr>
        <w:t>19</w:t>
      </w:r>
      <w:r>
        <w:rPr>
          <w:rFonts w:hint="eastAsia" w:ascii="仿宋" w:hAnsi="仿宋" w:eastAsia="仿宋" w:cs="仿宋"/>
          <w:color w:val="555555"/>
          <w:sz w:val="30"/>
          <w:szCs w:val="30"/>
        </w:rPr>
        <w:t>人）。</w:t>
      </w:r>
      <w:r>
        <w:rPr>
          <w:rFonts w:hint="eastAsia" w:ascii="仿宋" w:hAnsi="仿宋" w:eastAsia="仿宋" w:cs="仿宋"/>
          <w:color w:val="555555"/>
          <w:sz w:val="30"/>
          <w:szCs w:val="30"/>
          <w:lang w:val="en-US" w:eastAsia="zh-CN"/>
        </w:rPr>
        <w:t>年末</w:t>
      </w:r>
      <w:r>
        <w:rPr>
          <w:rFonts w:hint="eastAsia" w:ascii="仿宋" w:hAnsi="仿宋" w:eastAsia="仿宋" w:cs="仿宋"/>
          <w:color w:val="555555"/>
          <w:sz w:val="30"/>
          <w:szCs w:val="30"/>
        </w:rPr>
        <w:t>在职职工</w:t>
      </w:r>
      <w:r>
        <w:rPr>
          <w:rFonts w:hint="eastAsia" w:ascii="仿宋" w:hAnsi="仿宋" w:eastAsia="仿宋" w:cs="仿宋"/>
          <w:color w:val="555555"/>
          <w:sz w:val="30"/>
          <w:szCs w:val="30"/>
          <w:lang w:val="en-US" w:eastAsia="zh-CN"/>
        </w:rPr>
        <w:t>106</w:t>
      </w:r>
      <w:r>
        <w:rPr>
          <w:rFonts w:hint="eastAsia" w:ascii="仿宋" w:hAnsi="仿宋" w:eastAsia="仿宋" w:cs="仿宋"/>
          <w:color w:val="555555"/>
          <w:sz w:val="30"/>
          <w:szCs w:val="30"/>
        </w:rPr>
        <w:t>人，其中：行政人员</w:t>
      </w:r>
      <w:r>
        <w:rPr>
          <w:rFonts w:hint="eastAsia" w:ascii="仿宋" w:hAnsi="仿宋" w:eastAsia="仿宋" w:cs="仿宋"/>
          <w:color w:val="555555"/>
          <w:sz w:val="30"/>
          <w:szCs w:val="30"/>
          <w:lang w:val="en-US" w:eastAsia="zh-CN"/>
        </w:rPr>
        <w:t>41</w:t>
      </w:r>
      <w:r>
        <w:rPr>
          <w:rFonts w:hint="eastAsia" w:ascii="仿宋" w:hAnsi="仿宋" w:eastAsia="仿宋" w:cs="仿宋"/>
          <w:color w:val="555555"/>
          <w:sz w:val="30"/>
          <w:szCs w:val="30"/>
        </w:rPr>
        <w:t>人、事业人员</w:t>
      </w:r>
      <w:r>
        <w:rPr>
          <w:rFonts w:hint="eastAsia" w:ascii="仿宋" w:hAnsi="仿宋" w:eastAsia="仿宋" w:cs="仿宋"/>
          <w:color w:val="555555"/>
          <w:sz w:val="30"/>
          <w:szCs w:val="30"/>
          <w:lang w:val="en-US" w:eastAsia="zh-CN"/>
        </w:rPr>
        <w:t>65</w:t>
      </w:r>
      <w:r>
        <w:rPr>
          <w:rFonts w:hint="eastAsia" w:ascii="仿宋" w:hAnsi="仿宋" w:eastAsia="仿宋" w:cs="仿宋"/>
          <w:color w:val="555555"/>
          <w:sz w:val="30"/>
          <w:szCs w:val="30"/>
        </w:rPr>
        <w:t>人（全额事业人员</w:t>
      </w:r>
      <w:r>
        <w:rPr>
          <w:rFonts w:hint="eastAsia" w:ascii="仿宋" w:hAnsi="仿宋" w:eastAsia="仿宋" w:cs="仿宋"/>
          <w:color w:val="555555"/>
          <w:sz w:val="30"/>
          <w:szCs w:val="30"/>
          <w:lang w:val="en-US" w:eastAsia="zh-CN"/>
        </w:rPr>
        <w:t>65</w:t>
      </w:r>
      <w:r>
        <w:rPr>
          <w:rFonts w:hint="eastAsia" w:ascii="仿宋" w:hAnsi="仿宋" w:eastAsia="仿宋" w:cs="仿宋"/>
          <w:color w:val="555555"/>
          <w:sz w:val="30"/>
          <w:szCs w:val="30"/>
        </w:rPr>
        <w:t>人）；离退休人员</w:t>
      </w:r>
      <w:r>
        <w:rPr>
          <w:rFonts w:hint="eastAsia" w:ascii="仿宋" w:hAnsi="仿宋" w:eastAsia="仿宋" w:cs="仿宋"/>
          <w:color w:val="555555"/>
          <w:sz w:val="30"/>
          <w:szCs w:val="30"/>
          <w:lang w:val="en-US" w:eastAsia="zh-CN"/>
        </w:rPr>
        <w:t>22</w:t>
      </w:r>
      <w:r>
        <w:rPr>
          <w:rFonts w:hint="eastAsia" w:ascii="仿宋" w:hAnsi="仿宋" w:eastAsia="仿宋" w:cs="仿宋"/>
          <w:color w:val="555555"/>
          <w:sz w:val="30"/>
          <w:szCs w:val="30"/>
        </w:rPr>
        <w:t>人（全额退休人员</w:t>
      </w:r>
      <w:r>
        <w:rPr>
          <w:rFonts w:hint="eastAsia" w:ascii="仿宋" w:hAnsi="仿宋" w:eastAsia="仿宋" w:cs="仿宋"/>
          <w:color w:val="555555"/>
          <w:sz w:val="30"/>
          <w:szCs w:val="30"/>
          <w:lang w:val="en-US" w:eastAsia="zh-CN"/>
        </w:rPr>
        <w:t>22</w:t>
      </w:r>
      <w:r>
        <w:rPr>
          <w:rFonts w:hint="eastAsia" w:ascii="仿宋" w:hAnsi="仿宋" w:eastAsia="仿宋" w:cs="仿宋"/>
          <w:color w:val="555555"/>
          <w:sz w:val="30"/>
          <w:szCs w:val="30"/>
        </w:rPr>
        <w:t>人）。</w:t>
      </w:r>
      <w:r>
        <w:rPr>
          <w:rFonts w:hint="eastAsia" w:ascii="仿宋" w:hAnsi="仿宋" w:eastAsia="仿宋" w:cs="仿宋"/>
          <w:color w:val="555555"/>
          <w:sz w:val="30"/>
          <w:szCs w:val="30"/>
          <w:lang w:eastAsia="zh-CN"/>
        </w:rPr>
        <w:t>湘阴</w:t>
      </w:r>
      <w:r>
        <w:rPr>
          <w:rFonts w:hint="eastAsia" w:ascii="仿宋" w:hAnsi="仿宋" w:eastAsia="仿宋" w:cs="仿宋"/>
          <w:sz w:val="30"/>
          <w:szCs w:val="30"/>
        </w:rPr>
        <w:t>分局</w:t>
      </w:r>
      <w:r>
        <w:rPr>
          <w:rFonts w:hint="eastAsia" w:ascii="仿宋" w:hAnsi="仿宋" w:eastAsia="仿宋" w:cs="仿宋"/>
          <w:sz w:val="30"/>
          <w:szCs w:val="30"/>
          <w:lang w:eastAsia="zh-CN"/>
        </w:rPr>
        <w:t>“三定”设立</w:t>
      </w:r>
      <w:r>
        <w:rPr>
          <w:rFonts w:hint="eastAsia" w:ascii="仿宋" w:hAnsi="仿宋" w:eastAsia="仿宋" w:cs="仿宋"/>
          <w:sz w:val="30"/>
          <w:szCs w:val="30"/>
          <w:lang w:val="en-US" w:eastAsia="zh-CN"/>
        </w:rPr>
        <w:t>3</w:t>
      </w:r>
      <w:r>
        <w:rPr>
          <w:rFonts w:hint="eastAsia" w:ascii="仿宋" w:hAnsi="仿宋" w:eastAsia="仿宋" w:cs="仿宋"/>
          <w:sz w:val="30"/>
          <w:szCs w:val="30"/>
        </w:rPr>
        <w:t>个机构：</w:t>
      </w:r>
      <w:r>
        <w:rPr>
          <w:rFonts w:hint="eastAsia" w:ascii="仿宋" w:hAnsi="仿宋" w:eastAsia="仿宋" w:cs="仿宋"/>
          <w:color w:val="555555"/>
          <w:sz w:val="30"/>
          <w:szCs w:val="30"/>
        </w:rPr>
        <w:t>市生态环境局</w:t>
      </w:r>
      <w:r>
        <w:rPr>
          <w:rFonts w:hint="eastAsia" w:ascii="仿宋" w:hAnsi="仿宋" w:eastAsia="仿宋" w:cs="仿宋"/>
          <w:color w:val="555555"/>
          <w:sz w:val="30"/>
          <w:szCs w:val="30"/>
          <w:lang w:eastAsia="zh-CN"/>
        </w:rPr>
        <w:t>湘阴</w:t>
      </w:r>
      <w:r>
        <w:rPr>
          <w:rFonts w:hint="eastAsia" w:ascii="仿宋" w:hAnsi="仿宋" w:eastAsia="仿宋" w:cs="仿宋"/>
          <w:color w:val="555555"/>
          <w:sz w:val="30"/>
          <w:szCs w:val="30"/>
        </w:rPr>
        <w:t>分局机关、岳阳市</w:t>
      </w:r>
      <w:r>
        <w:rPr>
          <w:rFonts w:hint="eastAsia" w:ascii="仿宋" w:hAnsi="仿宋" w:eastAsia="仿宋" w:cs="仿宋"/>
          <w:color w:val="555555"/>
          <w:sz w:val="30"/>
          <w:szCs w:val="30"/>
          <w:lang w:eastAsia="zh-CN"/>
        </w:rPr>
        <w:t>湘阴</w:t>
      </w:r>
      <w:r>
        <w:rPr>
          <w:rFonts w:hint="eastAsia" w:ascii="仿宋" w:hAnsi="仿宋" w:eastAsia="仿宋" w:cs="仿宋"/>
          <w:color w:val="555555"/>
          <w:sz w:val="30"/>
          <w:szCs w:val="30"/>
        </w:rPr>
        <w:t>生态环境保护综合行政执法大队、岳阳市</w:t>
      </w:r>
      <w:r>
        <w:rPr>
          <w:rFonts w:hint="eastAsia" w:ascii="仿宋" w:hAnsi="仿宋" w:eastAsia="仿宋" w:cs="仿宋"/>
          <w:color w:val="555555"/>
          <w:sz w:val="30"/>
          <w:szCs w:val="30"/>
          <w:lang w:eastAsia="zh-CN"/>
        </w:rPr>
        <w:t>湘阴</w:t>
      </w:r>
      <w:r>
        <w:rPr>
          <w:rFonts w:hint="eastAsia" w:ascii="仿宋" w:hAnsi="仿宋" w:eastAsia="仿宋" w:cs="仿宋"/>
          <w:color w:val="555555"/>
          <w:sz w:val="30"/>
          <w:szCs w:val="30"/>
        </w:rPr>
        <w:t>生态环境监测站。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3" w:firstLineChars="200"/>
        <w:jc w:val="left"/>
        <w:textAlignment w:val="cente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（三）预算单位构成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0"/>
        <w:jc w:val="left"/>
        <w:textAlignment w:val="center"/>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本单位无下属单位，本次2022年部门预算公开范围仅包含本单位本级</w:t>
      </w:r>
      <w:r>
        <w:rPr>
          <w:rFonts w:hint="eastAsia" w:ascii="宋体" w:hAnsi="宋体" w:eastAsia="宋体" w:cs="宋体"/>
          <w:i w:val="0"/>
          <w:caps w:val="0"/>
          <w:color w:val="333333"/>
          <w:spacing w:val="0"/>
          <w:kern w:val="0"/>
          <w:sz w:val="32"/>
          <w:szCs w:val="32"/>
          <w:shd w:val="clear" w:fill="FFFFFF"/>
          <w:vertAlign w:val="subscript"/>
          <w:lang w:val="en-US" w:eastAsia="zh-CN" w:bidi="ar"/>
        </w:rPr>
        <w:t>。</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二、一般公共预算支出情况</w:t>
      </w:r>
    </w:p>
    <w:p>
      <w:pPr>
        <w:keepNext w:val="0"/>
        <w:keepLines w:val="0"/>
        <w:pageBreakBefore w:val="0"/>
        <w:widowControl w:val="0"/>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(一)基本支出情况</w:t>
      </w:r>
    </w:p>
    <w:p>
      <w:pPr>
        <w:ind w:firstLine="640" w:firstLineChars="200"/>
        <w:jc w:val="left"/>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2022年基本支出年初预算数为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1540.41</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eastAsia="zh-CN"/>
          <w14:textFill>
            <w14:solidFill>
              <w14:schemeClr w14:val="tx1"/>
            </w14:solidFill>
          </w14:textFill>
        </w:rPr>
        <w:t>决算</w:t>
      </w:r>
      <w:r>
        <w:rPr>
          <w:rFonts w:hint="eastAsia" w:ascii="仿宋_GB2312" w:hAnsi="仿宋_GB2312" w:eastAsia="仿宋_GB2312" w:cs="仿宋_GB2312"/>
          <w:color w:val="000000" w:themeColor="text1"/>
          <w:sz w:val="32"/>
          <w:szCs w:val="32"/>
          <w14:textFill>
            <w14:solidFill>
              <w14:schemeClr w14:val="tx1"/>
            </w14:solidFill>
          </w14:textFill>
        </w:rPr>
        <w:t>实际支出数为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1889.54</w:t>
      </w:r>
      <w:r>
        <w:rPr>
          <w:rFonts w:hint="eastAsia" w:ascii="仿宋_GB2312" w:hAnsi="仿宋_GB2312" w:eastAsia="仿宋_GB2312" w:cs="仿宋_GB2312"/>
          <w:color w:val="000000" w:themeColor="text1"/>
          <w:sz w:val="32"/>
          <w:szCs w:val="32"/>
          <w14:textFill>
            <w14:solidFill>
              <w14:schemeClr w14:val="tx1"/>
            </w14:solidFill>
          </w14:textFill>
        </w:rPr>
        <w:t>万元。其中：人员经费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1639.67</w:t>
      </w:r>
      <w:r>
        <w:rPr>
          <w:rFonts w:hint="eastAsia" w:ascii="仿宋_GB2312" w:hAnsi="仿宋_GB2312" w:eastAsia="仿宋_GB2312" w:cs="仿宋_GB2312"/>
          <w:color w:val="000000" w:themeColor="text1"/>
          <w:sz w:val="32"/>
          <w:szCs w:val="32"/>
          <w14:textFill>
            <w14:solidFill>
              <w14:schemeClr w14:val="tx1"/>
            </w14:solidFill>
          </w14:textFill>
        </w:rPr>
        <w:t>万元，主要包括：基本工资、津贴补贴、奖金、绩效工资、机关事业单位基本养老保险缴费、职工基本医疗保险缴费、其他社会保障缴费、住房公积金、其他工资福利支出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等</w:t>
      </w:r>
      <w:r>
        <w:rPr>
          <w:rFonts w:hint="eastAsia" w:ascii="仿宋_GB2312" w:hAnsi="仿宋_GB2312" w:eastAsia="仿宋_GB2312" w:cs="仿宋_GB2312"/>
          <w:color w:val="000000" w:themeColor="text1"/>
          <w:sz w:val="32"/>
          <w:szCs w:val="32"/>
          <w14:textFill>
            <w14:solidFill>
              <w14:schemeClr w14:val="tx1"/>
            </w14:solidFill>
          </w14:textFill>
        </w:rPr>
        <w:t>；公用经费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249.87</w:t>
      </w:r>
      <w:r>
        <w:rPr>
          <w:rFonts w:hint="eastAsia" w:ascii="仿宋_GB2312" w:hAnsi="仿宋_GB2312" w:eastAsia="仿宋_GB2312" w:cs="仿宋_GB2312"/>
          <w:color w:val="000000" w:themeColor="text1"/>
          <w:sz w:val="32"/>
          <w:szCs w:val="32"/>
          <w14:textFill>
            <w14:solidFill>
              <w14:schemeClr w14:val="tx1"/>
            </w14:solidFill>
          </w14:textFill>
        </w:rPr>
        <w:t>万元，主要包括：办公费、邮电费、差旅费、培训费、工会经费、其他商品和服务支出</w:t>
      </w:r>
      <w:r>
        <w:rPr>
          <w:rFonts w:hint="eastAsia" w:ascii="仿宋_GB2312" w:hAnsi="仿宋_GB2312" w:eastAsia="仿宋_GB2312" w:cs="仿宋_GB2312"/>
          <w:color w:val="000000" w:themeColor="text1"/>
          <w:sz w:val="32"/>
          <w:szCs w:val="32"/>
          <w:lang w:eastAsia="zh-CN"/>
          <w14:textFill>
            <w14:solidFill>
              <w14:schemeClr w14:val="tx1"/>
            </w14:solidFill>
          </w14:textFill>
        </w:rPr>
        <w:t>等</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left="0" w:firstLine="643" w:firstLine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t>项目支出情况</w:t>
      </w:r>
    </w:p>
    <w:p>
      <w:pPr>
        <w:keepNext w:val="0"/>
        <w:keepLines w:val="0"/>
        <w:pageBreakBefore w:val="0"/>
        <w:widowControl w:val="0"/>
        <w:numPr>
          <w:ilvl w:val="0"/>
          <w:numId w:val="0"/>
        </w:numPr>
        <w:kinsoku/>
        <w:wordWrap/>
        <w:overflowPunct/>
        <w:topLinePunct w:val="0"/>
        <w:autoSpaceDE/>
        <w:autoSpaceDN/>
        <w:bidi w:val="0"/>
        <w:adjustRightInd/>
        <w:snapToGrid/>
        <w:ind w:leftChars="200"/>
        <w:jc w:val="left"/>
        <w:textAlignment w:val="auto"/>
        <w:rPr>
          <w:rFonts w:hint="eastAsia" w:ascii="楷体_GB2312" w:hAnsi="楷体_GB2312" w:eastAsia="楷体_GB2312" w:cs="楷体_GB2312"/>
          <w:b/>
          <w:bCs/>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olor w:val="000000"/>
          <w:sz w:val="32"/>
        </w:rPr>
        <w:t>2022年项目支出年初预算数为</w:t>
      </w:r>
      <w:r>
        <w:rPr>
          <w:rFonts w:hint="eastAsia" w:ascii="仿宋_GB2312" w:hAnsi="仿宋_GB2312" w:eastAsia="仿宋_GB2312"/>
          <w:color w:val="000000"/>
          <w:sz w:val="32"/>
          <w:lang w:val="en-US" w:eastAsia="zh-CN"/>
        </w:rPr>
        <w:t>82.95</w:t>
      </w:r>
      <w:r>
        <w:rPr>
          <w:rFonts w:hint="eastAsia" w:ascii="仿宋_GB2312" w:hAnsi="仿宋_GB2312" w:eastAsia="仿宋_GB2312"/>
          <w:color w:val="000000"/>
          <w:sz w:val="32"/>
        </w:rPr>
        <w:t>万元，决算实际支出数为</w:t>
      </w:r>
      <w:r>
        <w:rPr>
          <w:rFonts w:hint="eastAsia" w:ascii="仿宋_GB2312" w:hAnsi="仿宋_GB2312" w:eastAsia="仿宋_GB2312"/>
          <w:color w:val="000000"/>
          <w:sz w:val="32"/>
          <w:lang w:val="en-US" w:eastAsia="zh-CN"/>
        </w:rPr>
        <w:t>82.95</w:t>
      </w:r>
      <w:r>
        <w:rPr>
          <w:rFonts w:hint="eastAsia" w:ascii="仿宋_GB2312" w:hAnsi="仿宋_GB2312" w:eastAsia="仿宋_GB2312"/>
          <w:color w:val="000000"/>
          <w:sz w:val="32"/>
        </w:rPr>
        <w:t>万</w:t>
      </w:r>
      <w:r>
        <w:rPr>
          <w:rFonts w:hint="eastAsia" w:ascii="仿宋" w:hAnsi="仿宋" w:eastAsia="仿宋"/>
          <w:kern w:val="0"/>
          <w:sz w:val="32"/>
        </w:rPr>
        <w:t>元</w:t>
      </w:r>
      <w:r>
        <w:rPr>
          <w:rFonts w:hint="eastAsia" w:ascii="仿宋_GB2312" w:hAnsi="仿宋_GB2312" w:eastAsia="仿宋_GB2312"/>
          <w:color w:val="000000"/>
          <w:sz w:val="32"/>
        </w:rPr>
        <w:t>。主要用于</w:t>
      </w:r>
      <w:r>
        <w:rPr>
          <w:rFonts w:hint="eastAsia" w:ascii="仿宋_GB2312" w:hAnsi="仿宋_GB2312" w:eastAsia="仿宋_GB2312"/>
          <w:color w:val="000000"/>
          <w:sz w:val="32"/>
          <w:lang w:eastAsia="zh-CN"/>
        </w:rPr>
        <w:t>业务工作经费</w:t>
      </w:r>
      <w:r>
        <w:rPr>
          <w:rFonts w:hint="eastAsia" w:ascii="仿宋_GB2312" w:hAnsi="仿宋_GB2312" w:eastAsia="仿宋_GB2312"/>
          <w:color w:val="000000"/>
          <w:sz w:val="32"/>
        </w:rPr>
        <w:t>等方面。</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三、政府性基金预算支出情况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本单位无政府性基金预算支出情况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四、国有资本经营预算支出情况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本单位无国有资本经营预算支出情况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五、社会保险基金预算支出情况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本单位无社会保险基金预算支出情况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六、部门整体支出绩效情况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各项项目资金其主要用途是确保单位的正常运转，促进各项工作任务顺利完成。在人员经费支出、公共支出严格执行区委区政府的各项制度。在项目经费的使用上，在保证各项任务顺利完成的同时，严格落实严厉节约的原则。三公经费的使用严格控制在预算申报的范围内。</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七、存在的问题及原因分析</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存在问题主要是对个别项目资金使用方面掌控不力。问题产生的主要原因:绩效管理水平有待提高，特别是绩效指标设置的科学性、合理性有待进一步改善。</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八、下一步改进措施</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加强财务管理，严格财务审批。在费用报账支付时，按照预算规定的费用项目和用途进行资金使用、审核，列报支付，财务核算杜绝超支现象的发生。</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加强培训。建议多开展部门整体绩效评价工作的业务工作培训，组织开展部门之间、单位之间的经验交流，特别是要组织非财务部门的人员参与评价工作，切实推进绩效评价工作的开展。</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建议市财政进一步加大环境保护资金力度，保障水、气、土攻坚“三大战役”持续推进，促进本辖区环境总体质量稳步提升。</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黑体" w:hAnsi="黑体" w:eastAsia="黑体" w:cs="黑体"/>
          <w:color w:val="000000" w:themeColor="text1"/>
          <w:spacing w:val="0"/>
          <w:position w:val="0"/>
          <w:sz w:val="32"/>
          <w:szCs w:val="32"/>
          <w:lang w:val="en-US" w:eastAsia="zh-CN"/>
          <w14:textFill>
            <w14:solidFill>
              <w14:schemeClr w14:val="tx1"/>
            </w14:solidFill>
          </w14:textFill>
        </w:rPr>
      </w:pPr>
      <w:r>
        <w:rPr>
          <w:rFonts w:hint="eastAsia" w:ascii="黑体" w:hAnsi="黑体" w:eastAsia="黑体" w:cs="黑体"/>
          <w:color w:val="000000" w:themeColor="text1"/>
          <w:spacing w:val="0"/>
          <w:position w:val="0"/>
          <w:sz w:val="32"/>
          <w:szCs w:val="32"/>
          <w:lang w:val="en-US" w:eastAsia="zh-CN"/>
          <w14:textFill>
            <w14:solidFill>
              <w14:schemeClr w14:val="tx1"/>
            </w14:solidFill>
          </w14:textFill>
        </w:rPr>
        <w:t>九、部门整体支出绩效自评结果拟应用和公开情况</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本单位高度重视此项绩效自评工作，积极落实主体责任，切实加强组织领导，按照绩效评价相关制度规定，明确具体责任人，认真开展自评，撰写了此份绩效评价报告，确保绩效自评工作顺利实施，并将按照要求进行信息公开，对存在的问题积极整改。</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报告需要以下附件：</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1、部门整体支出绩效评价基础数据表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2、部门整体支出绩效自评表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3、项目支出绩效自评表(一个一级项目支出一张表)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4、政府性基金预算支出情况表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5、国有资本经营预算支出情况表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6、社会保险基金预算支出情况表</w:t>
      </w:r>
    </w:p>
    <w:p>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p>
      <w:pPr>
        <w:spacing w:before="169" w:line="776" w:lineRule="exact"/>
        <w:rPr>
          <w:rFonts w:hint="eastAsia" w:ascii="宋体" w:hAnsi="宋体" w:eastAsia="宋体" w:cs="宋体"/>
          <w:b/>
          <w:bCs/>
          <w:color w:val="000000" w:themeColor="text1"/>
          <w:spacing w:val="19"/>
          <w:position w:val="17"/>
          <w:sz w:val="36"/>
          <w:szCs w:val="36"/>
          <w:lang w:eastAsia="zh-CN"/>
          <w14:textFill>
            <w14:solidFill>
              <w14:schemeClr w14:val="tx1"/>
            </w14:solidFill>
          </w14:textFill>
        </w:rPr>
        <w:sectPr>
          <w:pgSz w:w="11906" w:h="16838"/>
          <w:pgMar w:top="1701" w:right="1701" w:bottom="1701" w:left="1701" w:header="851" w:footer="992" w:gutter="0"/>
          <w:pgNumType w:fmt="decimal"/>
          <w:cols w:space="0" w:num="1"/>
          <w:rtlGutter w:val="0"/>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附件4</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2022年度项目支出绩效自评表</w:t>
      </w:r>
    </w:p>
    <w:tbl>
      <w:tblPr>
        <w:tblStyle w:val="8"/>
        <w:tblpPr w:leftFromText="180" w:rightFromText="180" w:vertAnchor="text" w:horzAnchor="page" w:tblpX="1682" w:tblpY="68"/>
        <w:tblOverlap w:val="never"/>
        <w:tblW w:w="95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3"/>
        <w:gridCol w:w="1002"/>
        <w:gridCol w:w="1080"/>
        <w:gridCol w:w="1229"/>
        <w:gridCol w:w="1131"/>
        <w:gridCol w:w="1140"/>
        <w:gridCol w:w="685"/>
        <w:gridCol w:w="79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4" w:hRule="atLeast"/>
        </w:trPr>
        <w:tc>
          <w:tcPr>
            <w:tcW w:w="1153" w:type="dxa"/>
            <w:vAlign w:val="center"/>
          </w:tcPr>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p>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名称</w:t>
            </w:r>
          </w:p>
        </w:tc>
        <w:tc>
          <w:tcPr>
            <w:tcW w:w="8427" w:type="dxa"/>
            <w:gridSpan w:val="8"/>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环境监测监察</w:t>
            </w:r>
            <w:r>
              <w:rPr>
                <w:rFonts w:hint="eastAsia" w:ascii="Arial"/>
                <w:color w:val="000000" w:themeColor="text1"/>
                <w:spacing w:val="0"/>
                <w:sz w:val="21"/>
                <w:szCs w:val="21"/>
                <w:lang w:eastAsia="zh-CN"/>
                <w14:textFill>
                  <w14:solidFill>
                    <w14:schemeClr w14:val="tx1"/>
                  </w14:solidFill>
                </w14:textFill>
              </w:rPr>
              <w:t>等</w:t>
            </w:r>
            <w:r>
              <w:rPr>
                <w:rFonts w:hint="eastAsia" w:ascii="Arial"/>
                <w:color w:val="000000" w:themeColor="text1"/>
                <w:spacing w:val="0"/>
                <w:sz w:val="21"/>
                <w:szCs w:val="21"/>
                <w14:textFill>
                  <w14:solidFill>
                    <w14:schemeClr w14:val="tx1"/>
                  </w14:solidFill>
                </w14:textFill>
              </w:rPr>
              <w:t>运行经费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153" w:type="dxa"/>
            <w:vAlign w:val="center"/>
          </w:tcPr>
          <w:p>
            <w:pPr>
              <w:keepNext w:val="0"/>
              <w:keepLines w:val="0"/>
              <w:pageBreakBefore w:val="0"/>
              <w:widowControl w:val="0"/>
              <w:kinsoku/>
              <w:wordWrap/>
              <w:overflowPunct/>
              <w:topLinePunct w:val="0"/>
              <w:autoSpaceDE/>
              <w:autoSpaceDN/>
              <w:bidi w:val="0"/>
              <w:adjustRightInd/>
              <w:snapToGrid/>
              <w:spacing w:line="202"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主管部门</w:t>
            </w:r>
          </w:p>
        </w:tc>
        <w:tc>
          <w:tcPr>
            <w:tcW w:w="4442" w:type="dxa"/>
            <w:gridSpan w:val="4"/>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岳阳市生态环境局（机关）</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实施单位</w:t>
            </w:r>
          </w:p>
        </w:tc>
        <w:tc>
          <w:tcPr>
            <w:tcW w:w="2845" w:type="dxa"/>
            <w:gridSpan w:val="3"/>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岳阳市生态环境局</w:t>
            </w:r>
            <w:r>
              <w:rPr>
                <w:rFonts w:hint="eastAsia" w:ascii="Arial"/>
                <w:color w:val="000000" w:themeColor="text1"/>
                <w:spacing w:val="0"/>
                <w:sz w:val="21"/>
                <w:szCs w:val="21"/>
                <w:lang w:eastAsia="zh-CN"/>
                <w14:textFill>
                  <w14:solidFill>
                    <w14:schemeClr w14:val="tx1"/>
                  </w14:solidFill>
                </w14:textFill>
              </w:rPr>
              <w:t>湘阴</w:t>
            </w:r>
            <w:r>
              <w:rPr>
                <w:rFonts w:hint="eastAsia" w:ascii="Arial"/>
                <w:color w:val="000000" w:themeColor="text1"/>
                <w:spacing w:val="0"/>
                <w:sz w:val="21"/>
                <w:szCs w:val="21"/>
                <w14:textFill>
                  <w14:solidFill>
                    <w14:schemeClr w14:val="tx1"/>
                  </w14:solidFill>
                </w14:textFill>
              </w:rPr>
              <w:t>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153"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4"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5"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项目资金</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(万元)</w:t>
            </w: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Arial"/>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执行数</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15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60</w:t>
            </w: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60</w:t>
            </w: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60</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
                <w:sz w:val="21"/>
                <w:szCs w:val="21"/>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100%</w:t>
            </w: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其中：当年财政拨款</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上年结转资金</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其他资金</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年度总体</w:t>
            </w:r>
          </w:p>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目标</w:t>
            </w:r>
          </w:p>
        </w:tc>
        <w:tc>
          <w:tcPr>
            <w:tcW w:w="4442" w:type="dxa"/>
            <w:gridSpan w:val="4"/>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5" w:hRule="atLeast"/>
        </w:trPr>
        <w:tc>
          <w:tcPr>
            <w:tcW w:w="1153"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4442"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开展辖区环境监察、监测日常工作，为辖区内经济建设、生态保护更好地服务</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eastAsia="zh-CN"/>
                <w14:textFill>
                  <w14:solidFill>
                    <w14:schemeClr w14:val="tx1"/>
                  </w14:solidFill>
                </w14:textFill>
              </w:rPr>
              <w:t>完成</w:t>
            </w:r>
            <w:r>
              <w:rPr>
                <w:rFonts w:hint="eastAsia" w:ascii="Arial"/>
                <w:color w:val="000000" w:themeColor="text1"/>
                <w:spacing w:val="0"/>
                <w:sz w:val="21"/>
                <w:szCs w:val="21"/>
                <w:lang w:val="en-US" w:eastAsia="zh-CN"/>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153" w:type="dxa"/>
            <w:vMerge w:val="restart"/>
            <w:tcBorders>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spacing w:line="21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绩</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效</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指</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标</w:t>
            </w:r>
          </w:p>
        </w:tc>
        <w:tc>
          <w:tcPr>
            <w:tcW w:w="10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指标值</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完成值</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偏差原因分析 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5"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6"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2"/>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(50分)</w:t>
            </w:r>
          </w:p>
        </w:tc>
        <w:tc>
          <w:tcPr>
            <w:tcW w:w="1080" w:type="dxa"/>
            <w:vMerge w:val="restart"/>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数量指标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监管企业</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ascii="Arial"/>
                <w:color w:val="000000" w:themeColor="text1"/>
                <w:spacing w:val="0"/>
                <w:sz w:val="21"/>
                <w:szCs w:val="21"/>
                <w:lang w:val="en-US"/>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385</w:t>
            </w:r>
            <w:r>
              <w:rPr>
                <w:rFonts w:hint="eastAsia" w:ascii="Arial"/>
                <w:color w:val="000000" w:themeColor="text1"/>
                <w:spacing w:val="0"/>
                <w:sz w:val="21"/>
                <w:szCs w:val="21"/>
                <w:lang w:val="en-US"/>
                <w14:textFill>
                  <w14:solidFill>
                    <w14:schemeClr w14:val="tx1"/>
                  </w14:solidFill>
                </w14:textFill>
              </w:rPr>
              <w:t>家</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385</w:t>
            </w:r>
            <w:r>
              <w:rPr>
                <w:rFonts w:hint="eastAsia" w:ascii="Arial"/>
                <w:color w:val="000000" w:themeColor="text1"/>
                <w:spacing w:val="0"/>
                <w:sz w:val="21"/>
                <w:szCs w:val="21"/>
                <w:lang w:val="en-US"/>
                <w14:textFill>
                  <w14:solidFill>
                    <w14:schemeClr w14:val="tx1"/>
                  </w14:solidFill>
                </w14:textFill>
              </w:rPr>
              <w:t>家</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80"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强力开展各项专项行动；委托第三方进行监督性监测</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eastAsiaTheme="minorEastAsia"/>
                <w:color w:val="000000" w:themeColor="text1"/>
                <w:spacing w:val="0"/>
                <w:sz w:val="21"/>
                <w:szCs w:val="21"/>
                <w:lang w:val="en-US" w:eastAsia="zh-CN"/>
                <w14:textFill>
                  <w14:solidFill>
                    <w14:schemeClr w14:val="tx1"/>
                  </w14:solidFill>
                </w14:textFill>
              </w:rPr>
              <w:t>≥1</w:t>
            </w:r>
            <w:r>
              <w:rPr>
                <w:rFonts w:hint="eastAsia" w:ascii="Arial"/>
                <w:color w:val="000000" w:themeColor="text1"/>
                <w:spacing w:val="0"/>
                <w:sz w:val="21"/>
                <w:szCs w:val="21"/>
                <w:lang w:val="en-US" w:eastAsia="zh-CN"/>
                <w14:textFill>
                  <w14:solidFill>
                    <w14:schemeClr w14:val="tx1"/>
                  </w14:solidFill>
                </w14:textFill>
              </w:rPr>
              <w:t>2次</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12次</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质量指标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全市环境质量达标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eastAsiaTheme="minorEastAsia"/>
                <w:color w:val="000000" w:themeColor="text1"/>
                <w:spacing w:val="0"/>
                <w:sz w:val="21"/>
                <w:szCs w:val="21"/>
                <w:lang w:val="en-US" w:eastAsia="zh-CN"/>
                <w14:textFill>
                  <w14:solidFill>
                    <w14:schemeClr w14:val="tx1"/>
                  </w14:solidFill>
                </w14:textFill>
              </w:rPr>
              <w:t>≥90%</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90%</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3"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时效指标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按时完成各项指标任务</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2022年度</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2022年度</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成本指标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Arial" w:eastAsiaTheme="minorEastAsia"/>
                <w:color w:val="000000" w:themeColor="text1"/>
                <w:spacing w:val="0"/>
                <w:sz w:val="21"/>
                <w:szCs w:val="21"/>
                <w:lang w:eastAsia="zh-CN"/>
                <w14:textFill>
                  <w14:solidFill>
                    <w14:schemeClr w14:val="tx1"/>
                  </w14:solidFill>
                </w14:textFill>
              </w:rPr>
            </w:pPr>
            <w:r>
              <w:rPr>
                <w:rFonts w:hint="eastAsia" w:ascii="Arial" w:eastAsiaTheme="minorEastAsia"/>
                <w:color w:val="000000" w:themeColor="text1"/>
                <w:spacing w:val="0"/>
                <w:sz w:val="21"/>
                <w:szCs w:val="21"/>
                <w:lang w:eastAsia="zh-CN"/>
                <w14:textFill>
                  <w14:solidFill>
                    <w14:schemeClr w14:val="tx1"/>
                  </w14:solidFill>
                </w14:textFill>
              </w:rPr>
              <w:t>监察、监测</w:t>
            </w:r>
            <w:r>
              <w:rPr>
                <w:rFonts w:hint="eastAsia" w:ascii="Arial"/>
                <w:color w:val="000000" w:themeColor="text1"/>
                <w:spacing w:val="0"/>
                <w:sz w:val="21"/>
                <w:szCs w:val="21"/>
                <w:lang w:eastAsia="zh-CN"/>
                <w14:textFill>
                  <w14:solidFill>
                    <w14:schemeClr w14:val="tx1"/>
                  </w14:solidFill>
                </w14:textFill>
              </w:rPr>
              <w:t>能力建设</w:t>
            </w:r>
            <w:r>
              <w:rPr>
                <w:rFonts w:hint="eastAsia" w:ascii="Arial" w:eastAsiaTheme="minorEastAsia"/>
                <w:color w:val="000000" w:themeColor="text1"/>
                <w:spacing w:val="0"/>
                <w:sz w:val="21"/>
                <w:szCs w:val="21"/>
                <w:lang w:eastAsia="zh-CN"/>
                <w14:textFill>
                  <w14:solidFill>
                    <w14:schemeClr w14:val="tx1"/>
                  </w14:solidFill>
                </w14:textFill>
              </w:rPr>
              <w:t>运行成本</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60</w:t>
            </w:r>
            <w:r>
              <w:rPr>
                <w:rFonts w:hint="eastAsia" w:ascii="Arial" w:eastAsiaTheme="minorEastAsia"/>
                <w:color w:val="000000" w:themeColor="text1"/>
                <w:spacing w:val="0"/>
                <w:sz w:val="21"/>
                <w:szCs w:val="21"/>
                <w:lang w:val="en-US" w:eastAsia="zh-CN"/>
                <w14:textFill>
                  <w14:solidFill>
                    <w14:schemeClr w14:val="tx1"/>
                  </w14:solidFill>
                </w14:textFill>
              </w:rPr>
              <w:t>万元</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60</w:t>
            </w:r>
            <w:r>
              <w:rPr>
                <w:rFonts w:hint="eastAsia" w:ascii="Arial" w:eastAsiaTheme="minorEastAsia"/>
                <w:color w:val="000000" w:themeColor="text1"/>
                <w:spacing w:val="0"/>
                <w:sz w:val="21"/>
                <w:szCs w:val="21"/>
                <w:lang w:val="en-US" w:eastAsia="zh-CN"/>
                <w14:textFill>
                  <w14:solidFill>
                    <w14:schemeClr w14:val="tx1"/>
                  </w14:solidFill>
                </w14:textFill>
              </w:rPr>
              <w:t>万元</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5"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(30分)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4"/>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促进经济发展</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经济平稳发展</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经济平稳发展</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改善居民生产、生活环境，提升幸福生活指数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eastAsia="zh-CN"/>
                <w14:textFill>
                  <w14:solidFill>
                    <w14:schemeClr w14:val="tx1"/>
                  </w14:solidFill>
                </w14:textFill>
              </w:rPr>
            </w:pPr>
            <w:r>
              <w:rPr>
                <w:rFonts w:hint="eastAsia" w:ascii="Arial" w:eastAsiaTheme="minorEastAsia"/>
                <w:color w:val="000000" w:themeColor="text1"/>
                <w:spacing w:val="0"/>
                <w:sz w:val="21"/>
                <w:szCs w:val="21"/>
                <w:lang w:eastAsia="zh-CN"/>
                <w14:textFill>
                  <w14:solidFill>
                    <w14:schemeClr w14:val="tx1"/>
                  </w14:solidFill>
                </w14:textFill>
              </w:rPr>
              <w:t>有所改善</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eastAsiaTheme="minorEastAsia"/>
                <w:color w:val="000000" w:themeColor="text1"/>
                <w:spacing w:val="0"/>
                <w:sz w:val="21"/>
                <w:szCs w:val="21"/>
                <w:lang w:eastAsia="zh-CN"/>
                <w14:textFill>
                  <w14:solidFill>
                    <w14:schemeClr w14:val="tx1"/>
                  </w14:solidFill>
                </w14:textFill>
              </w:rPr>
              <w:t>有所改善</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default" w:ascii="Arial"/>
                <w:color w:val="000000" w:themeColor="text1"/>
                <w:spacing w:val="0"/>
                <w:sz w:val="21"/>
                <w:szCs w:val="21"/>
                <w:lang w:val="en-US"/>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3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改善居民生产、生活环境，提升幸福生活指数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有所改善</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有所改善</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可持续</w:t>
            </w:r>
          </w:p>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影响指标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eastAsia="zh-CN"/>
                <w14:textFill>
                  <w14:solidFill>
                    <w14:schemeClr w14:val="tx1"/>
                  </w14:solidFill>
                </w14:textFill>
              </w:rPr>
            </w:pPr>
            <w:r>
              <w:rPr>
                <w:rFonts w:hint="eastAsia" w:ascii="仿宋" w:hAnsi="仿宋" w:eastAsia="仿宋" w:cs="仿宋"/>
                <w:kern w:val="0"/>
                <w:sz w:val="24"/>
                <w:szCs w:val="24"/>
              </w:rPr>
              <w:t>绿色发展稳步推进</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效益明显</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效益明显</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5"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受益对象满意度</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default" w:ascii="Arial" w:hAnsi="Arial" w:cs="Arial"/>
                <w:color w:val="000000" w:themeColor="text1"/>
                <w:spacing w:val="0"/>
                <w:sz w:val="21"/>
                <w:szCs w:val="21"/>
                <w14:textFill>
                  <w14:solidFill>
                    <w14:schemeClr w14:val="tx1"/>
                  </w14:solidFill>
                </w14:textFill>
              </w:rPr>
              <w:t>≥</w:t>
            </w:r>
            <w:r>
              <w:rPr>
                <w:rFonts w:hint="eastAsia" w:ascii="Arial"/>
                <w:color w:val="000000" w:themeColor="text1"/>
                <w:spacing w:val="0"/>
                <w:sz w:val="21"/>
                <w:szCs w:val="21"/>
                <w:lang w:val="en-US" w:eastAsia="zh-CN"/>
                <w14:textFill>
                  <w14:solidFill>
                    <w14:schemeClr w14:val="tx1"/>
                  </w14:solidFill>
                </w14:textFill>
              </w:rPr>
              <w:t>90%</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90%</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4" w:hRule="atLeast"/>
        </w:trPr>
        <w:tc>
          <w:tcPr>
            <w:tcW w:w="6735"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ind w:left="0" w:right="0" w:firstLine="3145"/>
              <w:jc w:val="center"/>
              <w:textAlignment w:val="auto"/>
              <w:rPr>
                <w:rFonts w:hint="eastAsia" w:eastAsiaTheme="minorEastAsia"/>
                <w:color w:val="000000" w:themeColor="text1"/>
                <w:spacing w:val="0"/>
                <w:sz w:val="21"/>
                <w:szCs w:val="21"/>
                <w:lang w:eastAsia="zh-CN"/>
                <w14:textFill>
                  <w14:solidFill>
                    <w14:schemeClr w14:val="tx1"/>
                  </w14:solidFill>
                </w14:textFill>
              </w:rPr>
            </w:pPr>
            <w:r>
              <w:rPr>
                <w:rFonts w:hint="eastAsia"/>
                <w:color w:val="000000" w:themeColor="text1"/>
                <w:spacing w:val="0"/>
                <w:sz w:val="21"/>
                <w:szCs w:val="21"/>
                <w:lang w:eastAsia="zh-CN"/>
                <w14:textFill>
                  <w14:solidFill>
                    <w14:schemeClr w14:val="tx1"/>
                  </w14:solidFill>
                </w14:textFill>
              </w:rPr>
              <w:t>总分</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100</w:t>
            </w: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100</w:t>
            </w: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附件4</w:t>
      </w:r>
    </w:p>
    <w:p>
      <w:pPr>
        <w:keepNext w:val="0"/>
        <w:keepLines w:val="0"/>
        <w:pageBreakBefore w:val="0"/>
        <w:widowControl w:val="0"/>
        <w:kinsoku/>
        <w:wordWrap/>
        <w:overflowPunct/>
        <w:topLinePunct w:val="0"/>
        <w:autoSpaceDE/>
        <w:autoSpaceDN/>
        <w:bidi w:val="0"/>
        <w:adjustRightInd/>
        <w:snapToGrid/>
        <w:spacing w:line="700" w:lineRule="exact"/>
        <w:ind w:left="0"/>
        <w:jc w:val="center"/>
        <w:textAlignment w:val="auto"/>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pacing w:val="0"/>
          <w:position w:val="0"/>
          <w:sz w:val="44"/>
          <w:szCs w:val="44"/>
          <w:lang w:val="en-US" w:eastAsia="zh-CN"/>
          <w14:textFill>
            <w14:solidFill>
              <w14:schemeClr w14:val="tx1"/>
            </w14:solidFill>
          </w14:textFill>
        </w:rPr>
        <w:t>2022年度项目支出绩效自评表</w:t>
      </w:r>
    </w:p>
    <w:tbl>
      <w:tblPr>
        <w:tblStyle w:val="8"/>
        <w:tblpPr w:leftFromText="180" w:rightFromText="180" w:vertAnchor="text" w:horzAnchor="page" w:tblpX="1682" w:tblpY="68"/>
        <w:tblOverlap w:val="never"/>
        <w:tblW w:w="95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3"/>
        <w:gridCol w:w="1002"/>
        <w:gridCol w:w="1080"/>
        <w:gridCol w:w="1229"/>
        <w:gridCol w:w="1131"/>
        <w:gridCol w:w="1140"/>
        <w:gridCol w:w="685"/>
        <w:gridCol w:w="795"/>
        <w:gridCol w:w="13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4" w:hRule="atLeast"/>
        </w:trPr>
        <w:tc>
          <w:tcPr>
            <w:tcW w:w="1153" w:type="dxa"/>
            <w:vAlign w:val="center"/>
          </w:tcPr>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项目支出</w:t>
            </w:r>
          </w:p>
          <w:p>
            <w:pPr>
              <w:keepNext w:val="0"/>
              <w:keepLines w:val="0"/>
              <w:pageBreakBefore w:val="0"/>
              <w:widowControl w:val="0"/>
              <w:kinsoku/>
              <w:wordWrap/>
              <w:overflowPunct/>
              <w:topLinePunct w:val="0"/>
              <w:autoSpaceDE/>
              <w:autoSpaceDN/>
              <w:bidi w:val="0"/>
              <w:adjustRightInd/>
              <w:snapToGrid/>
              <w:spacing w:line="226"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名称</w:t>
            </w:r>
          </w:p>
        </w:tc>
        <w:tc>
          <w:tcPr>
            <w:tcW w:w="8427" w:type="dxa"/>
            <w:gridSpan w:val="8"/>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环境监测</w:t>
            </w:r>
            <w:r>
              <w:rPr>
                <w:rFonts w:hint="eastAsia" w:ascii="Arial"/>
                <w:color w:val="000000" w:themeColor="text1"/>
                <w:spacing w:val="0"/>
                <w:sz w:val="21"/>
                <w:szCs w:val="21"/>
                <w:lang w:eastAsia="zh-CN"/>
                <w14:textFill>
                  <w14:solidFill>
                    <w14:schemeClr w14:val="tx1"/>
                  </w14:solidFill>
                </w14:textFill>
              </w:rPr>
              <w:t>、</w:t>
            </w:r>
            <w:r>
              <w:rPr>
                <w:rFonts w:hint="eastAsia" w:ascii="Arial"/>
                <w:color w:val="000000" w:themeColor="text1"/>
                <w:spacing w:val="0"/>
                <w:sz w:val="21"/>
                <w:szCs w:val="21"/>
                <w14:textFill>
                  <w14:solidFill>
                    <w14:schemeClr w14:val="tx1"/>
                  </w14:solidFill>
                </w14:textFill>
              </w:rPr>
              <w:t>监察</w:t>
            </w:r>
            <w:r>
              <w:rPr>
                <w:rFonts w:hint="eastAsia" w:ascii="Arial"/>
                <w:color w:val="000000" w:themeColor="text1"/>
                <w:spacing w:val="0"/>
                <w:sz w:val="21"/>
                <w:szCs w:val="21"/>
                <w:lang w:eastAsia="zh-CN"/>
                <w14:textFill>
                  <w14:solidFill>
                    <w14:schemeClr w14:val="tx1"/>
                  </w14:solidFill>
                </w14:textFill>
              </w:rPr>
              <w:t>能力建设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153" w:type="dxa"/>
            <w:vAlign w:val="center"/>
          </w:tcPr>
          <w:p>
            <w:pPr>
              <w:keepNext w:val="0"/>
              <w:keepLines w:val="0"/>
              <w:pageBreakBefore w:val="0"/>
              <w:widowControl w:val="0"/>
              <w:kinsoku/>
              <w:wordWrap/>
              <w:overflowPunct/>
              <w:topLinePunct w:val="0"/>
              <w:autoSpaceDE/>
              <w:autoSpaceDN/>
              <w:bidi w:val="0"/>
              <w:adjustRightInd/>
              <w:snapToGrid/>
              <w:spacing w:line="202"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主管部门</w:t>
            </w:r>
          </w:p>
        </w:tc>
        <w:tc>
          <w:tcPr>
            <w:tcW w:w="4442" w:type="dxa"/>
            <w:gridSpan w:val="4"/>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岳阳市生态环境局（机关）</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实施单位</w:t>
            </w:r>
          </w:p>
        </w:tc>
        <w:tc>
          <w:tcPr>
            <w:tcW w:w="2845" w:type="dxa"/>
            <w:gridSpan w:val="3"/>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岳阳市生态环境局</w:t>
            </w:r>
            <w:r>
              <w:rPr>
                <w:rFonts w:hint="eastAsia" w:ascii="Arial"/>
                <w:color w:val="000000" w:themeColor="text1"/>
                <w:spacing w:val="0"/>
                <w:sz w:val="21"/>
                <w:szCs w:val="21"/>
                <w:lang w:eastAsia="zh-CN"/>
                <w14:textFill>
                  <w14:solidFill>
                    <w14:schemeClr w14:val="tx1"/>
                  </w14:solidFill>
                </w14:textFill>
              </w:rPr>
              <w:t>湘阴</w:t>
            </w:r>
            <w:r>
              <w:rPr>
                <w:rFonts w:hint="eastAsia" w:ascii="Arial"/>
                <w:color w:val="000000" w:themeColor="text1"/>
                <w:spacing w:val="0"/>
                <w:sz w:val="21"/>
                <w:szCs w:val="21"/>
                <w14:textFill>
                  <w14:solidFill>
                    <w14:schemeClr w14:val="tx1"/>
                  </w14:solidFill>
                </w14:textFill>
              </w:rPr>
              <w:t>分局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1" w:hRule="atLeast"/>
        </w:trPr>
        <w:tc>
          <w:tcPr>
            <w:tcW w:w="1153"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4"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5"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项目资金</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(万元)</w:t>
            </w: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300" w:lineRule="exact"/>
              <w:ind w:left="0" w:right="0"/>
              <w:jc w:val="center"/>
              <w:textAlignment w:val="auto"/>
              <w:rPr>
                <w:rFonts w:ascii="Arial"/>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年初</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预算数</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全年</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执行数</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执行率</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115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年度资金总额</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22.95</w:t>
            </w: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22.95</w:t>
            </w: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22.95</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5"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
                <w:sz w:val="21"/>
                <w:szCs w:val="21"/>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100%</w:t>
            </w: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其中：当年财政拨款</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上年结转资金</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2082" w:type="dxa"/>
            <w:gridSpan w:val="2"/>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其他资金</w:t>
            </w:r>
          </w:p>
        </w:tc>
        <w:tc>
          <w:tcPr>
            <w:tcW w:w="1229"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31"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140"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68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7" w:hRule="atLeast"/>
        </w:trPr>
        <w:tc>
          <w:tcPr>
            <w:tcW w:w="1153"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年度总体</w:t>
            </w:r>
          </w:p>
          <w:p>
            <w:pPr>
              <w:keepNext w:val="0"/>
              <w:keepLines w:val="0"/>
              <w:pageBreakBefore w:val="0"/>
              <w:widowControl w:val="0"/>
              <w:kinsoku/>
              <w:wordWrap/>
              <w:overflowPunct/>
              <w:topLinePunct w:val="0"/>
              <w:autoSpaceDE/>
              <w:autoSpaceDN/>
              <w:bidi w:val="0"/>
              <w:adjustRightInd/>
              <w:snapToGrid/>
              <w:spacing w:line="206" w:lineRule="auto"/>
              <w:ind w:left="0" w:right="0" w:hanging="20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目标</w:t>
            </w:r>
          </w:p>
        </w:tc>
        <w:tc>
          <w:tcPr>
            <w:tcW w:w="4442" w:type="dxa"/>
            <w:gridSpan w:val="4"/>
            <w:vAlign w:val="center"/>
          </w:tcPr>
          <w:p>
            <w:pPr>
              <w:keepNext w:val="0"/>
              <w:keepLines w:val="0"/>
              <w:pageBreakBefore w:val="0"/>
              <w:widowControl w:val="0"/>
              <w:kinsoku/>
              <w:wordWrap/>
              <w:overflowPunct/>
              <w:topLinePunct w:val="0"/>
              <w:autoSpaceDE/>
              <w:autoSpaceDN/>
              <w:bidi w:val="0"/>
              <w:adjustRightInd/>
              <w:snapToGrid/>
              <w:spacing w:line="20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预期目标</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0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5" w:hRule="atLeast"/>
        </w:trPr>
        <w:tc>
          <w:tcPr>
            <w:tcW w:w="1153"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4442"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开展辖区环境监察、监测日常工作，为辖区内经济建设、生态保护更好地服务</w:t>
            </w:r>
          </w:p>
        </w:tc>
        <w:tc>
          <w:tcPr>
            <w:tcW w:w="3985" w:type="dxa"/>
            <w:gridSpan w:val="4"/>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eastAsia="zh-CN"/>
                <w14:textFill>
                  <w14:solidFill>
                    <w14:schemeClr w14:val="tx1"/>
                  </w14:solidFill>
                </w14:textFill>
              </w:rPr>
              <w:t>完成</w:t>
            </w:r>
            <w:r>
              <w:rPr>
                <w:rFonts w:hint="eastAsia" w:ascii="Arial"/>
                <w:color w:val="000000" w:themeColor="text1"/>
                <w:spacing w:val="0"/>
                <w:sz w:val="21"/>
                <w:szCs w:val="21"/>
                <w:lang w:val="en-US" w:eastAsia="zh-CN"/>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153" w:type="dxa"/>
            <w:vMerge w:val="restart"/>
            <w:tcBorders>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spacing w:line="21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绩</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效</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指</w:t>
            </w: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标</w:t>
            </w:r>
          </w:p>
        </w:tc>
        <w:tc>
          <w:tcPr>
            <w:tcW w:w="1002"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一级指标</w:t>
            </w:r>
          </w:p>
        </w:tc>
        <w:tc>
          <w:tcPr>
            <w:tcW w:w="108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二级指标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三级指标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年度</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指标值</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实际</w:t>
            </w:r>
          </w:p>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完成值</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分值</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得分</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lang w:val="en-US" w:eastAsia="zh-CN"/>
                <w14:textFill>
                  <w14:solidFill>
                    <w14:schemeClr w14:val="tx1"/>
                  </w14:solidFill>
                </w14:textFill>
              </w:rPr>
              <w:t xml:space="preserve"> </w:t>
            </w:r>
            <w:r>
              <w:rPr>
                <w:rFonts w:ascii="宋体" w:hAnsi="宋体" w:eastAsia="宋体" w:cs="宋体"/>
                <w:color w:val="000000" w:themeColor="text1"/>
                <w:spacing w:val="0"/>
                <w:sz w:val="21"/>
                <w:szCs w:val="21"/>
                <w14:textFill>
                  <w14:solidFill>
                    <w14:schemeClr w14:val="tx1"/>
                  </w14:solidFill>
                </w14:textFill>
              </w:rPr>
              <w:t>偏差原因分析 及改进措施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5"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56"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57"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2"/>
                <w:sz w:val="21"/>
                <w:szCs w:val="21"/>
                <w14:textFill>
                  <w14:solidFill>
                    <w14:schemeClr w14:val="tx1"/>
                  </w14:solidFill>
                </w14:textFill>
              </w:rPr>
              <w:t>产出指标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(50分)</w:t>
            </w:r>
          </w:p>
        </w:tc>
        <w:tc>
          <w:tcPr>
            <w:tcW w:w="1080" w:type="dxa"/>
            <w:vMerge w:val="restart"/>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数量指标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监管企业</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ascii="Arial"/>
                <w:color w:val="000000" w:themeColor="text1"/>
                <w:spacing w:val="0"/>
                <w:sz w:val="21"/>
                <w:szCs w:val="21"/>
                <w:lang w:val="en-US"/>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385</w:t>
            </w:r>
            <w:r>
              <w:rPr>
                <w:rFonts w:hint="eastAsia" w:ascii="Arial"/>
                <w:color w:val="000000" w:themeColor="text1"/>
                <w:spacing w:val="0"/>
                <w:sz w:val="21"/>
                <w:szCs w:val="21"/>
                <w:lang w:val="en-US"/>
                <w14:textFill>
                  <w14:solidFill>
                    <w14:schemeClr w14:val="tx1"/>
                  </w14:solidFill>
                </w14:textFill>
              </w:rPr>
              <w:t>家</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385</w:t>
            </w:r>
            <w:r>
              <w:rPr>
                <w:rFonts w:hint="eastAsia" w:ascii="Arial"/>
                <w:color w:val="000000" w:themeColor="text1"/>
                <w:spacing w:val="0"/>
                <w:sz w:val="21"/>
                <w:szCs w:val="21"/>
                <w:lang w:val="en-US"/>
                <w14:textFill>
                  <w14:solidFill>
                    <w14:schemeClr w14:val="tx1"/>
                  </w14:solidFill>
                </w14:textFill>
              </w:rPr>
              <w:t>家</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19"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80"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vMerge w:val="continue"/>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强力开展各项专项行动；委托第三方进行监督性监测</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eastAsiaTheme="minorEastAsia"/>
                <w:color w:val="000000" w:themeColor="text1"/>
                <w:spacing w:val="0"/>
                <w:sz w:val="21"/>
                <w:szCs w:val="21"/>
                <w:lang w:val="en-US" w:eastAsia="zh-CN"/>
                <w14:textFill>
                  <w14:solidFill>
                    <w14:schemeClr w14:val="tx1"/>
                  </w14:solidFill>
                </w14:textFill>
              </w:rPr>
              <w:t>≥1</w:t>
            </w:r>
            <w:r>
              <w:rPr>
                <w:rFonts w:hint="eastAsia" w:ascii="Arial"/>
                <w:color w:val="000000" w:themeColor="text1"/>
                <w:spacing w:val="0"/>
                <w:sz w:val="21"/>
                <w:szCs w:val="21"/>
                <w:lang w:val="en-US" w:eastAsia="zh-CN"/>
                <w14:textFill>
                  <w14:solidFill>
                    <w14:schemeClr w14:val="tx1"/>
                  </w14:solidFill>
                </w14:textFill>
              </w:rPr>
              <w:t>2次</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12次</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质量指标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全市环境质量达标</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eastAsiaTheme="minorEastAsia"/>
                <w:color w:val="000000" w:themeColor="text1"/>
                <w:spacing w:val="0"/>
                <w:sz w:val="21"/>
                <w:szCs w:val="21"/>
                <w:lang w:val="en-US" w:eastAsia="zh-CN"/>
                <w14:textFill>
                  <w14:solidFill>
                    <w14:schemeClr w14:val="tx1"/>
                  </w14:solidFill>
                </w14:textFill>
              </w:rPr>
              <w:t>≥90%</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90%</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13"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时效指标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按时完成各项指标任务</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2022年度</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2022年度</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2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9"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成本指标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Arial" w:eastAsiaTheme="minorEastAsia"/>
                <w:color w:val="000000" w:themeColor="text1"/>
                <w:spacing w:val="0"/>
                <w:sz w:val="21"/>
                <w:szCs w:val="21"/>
                <w:lang w:eastAsia="zh-CN"/>
                <w14:textFill>
                  <w14:solidFill>
                    <w14:schemeClr w14:val="tx1"/>
                  </w14:solidFill>
                </w14:textFill>
              </w:rPr>
            </w:pPr>
            <w:r>
              <w:rPr>
                <w:rFonts w:hint="eastAsia" w:ascii="Arial" w:eastAsiaTheme="minorEastAsia"/>
                <w:color w:val="000000" w:themeColor="text1"/>
                <w:spacing w:val="0"/>
                <w:sz w:val="21"/>
                <w:szCs w:val="21"/>
                <w:lang w:eastAsia="zh-CN"/>
                <w14:textFill>
                  <w14:solidFill>
                    <w14:schemeClr w14:val="tx1"/>
                  </w14:solidFill>
                </w14:textFill>
              </w:rPr>
              <w:t>监察、监测</w:t>
            </w:r>
            <w:r>
              <w:rPr>
                <w:rFonts w:hint="eastAsia" w:ascii="Arial"/>
                <w:color w:val="000000" w:themeColor="text1"/>
                <w:spacing w:val="0"/>
                <w:sz w:val="21"/>
                <w:szCs w:val="21"/>
                <w:lang w:eastAsia="zh-CN"/>
                <w14:textFill>
                  <w14:solidFill>
                    <w14:schemeClr w14:val="tx1"/>
                  </w14:solidFill>
                </w14:textFill>
              </w:rPr>
              <w:t>能力建设</w:t>
            </w:r>
            <w:r>
              <w:rPr>
                <w:rFonts w:hint="eastAsia" w:ascii="Arial" w:eastAsiaTheme="minorEastAsia"/>
                <w:color w:val="000000" w:themeColor="text1"/>
                <w:spacing w:val="0"/>
                <w:sz w:val="21"/>
                <w:szCs w:val="21"/>
                <w:lang w:eastAsia="zh-CN"/>
                <w14:textFill>
                  <w14:solidFill>
                    <w14:schemeClr w14:val="tx1"/>
                  </w14:solidFill>
                </w14:textFill>
              </w:rPr>
              <w:t>运行成本</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22.95</w:t>
            </w:r>
            <w:r>
              <w:rPr>
                <w:rFonts w:hint="eastAsia" w:ascii="Arial" w:eastAsiaTheme="minorEastAsia"/>
                <w:color w:val="000000" w:themeColor="text1"/>
                <w:spacing w:val="0"/>
                <w:sz w:val="21"/>
                <w:szCs w:val="21"/>
                <w:lang w:val="en-US" w:eastAsia="zh-CN"/>
                <w14:textFill>
                  <w14:solidFill>
                    <w14:schemeClr w14:val="tx1"/>
                  </w14:solidFill>
                </w14:textFill>
              </w:rPr>
              <w:t>万元</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2</w:t>
            </w:r>
            <w:bookmarkStart w:id="0" w:name="_GoBack"/>
            <w:bookmarkEnd w:id="0"/>
            <w:r>
              <w:rPr>
                <w:rFonts w:hint="eastAsia" w:ascii="Arial"/>
                <w:color w:val="000000" w:themeColor="text1"/>
                <w:spacing w:val="0"/>
                <w:sz w:val="21"/>
                <w:szCs w:val="21"/>
                <w:lang w:val="en-US" w:eastAsia="zh-CN"/>
                <w14:textFill>
                  <w14:solidFill>
                    <w14:schemeClr w14:val="tx1"/>
                  </w14:solidFill>
                </w14:textFill>
              </w:rPr>
              <w:t>2.95</w:t>
            </w:r>
            <w:r>
              <w:rPr>
                <w:rFonts w:hint="eastAsia" w:ascii="Arial" w:eastAsiaTheme="minorEastAsia"/>
                <w:color w:val="000000" w:themeColor="text1"/>
                <w:spacing w:val="0"/>
                <w:sz w:val="21"/>
                <w:szCs w:val="21"/>
                <w:lang w:val="en-US" w:eastAsia="zh-CN"/>
                <w14:textFill>
                  <w14:solidFill>
                    <w14:schemeClr w14:val="tx1"/>
                  </w14:solidFill>
                </w14:textFill>
              </w:rPr>
              <w:t>万元</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2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45"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restart"/>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300"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01" w:lineRule="auto"/>
              <w:ind w:left="0" w:right="0"/>
              <w:jc w:val="center"/>
              <w:textAlignment w:val="auto"/>
              <w:rPr>
                <w:rFonts w:ascii="Arial"/>
                <w:color w:val="000000" w:themeColor="text1"/>
                <w:spacing w:val="0"/>
                <w:sz w:val="21"/>
                <w:szCs w:val="2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9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21"/>
                <w:sz w:val="21"/>
                <w:szCs w:val="21"/>
                <w14:textFill>
                  <w14:solidFill>
                    <w14:schemeClr w14:val="tx1"/>
                  </w14:solidFill>
                </w14:textFill>
              </w:rPr>
              <w:t>效益指标</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(30分)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position w:val="4"/>
                <w:sz w:val="21"/>
                <w:szCs w:val="21"/>
                <w14:textFill>
                  <w14:solidFill>
                    <w14:schemeClr w14:val="tx1"/>
                  </w14:solidFill>
                </w14:textFill>
              </w:rPr>
              <w:t>经济效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促进经济发展</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经济平稳发展</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经济平稳发展</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9"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2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社会效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改善居民生产、生活环境，提升幸福生活指数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eastAsia="zh-CN"/>
                <w14:textFill>
                  <w14:solidFill>
                    <w14:schemeClr w14:val="tx1"/>
                  </w14:solidFill>
                </w14:textFill>
              </w:rPr>
            </w:pPr>
            <w:r>
              <w:rPr>
                <w:rFonts w:hint="eastAsia" w:ascii="Arial" w:eastAsiaTheme="minorEastAsia"/>
                <w:color w:val="000000" w:themeColor="text1"/>
                <w:spacing w:val="0"/>
                <w:sz w:val="21"/>
                <w:szCs w:val="21"/>
                <w:lang w:eastAsia="zh-CN"/>
                <w14:textFill>
                  <w14:solidFill>
                    <w14:schemeClr w14:val="tx1"/>
                  </w14:solidFill>
                </w14:textFill>
              </w:rPr>
              <w:t>有所改善</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eastAsiaTheme="minorEastAsia"/>
                <w:color w:val="000000" w:themeColor="text1"/>
                <w:spacing w:val="0"/>
                <w:sz w:val="21"/>
                <w:szCs w:val="21"/>
                <w:lang w:eastAsia="zh-CN"/>
                <w14:textFill>
                  <w14:solidFill>
                    <w14:schemeClr w14:val="tx1"/>
                  </w14:solidFill>
                </w14:textFill>
              </w:rPr>
              <w:t>有所改善</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default" w:ascii="Arial"/>
                <w:color w:val="000000" w:themeColor="text1"/>
                <w:spacing w:val="0"/>
                <w:sz w:val="21"/>
                <w:szCs w:val="21"/>
                <w:lang w:val="en-US"/>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37"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生态效</w:t>
            </w:r>
          </w:p>
          <w:p>
            <w:pPr>
              <w:keepNext w:val="0"/>
              <w:keepLines w:val="0"/>
              <w:pageBreakBefore w:val="0"/>
              <w:widowControl w:val="0"/>
              <w:kinsoku/>
              <w:wordWrap/>
              <w:overflowPunct/>
              <w:topLinePunct w:val="0"/>
              <w:autoSpaceDE/>
              <w:autoSpaceDN/>
              <w:bidi w:val="0"/>
              <w:adjustRightInd/>
              <w:snapToGrid/>
              <w:spacing w:line="220"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益指标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改善居民生产、生活环境，提升幸福生活指数</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有所改善</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有所改善</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6"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可持续</w:t>
            </w:r>
          </w:p>
          <w:p>
            <w:pPr>
              <w:keepNext w:val="0"/>
              <w:keepLines w:val="0"/>
              <w:pageBreakBefore w:val="0"/>
              <w:widowControl w:val="0"/>
              <w:kinsoku/>
              <w:wordWrap/>
              <w:overflowPunct/>
              <w:topLinePunct w:val="0"/>
              <w:autoSpaceDE/>
              <w:autoSpaceDN/>
              <w:bidi w:val="0"/>
              <w:adjustRightInd/>
              <w:snapToGrid/>
              <w:spacing w:line="216" w:lineRule="auto"/>
              <w:ind w:left="0" w:right="0" w:hanging="99"/>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影响指标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eastAsia" w:ascii="Arial" w:eastAsiaTheme="minorEastAsia"/>
                <w:color w:val="000000" w:themeColor="text1"/>
                <w:spacing w:val="0"/>
                <w:sz w:val="21"/>
                <w:szCs w:val="21"/>
                <w:lang w:eastAsia="zh-CN"/>
                <w14:textFill>
                  <w14:solidFill>
                    <w14:schemeClr w14:val="tx1"/>
                  </w14:solidFill>
                </w14:textFill>
              </w:rPr>
            </w:pPr>
            <w:r>
              <w:rPr>
                <w:rFonts w:hint="eastAsia" w:ascii="仿宋" w:hAnsi="仿宋" w:eastAsia="仿宋" w:cs="仿宋"/>
                <w:kern w:val="0"/>
                <w:sz w:val="24"/>
                <w:szCs w:val="24"/>
              </w:rPr>
              <w:t>绿色发展稳步推进</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效益明显</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效益明显</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3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55" w:hRule="atLeast"/>
        </w:trPr>
        <w:tc>
          <w:tcPr>
            <w:tcW w:w="1153" w:type="dxa"/>
            <w:vMerge w:val="continue"/>
            <w:tcBorders>
              <w:top w:val="nil"/>
              <w:bottom w:val="nil"/>
            </w:tcBorders>
            <w:textDirection w:val="tbRlV"/>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c>
          <w:tcPr>
            <w:tcW w:w="1002"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(10分)</w:t>
            </w:r>
          </w:p>
        </w:tc>
        <w:tc>
          <w:tcPr>
            <w:tcW w:w="1080" w:type="dxa"/>
            <w:tcBorders>
              <w:bottom w:val="nil"/>
            </w:tcBorders>
            <w:vAlign w:val="center"/>
          </w:tcPr>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服务对象</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满意度</w:t>
            </w:r>
          </w:p>
          <w:p>
            <w:pPr>
              <w:keepNext w:val="0"/>
              <w:keepLines w:val="0"/>
              <w:pageBreakBefore w:val="0"/>
              <w:widowControl w:val="0"/>
              <w:kinsoku/>
              <w:wordWrap/>
              <w:overflowPunct/>
              <w:topLinePunct w:val="0"/>
              <w:autoSpaceDE/>
              <w:autoSpaceDN/>
              <w:bidi w:val="0"/>
              <w:adjustRightInd/>
              <w:snapToGrid/>
              <w:spacing w:line="280" w:lineRule="exact"/>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指标</w:t>
            </w:r>
          </w:p>
        </w:tc>
        <w:tc>
          <w:tcPr>
            <w:tcW w:w="1229"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14:textFill>
                  <w14:solidFill>
                    <w14:schemeClr w14:val="tx1"/>
                  </w14:solidFill>
                </w14:textFill>
              </w:rPr>
              <w:t>受益对象满意度</w:t>
            </w:r>
          </w:p>
        </w:tc>
        <w:tc>
          <w:tcPr>
            <w:tcW w:w="1131"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default" w:ascii="Arial" w:hAnsi="Arial" w:cs="Arial"/>
                <w:color w:val="000000" w:themeColor="text1"/>
                <w:spacing w:val="0"/>
                <w:sz w:val="21"/>
                <w:szCs w:val="21"/>
                <w14:textFill>
                  <w14:solidFill>
                    <w14:schemeClr w14:val="tx1"/>
                  </w14:solidFill>
                </w14:textFill>
              </w:rPr>
              <w:t>≥</w:t>
            </w:r>
            <w:r>
              <w:rPr>
                <w:rFonts w:hint="eastAsia" w:ascii="Arial"/>
                <w:color w:val="000000" w:themeColor="text1"/>
                <w:spacing w:val="0"/>
                <w:sz w:val="21"/>
                <w:szCs w:val="21"/>
                <w:lang w:val="en-US" w:eastAsia="zh-CN"/>
                <w14:textFill>
                  <w14:solidFill>
                    <w14:schemeClr w14:val="tx1"/>
                  </w14:solidFill>
                </w14:textFill>
              </w:rPr>
              <w:t>90%</w:t>
            </w:r>
          </w:p>
        </w:tc>
        <w:tc>
          <w:tcPr>
            <w:tcW w:w="1140"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90%</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hint="eastAsia"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79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jc w:val="center"/>
              <w:textAlignment w:val="auto"/>
              <w:rPr>
                <w:rFonts w:ascii="Arial"/>
                <w:color w:val="000000" w:themeColor="text1"/>
                <w:spacing w:val="0"/>
                <w:sz w:val="21"/>
                <w:szCs w:val="21"/>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w:t>
            </w:r>
          </w:p>
        </w:tc>
        <w:tc>
          <w:tcPr>
            <w:tcW w:w="1365"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right="0"/>
              <w:jc w:val="center"/>
              <w:textAlignment w:val="auto"/>
              <w:rPr>
                <w:rFonts w:ascii="Arial"/>
                <w:color w:val="000000" w:themeColor="text1"/>
                <w:spacing w:val="0"/>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4" w:hRule="atLeast"/>
        </w:trPr>
        <w:tc>
          <w:tcPr>
            <w:tcW w:w="6735" w:type="dxa"/>
            <w:gridSpan w:val="6"/>
            <w:vAlign w:val="center"/>
          </w:tcPr>
          <w:p>
            <w:pPr>
              <w:keepNext w:val="0"/>
              <w:keepLines w:val="0"/>
              <w:pageBreakBefore w:val="0"/>
              <w:widowControl w:val="0"/>
              <w:kinsoku/>
              <w:wordWrap/>
              <w:overflowPunct/>
              <w:topLinePunct w:val="0"/>
              <w:autoSpaceDE/>
              <w:autoSpaceDN/>
              <w:bidi w:val="0"/>
              <w:adjustRightInd/>
              <w:snapToGrid/>
              <w:spacing w:line="260" w:lineRule="exact"/>
              <w:ind w:left="0" w:right="0" w:firstLine="3145"/>
              <w:jc w:val="center"/>
              <w:textAlignment w:val="auto"/>
              <w:rPr>
                <w:rFonts w:hint="eastAsia" w:eastAsiaTheme="minorEastAsia"/>
                <w:color w:val="000000" w:themeColor="text1"/>
                <w:spacing w:val="0"/>
                <w:sz w:val="21"/>
                <w:szCs w:val="21"/>
                <w:lang w:eastAsia="zh-CN"/>
                <w14:textFill>
                  <w14:solidFill>
                    <w14:schemeClr w14:val="tx1"/>
                  </w14:solidFill>
                </w14:textFill>
              </w:rPr>
            </w:pPr>
            <w:r>
              <w:rPr>
                <w:rFonts w:hint="eastAsia"/>
                <w:color w:val="000000" w:themeColor="text1"/>
                <w:spacing w:val="0"/>
                <w:sz w:val="21"/>
                <w:szCs w:val="21"/>
                <w:lang w:eastAsia="zh-CN"/>
                <w14:textFill>
                  <w14:solidFill>
                    <w14:schemeClr w14:val="tx1"/>
                  </w14:solidFill>
                </w14:textFill>
              </w:rPr>
              <w:t>总分</w:t>
            </w:r>
          </w:p>
        </w:tc>
        <w:tc>
          <w:tcPr>
            <w:tcW w:w="685" w:type="dxa"/>
            <w:vAlign w:val="center"/>
          </w:tcPr>
          <w:p>
            <w:pPr>
              <w:keepNext w:val="0"/>
              <w:keepLines w:val="0"/>
              <w:pageBreakBefore w:val="0"/>
              <w:widowControl w:val="0"/>
              <w:kinsoku/>
              <w:wordWrap/>
              <w:overflowPunct/>
              <w:topLinePunct w:val="0"/>
              <w:autoSpaceDE/>
              <w:autoSpaceDN/>
              <w:bidi w:val="0"/>
              <w:adjustRightInd/>
              <w:snapToGrid/>
              <w:spacing w:line="161" w:lineRule="auto"/>
              <w:ind w:left="0" w:right="0"/>
              <w:jc w:val="center"/>
              <w:textAlignment w:val="auto"/>
              <w:rPr>
                <w:rFonts w:ascii="宋体" w:hAnsi="宋体" w:eastAsia="宋体" w:cs="宋体"/>
                <w:color w:val="000000" w:themeColor="text1"/>
                <w:spacing w:val="0"/>
                <w:sz w:val="21"/>
                <w:szCs w:val="21"/>
                <w14:textFill>
                  <w14:solidFill>
                    <w14:schemeClr w14:val="tx1"/>
                  </w14:solidFill>
                </w14:textFill>
              </w:rPr>
            </w:pPr>
            <w:r>
              <w:rPr>
                <w:rFonts w:ascii="宋体" w:hAnsi="宋体" w:eastAsia="宋体" w:cs="宋体"/>
                <w:color w:val="000000" w:themeColor="text1"/>
                <w:spacing w:val="0"/>
                <w:sz w:val="21"/>
                <w:szCs w:val="21"/>
                <w14:textFill>
                  <w14:solidFill>
                    <w14:schemeClr w14:val="tx1"/>
                  </w14:solidFill>
                </w14:textFill>
              </w:rPr>
              <w:t>100</w:t>
            </w:r>
          </w:p>
        </w:tc>
        <w:tc>
          <w:tcPr>
            <w:tcW w:w="79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hint="default" w:ascii="Arial" w:eastAsiaTheme="minorEastAsia"/>
                <w:color w:val="000000" w:themeColor="text1"/>
                <w:spacing w:val="0"/>
                <w:sz w:val="21"/>
                <w:szCs w:val="21"/>
                <w:lang w:val="en-US" w:eastAsia="zh-CN"/>
                <w14:textFill>
                  <w14:solidFill>
                    <w14:schemeClr w14:val="tx1"/>
                  </w14:solidFill>
                </w14:textFill>
              </w:rPr>
            </w:pPr>
            <w:r>
              <w:rPr>
                <w:rFonts w:hint="eastAsia" w:ascii="Arial"/>
                <w:color w:val="000000" w:themeColor="text1"/>
                <w:spacing w:val="0"/>
                <w:sz w:val="21"/>
                <w:szCs w:val="21"/>
                <w:lang w:val="en-US" w:eastAsia="zh-CN"/>
                <w14:textFill>
                  <w14:solidFill>
                    <w14:schemeClr w14:val="tx1"/>
                  </w14:solidFill>
                </w14:textFill>
              </w:rPr>
              <w:t>100</w:t>
            </w:r>
          </w:p>
        </w:tc>
        <w:tc>
          <w:tcPr>
            <w:tcW w:w="1365" w:type="dxa"/>
            <w:vAlign w:val="center"/>
          </w:tcPr>
          <w:p>
            <w:pPr>
              <w:keepNext w:val="0"/>
              <w:keepLines w:val="0"/>
              <w:pageBreakBefore w:val="0"/>
              <w:widowControl w:val="0"/>
              <w:kinsoku/>
              <w:wordWrap/>
              <w:overflowPunct/>
              <w:topLinePunct w:val="0"/>
              <w:autoSpaceDE/>
              <w:autoSpaceDN/>
              <w:bidi w:val="0"/>
              <w:adjustRightInd/>
              <w:snapToGrid/>
              <w:ind w:left="0" w:right="0"/>
              <w:jc w:val="center"/>
              <w:textAlignment w:val="auto"/>
              <w:rPr>
                <w:rFonts w:ascii="Arial"/>
                <w:color w:val="000000" w:themeColor="text1"/>
                <w:spacing w:val="0"/>
                <w:sz w:val="21"/>
                <w:szCs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pPr>
      <w:r>
        <w:rPr>
          <w:rFonts w:hint="eastAsia" w:ascii="黑体" w:hAnsi="黑体" w:eastAsia="黑体" w:cs="黑体"/>
          <w:b w:val="0"/>
          <w:bCs w:val="0"/>
          <w:color w:val="000000" w:themeColor="text1"/>
          <w:spacing w:val="10"/>
          <w:sz w:val="32"/>
          <w:szCs w:val="32"/>
          <w:lang w:val="en-US" w:eastAsia="zh-CN"/>
          <w14:textFill>
            <w14:solidFill>
              <w14:schemeClr w14:val="tx1"/>
            </w14:solidFill>
          </w14:textFill>
        </w:rPr>
        <w:t>附件5</w:t>
      </w:r>
    </w:p>
    <w:p>
      <w:pPr>
        <w:jc w:val="both"/>
        <w:rPr>
          <w:rFonts w:hint="eastAsia" w:eastAsia="方正小标宋简体"/>
          <w:sz w:val="36"/>
          <w:szCs w:val="36"/>
          <w:lang w:eastAsia="zh-CN"/>
        </w:rPr>
      </w:pPr>
    </w:p>
    <w:p>
      <w:pPr>
        <w:ind w:firstLine="1440" w:firstLineChars="400"/>
        <w:jc w:val="both"/>
        <w:rPr>
          <w:rFonts w:eastAsia="方正小标宋简体"/>
          <w:spacing w:val="-6"/>
          <w:sz w:val="36"/>
          <w:szCs w:val="36"/>
        </w:rPr>
      </w:pPr>
      <w:r>
        <w:rPr>
          <w:rFonts w:hint="eastAsia" w:eastAsia="方正小标宋简体"/>
          <w:sz w:val="36"/>
          <w:szCs w:val="36"/>
          <w:lang w:eastAsia="zh-CN"/>
        </w:rPr>
        <w:t>区级</w:t>
      </w:r>
      <w:r>
        <w:rPr>
          <w:rFonts w:eastAsia="方正小标宋简体"/>
          <w:sz w:val="36"/>
          <w:szCs w:val="36"/>
        </w:rPr>
        <w:t>预算</w:t>
      </w:r>
      <w:r>
        <w:rPr>
          <w:rFonts w:hint="eastAsia" w:eastAsia="方正小标宋简体"/>
          <w:sz w:val="36"/>
          <w:szCs w:val="36"/>
          <w:lang w:eastAsia="zh-CN"/>
        </w:rPr>
        <w:t>单位</w:t>
      </w:r>
      <w:r>
        <w:rPr>
          <w:rFonts w:eastAsia="方正小标宋简体"/>
          <w:spacing w:val="-6"/>
          <w:sz w:val="36"/>
          <w:szCs w:val="36"/>
        </w:rPr>
        <w:t>绩效自评工作考核评分表</w:t>
      </w:r>
    </w:p>
    <w:tbl>
      <w:tblPr>
        <w:tblStyle w:val="5"/>
        <w:tblW w:w="9510" w:type="dxa"/>
        <w:jc w:val="center"/>
        <w:tblLayout w:type="fixed"/>
        <w:tblCellMar>
          <w:top w:w="0" w:type="dxa"/>
          <w:left w:w="108" w:type="dxa"/>
          <w:bottom w:w="0" w:type="dxa"/>
          <w:right w:w="108" w:type="dxa"/>
        </w:tblCellMar>
      </w:tblPr>
      <w:tblGrid>
        <w:gridCol w:w="774"/>
        <w:gridCol w:w="1501"/>
        <w:gridCol w:w="6482"/>
        <w:gridCol w:w="753"/>
      </w:tblGrid>
      <w:tr>
        <w:tblPrEx>
          <w:tblCellMar>
            <w:top w:w="0" w:type="dxa"/>
            <w:left w:w="108" w:type="dxa"/>
            <w:bottom w:w="0" w:type="dxa"/>
            <w:right w:w="108" w:type="dxa"/>
          </w:tblCellMar>
        </w:tblPrEx>
        <w:trPr>
          <w:trHeight w:val="630" w:hRule="atLeast"/>
          <w:tblHeader/>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一级指标</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二级指标</w:t>
            </w:r>
          </w:p>
        </w:tc>
        <w:tc>
          <w:tcPr>
            <w:tcW w:w="6482"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评分标准</w:t>
            </w:r>
          </w:p>
        </w:tc>
        <w:tc>
          <w:tcPr>
            <w:tcW w:w="753" w:type="dxa"/>
            <w:tcBorders>
              <w:top w:val="single" w:color="auto" w:sz="4" w:space="0"/>
              <w:left w:val="nil"/>
              <w:bottom w:val="single" w:color="auto" w:sz="4" w:space="0"/>
              <w:right w:val="single" w:color="auto" w:sz="4" w:space="0"/>
            </w:tcBorders>
            <w:vAlign w:val="center"/>
          </w:tcPr>
          <w:p>
            <w:pPr>
              <w:spacing w:line="240" w:lineRule="exact"/>
              <w:jc w:val="center"/>
              <w:rPr>
                <w:rFonts w:eastAsia="黑体"/>
                <w:szCs w:val="21"/>
              </w:rPr>
            </w:pPr>
            <w:r>
              <w:rPr>
                <w:rFonts w:eastAsia="黑体"/>
                <w:szCs w:val="21"/>
              </w:rPr>
              <w:t>评分</w:t>
            </w:r>
          </w:p>
        </w:tc>
      </w:tr>
      <w:tr>
        <w:tblPrEx>
          <w:tblCellMar>
            <w:top w:w="0" w:type="dxa"/>
            <w:left w:w="108" w:type="dxa"/>
            <w:bottom w:w="0" w:type="dxa"/>
            <w:right w:w="108" w:type="dxa"/>
          </w:tblCellMar>
        </w:tblPrEx>
        <w:trPr>
          <w:trHeight w:val="1234"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实施评价</w:t>
            </w:r>
          </w:p>
          <w:p>
            <w:pPr>
              <w:spacing w:line="320" w:lineRule="exact"/>
              <w:jc w:val="center"/>
              <w:rPr>
                <w:rFonts w:hint="eastAsia" w:asciiTheme="majorEastAsia" w:hAnsiTheme="majorEastAsia" w:eastAsiaTheme="majorEastAsia" w:cstheme="majorEastAsia"/>
                <w:szCs w:val="21"/>
              </w:rPr>
            </w:pPr>
          </w:p>
          <w:p>
            <w:pPr>
              <w:spacing w:line="32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30分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单位自查</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（20分）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eastAsia="zh-CN"/>
              </w:rPr>
              <w:t>区</w:t>
            </w:r>
            <w:r>
              <w:rPr>
                <w:rFonts w:hint="eastAsia" w:asciiTheme="majorEastAsia" w:hAnsiTheme="majorEastAsia" w:eastAsiaTheme="majorEastAsia" w:cstheme="majorEastAsia"/>
                <w:sz w:val="21"/>
                <w:szCs w:val="21"/>
              </w:rPr>
              <w:t>级预算单位都要开展绩效自查，转移支付项目单位都要开展绩效自查，区级主管部门都要汇总本区域转移支付情况；以上各项每发现一个单位没有做相应工作的，扣1分，最多扣20分。</w:t>
            </w:r>
          </w:p>
        </w:tc>
        <w:tc>
          <w:tcPr>
            <w:tcW w:w="753" w:type="dxa"/>
            <w:tcBorders>
              <w:top w:val="single" w:color="auto" w:sz="4" w:space="0"/>
              <w:left w:val="nil"/>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682"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nil"/>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提交报告</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（10分）</w:t>
            </w:r>
          </w:p>
        </w:tc>
        <w:tc>
          <w:tcPr>
            <w:tcW w:w="6482" w:type="dxa"/>
            <w:tcBorders>
              <w:top w:val="nil"/>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按时向</w:t>
            </w:r>
            <w:r>
              <w:rPr>
                <w:rFonts w:hint="eastAsia" w:asciiTheme="majorEastAsia" w:hAnsiTheme="majorEastAsia" w:eastAsiaTheme="majorEastAsia" w:cstheme="majorEastAsia"/>
                <w:sz w:val="21"/>
                <w:szCs w:val="21"/>
                <w:lang w:eastAsia="zh-CN"/>
              </w:rPr>
              <w:t>区</w:t>
            </w:r>
            <w:r>
              <w:rPr>
                <w:rFonts w:hint="eastAsia" w:asciiTheme="majorEastAsia" w:hAnsiTheme="majorEastAsia" w:eastAsiaTheme="majorEastAsia" w:cstheme="majorEastAsia"/>
                <w:sz w:val="21"/>
                <w:szCs w:val="21"/>
              </w:rPr>
              <w:t>财政局报送报告的得10分；每推迟一天报送报告的扣1分，最多扣10分。</w:t>
            </w:r>
          </w:p>
        </w:tc>
        <w:tc>
          <w:tcPr>
            <w:tcW w:w="753" w:type="dxa"/>
            <w:tcBorders>
              <w:top w:val="nil"/>
              <w:left w:val="nil"/>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10</w:t>
            </w:r>
          </w:p>
        </w:tc>
      </w:tr>
      <w:tr>
        <w:tblPrEx>
          <w:tblCellMar>
            <w:top w:w="0" w:type="dxa"/>
            <w:left w:w="108" w:type="dxa"/>
            <w:bottom w:w="0" w:type="dxa"/>
            <w:right w:w="108" w:type="dxa"/>
          </w:tblCellMar>
        </w:tblPrEx>
        <w:trPr>
          <w:trHeight w:val="1408" w:hRule="atLeast"/>
          <w:jc w:val="center"/>
        </w:trPr>
        <w:tc>
          <w:tcPr>
            <w:tcW w:w="774"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自评报告</w:t>
            </w:r>
          </w:p>
          <w:p>
            <w:pPr>
              <w:spacing w:line="240" w:lineRule="exact"/>
              <w:jc w:val="center"/>
              <w:rPr>
                <w:rFonts w:hint="eastAsia" w:asciiTheme="majorEastAsia" w:hAnsiTheme="majorEastAsia" w:eastAsiaTheme="majorEastAsia" w:cstheme="majorEastAsia"/>
                <w:szCs w:val="21"/>
              </w:rPr>
            </w:pPr>
          </w:p>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lang w:val="en-US" w:eastAsia="zh-CN"/>
              </w:rPr>
              <w:t>70</w:t>
            </w:r>
            <w:r>
              <w:rPr>
                <w:rFonts w:hint="eastAsia" w:asciiTheme="majorEastAsia" w:hAnsiTheme="majorEastAsia" w:eastAsiaTheme="majorEastAsia" w:cstheme="majorEastAsia"/>
                <w:szCs w:val="21"/>
              </w:rPr>
              <w:t>分</w:t>
            </w: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自评报告</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的完整性</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1.绩效自评报告正文部分内容齐全的，得8分；否则每少一个部分扣2分，最多扣8分。</w:t>
            </w:r>
          </w:p>
          <w:p>
            <w:pPr>
              <w:spacing w:line="240" w:lineRule="exact"/>
              <w:ind w:firstLine="21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2.绩效自评报告附件部分内容齐全的，得7分；否则每少一个部分扣2分，最多扣7分。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15</w:t>
            </w:r>
          </w:p>
        </w:tc>
      </w:tr>
      <w:tr>
        <w:tblPrEx>
          <w:tblCellMar>
            <w:top w:w="0" w:type="dxa"/>
            <w:left w:w="108" w:type="dxa"/>
            <w:bottom w:w="0" w:type="dxa"/>
            <w:right w:w="108" w:type="dxa"/>
          </w:tblCellMar>
        </w:tblPrEx>
        <w:trPr>
          <w:trHeight w:val="3405"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nil"/>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绩效自评表</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20</w:t>
            </w:r>
            <w:r>
              <w:rPr>
                <w:rFonts w:hint="eastAsia" w:asciiTheme="majorEastAsia" w:hAnsiTheme="majorEastAsia" w:eastAsiaTheme="majorEastAsia" w:cstheme="majorEastAsia"/>
                <w:sz w:val="21"/>
                <w:szCs w:val="21"/>
              </w:rPr>
              <w:t>分）</w:t>
            </w:r>
          </w:p>
        </w:tc>
        <w:tc>
          <w:tcPr>
            <w:tcW w:w="648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1.部门整体支出和项目支出绩效指标反映产出、效益、服务对象满意度方面的指标和预算执行率的权重符合</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岳阳市市级预算部门绩效自评操作规程</w:t>
            </w:r>
            <w:r>
              <w:rPr>
                <w:rFonts w:hint="eastAsia" w:asciiTheme="majorEastAsia" w:hAnsiTheme="majorEastAsia" w:eastAsiaTheme="majorEastAsia" w:cstheme="majorEastAsia"/>
                <w:sz w:val="21"/>
                <w:szCs w:val="21"/>
                <w:lang w:eastAsia="zh-CN"/>
              </w:rPr>
              <w:t>》</w:t>
            </w:r>
            <w:r>
              <w:rPr>
                <w:rFonts w:hint="eastAsia" w:asciiTheme="majorEastAsia" w:hAnsiTheme="majorEastAsia" w:eastAsiaTheme="majorEastAsia" w:cstheme="majorEastAsia"/>
                <w:sz w:val="21"/>
                <w:szCs w:val="21"/>
              </w:rPr>
              <w:t>的，得</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分，否则按比例扣除相应的分数。</w:t>
            </w:r>
          </w:p>
          <w:p>
            <w:pPr>
              <w:keepNext w:val="0"/>
              <w:keepLines w:val="0"/>
              <w:pageBreakBefore w:val="0"/>
              <w:widowControl w:val="0"/>
              <w:kinsoku/>
              <w:wordWrap/>
              <w:overflowPunct/>
              <w:topLinePunct w:val="0"/>
              <w:autoSpaceDE/>
              <w:autoSpaceDN/>
              <w:bidi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2.部门整体支出和项目支出绩效指标全部细化到三级指标的，得</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分；部分细化的，酌情扣分；没有细化的，不得分。</w:t>
            </w:r>
          </w:p>
          <w:p>
            <w:pPr>
              <w:keepNext w:val="0"/>
              <w:keepLines w:val="0"/>
              <w:pageBreakBefore w:val="0"/>
              <w:widowControl w:val="0"/>
              <w:kinsoku/>
              <w:wordWrap/>
              <w:overflowPunct/>
              <w:topLinePunct w:val="0"/>
              <w:autoSpaceDE/>
              <w:autoSpaceDN/>
              <w:bidi w:val="0"/>
              <w:spacing w:line="240" w:lineRule="auto"/>
              <w:ind w:firstLine="420" w:firstLineChars="200"/>
              <w:jc w:val="left"/>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3.部门整体支出和项目支出三级绩效指标内涵明确、具体、可衡量的得5分；突出核心指标，精简实用的得3分；指标与部门整体支出和项目支出密切相关，全面反映产出和效益的得2分；否则每项酌情扣分，最多扣10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1640"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绩效评价</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报告反映</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问题情况</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20</w:t>
            </w:r>
            <w:r>
              <w:rPr>
                <w:rFonts w:hint="eastAsia" w:asciiTheme="majorEastAsia" w:hAnsiTheme="majorEastAsia" w:eastAsiaTheme="majorEastAsia" w:cstheme="majorEastAsia"/>
                <w:sz w:val="21"/>
                <w:szCs w:val="21"/>
              </w:rPr>
              <w:t>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30"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10"/>
                <w:sz w:val="21"/>
                <w:szCs w:val="21"/>
              </w:rPr>
              <w:t>从预算和预算绩效管理，部门履职效能，资金分</w:t>
            </w:r>
            <w:r>
              <w:rPr>
                <w:rFonts w:hint="eastAsia" w:asciiTheme="majorEastAsia" w:hAnsiTheme="majorEastAsia" w:eastAsiaTheme="majorEastAsia" w:cstheme="majorEastAsia"/>
                <w:spacing w:val="9"/>
                <w:sz w:val="21"/>
                <w:szCs w:val="21"/>
              </w:rPr>
              <w:t>配、使用和管理，资产和财务管理，政府</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7"/>
                <w:sz w:val="21"/>
                <w:szCs w:val="21"/>
              </w:rPr>
              <w:t>采购等方面归纳问题、分析原因全面的，得20分；反映问题、分析原因较</w:t>
            </w:r>
            <w:r>
              <w:rPr>
                <w:rFonts w:hint="eastAsia" w:asciiTheme="majorEastAsia" w:hAnsiTheme="majorEastAsia" w:eastAsiaTheme="majorEastAsia" w:cstheme="majorEastAsia"/>
                <w:spacing w:val="6"/>
                <w:sz w:val="21"/>
                <w:szCs w:val="21"/>
              </w:rPr>
              <w:t>全面的，得16—</w:t>
            </w:r>
            <w:r>
              <w:rPr>
                <w:rFonts w:hint="eastAsia" w:asciiTheme="majorEastAsia" w:hAnsiTheme="majorEastAsia" w:eastAsiaTheme="majorEastAsia" w:cstheme="majorEastAsia"/>
                <w:spacing w:val="-73"/>
                <w:sz w:val="21"/>
                <w:szCs w:val="21"/>
              </w:rPr>
              <w:t xml:space="preserve"> </w:t>
            </w:r>
            <w:r>
              <w:rPr>
                <w:rFonts w:hint="eastAsia" w:asciiTheme="majorEastAsia" w:hAnsiTheme="majorEastAsia" w:eastAsiaTheme="majorEastAsia" w:cstheme="majorEastAsia"/>
                <w:spacing w:val="6"/>
                <w:sz w:val="21"/>
                <w:szCs w:val="21"/>
              </w:rPr>
              <w:t>18</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12"/>
                <w:sz w:val="21"/>
                <w:szCs w:val="21"/>
              </w:rPr>
              <w:t>分；反映问题、分析原因不全面的，得13—</w:t>
            </w:r>
            <w:r>
              <w:rPr>
                <w:rFonts w:hint="eastAsia" w:asciiTheme="majorEastAsia" w:hAnsiTheme="majorEastAsia" w:eastAsiaTheme="majorEastAsia" w:cstheme="majorEastAsia"/>
                <w:spacing w:val="-68"/>
                <w:sz w:val="21"/>
                <w:szCs w:val="21"/>
              </w:rPr>
              <w:t xml:space="preserve"> </w:t>
            </w:r>
            <w:r>
              <w:rPr>
                <w:rFonts w:hint="eastAsia" w:asciiTheme="majorEastAsia" w:hAnsiTheme="majorEastAsia" w:eastAsiaTheme="majorEastAsia" w:cstheme="majorEastAsia"/>
                <w:spacing w:val="12"/>
                <w:sz w:val="21"/>
                <w:szCs w:val="21"/>
              </w:rPr>
              <w:t>15分；问题未归纳</w:t>
            </w:r>
            <w:r>
              <w:rPr>
                <w:rFonts w:hint="eastAsia" w:asciiTheme="majorEastAsia" w:hAnsiTheme="majorEastAsia" w:eastAsiaTheme="majorEastAsia" w:cstheme="majorEastAsia"/>
                <w:spacing w:val="11"/>
                <w:sz w:val="21"/>
                <w:szCs w:val="21"/>
              </w:rPr>
              <w:t>且过于简单的，得10—</w:t>
            </w:r>
            <w:r>
              <w:rPr>
                <w:rFonts w:hint="eastAsia" w:asciiTheme="majorEastAsia" w:hAnsiTheme="majorEastAsia" w:eastAsiaTheme="majorEastAsia" w:cstheme="majorEastAsia"/>
                <w:spacing w:val="-68"/>
                <w:sz w:val="21"/>
                <w:szCs w:val="21"/>
              </w:rPr>
              <w:t xml:space="preserve"> </w:t>
            </w:r>
            <w:r>
              <w:rPr>
                <w:rFonts w:hint="eastAsia" w:asciiTheme="majorEastAsia" w:hAnsiTheme="majorEastAsia" w:eastAsiaTheme="majorEastAsia" w:cstheme="majorEastAsia"/>
                <w:spacing w:val="11"/>
                <w:sz w:val="21"/>
                <w:szCs w:val="21"/>
              </w:rPr>
              <w:t>12</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13"/>
                <w:sz w:val="21"/>
                <w:szCs w:val="21"/>
              </w:rPr>
              <w:t>分；只提出资金不足问题的不得分；其他情况酌情扣分，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20</w:t>
            </w:r>
          </w:p>
        </w:tc>
      </w:tr>
      <w:tr>
        <w:tblPrEx>
          <w:tblCellMar>
            <w:top w:w="0" w:type="dxa"/>
            <w:left w:w="108" w:type="dxa"/>
            <w:bottom w:w="0" w:type="dxa"/>
            <w:right w:w="108" w:type="dxa"/>
          </w:tblCellMar>
        </w:tblPrEx>
        <w:trPr>
          <w:trHeight w:val="1313" w:hRule="atLeast"/>
          <w:jc w:val="center"/>
        </w:trPr>
        <w:tc>
          <w:tcPr>
            <w:tcW w:w="77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Theme="majorEastAsia" w:hAnsiTheme="majorEastAsia" w:eastAsiaTheme="majorEastAsia" w:cstheme="majorEastAsia"/>
                <w:szCs w:val="21"/>
              </w:rPr>
            </w:pPr>
          </w:p>
        </w:tc>
        <w:tc>
          <w:tcPr>
            <w:tcW w:w="1501" w:type="dxa"/>
            <w:tcBorders>
              <w:top w:val="single" w:color="auto" w:sz="4" w:space="0"/>
              <w:left w:val="nil"/>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针对问题</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提出可行性建议的情况</w:t>
            </w:r>
          </w:p>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（15分）</w:t>
            </w:r>
          </w:p>
        </w:tc>
        <w:tc>
          <w:tcPr>
            <w:tcW w:w="6482" w:type="dxa"/>
            <w:tcBorders>
              <w:top w:val="single" w:color="auto" w:sz="4" w:space="0"/>
              <w:left w:val="nil"/>
              <w:bottom w:val="single" w:color="auto" w:sz="4" w:space="0"/>
              <w:right w:val="single" w:color="auto" w:sz="4" w:space="0"/>
            </w:tcBorders>
            <w:vAlign w:val="center"/>
          </w:tcPr>
          <w:p>
            <w:pPr>
              <w:spacing w:line="240" w:lineRule="exact"/>
              <w:ind w:firstLine="216" w:firstLineChars="10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3"/>
                <w:sz w:val="21"/>
                <w:szCs w:val="21"/>
              </w:rPr>
              <w:t>建议与问题对应且全面的得15分，建议比较全面的得12—</w:t>
            </w:r>
            <w:r>
              <w:rPr>
                <w:rFonts w:hint="eastAsia" w:asciiTheme="majorEastAsia" w:hAnsiTheme="majorEastAsia" w:eastAsiaTheme="majorEastAsia" w:cstheme="majorEastAsia"/>
                <w:spacing w:val="-55"/>
                <w:sz w:val="21"/>
                <w:szCs w:val="21"/>
              </w:rPr>
              <w:t xml:space="preserve"> </w:t>
            </w:r>
            <w:r>
              <w:rPr>
                <w:rFonts w:hint="eastAsia" w:asciiTheme="majorEastAsia" w:hAnsiTheme="majorEastAsia" w:eastAsiaTheme="majorEastAsia" w:cstheme="majorEastAsia"/>
                <w:spacing w:val="3"/>
                <w:sz w:val="21"/>
                <w:szCs w:val="21"/>
              </w:rPr>
              <w:t>14分，建议不全面的得9—</w:t>
            </w:r>
            <w:r>
              <w:rPr>
                <w:rFonts w:hint="eastAsia" w:asciiTheme="majorEastAsia" w:hAnsiTheme="majorEastAsia" w:eastAsiaTheme="majorEastAsia" w:cstheme="majorEastAsia"/>
                <w:spacing w:val="-72"/>
                <w:sz w:val="21"/>
                <w:szCs w:val="21"/>
              </w:rPr>
              <w:t xml:space="preserve"> </w:t>
            </w:r>
            <w:r>
              <w:rPr>
                <w:rFonts w:hint="eastAsia" w:asciiTheme="majorEastAsia" w:hAnsiTheme="majorEastAsia" w:eastAsiaTheme="majorEastAsia" w:cstheme="majorEastAsia"/>
                <w:spacing w:val="3"/>
                <w:sz w:val="21"/>
                <w:szCs w:val="21"/>
              </w:rPr>
              <w:t>11</w:t>
            </w:r>
            <w:r>
              <w:rPr>
                <w:rFonts w:hint="eastAsia" w:asciiTheme="majorEastAsia" w:hAnsiTheme="majorEastAsia" w:eastAsiaTheme="majorEastAsia" w:cstheme="majorEastAsia"/>
                <w:sz w:val="21"/>
                <w:szCs w:val="21"/>
              </w:rPr>
              <w:t xml:space="preserve">   </w:t>
            </w:r>
            <w:r>
              <w:rPr>
                <w:rFonts w:hint="eastAsia" w:asciiTheme="majorEastAsia" w:hAnsiTheme="majorEastAsia" w:eastAsiaTheme="majorEastAsia" w:cstheme="majorEastAsia"/>
                <w:spacing w:val="2"/>
                <w:sz w:val="21"/>
                <w:szCs w:val="21"/>
              </w:rPr>
              <w:t>分，建议过于简单的得6—8分，只提出加大资金投入建议的不得分；其他情况酌情扣分</w:t>
            </w:r>
          </w:p>
        </w:tc>
        <w:tc>
          <w:tcPr>
            <w:tcW w:w="753" w:type="dxa"/>
            <w:tcBorders>
              <w:top w:val="single" w:color="auto" w:sz="4" w:space="0"/>
              <w:left w:val="nil"/>
              <w:bottom w:val="single" w:color="auto" w:sz="4" w:space="0"/>
              <w:right w:val="single" w:color="auto" w:sz="4" w:space="0"/>
            </w:tcBorders>
            <w:vAlign w:val="center"/>
          </w:tcPr>
          <w:p>
            <w:pPr>
              <w:spacing w:line="240" w:lineRule="exact"/>
              <w:jc w:val="both"/>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13</w:t>
            </w:r>
          </w:p>
        </w:tc>
      </w:tr>
      <w:tr>
        <w:tblPrEx>
          <w:tblCellMar>
            <w:top w:w="0" w:type="dxa"/>
            <w:left w:w="108" w:type="dxa"/>
            <w:bottom w:w="0" w:type="dxa"/>
            <w:right w:w="108" w:type="dxa"/>
          </w:tblCellMar>
        </w:tblPrEx>
        <w:trPr>
          <w:trHeight w:val="540"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合计</w:t>
            </w:r>
          </w:p>
        </w:tc>
        <w:tc>
          <w:tcPr>
            <w:tcW w:w="1501"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100分</w:t>
            </w:r>
          </w:p>
        </w:tc>
        <w:tc>
          <w:tcPr>
            <w:tcW w:w="6482"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eastAsia" w:asciiTheme="majorEastAsia" w:hAnsiTheme="majorEastAsia" w:eastAsiaTheme="majorEastAsia" w:cstheme="majorEastAsia"/>
                <w:sz w:val="21"/>
                <w:szCs w:val="21"/>
              </w:rPr>
            </w:pPr>
          </w:p>
        </w:tc>
        <w:tc>
          <w:tcPr>
            <w:tcW w:w="753" w:type="dxa"/>
            <w:tcBorders>
              <w:top w:val="single" w:color="auto" w:sz="4" w:space="0"/>
              <w:left w:val="single" w:color="auto" w:sz="4" w:space="0"/>
              <w:bottom w:val="single" w:color="auto" w:sz="4" w:space="0"/>
              <w:right w:val="single" w:color="auto" w:sz="4" w:space="0"/>
            </w:tcBorders>
            <w:vAlign w:val="center"/>
          </w:tcPr>
          <w:p>
            <w:pPr>
              <w:spacing w:line="240" w:lineRule="exact"/>
              <w:rPr>
                <w:rFonts w:hint="default"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98</w:t>
            </w:r>
          </w:p>
        </w:tc>
      </w:tr>
    </w:tbl>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p>
    <w:sectPr>
      <w:pgSz w:w="11906" w:h="16838"/>
      <w:pgMar w:top="1701" w:right="1701" w:bottom="1701" w:left="170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600000000000000"/>
    <w:charset w:val="86"/>
    <w:family w:val="auto"/>
    <w:pitch w:val="default"/>
    <w:sig w:usb0="00000000" w:usb1="00000000" w:usb2="00000012" w:usb3="00000000" w:csb0="00160001" w:csb1="1203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7</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DD18F"/>
    <w:multiLevelType w:val="singleLevel"/>
    <w:tmpl w:val="FAADD18F"/>
    <w:lvl w:ilvl="0" w:tentative="0">
      <w:start w:val="1"/>
      <w:numFmt w:val="chineseCounting"/>
      <w:suff w:val="nothing"/>
      <w:lvlText w:val="%1、"/>
      <w:lvlJc w:val="left"/>
      <w:rPr>
        <w:rFonts w:hint="eastAsia"/>
      </w:rPr>
    </w:lvl>
  </w:abstractNum>
  <w:abstractNum w:abstractNumId="1">
    <w:nsid w:val="569A4398"/>
    <w:multiLevelType w:val="singleLevel"/>
    <w:tmpl w:val="569A4398"/>
    <w:lvl w:ilvl="0" w:tentative="0">
      <w:start w:val="2"/>
      <w:numFmt w:val="chineseCounting"/>
      <w:lvlText w:val="(%1)"/>
      <w:lvlJc w:val="left"/>
      <w:pPr>
        <w:tabs>
          <w:tab w:val="left" w:pos="312"/>
        </w:tabs>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wNGRhMDkzNTFiMTMwNGY4NTg1MjczOWU1YzM1Y2UifQ=="/>
  </w:docVars>
  <w:rsids>
    <w:rsidRoot w:val="00172A27"/>
    <w:rsid w:val="000A3765"/>
    <w:rsid w:val="001D7282"/>
    <w:rsid w:val="0039081D"/>
    <w:rsid w:val="005E6ECB"/>
    <w:rsid w:val="00744EA1"/>
    <w:rsid w:val="009419CA"/>
    <w:rsid w:val="00955854"/>
    <w:rsid w:val="009C7330"/>
    <w:rsid w:val="00A00FBB"/>
    <w:rsid w:val="00A24ED5"/>
    <w:rsid w:val="00BF0721"/>
    <w:rsid w:val="00C03795"/>
    <w:rsid w:val="00CE3756"/>
    <w:rsid w:val="00D27A74"/>
    <w:rsid w:val="00E831C8"/>
    <w:rsid w:val="00EF287A"/>
    <w:rsid w:val="01057CDE"/>
    <w:rsid w:val="010B4A82"/>
    <w:rsid w:val="01192786"/>
    <w:rsid w:val="01201E6A"/>
    <w:rsid w:val="012D57C0"/>
    <w:rsid w:val="01457029"/>
    <w:rsid w:val="014900E3"/>
    <w:rsid w:val="014F5749"/>
    <w:rsid w:val="01521E95"/>
    <w:rsid w:val="01727F7E"/>
    <w:rsid w:val="01764DBE"/>
    <w:rsid w:val="01806F8C"/>
    <w:rsid w:val="0182483A"/>
    <w:rsid w:val="01863406"/>
    <w:rsid w:val="018D011E"/>
    <w:rsid w:val="019614B0"/>
    <w:rsid w:val="019C71AC"/>
    <w:rsid w:val="01BF03AA"/>
    <w:rsid w:val="01C33E74"/>
    <w:rsid w:val="01DF3C26"/>
    <w:rsid w:val="01EE0A2C"/>
    <w:rsid w:val="0200044D"/>
    <w:rsid w:val="020654E4"/>
    <w:rsid w:val="020C72F8"/>
    <w:rsid w:val="02121B7C"/>
    <w:rsid w:val="021813DE"/>
    <w:rsid w:val="021B6B30"/>
    <w:rsid w:val="02363BD8"/>
    <w:rsid w:val="023809F7"/>
    <w:rsid w:val="02431066"/>
    <w:rsid w:val="02595CF1"/>
    <w:rsid w:val="025C47D6"/>
    <w:rsid w:val="0263675C"/>
    <w:rsid w:val="02656E75"/>
    <w:rsid w:val="027431E5"/>
    <w:rsid w:val="02B544DB"/>
    <w:rsid w:val="02CB5D99"/>
    <w:rsid w:val="02F61D91"/>
    <w:rsid w:val="02FC4679"/>
    <w:rsid w:val="02FE5E0A"/>
    <w:rsid w:val="0347190C"/>
    <w:rsid w:val="034760CE"/>
    <w:rsid w:val="03487959"/>
    <w:rsid w:val="03505BE1"/>
    <w:rsid w:val="036D41A2"/>
    <w:rsid w:val="037F229C"/>
    <w:rsid w:val="03911277"/>
    <w:rsid w:val="039A540B"/>
    <w:rsid w:val="03BD010E"/>
    <w:rsid w:val="03C86237"/>
    <w:rsid w:val="03E2685C"/>
    <w:rsid w:val="03E66326"/>
    <w:rsid w:val="03FF6E0F"/>
    <w:rsid w:val="0404259A"/>
    <w:rsid w:val="04051601"/>
    <w:rsid w:val="04150B3B"/>
    <w:rsid w:val="04327F62"/>
    <w:rsid w:val="04344800"/>
    <w:rsid w:val="045F666C"/>
    <w:rsid w:val="0460075C"/>
    <w:rsid w:val="04613BEE"/>
    <w:rsid w:val="0462054D"/>
    <w:rsid w:val="04675C34"/>
    <w:rsid w:val="046C0B29"/>
    <w:rsid w:val="04816E5C"/>
    <w:rsid w:val="048924DD"/>
    <w:rsid w:val="04914D95"/>
    <w:rsid w:val="0495144B"/>
    <w:rsid w:val="04AC07A1"/>
    <w:rsid w:val="04C63115"/>
    <w:rsid w:val="04CF5236"/>
    <w:rsid w:val="04CF5AF0"/>
    <w:rsid w:val="04D24FF1"/>
    <w:rsid w:val="04DE1BAB"/>
    <w:rsid w:val="04E411E4"/>
    <w:rsid w:val="04F37BBA"/>
    <w:rsid w:val="05085366"/>
    <w:rsid w:val="05145F64"/>
    <w:rsid w:val="054037EF"/>
    <w:rsid w:val="05427F7A"/>
    <w:rsid w:val="054E7FFF"/>
    <w:rsid w:val="05621117"/>
    <w:rsid w:val="058C5045"/>
    <w:rsid w:val="05936E00"/>
    <w:rsid w:val="059C7C89"/>
    <w:rsid w:val="05A50C70"/>
    <w:rsid w:val="05B525CA"/>
    <w:rsid w:val="05C4448F"/>
    <w:rsid w:val="05E616EC"/>
    <w:rsid w:val="06146BAF"/>
    <w:rsid w:val="06286BB6"/>
    <w:rsid w:val="06405E9C"/>
    <w:rsid w:val="064D5380"/>
    <w:rsid w:val="064E0F6B"/>
    <w:rsid w:val="06617309"/>
    <w:rsid w:val="06650E6A"/>
    <w:rsid w:val="06854A05"/>
    <w:rsid w:val="068B5259"/>
    <w:rsid w:val="06986D10"/>
    <w:rsid w:val="06A14716"/>
    <w:rsid w:val="06C90184"/>
    <w:rsid w:val="06C9437B"/>
    <w:rsid w:val="06ED564C"/>
    <w:rsid w:val="06F22A7B"/>
    <w:rsid w:val="07023424"/>
    <w:rsid w:val="07043735"/>
    <w:rsid w:val="0725074E"/>
    <w:rsid w:val="07313C60"/>
    <w:rsid w:val="07331F0A"/>
    <w:rsid w:val="076971BD"/>
    <w:rsid w:val="076D43AE"/>
    <w:rsid w:val="077323CA"/>
    <w:rsid w:val="0775145F"/>
    <w:rsid w:val="07967DE0"/>
    <w:rsid w:val="07970994"/>
    <w:rsid w:val="07B913B4"/>
    <w:rsid w:val="07BA1C6A"/>
    <w:rsid w:val="07BD44A3"/>
    <w:rsid w:val="07CE6155"/>
    <w:rsid w:val="07E11DA2"/>
    <w:rsid w:val="07E40515"/>
    <w:rsid w:val="07EE6091"/>
    <w:rsid w:val="08017E70"/>
    <w:rsid w:val="0805190B"/>
    <w:rsid w:val="082A5F7E"/>
    <w:rsid w:val="08391F38"/>
    <w:rsid w:val="083A18D9"/>
    <w:rsid w:val="0848472A"/>
    <w:rsid w:val="084D20E7"/>
    <w:rsid w:val="08674899"/>
    <w:rsid w:val="08754155"/>
    <w:rsid w:val="087B77E7"/>
    <w:rsid w:val="087D3D34"/>
    <w:rsid w:val="0889236C"/>
    <w:rsid w:val="088E051E"/>
    <w:rsid w:val="08935A7B"/>
    <w:rsid w:val="08A91E6C"/>
    <w:rsid w:val="08BA1B19"/>
    <w:rsid w:val="08D059DD"/>
    <w:rsid w:val="08DC08E7"/>
    <w:rsid w:val="092D1C9E"/>
    <w:rsid w:val="09377E5E"/>
    <w:rsid w:val="09383E9F"/>
    <w:rsid w:val="0939426E"/>
    <w:rsid w:val="09504F8C"/>
    <w:rsid w:val="09616470"/>
    <w:rsid w:val="096C1F5A"/>
    <w:rsid w:val="096C76C1"/>
    <w:rsid w:val="09906B28"/>
    <w:rsid w:val="09912E95"/>
    <w:rsid w:val="099C1A23"/>
    <w:rsid w:val="09A948AF"/>
    <w:rsid w:val="09AC2A76"/>
    <w:rsid w:val="09B04837"/>
    <w:rsid w:val="09C95891"/>
    <w:rsid w:val="09D8005F"/>
    <w:rsid w:val="0A002E0D"/>
    <w:rsid w:val="0A140987"/>
    <w:rsid w:val="0A241A5C"/>
    <w:rsid w:val="0A2E3566"/>
    <w:rsid w:val="0A393280"/>
    <w:rsid w:val="0A5F2F6C"/>
    <w:rsid w:val="0A670B4E"/>
    <w:rsid w:val="0A851E03"/>
    <w:rsid w:val="0A985A6F"/>
    <w:rsid w:val="0AA808AF"/>
    <w:rsid w:val="0AB85927"/>
    <w:rsid w:val="0ABD142C"/>
    <w:rsid w:val="0AC644AE"/>
    <w:rsid w:val="0ACB61B4"/>
    <w:rsid w:val="0ACD4157"/>
    <w:rsid w:val="0AE964B0"/>
    <w:rsid w:val="0B163034"/>
    <w:rsid w:val="0B1F5B6D"/>
    <w:rsid w:val="0B2F4AF7"/>
    <w:rsid w:val="0B3312B6"/>
    <w:rsid w:val="0B4064B3"/>
    <w:rsid w:val="0B6E529C"/>
    <w:rsid w:val="0B701D27"/>
    <w:rsid w:val="0B7245CE"/>
    <w:rsid w:val="0B943886"/>
    <w:rsid w:val="0B9C3CD1"/>
    <w:rsid w:val="0BB324D8"/>
    <w:rsid w:val="0BB672C7"/>
    <w:rsid w:val="0BC07BBF"/>
    <w:rsid w:val="0BC429EF"/>
    <w:rsid w:val="0BCE65D1"/>
    <w:rsid w:val="0BD60937"/>
    <w:rsid w:val="0BD912A4"/>
    <w:rsid w:val="0BE135FA"/>
    <w:rsid w:val="0BEE4F6B"/>
    <w:rsid w:val="0C03261E"/>
    <w:rsid w:val="0C0439FA"/>
    <w:rsid w:val="0C0B17DF"/>
    <w:rsid w:val="0C0F382B"/>
    <w:rsid w:val="0C160980"/>
    <w:rsid w:val="0C1B4EF7"/>
    <w:rsid w:val="0C1C297E"/>
    <w:rsid w:val="0C1D4988"/>
    <w:rsid w:val="0C297E69"/>
    <w:rsid w:val="0C3954B1"/>
    <w:rsid w:val="0C55038F"/>
    <w:rsid w:val="0C6B7DF9"/>
    <w:rsid w:val="0C6E2A56"/>
    <w:rsid w:val="0C7A708D"/>
    <w:rsid w:val="0CCA7495"/>
    <w:rsid w:val="0CD16BA2"/>
    <w:rsid w:val="0CD745A0"/>
    <w:rsid w:val="0CDE4E30"/>
    <w:rsid w:val="0D012A51"/>
    <w:rsid w:val="0D094F84"/>
    <w:rsid w:val="0D280615"/>
    <w:rsid w:val="0D2C07EB"/>
    <w:rsid w:val="0D2F57DE"/>
    <w:rsid w:val="0D353632"/>
    <w:rsid w:val="0D392C4E"/>
    <w:rsid w:val="0D482FA9"/>
    <w:rsid w:val="0D4A4299"/>
    <w:rsid w:val="0D5F1E28"/>
    <w:rsid w:val="0D671080"/>
    <w:rsid w:val="0D783B34"/>
    <w:rsid w:val="0D81754C"/>
    <w:rsid w:val="0DBE6AB7"/>
    <w:rsid w:val="0DBF116A"/>
    <w:rsid w:val="0DC00E38"/>
    <w:rsid w:val="0DC8400B"/>
    <w:rsid w:val="0DD34552"/>
    <w:rsid w:val="0DE03EAA"/>
    <w:rsid w:val="0DE12394"/>
    <w:rsid w:val="0DF36262"/>
    <w:rsid w:val="0E1E619E"/>
    <w:rsid w:val="0E267F81"/>
    <w:rsid w:val="0E365DE9"/>
    <w:rsid w:val="0E4822EE"/>
    <w:rsid w:val="0E4E185D"/>
    <w:rsid w:val="0E522FBE"/>
    <w:rsid w:val="0E5D141B"/>
    <w:rsid w:val="0E8648D6"/>
    <w:rsid w:val="0E8C08DC"/>
    <w:rsid w:val="0E8E43C0"/>
    <w:rsid w:val="0E964CBE"/>
    <w:rsid w:val="0EB05323"/>
    <w:rsid w:val="0EBE40CB"/>
    <w:rsid w:val="0EC36A56"/>
    <w:rsid w:val="0EC62499"/>
    <w:rsid w:val="0ECE4E6F"/>
    <w:rsid w:val="0EDA5C56"/>
    <w:rsid w:val="0EFE4287"/>
    <w:rsid w:val="0F0D525E"/>
    <w:rsid w:val="0F2A2A37"/>
    <w:rsid w:val="0F2E6C95"/>
    <w:rsid w:val="0F4675CA"/>
    <w:rsid w:val="0F471A79"/>
    <w:rsid w:val="0F500384"/>
    <w:rsid w:val="0F5B4015"/>
    <w:rsid w:val="0F6071C8"/>
    <w:rsid w:val="0F7B0394"/>
    <w:rsid w:val="0FA00CB6"/>
    <w:rsid w:val="0FA434D3"/>
    <w:rsid w:val="0FB471F7"/>
    <w:rsid w:val="0FC95C51"/>
    <w:rsid w:val="0FC965F5"/>
    <w:rsid w:val="0FCD6B4B"/>
    <w:rsid w:val="0FCF7138"/>
    <w:rsid w:val="0FD35AB6"/>
    <w:rsid w:val="0FE017B9"/>
    <w:rsid w:val="0FE04B17"/>
    <w:rsid w:val="0FEC2891"/>
    <w:rsid w:val="0FF71EB7"/>
    <w:rsid w:val="10225AB2"/>
    <w:rsid w:val="102D74F0"/>
    <w:rsid w:val="103C47DA"/>
    <w:rsid w:val="103D5CB0"/>
    <w:rsid w:val="1043497A"/>
    <w:rsid w:val="104B6B58"/>
    <w:rsid w:val="10524DBE"/>
    <w:rsid w:val="105552F6"/>
    <w:rsid w:val="108449FF"/>
    <w:rsid w:val="108B34B0"/>
    <w:rsid w:val="109E2943"/>
    <w:rsid w:val="10C8346E"/>
    <w:rsid w:val="10FE6AB1"/>
    <w:rsid w:val="110E54CA"/>
    <w:rsid w:val="1112624E"/>
    <w:rsid w:val="11153798"/>
    <w:rsid w:val="11297158"/>
    <w:rsid w:val="114B2C9B"/>
    <w:rsid w:val="115D78BB"/>
    <w:rsid w:val="116001E2"/>
    <w:rsid w:val="11793618"/>
    <w:rsid w:val="11813452"/>
    <w:rsid w:val="11913DD4"/>
    <w:rsid w:val="11961E43"/>
    <w:rsid w:val="11987ED2"/>
    <w:rsid w:val="119969A0"/>
    <w:rsid w:val="11A91B68"/>
    <w:rsid w:val="11B76464"/>
    <w:rsid w:val="11BC2DF3"/>
    <w:rsid w:val="11C43676"/>
    <w:rsid w:val="11EA3CA0"/>
    <w:rsid w:val="11F403BB"/>
    <w:rsid w:val="11FA6A1C"/>
    <w:rsid w:val="120B6973"/>
    <w:rsid w:val="12155876"/>
    <w:rsid w:val="12183A1B"/>
    <w:rsid w:val="122A11A6"/>
    <w:rsid w:val="123D1BD2"/>
    <w:rsid w:val="123E6D4D"/>
    <w:rsid w:val="12445622"/>
    <w:rsid w:val="125613C2"/>
    <w:rsid w:val="125D4EF7"/>
    <w:rsid w:val="12637C4E"/>
    <w:rsid w:val="127030C8"/>
    <w:rsid w:val="129465AA"/>
    <w:rsid w:val="12B310FA"/>
    <w:rsid w:val="12B7582D"/>
    <w:rsid w:val="12C621E8"/>
    <w:rsid w:val="12CF0716"/>
    <w:rsid w:val="12D95227"/>
    <w:rsid w:val="12E33197"/>
    <w:rsid w:val="12EE1C9C"/>
    <w:rsid w:val="12F863E6"/>
    <w:rsid w:val="13094CA6"/>
    <w:rsid w:val="132156D8"/>
    <w:rsid w:val="132911E2"/>
    <w:rsid w:val="133868AE"/>
    <w:rsid w:val="135133AE"/>
    <w:rsid w:val="13914897"/>
    <w:rsid w:val="13A55CD5"/>
    <w:rsid w:val="13B654E3"/>
    <w:rsid w:val="13B819E6"/>
    <w:rsid w:val="13BC4189"/>
    <w:rsid w:val="13C169EC"/>
    <w:rsid w:val="13CA717D"/>
    <w:rsid w:val="13CE022A"/>
    <w:rsid w:val="13DF25B8"/>
    <w:rsid w:val="13E2403C"/>
    <w:rsid w:val="14047D3B"/>
    <w:rsid w:val="141A00EA"/>
    <w:rsid w:val="143A1FCF"/>
    <w:rsid w:val="14430D66"/>
    <w:rsid w:val="14460BA1"/>
    <w:rsid w:val="14477E65"/>
    <w:rsid w:val="14710CBF"/>
    <w:rsid w:val="14791934"/>
    <w:rsid w:val="147D213D"/>
    <w:rsid w:val="14A04833"/>
    <w:rsid w:val="14B12779"/>
    <w:rsid w:val="14B37576"/>
    <w:rsid w:val="14F4219E"/>
    <w:rsid w:val="150135C1"/>
    <w:rsid w:val="151C632A"/>
    <w:rsid w:val="152E4EB1"/>
    <w:rsid w:val="153E3566"/>
    <w:rsid w:val="154034C3"/>
    <w:rsid w:val="156B6CDB"/>
    <w:rsid w:val="15726626"/>
    <w:rsid w:val="15820278"/>
    <w:rsid w:val="15914EE6"/>
    <w:rsid w:val="15A42FA4"/>
    <w:rsid w:val="15A6418F"/>
    <w:rsid w:val="15AA091B"/>
    <w:rsid w:val="15BC6BD3"/>
    <w:rsid w:val="15CE392C"/>
    <w:rsid w:val="15CF095E"/>
    <w:rsid w:val="15DA784E"/>
    <w:rsid w:val="15DB017B"/>
    <w:rsid w:val="15E6370B"/>
    <w:rsid w:val="15E835FB"/>
    <w:rsid w:val="15E84717"/>
    <w:rsid w:val="160F0091"/>
    <w:rsid w:val="16144614"/>
    <w:rsid w:val="163E3AB2"/>
    <w:rsid w:val="165E3F72"/>
    <w:rsid w:val="166D0110"/>
    <w:rsid w:val="167050F1"/>
    <w:rsid w:val="16713DA7"/>
    <w:rsid w:val="16797776"/>
    <w:rsid w:val="16952546"/>
    <w:rsid w:val="16AB3FBF"/>
    <w:rsid w:val="16AC1654"/>
    <w:rsid w:val="16B12C6E"/>
    <w:rsid w:val="16BF0789"/>
    <w:rsid w:val="16CD5BA2"/>
    <w:rsid w:val="16D42F73"/>
    <w:rsid w:val="16DA34D2"/>
    <w:rsid w:val="16DA4E41"/>
    <w:rsid w:val="16F042AC"/>
    <w:rsid w:val="16F626B5"/>
    <w:rsid w:val="16FB005D"/>
    <w:rsid w:val="16FC4F3B"/>
    <w:rsid w:val="171630EB"/>
    <w:rsid w:val="17435DB3"/>
    <w:rsid w:val="174849B3"/>
    <w:rsid w:val="175075E0"/>
    <w:rsid w:val="175D3461"/>
    <w:rsid w:val="175F4C67"/>
    <w:rsid w:val="175F580B"/>
    <w:rsid w:val="17665207"/>
    <w:rsid w:val="17794395"/>
    <w:rsid w:val="178D50A9"/>
    <w:rsid w:val="178F0FE3"/>
    <w:rsid w:val="17B85018"/>
    <w:rsid w:val="17E339CC"/>
    <w:rsid w:val="17F33C57"/>
    <w:rsid w:val="181764D2"/>
    <w:rsid w:val="181B6E25"/>
    <w:rsid w:val="181D4FAC"/>
    <w:rsid w:val="182B38C1"/>
    <w:rsid w:val="18351597"/>
    <w:rsid w:val="18353961"/>
    <w:rsid w:val="18474510"/>
    <w:rsid w:val="184F1D16"/>
    <w:rsid w:val="1852374B"/>
    <w:rsid w:val="185629F1"/>
    <w:rsid w:val="18685D91"/>
    <w:rsid w:val="188F0DAB"/>
    <w:rsid w:val="18905464"/>
    <w:rsid w:val="18910B5C"/>
    <w:rsid w:val="18A62960"/>
    <w:rsid w:val="18BD3DC4"/>
    <w:rsid w:val="18C149F3"/>
    <w:rsid w:val="18D233DB"/>
    <w:rsid w:val="18DC433F"/>
    <w:rsid w:val="18DD0C18"/>
    <w:rsid w:val="18DE4BF6"/>
    <w:rsid w:val="18EC1CA5"/>
    <w:rsid w:val="18F23C9D"/>
    <w:rsid w:val="18F554AB"/>
    <w:rsid w:val="18FE49D5"/>
    <w:rsid w:val="190F3527"/>
    <w:rsid w:val="19100497"/>
    <w:rsid w:val="19183CAC"/>
    <w:rsid w:val="19383BFA"/>
    <w:rsid w:val="193964B7"/>
    <w:rsid w:val="19521C94"/>
    <w:rsid w:val="195657BB"/>
    <w:rsid w:val="196B19EB"/>
    <w:rsid w:val="19717C66"/>
    <w:rsid w:val="197A3B7C"/>
    <w:rsid w:val="198E7C2B"/>
    <w:rsid w:val="199945D5"/>
    <w:rsid w:val="199B5065"/>
    <w:rsid w:val="19D37D58"/>
    <w:rsid w:val="19DD0438"/>
    <w:rsid w:val="1A0A04E6"/>
    <w:rsid w:val="1A187AC0"/>
    <w:rsid w:val="1A213466"/>
    <w:rsid w:val="1A3F3F76"/>
    <w:rsid w:val="1A4B4BAE"/>
    <w:rsid w:val="1A5F35C0"/>
    <w:rsid w:val="1A8006B2"/>
    <w:rsid w:val="1A8D640E"/>
    <w:rsid w:val="1A974192"/>
    <w:rsid w:val="1ACA62AD"/>
    <w:rsid w:val="1ADA675E"/>
    <w:rsid w:val="1AE11CDA"/>
    <w:rsid w:val="1AF74E04"/>
    <w:rsid w:val="1B113A6D"/>
    <w:rsid w:val="1B144B8D"/>
    <w:rsid w:val="1B17013D"/>
    <w:rsid w:val="1B1B14D3"/>
    <w:rsid w:val="1B1F6AF1"/>
    <w:rsid w:val="1B250DAE"/>
    <w:rsid w:val="1B2A34EB"/>
    <w:rsid w:val="1B2B0F4C"/>
    <w:rsid w:val="1B2D2734"/>
    <w:rsid w:val="1B3860E1"/>
    <w:rsid w:val="1B3F36F6"/>
    <w:rsid w:val="1B422830"/>
    <w:rsid w:val="1B4B369E"/>
    <w:rsid w:val="1B5271D4"/>
    <w:rsid w:val="1B6D7C0D"/>
    <w:rsid w:val="1B84594F"/>
    <w:rsid w:val="1B884364"/>
    <w:rsid w:val="1BA912AB"/>
    <w:rsid w:val="1BC74329"/>
    <w:rsid w:val="1BC90A36"/>
    <w:rsid w:val="1BD0347B"/>
    <w:rsid w:val="1BD40AF3"/>
    <w:rsid w:val="1BD802A4"/>
    <w:rsid w:val="1BDF236A"/>
    <w:rsid w:val="1C0435DD"/>
    <w:rsid w:val="1C044A22"/>
    <w:rsid w:val="1C0500B1"/>
    <w:rsid w:val="1C165874"/>
    <w:rsid w:val="1C1D4C3D"/>
    <w:rsid w:val="1C212C7F"/>
    <w:rsid w:val="1C4C28F3"/>
    <w:rsid w:val="1C71314E"/>
    <w:rsid w:val="1C82672C"/>
    <w:rsid w:val="1C89138D"/>
    <w:rsid w:val="1C8E76D2"/>
    <w:rsid w:val="1C937172"/>
    <w:rsid w:val="1C950ADB"/>
    <w:rsid w:val="1C975C4B"/>
    <w:rsid w:val="1CA27BB1"/>
    <w:rsid w:val="1CAF7DCF"/>
    <w:rsid w:val="1CB07D7A"/>
    <w:rsid w:val="1CDA4D56"/>
    <w:rsid w:val="1CF810AC"/>
    <w:rsid w:val="1D0B3755"/>
    <w:rsid w:val="1D124C24"/>
    <w:rsid w:val="1D2C6C65"/>
    <w:rsid w:val="1D402518"/>
    <w:rsid w:val="1D4E7169"/>
    <w:rsid w:val="1D554265"/>
    <w:rsid w:val="1D69344A"/>
    <w:rsid w:val="1D6B31E8"/>
    <w:rsid w:val="1D6B7F83"/>
    <w:rsid w:val="1D776C3D"/>
    <w:rsid w:val="1D95321A"/>
    <w:rsid w:val="1DB85E5C"/>
    <w:rsid w:val="1DC46662"/>
    <w:rsid w:val="1DCA5E3A"/>
    <w:rsid w:val="1DCF5405"/>
    <w:rsid w:val="1DD75183"/>
    <w:rsid w:val="1DDE2626"/>
    <w:rsid w:val="1DDE3420"/>
    <w:rsid w:val="1DFD7C50"/>
    <w:rsid w:val="1E080AB5"/>
    <w:rsid w:val="1E0E0D58"/>
    <w:rsid w:val="1E2A197B"/>
    <w:rsid w:val="1E35255F"/>
    <w:rsid w:val="1E3C5A5F"/>
    <w:rsid w:val="1E475D36"/>
    <w:rsid w:val="1E4E24A0"/>
    <w:rsid w:val="1E502588"/>
    <w:rsid w:val="1E53413D"/>
    <w:rsid w:val="1E550992"/>
    <w:rsid w:val="1E5A7A32"/>
    <w:rsid w:val="1E671817"/>
    <w:rsid w:val="1E6C3B44"/>
    <w:rsid w:val="1E7A4122"/>
    <w:rsid w:val="1E8879EE"/>
    <w:rsid w:val="1EB95D76"/>
    <w:rsid w:val="1EC54236"/>
    <w:rsid w:val="1ED464CA"/>
    <w:rsid w:val="1EDA5DF7"/>
    <w:rsid w:val="1EED4A44"/>
    <w:rsid w:val="1EFA39EA"/>
    <w:rsid w:val="1F00206F"/>
    <w:rsid w:val="1F0177DA"/>
    <w:rsid w:val="1F18467A"/>
    <w:rsid w:val="1F232A42"/>
    <w:rsid w:val="1F2645A8"/>
    <w:rsid w:val="1F4B71B8"/>
    <w:rsid w:val="1F4C39A9"/>
    <w:rsid w:val="1F5665AD"/>
    <w:rsid w:val="1F692382"/>
    <w:rsid w:val="1F8815CD"/>
    <w:rsid w:val="1F8D1995"/>
    <w:rsid w:val="1F935BDD"/>
    <w:rsid w:val="1F9730E6"/>
    <w:rsid w:val="1FDE0273"/>
    <w:rsid w:val="1FEF73C9"/>
    <w:rsid w:val="20020491"/>
    <w:rsid w:val="203211B0"/>
    <w:rsid w:val="203C7C11"/>
    <w:rsid w:val="20421AEB"/>
    <w:rsid w:val="20471AED"/>
    <w:rsid w:val="20487E48"/>
    <w:rsid w:val="20666EBF"/>
    <w:rsid w:val="206F239E"/>
    <w:rsid w:val="2086258B"/>
    <w:rsid w:val="20A45C99"/>
    <w:rsid w:val="20AD18F5"/>
    <w:rsid w:val="20B77D0F"/>
    <w:rsid w:val="20BB288C"/>
    <w:rsid w:val="20D06EB4"/>
    <w:rsid w:val="20E40557"/>
    <w:rsid w:val="20EF04D3"/>
    <w:rsid w:val="210C69CF"/>
    <w:rsid w:val="21107C1A"/>
    <w:rsid w:val="213018E1"/>
    <w:rsid w:val="21392BC1"/>
    <w:rsid w:val="21431802"/>
    <w:rsid w:val="21463D2C"/>
    <w:rsid w:val="2151198F"/>
    <w:rsid w:val="2172070D"/>
    <w:rsid w:val="217B2C80"/>
    <w:rsid w:val="217D2EA2"/>
    <w:rsid w:val="21851E83"/>
    <w:rsid w:val="21861507"/>
    <w:rsid w:val="219020E3"/>
    <w:rsid w:val="21916EE8"/>
    <w:rsid w:val="219A308D"/>
    <w:rsid w:val="219F5834"/>
    <w:rsid w:val="21A35D48"/>
    <w:rsid w:val="21C12688"/>
    <w:rsid w:val="21CC4855"/>
    <w:rsid w:val="21E233A3"/>
    <w:rsid w:val="21E23F6C"/>
    <w:rsid w:val="21E345FD"/>
    <w:rsid w:val="22171E1E"/>
    <w:rsid w:val="22383B4D"/>
    <w:rsid w:val="22466CD3"/>
    <w:rsid w:val="225D1D49"/>
    <w:rsid w:val="225D33C8"/>
    <w:rsid w:val="226239FE"/>
    <w:rsid w:val="22626562"/>
    <w:rsid w:val="226A76AE"/>
    <w:rsid w:val="22733EB6"/>
    <w:rsid w:val="22906578"/>
    <w:rsid w:val="22973E77"/>
    <w:rsid w:val="22AB58F3"/>
    <w:rsid w:val="22C13FD4"/>
    <w:rsid w:val="22C24771"/>
    <w:rsid w:val="22CB0895"/>
    <w:rsid w:val="231527D7"/>
    <w:rsid w:val="23185AD8"/>
    <w:rsid w:val="23336451"/>
    <w:rsid w:val="23474320"/>
    <w:rsid w:val="23492735"/>
    <w:rsid w:val="235B5F37"/>
    <w:rsid w:val="235C3EA6"/>
    <w:rsid w:val="23604810"/>
    <w:rsid w:val="237A7609"/>
    <w:rsid w:val="23BE4330"/>
    <w:rsid w:val="23BF0A62"/>
    <w:rsid w:val="23C263BB"/>
    <w:rsid w:val="23D04F68"/>
    <w:rsid w:val="23D50A64"/>
    <w:rsid w:val="23FC0268"/>
    <w:rsid w:val="240B4621"/>
    <w:rsid w:val="241061D3"/>
    <w:rsid w:val="24114322"/>
    <w:rsid w:val="24122F3C"/>
    <w:rsid w:val="24181A61"/>
    <w:rsid w:val="241A4D23"/>
    <w:rsid w:val="244328F6"/>
    <w:rsid w:val="244A0C81"/>
    <w:rsid w:val="245032E9"/>
    <w:rsid w:val="24536196"/>
    <w:rsid w:val="24626203"/>
    <w:rsid w:val="247573F6"/>
    <w:rsid w:val="247A4BE7"/>
    <w:rsid w:val="24806762"/>
    <w:rsid w:val="24814D5C"/>
    <w:rsid w:val="24831C33"/>
    <w:rsid w:val="248601CB"/>
    <w:rsid w:val="24917BA8"/>
    <w:rsid w:val="24981483"/>
    <w:rsid w:val="249B0370"/>
    <w:rsid w:val="24A24AC6"/>
    <w:rsid w:val="24B93055"/>
    <w:rsid w:val="24C252E5"/>
    <w:rsid w:val="24C93BB5"/>
    <w:rsid w:val="24D02E03"/>
    <w:rsid w:val="24F86BC7"/>
    <w:rsid w:val="250F44FD"/>
    <w:rsid w:val="2514288A"/>
    <w:rsid w:val="256609A5"/>
    <w:rsid w:val="25781237"/>
    <w:rsid w:val="257A6914"/>
    <w:rsid w:val="2588530F"/>
    <w:rsid w:val="25963C8A"/>
    <w:rsid w:val="25AB3731"/>
    <w:rsid w:val="25B464A2"/>
    <w:rsid w:val="25BA0209"/>
    <w:rsid w:val="25BB4BF0"/>
    <w:rsid w:val="25E62DA9"/>
    <w:rsid w:val="25F465E7"/>
    <w:rsid w:val="25F6641C"/>
    <w:rsid w:val="25F74FA1"/>
    <w:rsid w:val="25FC3091"/>
    <w:rsid w:val="25FD11FA"/>
    <w:rsid w:val="25FF3210"/>
    <w:rsid w:val="2611098A"/>
    <w:rsid w:val="264221C6"/>
    <w:rsid w:val="265D3370"/>
    <w:rsid w:val="26666555"/>
    <w:rsid w:val="268B7C99"/>
    <w:rsid w:val="268C4A4A"/>
    <w:rsid w:val="269A7501"/>
    <w:rsid w:val="26A3584F"/>
    <w:rsid w:val="26A66B0A"/>
    <w:rsid w:val="26A73989"/>
    <w:rsid w:val="26A86D42"/>
    <w:rsid w:val="26C30557"/>
    <w:rsid w:val="26CB2EBC"/>
    <w:rsid w:val="26CB4B73"/>
    <w:rsid w:val="26E34A7B"/>
    <w:rsid w:val="26E9756C"/>
    <w:rsid w:val="26FA4570"/>
    <w:rsid w:val="27217FF0"/>
    <w:rsid w:val="27242893"/>
    <w:rsid w:val="273612F4"/>
    <w:rsid w:val="27445146"/>
    <w:rsid w:val="277602F5"/>
    <w:rsid w:val="278038CA"/>
    <w:rsid w:val="27C33BB0"/>
    <w:rsid w:val="27C55F98"/>
    <w:rsid w:val="27CC0CD0"/>
    <w:rsid w:val="27D071BC"/>
    <w:rsid w:val="27D13F89"/>
    <w:rsid w:val="27D4538F"/>
    <w:rsid w:val="27DE15AE"/>
    <w:rsid w:val="27E03A2F"/>
    <w:rsid w:val="280D297A"/>
    <w:rsid w:val="28276A98"/>
    <w:rsid w:val="285710C8"/>
    <w:rsid w:val="285C4BAF"/>
    <w:rsid w:val="285D0F42"/>
    <w:rsid w:val="28703320"/>
    <w:rsid w:val="289539A5"/>
    <w:rsid w:val="289F019A"/>
    <w:rsid w:val="28CC6ED5"/>
    <w:rsid w:val="28F010D9"/>
    <w:rsid w:val="28F05C88"/>
    <w:rsid w:val="29082E70"/>
    <w:rsid w:val="291343EF"/>
    <w:rsid w:val="29166F16"/>
    <w:rsid w:val="294D5371"/>
    <w:rsid w:val="295A5964"/>
    <w:rsid w:val="29626133"/>
    <w:rsid w:val="29702C6A"/>
    <w:rsid w:val="298756CC"/>
    <w:rsid w:val="29A81FA5"/>
    <w:rsid w:val="29AB297C"/>
    <w:rsid w:val="29C535D7"/>
    <w:rsid w:val="29C65905"/>
    <w:rsid w:val="29DA5777"/>
    <w:rsid w:val="29DF2425"/>
    <w:rsid w:val="2A0E6FDD"/>
    <w:rsid w:val="2A142C99"/>
    <w:rsid w:val="2A1E4871"/>
    <w:rsid w:val="2A214539"/>
    <w:rsid w:val="2A367BB2"/>
    <w:rsid w:val="2A3D54FD"/>
    <w:rsid w:val="2A410FE5"/>
    <w:rsid w:val="2A4173A1"/>
    <w:rsid w:val="2A596631"/>
    <w:rsid w:val="2A5A05BF"/>
    <w:rsid w:val="2A5F2983"/>
    <w:rsid w:val="2A601F6F"/>
    <w:rsid w:val="2A7A07C0"/>
    <w:rsid w:val="2AB17620"/>
    <w:rsid w:val="2AB30FEA"/>
    <w:rsid w:val="2AB657B1"/>
    <w:rsid w:val="2AE07913"/>
    <w:rsid w:val="2AEA3FC0"/>
    <w:rsid w:val="2AEA4AC4"/>
    <w:rsid w:val="2B0E64B5"/>
    <w:rsid w:val="2B166BF6"/>
    <w:rsid w:val="2B2B0DE1"/>
    <w:rsid w:val="2B3E1E16"/>
    <w:rsid w:val="2B5D0E3B"/>
    <w:rsid w:val="2B5E2134"/>
    <w:rsid w:val="2B6F3EEE"/>
    <w:rsid w:val="2B70774D"/>
    <w:rsid w:val="2B7D446F"/>
    <w:rsid w:val="2B8D4A3E"/>
    <w:rsid w:val="2BCC1BD6"/>
    <w:rsid w:val="2BDF0CFB"/>
    <w:rsid w:val="2BE234F2"/>
    <w:rsid w:val="2BE33AA6"/>
    <w:rsid w:val="2BE40B44"/>
    <w:rsid w:val="2BEF68A7"/>
    <w:rsid w:val="2BF22DBE"/>
    <w:rsid w:val="2BF73785"/>
    <w:rsid w:val="2C0F30B3"/>
    <w:rsid w:val="2C1235EB"/>
    <w:rsid w:val="2C162BEC"/>
    <w:rsid w:val="2C2B1D34"/>
    <w:rsid w:val="2C2F0BC4"/>
    <w:rsid w:val="2C391765"/>
    <w:rsid w:val="2C3D18DD"/>
    <w:rsid w:val="2C3D5EB9"/>
    <w:rsid w:val="2C4C0F0A"/>
    <w:rsid w:val="2C5254C3"/>
    <w:rsid w:val="2C532EF2"/>
    <w:rsid w:val="2C5C500F"/>
    <w:rsid w:val="2C6E3526"/>
    <w:rsid w:val="2C6F1E54"/>
    <w:rsid w:val="2C993631"/>
    <w:rsid w:val="2C9B7E11"/>
    <w:rsid w:val="2CAF1058"/>
    <w:rsid w:val="2CB32C99"/>
    <w:rsid w:val="2CBC36F5"/>
    <w:rsid w:val="2CC907F0"/>
    <w:rsid w:val="2CCC5126"/>
    <w:rsid w:val="2CF756B7"/>
    <w:rsid w:val="2CF9252D"/>
    <w:rsid w:val="2CF97782"/>
    <w:rsid w:val="2D107154"/>
    <w:rsid w:val="2D143281"/>
    <w:rsid w:val="2D1C79F8"/>
    <w:rsid w:val="2D324177"/>
    <w:rsid w:val="2D5A7835"/>
    <w:rsid w:val="2D6578A0"/>
    <w:rsid w:val="2D7343C9"/>
    <w:rsid w:val="2DE44256"/>
    <w:rsid w:val="2DE557EB"/>
    <w:rsid w:val="2E0E6D42"/>
    <w:rsid w:val="2E0F4249"/>
    <w:rsid w:val="2E2F0A58"/>
    <w:rsid w:val="2E447583"/>
    <w:rsid w:val="2E4B4467"/>
    <w:rsid w:val="2E5520B9"/>
    <w:rsid w:val="2E63548C"/>
    <w:rsid w:val="2E640C1C"/>
    <w:rsid w:val="2E6B523D"/>
    <w:rsid w:val="2E7A08F9"/>
    <w:rsid w:val="2E7B33BD"/>
    <w:rsid w:val="2E836803"/>
    <w:rsid w:val="2E96363C"/>
    <w:rsid w:val="2EB86707"/>
    <w:rsid w:val="2EC92184"/>
    <w:rsid w:val="2ECD27F6"/>
    <w:rsid w:val="2F0E1C14"/>
    <w:rsid w:val="2F366FC1"/>
    <w:rsid w:val="2F5034C7"/>
    <w:rsid w:val="2F866106"/>
    <w:rsid w:val="2FA3249D"/>
    <w:rsid w:val="2FC05B92"/>
    <w:rsid w:val="2FC23B26"/>
    <w:rsid w:val="2FDE3BE4"/>
    <w:rsid w:val="2FEC1413"/>
    <w:rsid w:val="2FEF5C51"/>
    <w:rsid w:val="301F1E0F"/>
    <w:rsid w:val="302E6295"/>
    <w:rsid w:val="303329F0"/>
    <w:rsid w:val="303818E5"/>
    <w:rsid w:val="303F1851"/>
    <w:rsid w:val="303F79AD"/>
    <w:rsid w:val="30492212"/>
    <w:rsid w:val="304C3A2B"/>
    <w:rsid w:val="30596318"/>
    <w:rsid w:val="306F339C"/>
    <w:rsid w:val="30762710"/>
    <w:rsid w:val="30814CF1"/>
    <w:rsid w:val="308E4163"/>
    <w:rsid w:val="30C20BA4"/>
    <w:rsid w:val="30C478ED"/>
    <w:rsid w:val="30EC01FB"/>
    <w:rsid w:val="30F54D00"/>
    <w:rsid w:val="31026564"/>
    <w:rsid w:val="310A5122"/>
    <w:rsid w:val="312107CD"/>
    <w:rsid w:val="31210CA8"/>
    <w:rsid w:val="31215285"/>
    <w:rsid w:val="312D0344"/>
    <w:rsid w:val="31346C1B"/>
    <w:rsid w:val="314A407E"/>
    <w:rsid w:val="317038BB"/>
    <w:rsid w:val="317958D0"/>
    <w:rsid w:val="318D218C"/>
    <w:rsid w:val="31964319"/>
    <w:rsid w:val="319A32FE"/>
    <w:rsid w:val="31A53AB7"/>
    <w:rsid w:val="31A801F9"/>
    <w:rsid w:val="31C57FB2"/>
    <w:rsid w:val="31C932E2"/>
    <w:rsid w:val="31F61F62"/>
    <w:rsid w:val="320358D0"/>
    <w:rsid w:val="32052FE4"/>
    <w:rsid w:val="320B77FD"/>
    <w:rsid w:val="3212499D"/>
    <w:rsid w:val="321976B1"/>
    <w:rsid w:val="321D6876"/>
    <w:rsid w:val="3220390C"/>
    <w:rsid w:val="322B51BC"/>
    <w:rsid w:val="322F26BF"/>
    <w:rsid w:val="32313F22"/>
    <w:rsid w:val="32643522"/>
    <w:rsid w:val="326470BA"/>
    <w:rsid w:val="32744A8B"/>
    <w:rsid w:val="32753DA5"/>
    <w:rsid w:val="32886DB3"/>
    <w:rsid w:val="32895C45"/>
    <w:rsid w:val="32A43D99"/>
    <w:rsid w:val="32B141E0"/>
    <w:rsid w:val="32B44D2D"/>
    <w:rsid w:val="32C90A49"/>
    <w:rsid w:val="32FA2D7F"/>
    <w:rsid w:val="32FC6C4E"/>
    <w:rsid w:val="33085CC5"/>
    <w:rsid w:val="33262CBA"/>
    <w:rsid w:val="332B323C"/>
    <w:rsid w:val="332E3189"/>
    <w:rsid w:val="335B62EC"/>
    <w:rsid w:val="335E79BA"/>
    <w:rsid w:val="3360061D"/>
    <w:rsid w:val="336549AB"/>
    <w:rsid w:val="336618CB"/>
    <w:rsid w:val="33782709"/>
    <w:rsid w:val="3392025F"/>
    <w:rsid w:val="33A8285D"/>
    <w:rsid w:val="33AC1E29"/>
    <w:rsid w:val="33B17041"/>
    <w:rsid w:val="33B202F3"/>
    <w:rsid w:val="33B20F64"/>
    <w:rsid w:val="33CF3538"/>
    <w:rsid w:val="33EE53FA"/>
    <w:rsid w:val="33FD7485"/>
    <w:rsid w:val="34012F1B"/>
    <w:rsid w:val="34467089"/>
    <w:rsid w:val="34523AB5"/>
    <w:rsid w:val="34614B32"/>
    <w:rsid w:val="346B4B47"/>
    <w:rsid w:val="346E4F77"/>
    <w:rsid w:val="346E6026"/>
    <w:rsid w:val="3473379C"/>
    <w:rsid w:val="34762AAC"/>
    <w:rsid w:val="348402A8"/>
    <w:rsid w:val="34B510BB"/>
    <w:rsid w:val="34BB2714"/>
    <w:rsid w:val="34C25EF7"/>
    <w:rsid w:val="34D20F28"/>
    <w:rsid w:val="34E22DC0"/>
    <w:rsid w:val="350233D4"/>
    <w:rsid w:val="35195F01"/>
    <w:rsid w:val="35313A72"/>
    <w:rsid w:val="35493C91"/>
    <w:rsid w:val="355C0228"/>
    <w:rsid w:val="357800DF"/>
    <w:rsid w:val="358527FB"/>
    <w:rsid w:val="358B5BCF"/>
    <w:rsid w:val="359A77E8"/>
    <w:rsid w:val="35A1790B"/>
    <w:rsid w:val="35A45B99"/>
    <w:rsid w:val="35B01090"/>
    <w:rsid w:val="35DD2073"/>
    <w:rsid w:val="35DF75FB"/>
    <w:rsid w:val="35EB21A5"/>
    <w:rsid w:val="35F52D00"/>
    <w:rsid w:val="35FF153A"/>
    <w:rsid w:val="3606622C"/>
    <w:rsid w:val="36077316"/>
    <w:rsid w:val="3613278E"/>
    <w:rsid w:val="36356D4F"/>
    <w:rsid w:val="36405687"/>
    <w:rsid w:val="36414112"/>
    <w:rsid w:val="365F3D60"/>
    <w:rsid w:val="36645530"/>
    <w:rsid w:val="367851C1"/>
    <w:rsid w:val="369510BC"/>
    <w:rsid w:val="36973632"/>
    <w:rsid w:val="36A30194"/>
    <w:rsid w:val="36D21A02"/>
    <w:rsid w:val="37104DEB"/>
    <w:rsid w:val="372D0977"/>
    <w:rsid w:val="37337382"/>
    <w:rsid w:val="374D5647"/>
    <w:rsid w:val="374F42A7"/>
    <w:rsid w:val="37506DBE"/>
    <w:rsid w:val="3759338C"/>
    <w:rsid w:val="37654002"/>
    <w:rsid w:val="378E3E66"/>
    <w:rsid w:val="37C244FC"/>
    <w:rsid w:val="37D95C79"/>
    <w:rsid w:val="37E81F7B"/>
    <w:rsid w:val="38026A1B"/>
    <w:rsid w:val="38197832"/>
    <w:rsid w:val="383903C6"/>
    <w:rsid w:val="383C423B"/>
    <w:rsid w:val="38415136"/>
    <w:rsid w:val="386C1D38"/>
    <w:rsid w:val="387A25A5"/>
    <w:rsid w:val="38963295"/>
    <w:rsid w:val="389D2F53"/>
    <w:rsid w:val="38A945B7"/>
    <w:rsid w:val="38CC2A09"/>
    <w:rsid w:val="38D677A2"/>
    <w:rsid w:val="38D770AE"/>
    <w:rsid w:val="38F70050"/>
    <w:rsid w:val="38FC33FC"/>
    <w:rsid w:val="38FD0E84"/>
    <w:rsid w:val="38FF1B5B"/>
    <w:rsid w:val="390273B1"/>
    <w:rsid w:val="39153767"/>
    <w:rsid w:val="39225CA9"/>
    <w:rsid w:val="3923070B"/>
    <w:rsid w:val="392C49BB"/>
    <w:rsid w:val="39381E2B"/>
    <w:rsid w:val="3942282F"/>
    <w:rsid w:val="3953338B"/>
    <w:rsid w:val="396B7002"/>
    <w:rsid w:val="396C2A15"/>
    <w:rsid w:val="39AC01F9"/>
    <w:rsid w:val="39B73BAC"/>
    <w:rsid w:val="39B7517F"/>
    <w:rsid w:val="39BA3B51"/>
    <w:rsid w:val="39C20795"/>
    <w:rsid w:val="39E90E2B"/>
    <w:rsid w:val="39E94D86"/>
    <w:rsid w:val="39F1638E"/>
    <w:rsid w:val="3A001C79"/>
    <w:rsid w:val="3A1513BA"/>
    <w:rsid w:val="3A2E618D"/>
    <w:rsid w:val="3A4109A1"/>
    <w:rsid w:val="3A742C8C"/>
    <w:rsid w:val="3A7B2702"/>
    <w:rsid w:val="3A896EEE"/>
    <w:rsid w:val="3AAA2893"/>
    <w:rsid w:val="3ABB15C7"/>
    <w:rsid w:val="3AD8279E"/>
    <w:rsid w:val="3AE73EDB"/>
    <w:rsid w:val="3B08641D"/>
    <w:rsid w:val="3B1C7A19"/>
    <w:rsid w:val="3B2B5582"/>
    <w:rsid w:val="3B4234D4"/>
    <w:rsid w:val="3B7622BA"/>
    <w:rsid w:val="3B781D15"/>
    <w:rsid w:val="3B7C1C88"/>
    <w:rsid w:val="3B8107C8"/>
    <w:rsid w:val="3B8972AA"/>
    <w:rsid w:val="3BA219B8"/>
    <w:rsid w:val="3BA96003"/>
    <w:rsid w:val="3BC61A51"/>
    <w:rsid w:val="3BE14893"/>
    <w:rsid w:val="3BE8265C"/>
    <w:rsid w:val="3BE92A35"/>
    <w:rsid w:val="3BEB460F"/>
    <w:rsid w:val="3BEF1DA2"/>
    <w:rsid w:val="3BF64635"/>
    <w:rsid w:val="3BF956C3"/>
    <w:rsid w:val="3C0E5CDB"/>
    <w:rsid w:val="3C4D3B02"/>
    <w:rsid w:val="3C5B1D89"/>
    <w:rsid w:val="3C85498F"/>
    <w:rsid w:val="3C8946A5"/>
    <w:rsid w:val="3CA372A1"/>
    <w:rsid w:val="3CA600E0"/>
    <w:rsid w:val="3CB765A9"/>
    <w:rsid w:val="3CBA4326"/>
    <w:rsid w:val="3CBC0BE3"/>
    <w:rsid w:val="3CC614DA"/>
    <w:rsid w:val="3CD01DA9"/>
    <w:rsid w:val="3CDA38F5"/>
    <w:rsid w:val="3CDD517D"/>
    <w:rsid w:val="3CE33FC3"/>
    <w:rsid w:val="3CEA3B31"/>
    <w:rsid w:val="3CF9401E"/>
    <w:rsid w:val="3CFC6325"/>
    <w:rsid w:val="3D093C71"/>
    <w:rsid w:val="3D1A22C0"/>
    <w:rsid w:val="3D294B1B"/>
    <w:rsid w:val="3D2B034D"/>
    <w:rsid w:val="3D5A60CA"/>
    <w:rsid w:val="3D9F4364"/>
    <w:rsid w:val="3DA702BF"/>
    <w:rsid w:val="3DB92106"/>
    <w:rsid w:val="3DCF457D"/>
    <w:rsid w:val="3DF169A7"/>
    <w:rsid w:val="3DF2399F"/>
    <w:rsid w:val="3DF40FE4"/>
    <w:rsid w:val="3E0519AD"/>
    <w:rsid w:val="3E4A1D40"/>
    <w:rsid w:val="3E4C287B"/>
    <w:rsid w:val="3E633FD2"/>
    <w:rsid w:val="3E6F32D2"/>
    <w:rsid w:val="3E742C66"/>
    <w:rsid w:val="3E7E19E7"/>
    <w:rsid w:val="3E8572BF"/>
    <w:rsid w:val="3E917B82"/>
    <w:rsid w:val="3E9656A5"/>
    <w:rsid w:val="3E997463"/>
    <w:rsid w:val="3E9F7600"/>
    <w:rsid w:val="3ECD5479"/>
    <w:rsid w:val="3ED62B90"/>
    <w:rsid w:val="3EE34DD3"/>
    <w:rsid w:val="3EF434CC"/>
    <w:rsid w:val="3EFB6FF7"/>
    <w:rsid w:val="3EFF0A75"/>
    <w:rsid w:val="3F1054CE"/>
    <w:rsid w:val="3F2534F3"/>
    <w:rsid w:val="3F3A1B65"/>
    <w:rsid w:val="3F3A5EB9"/>
    <w:rsid w:val="3F522210"/>
    <w:rsid w:val="3F544AF6"/>
    <w:rsid w:val="3F5C361D"/>
    <w:rsid w:val="3F5E64F5"/>
    <w:rsid w:val="3F656E2C"/>
    <w:rsid w:val="3F6D5029"/>
    <w:rsid w:val="3F92376D"/>
    <w:rsid w:val="3F9C1CD6"/>
    <w:rsid w:val="3FB035B9"/>
    <w:rsid w:val="3FC45A80"/>
    <w:rsid w:val="3FDE13B9"/>
    <w:rsid w:val="3FE029F1"/>
    <w:rsid w:val="3FE457AE"/>
    <w:rsid w:val="3FE57701"/>
    <w:rsid w:val="400C4E03"/>
    <w:rsid w:val="40126EBB"/>
    <w:rsid w:val="401A4D54"/>
    <w:rsid w:val="40262C07"/>
    <w:rsid w:val="404209E3"/>
    <w:rsid w:val="40451C67"/>
    <w:rsid w:val="404A1B2B"/>
    <w:rsid w:val="404A601E"/>
    <w:rsid w:val="404C52F4"/>
    <w:rsid w:val="405C0FC1"/>
    <w:rsid w:val="40733CBA"/>
    <w:rsid w:val="407A4DF7"/>
    <w:rsid w:val="40B16CC2"/>
    <w:rsid w:val="40B81BAD"/>
    <w:rsid w:val="40BB2365"/>
    <w:rsid w:val="40D23962"/>
    <w:rsid w:val="40D44699"/>
    <w:rsid w:val="40D61BC8"/>
    <w:rsid w:val="40DC4F1D"/>
    <w:rsid w:val="40DF2097"/>
    <w:rsid w:val="40E71ABD"/>
    <w:rsid w:val="413C11C7"/>
    <w:rsid w:val="41447F0E"/>
    <w:rsid w:val="414733E0"/>
    <w:rsid w:val="41566753"/>
    <w:rsid w:val="415749AF"/>
    <w:rsid w:val="416A21FA"/>
    <w:rsid w:val="416B09D7"/>
    <w:rsid w:val="417D1E08"/>
    <w:rsid w:val="417D5552"/>
    <w:rsid w:val="4188208C"/>
    <w:rsid w:val="419B51EE"/>
    <w:rsid w:val="41B11897"/>
    <w:rsid w:val="41C57D35"/>
    <w:rsid w:val="41F34606"/>
    <w:rsid w:val="4200399D"/>
    <w:rsid w:val="420E20BD"/>
    <w:rsid w:val="421647B9"/>
    <w:rsid w:val="42263E3B"/>
    <w:rsid w:val="422C70F1"/>
    <w:rsid w:val="423C6CFA"/>
    <w:rsid w:val="42442693"/>
    <w:rsid w:val="428D1B97"/>
    <w:rsid w:val="42B608A5"/>
    <w:rsid w:val="42BC6C8F"/>
    <w:rsid w:val="42C5446D"/>
    <w:rsid w:val="42E94337"/>
    <w:rsid w:val="43031943"/>
    <w:rsid w:val="431327F1"/>
    <w:rsid w:val="43182DB2"/>
    <w:rsid w:val="43447E14"/>
    <w:rsid w:val="4368794F"/>
    <w:rsid w:val="436D0FB5"/>
    <w:rsid w:val="437518D1"/>
    <w:rsid w:val="438D1E49"/>
    <w:rsid w:val="43B23B98"/>
    <w:rsid w:val="43C80076"/>
    <w:rsid w:val="43D8550E"/>
    <w:rsid w:val="43DC0C7D"/>
    <w:rsid w:val="43EA69D8"/>
    <w:rsid w:val="44356D2F"/>
    <w:rsid w:val="44390E25"/>
    <w:rsid w:val="44433468"/>
    <w:rsid w:val="44437F9F"/>
    <w:rsid w:val="444F5C68"/>
    <w:rsid w:val="44613E6E"/>
    <w:rsid w:val="446A5324"/>
    <w:rsid w:val="447E7804"/>
    <w:rsid w:val="44943661"/>
    <w:rsid w:val="44A05C5C"/>
    <w:rsid w:val="44AC7417"/>
    <w:rsid w:val="44B16853"/>
    <w:rsid w:val="450D5FAD"/>
    <w:rsid w:val="45172F07"/>
    <w:rsid w:val="451D5184"/>
    <w:rsid w:val="452F3716"/>
    <w:rsid w:val="453C65FD"/>
    <w:rsid w:val="454B256E"/>
    <w:rsid w:val="455D76E4"/>
    <w:rsid w:val="45646F33"/>
    <w:rsid w:val="45671007"/>
    <w:rsid w:val="456C331B"/>
    <w:rsid w:val="45A26739"/>
    <w:rsid w:val="45B07140"/>
    <w:rsid w:val="45C43431"/>
    <w:rsid w:val="45EE3358"/>
    <w:rsid w:val="46066722"/>
    <w:rsid w:val="461976C3"/>
    <w:rsid w:val="461C0664"/>
    <w:rsid w:val="463D42BA"/>
    <w:rsid w:val="463E6C46"/>
    <w:rsid w:val="46521A41"/>
    <w:rsid w:val="465D50F1"/>
    <w:rsid w:val="46771C91"/>
    <w:rsid w:val="467F06A4"/>
    <w:rsid w:val="4694259D"/>
    <w:rsid w:val="46A64B43"/>
    <w:rsid w:val="46AA5A85"/>
    <w:rsid w:val="46AC6264"/>
    <w:rsid w:val="46C01696"/>
    <w:rsid w:val="46C52BE0"/>
    <w:rsid w:val="46D118AB"/>
    <w:rsid w:val="46F30AEE"/>
    <w:rsid w:val="47123940"/>
    <w:rsid w:val="47204C1C"/>
    <w:rsid w:val="4726595C"/>
    <w:rsid w:val="47600773"/>
    <w:rsid w:val="47661F26"/>
    <w:rsid w:val="476E25F3"/>
    <w:rsid w:val="47783B12"/>
    <w:rsid w:val="477D5156"/>
    <w:rsid w:val="477F2265"/>
    <w:rsid w:val="47890AD6"/>
    <w:rsid w:val="478D2FF6"/>
    <w:rsid w:val="478F6037"/>
    <w:rsid w:val="4798720D"/>
    <w:rsid w:val="47AE36B7"/>
    <w:rsid w:val="47BF7C9C"/>
    <w:rsid w:val="47C2246C"/>
    <w:rsid w:val="47C63240"/>
    <w:rsid w:val="47CA5F05"/>
    <w:rsid w:val="47DA1720"/>
    <w:rsid w:val="47E11737"/>
    <w:rsid w:val="47E77D53"/>
    <w:rsid w:val="47EE48C0"/>
    <w:rsid w:val="47F35E3E"/>
    <w:rsid w:val="47FB766F"/>
    <w:rsid w:val="48064E6E"/>
    <w:rsid w:val="4808575C"/>
    <w:rsid w:val="480B439D"/>
    <w:rsid w:val="482F10F4"/>
    <w:rsid w:val="48606A0B"/>
    <w:rsid w:val="486D78BB"/>
    <w:rsid w:val="48915636"/>
    <w:rsid w:val="48985F31"/>
    <w:rsid w:val="48AC6E35"/>
    <w:rsid w:val="48BD43A0"/>
    <w:rsid w:val="48C96968"/>
    <w:rsid w:val="48F6442E"/>
    <w:rsid w:val="48F84416"/>
    <w:rsid w:val="490874C4"/>
    <w:rsid w:val="491A6A98"/>
    <w:rsid w:val="491D4AAF"/>
    <w:rsid w:val="4926292B"/>
    <w:rsid w:val="49371235"/>
    <w:rsid w:val="494324F6"/>
    <w:rsid w:val="49455D20"/>
    <w:rsid w:val="49636284"/>
    <w:rsid w:val="497B341F"/>
    <w:rsid w:val="49B415EE"/>
    <w:rsid w:val="49B63FD6"/>
    <w:rsid w:val="49BF4D00"/>
    <w:rsid w:val="49D1562B"/>
    <w:rsid w:val="49D35045"/>
    <w:rsid w:val="49DE1EF5"/>
    <w:rsid w:val="49E579C4"/>
    <w:rsid w:val="49EA2381"/>
    <w:rsid w:val="49F43753"/>
    <w:rsid w:val="49F54A10"/>
    <w:rsid w:val="49F94CE9"/>
    <w:rsid w:val="49FE0E45"/>
    <w:rsid w:val="4A040938"/>
    <w:rsid w:val="4A11169A"/>
    <w:rsid w:val="4A212635"/>
    <w:rsid w:val="4A2175B6"/>
    <w:rsid w:val="4A4260CB"/>
    <w:rsid w:val="4A611E1A"/>
    <w:rsid w:val="4A7055A6"/>
    <w:rsid w:val="4A9C47ED"/>
    <w:rsid w:val="4AA71D5E"/>
    <w:rsid w:val="4AAA6CA9"/>
    <w:rsid w:val="4AE008D2"/>
    <w:rsid w:val="4B0B3617"/>
    <w:rsid w:val="4B2815DF"/>
    <w:rsid w:val="4B473F5E"/>
    <w:rsid w:val="4B49191E"/>
    <w:rsid w:val="4B507FB2"/>
    <w:rsid w:val="4B647620"/>
    <w:rsid w:val="4B695935"/>
    <w:rsid w:val="4B7A55E6"/>
    <w:rsid w:val="4B82653E"/>
    <w:rsid w:val="4B894031"/>
    <w:rsid w:val="4B8C1A83"/>
    <w:rsid w:val="4B946154"/>
    <w:rsid w:val="4BB12731"/>
    <w:rsid w:val="4BE10A59"/>
    <w:rsid w:val="4BE123D1"/>
    <w:rsid w:val="4C0A534C"/>
    <w:rsid w:val="4C0F01F9"/>
    <w:rsid w:val="4C270B31"/>
    <w:rsid w:val="4C3202E6"/>
    <w:rsid w:val="4C5D5DCE"/>
    <w:rsid w:val="4C6370A1"/>
    <w:rsid w:val="4C736886"/>
    <w:rsid w:val="4C7F7CEF"/>
    <w:rsid w:val="4C821AA7"/>
    <w:rsid w:val="4CA43125"/>
    <w:rsid w:val="4CAC2A11"/>
    <w:rsid w:val="4CB01CB9"/>
    <w:rsid w:val="4CCD33EA"/>
    <w:rsid w:val="4CCF426B"/>
    <w:rsid w:val="4CFE069C"/>
    <w:rsid w:val="4D033F9C"/>
    <w:rsid w:val="4D055E23"/>
    <w:rsid w:val="4D2433AC"/>
    <w:rsid w:val="4D4A4A28"/>
    <w:rsid w:val="4D5D7D7F"/>
    <w:rsid w:val="4D625C01"/>
    <w:rsid w:val="4D8F350E"/>
    <w:rsid w:val="4D924E46"/>
    <w:rsid w:val="4D9877E4"/>
    <w:rsid w:val="4DBD22E7"/>
    <w:rsid w:val="4DC73507"/>
    <w:rsid w:val="4DDA6A5F"/>
    <w:rsid w:val="4DDB7205"/>
    <w:rsid w:val="4DDF772B"/>
    <w:rsid w:val="4DEB15AD"/>
    <w:rsid w:val="4DF87443"/>
    <w:rsid w:val="4E370600"/>
    <w:rsid w:val="4E435024"/>
    <w:rsid w:val="4E4E7E80"/>
    <w:rsid w:val="4E534A5B"/>
    <w:rsid w:val="4E5C5562"/>
    <w:rsid w:val="4E5F69A8"/>
    <w:rsid w:val="4E655726"/>
    <w:rsid w:val="4E754A02"/>
    <w:rsid w:val="4E95725E"/>
    <w:rsid w:val="4E9A6CF9"/>
    <w:rsid w:val="4EA65FD0"/>
    <w:rsid w:val="4ED33DCB"/>
    <w:rsid w:val="4EE34782"/>
    <w:rsid w:val="4EE63F4F"/>
    <w:rsid w:val="4F007E65"/>
    <w:rsid w:val="4F0A1AF8"/>
    <w:rsid w:val="4F203D73"/>
    <w:rsid w:val="4F27252E"/>
    <w:rsid w:val="4F323E26"/>
    <w:rsid w:val="4F3913E8"/>
    <w:rsid w:val="4F42646A"/>
    <w:rsid w:val="4F501419"/>
    <w:rsid w:val="4F594DAC"/>
    <w:rsid w:val="4F6C3F07"/>
    <w:rsid w:val="4F830574"/>
    <w:rsid w:val="4F8D5FB6"/>
    <w:rsid w:val="4F9753D7"/>
    <w:rsid w:val="4FA54804"/>
    <w:rsid w:val="4FBF34BA"/>
    <w:rsid w:val="4FCA2B98"/>
    <w:rsid w:val="4FCB218A"/>
    <w:rsid w:val="4FCE7BAE"/>
    <w:rsid w:val="4FFE4A87"/>
    <w:rsid w:val="500344EA"/>
    <w:rsid w:val="500B7B4C"/>
    <w:rsid w:val="503C3296"/>
    <w:rsid w:val="504B0F0D"/>
    <w:rsid w:val="50527689"/>
    <w:rsid w:val="506633AA"/>
    <w:rsid w:val="507237E3"/>
    <w:rsid w:val="50911DB8"/>
    <w:rsid w:val="50943033"/>
    <w:rsid w:val="509D389C"/>
    <w:rsid w:val="50A642FD"/>
    <w:rsid w:val="50AF647F"/>
    <w:rsid w:val="50BB317D"/>
    <w:rsid w:val="50D06E68"/>
    <w:rsid w:val="50D37C72"/>
    <w:rsid w:val="50E466DC"/>
    <w:rsid w:val="50EA1869"/>
    <w:rsid w:val="50FD00F4"/>
    <w:rsid w:val="50FF056E"/>
    <w:rsid w:val="510F2A7F"/>
    <w:rsid w:val="512746EF"/>
    <w:rsid w:val="51283E4C"/>
    <w:rsid w:val="51291D35"/>
    <w:rsid w:val="512B3A7F"/>
    <w:rsid w:val="51414399"/>
    <w:rsid w:val="51422751"/>
    <w:rsid w:val="515D5FD6"/>
    <w:rsid w:val="516A7012"/>
    <w:rsid w:val="51721A38"/>
    <w:rsid w:val="517D016D"/>
    <w:rsid w:val="51A45867"/>
    <w:rsid w:val="51AD7250"/>
    <w:rsid w:val="51CF1465"/>
    <w:rsid w:val="51D1247D"/>
    <w:rsid w:val="51EC4955"/>
    <w:rsid w:val="51F067B7"/>
    <w:rsid w:val="52077D46"/>
    <w:rsid w:val="52187D0D"/>
    <w:rsid w:val="52361B9C"/>
    <w:rsid w:val="52362A26"/>
    <w:rsid w:val="523B0BAD"/>
    <w:rsid w:val="524B7169"/>
    <w:rsid w:val="5250515D"/>
    <w:rsid w:val="526921DD"/>
    <w:rsid w:val="52801322"/>
    <w:rsid w:val="5297132B"/>
    <w:rsid w:val="529F28D8"/>
    <w:rsid w:val="529F6FBB"/>
    <w:rsid w:val="52C076EC"/>
    <w:rsid w:val="52C25708"/>
    <w:rsid w:val="52C315CC"/>
    <w:rsid w:val="52CD10CA"/>
    <w:rsid w:val="52EB6F11"/>
    <w:rsid w:val="52F0249E"/>
    <w:rsid w:val="5353575F"/>
    <w:rsid w:val="535B2E70"/>
    <w:rsid w:val="535C4E8B"/>
    <w:rsid w:val="536278AA"/>
    <w:rsid w:val="53673357"/>
    <w:rsid w:val="53676B5F"/>
    <w:rsid w:val="536E21FF"/>
    <w:rsid w:val="5385006E"/>
    <w:rsid w:val="538A4A6D"/>
    <w:rsid w:val="53B45677"/>
    <w:rsid w:val="53DD2466"/>
    <w:rsid w:val="53E34323"/>
    <w:rsid w:val="53FC3987"/>
    <w:rsid w:val="5427381E"/>
    <w:rsid w:val="543B788E"/>
    <w:rsid w:val="54447CBB"/>
    <w:rsid w:val="545062A7"/>
    <w:rsid w:val="545C3555"/>
    <w:rsid w:val="54617320"/>
    <w:rsid w:val="547A28DC"/>
    <w:rsid w:val="54827775"/>
    <w:rsid w:val="54AC5134"/>
    <w:rsid w:val="54DE6078"/>
    <w:rsid w:val="54E86EBD"/>
    <w:rsid w:val="54F2526E"/>
    <w:rsid w:val="55075D9B"/>
    <w:rsid w:val="55184BBF"/>
    <w:rsid w:val="551874CA"/>
    <w:rsid w:val="551E6A56"/>
    <w:rsid w:val="552006D3"/>
    <w:rsid w:val="55301CB3"/>
    <w:rsid w:val="55327054"/>
    <w:rsid w:val="5537239F"/>
    <w:rsid w:val="553A26BA"/>
    <w:rsid w:val="5556054C"/>
    <w:rsid w:val="55862A42"/>
    <w:rsid w:val="55990578"/>
    <w:rsid w:val="55A56891"/>
    <w:rsid w:val="55AC66CB"/>
    <w:rsid w:val="55C33131"/>
    <w:rsid w:val="55C574B5"/>
    <w:rsid w:val="55CD7903"/>
    <w:rsid w:val="55E172A0"/>
    <w:rsid w:val="55E24605"/>
    <w:rsid w:val="55F81C60"/>
    <w:rsid w:val="55FA0F14"/>
    <w:rsid w:val="56097F90"/>
    <w:rsid w:val="56133E90"/>
    <w:rsid w:val="56474D43"/>
    <w:rsid w:val="564C1D1D"/>
    <w:rsid w:val="565F1E2E"/>
    <w:rsid w:val="56670F45"/>
    <w:rsid w:val="566F1BE2"/>
    <w:rsid w:val="567B004B"/>
    <w:rsid w:val="56825178"/>
    <w:rsid w:val="568F784B"/>
    <w:rsid w:val="569C0124"/>
    <w:rsid w:val="56A17AE8"/>
    <w:rsid w:val="56C9634D"/>
    <w:rsid w:val="56D41BE8"/>
    <w:rsid w:val="56EC7A5D"/>
    <w:rsid w:val="56F4599D"/>
    <w:rsid w:val="570D0322"/>
    <w:rsid w:val="57180ACE"/>
    <w:rsid w:val="571B61B6"/>
    <w:rsid w:val="57213E7D"/>
    <w:rsid w:val="5723561B"/>
    <w:rsid w:val="572362C9"/>
    <w:rsid w:val="572F37C6"/>
    <w:rsid w:val="5736629C"/>
    <w:rsid w:val="57540996"/>
    <w:rsid w:val="57802A35"/>
    <w:rsid w:val="578C3658"/>
    <w:rsid w:val="57B66918"/>
    <w:rsid w:val="57BD6FCE"/>
    <w:rsid w:val="57D214D2"/>
    <w:rsid w:val="57DA1A42"/>
    <w:rsid w:val="58002D08"/>
    <w:rsid w:val="58057728"/>
    <w:rsid w:val="5809001A"/>
    <w:rsid w:val="581D1F94"/>
    <w:rsid w:val="582872BA"/>
    <w:rsid w:val="5829318A"/>
    <w:rsid w:val="582D7EE9"/>
    <w:rsid w:val="583343BB"/>
    <w:rsid w:val="583439B3"/>
    <w:rsid w:val="583B5787"/>
    <w:rsid w:val="586759C7"/>
    <w:rsid w:val="58C07CA9"/>
    <w:rsid w:val="58DE5A38"/>
    <w:rsid w:val="58FA7B16"/>
    <w:rsid w:val="58FB22A6"/>
    <w:rsid w:val="59003437"/>
    <w:rsid w:val="59182EE7"/>
    <w:rsid w:val="5921212C"/>
    <w:rsid w:val="59395687"/>
    <w:rsid w:val="596F472F"/>
    <w:rsid w:val="5974345D"/>
    <w:rsid w:val="597534AA"/>
    <w:rsid w:val="59951C91"/>
    <w:rsid w:val="59982867"/>
    <w:rsid w:val="59A11ED6"/>
    <w:rsid w:val="59AB0DFC"/>
    <w:rsid w:val="59C1557F"/>
    <w:rsid w:val="59C8615E"/>
    <w:rsid w:val="59E771C2"/>
    <w:rsid w:val="59E84659"/>
    <w:rsid w:val="59F83355"/>
    <w:rsid w:val="59FF2575"/>
    <w:rsid w:val="5A344FB0"/>
    <w:rsid w:val="5A360707"/>
    <w:rsid w:val="5A482568"/>
    <w:rsid w:val="5A5755C9"/>
    <w:rsid w:val="5A5A13C0"/>
    <w:rsid w:val="5A772EA3"/>
    <w:rsid w:val="5A7D29E6"/>
    <w:rsid w:val="5A821401"/>
    <w:rsid w:val="5A8A2B4B"/>
    <w:rsid w:val="5A9F5080"/>
    <w:rsid w:val="5AAB6618"/>
    <w:rsid w:val="5AC52E1B"/>
    <w:rsid w:val="5AE91049"/>
    <w:rsid w:val="5AEF582B"/>
    <w:rsid w:val="5B0B5334"/>
    <w:rsid w:val="5B1B7ACD"/>
    <w:rsid w:val="5B247C71"/>
    <w:rsid w:val="5B2A406A"/>
    <w:rsid w:val="5B2B06FA"/>
    <w:rsid w:val="5B392BD6"/>
    <w:rsid w:val="5B561D67"/>
    <w:rsid w:val="5B774FD6"/>
    <w:rsid w:val="5B814790"/>
    <w:rsid w:val="5B82237F"/>
    <w:rsid w:val="5B824855"/>
    <w:rsid w:val="5B856A19"/>
    <w:rsid w:val="5B88245B"/>
    <w:rsid w:val="5B8A0D7A"/>
    <w:rsid w:val="5B8B0F7C"/>
    <w:rsid w:val="5B9E05AD"/>
    <w:rsid w:val="5BBB1AC4"/>
    <w:rsid w:val="5BE11C63"/>
    <w:rsid w:val="5BF24E07"/>
    <w:rsid w:val="5BFB55EA"/>
    <w:rsid w:val="5C15792E"/>
    <w:rsid w:val="5C1A5869"/>
    <w:rsid w:val="5C2404DB"/>
    <w:rsid w:val="5C290BF2"/>
    <w:rsid w:val="5C4E1E1E"/>
    <w:rsid w:val="5C4F343B"/>
    <w:rsid w:val="5C6A79EB"/>
    <w:rsid w:val="5C912690"/>
    <w:rsid w:val="5C970365"/>
    <w:rsid w:val="5C9F632F"/>
    <w:rsid w:val="5CCB04A2"/>
    <w:rsid w:val="5CCD7E04"/>
    <w:rsid w:val="5CD51F6A"/>
    <w:rsid w:val="5CD6026B"/>
    <w:rsid w:val="5CE319F6"/>
    <w:rsid w:val="5CE42846"/>
    <w:rsid w:val="5CE9406B"/>
    <w:rsid w:val="5D0656E1"/>
    <w:rsid w:val="5D566DF5"/>
    <w:rsid w:val="5D5736EC"/>
    <w:rsid w:val="5D592213"/>
    <w:rsid w:val="5D7067ED"/>
    <w:rsid w:val="5D77660D"/>
    <w:rsid w:val="5D7A7C97"/>
    <w:rsid w:val="5D8A240A"/>
    <w:rsid w:val="5D8A4019"/>
    <w:rsid w:val="5D9907FA"/>
    <w:rsid w:val="5DCD4FAD"/>
    <w:rsid w:val="5DD45E20"/>
    <w:rsid w:val="5DD77F01"/>
    <w:rsid w:val="5DF376B4"/>
    <w:rsid w:val="5DF974C4"/>
    <w:rsid w:val="5E150E16"/>
    <w:rsid w:val="5E156702"/>
    <w:rsid w:val="5E2C3CE8"/>
    <w:rsid w:val="5E480DBB"/>
    <w:rsid w:val="5E532C32"/>
    <w:rsid w:val="5E580D73"/>
    <w:rsid w:val="5E6B78B9"/>
    <w:rsid w:val="5E72530D"/>
    <w:rsid w:val="5E7B3471"/>
    <w:rsid w:val="5E811840"/>
    <w:rsid w:val="5E881FD3"/>
    <w:rsid w:val="5EAC620C"/>
    <w:rsid w:val="5EB56E43"/>
    <w:rsid w:val="5EDB6E5E"/>
    <w:rsid w:val="5F050603"/>
    <w:rsid w:val="5F0F5BF5"/>
    <w:rsid w:val="5F1070E5"/>
    <w:rsid w:val="5F137093"/>
    <w:rsid w:val="5F2545DD"/>
    <w:rsid w:val="5F475DFB"/>
    <w:rsid w:val="5F4A6912"/>
    <w:rsid w:val="5F9E56EB"/>
    <w:rsid w:val="5FA342D5"/>
    <w:rsid w:val="5FA40581"/>
    <w:rsid w:val="5FBF418B"/>
    <w:rsid w:val="5FC03F1C"/>
    <w:rsid w:val="5FC128D4"/>
    <w:rsid w:val="5FC577B3"/>
    <w:rsid w:val="5FFB751D"/>
    <w:rsid w:val="5FFC1DCE"/>
    <w:rsid w:val="600D050F"/>
    <w:rsid w:val="602423C7"/>
    <w:rsid w:val="603F2394"/>
    <w:rsid w:val="604407B5"/>
    <w:rsid w:val="60487E62"/>
    <w:rsid w:val="605A5C34"/>
    <w:rsid w:val="60630B92"/>
    <w:rsid w:val="606E4C0D"/>
    <w:rsid w:val="60935B47"/>
    <w:rsid w:val="60C76F62"/>
    <w:rsid w:val="60CE1254"/>
    <w:rsid w:val="60D321CB"/>
    <w:rsid w:val="60D467A9"/>
    <w:rsid w:val="60EA12BA"/>
    <w:rsid w:val="60EB3CE8"/>
    <w:rsid w:val="61034470"/>
    <w:rsid w:val="61041400"/>
    <w:rsid w:val="6108421E"/>
    <w:rsid w:val="610C08D6"/>
    <w:rsid w:val="611504BF"/>
    <w:rsid w:val="61233B56"/>
    <w:rsid w:val="6129287D"/>
    <w:rsid w:val="6132559A"/>
    <w:rsid w:val="61535DEE"/>
    <w:rsid w:val="6166167A"/>
    <w:rsid w:val="617020C2"/>
    <w:rsid w:val="61755B39"/>
    <w:rsid w:val="617A0C46"/>
    <w:rsid w:val="618B1EF3"/>
    <w:rsid w:val="61A33787"/>
    <w:rsid w:val="61A66AB4"/>
    <w:rsid w:val="61BC38FA"/>
    <w:rsid w:val="61BE0E4F"/>
    <w:rsid w:val="61C85E7F"/>
    <w:rsid w:val="61CD78CF"/>
    <w:rsid w:val="61DA14FE"/>
    <w:rsid w:val="61E53D34"/>
    <w:rsid w:val="61E73697"/>
    <w:rsid w:val="61EE3162"/>
    <w:rsid w:val="61F62056"/>
    <w:rsid w:val="620208E6"/>
    <w:rsid w:val="620E46C5"/>
    <w:rsid w:val="620F37AC"/>
    <w:rsid w:val="621536B2"/>
    <w:rsid w:val="621C707C"/>
    <w:rsid w:val="621E0130"/>
    <w:rsid w:val="62271A32"/>
    <w:rsid w:val="6245212D"/>
    <w:rsid w:val="624B2E9D"/>
    <w:rsid w:val="62504ABA"/>
    <w:rsid w:val="62510C1A"/>
    <w:rsid w:val="62607DE0"/>
    <w:rsid w:val="62757089"/>
    <w:rsid w:val="62AE05DB"/>
    <w:rsid w:val="62B60A29"/>
    <w:rsid w:val="62BA5EE7"/>
    <w:rsid w:val="62F04E93"/>
    <w:rsid w:val="62F14EED"/>
    <w:rsid w:val="62FF3767"/>
    <w:rsid w:val="63074094"/>
    <w:rsid w:val="632232D2"/>
    <w:rsid w:val="63256E52"/>
    <w:rsid w:val="6337684E"/>
    <w:rsid w:val="63403C73"/>
    <w:rsid w:val="6351410B"/>
    <w:rsid w:val="635D4427"/>
    <w:rsid w:val="635F082F"/>
    <w:rsid w:val="63710CD7"/>
    <w:rsid w:val="639A0C81"/>
    <w:rsid w:val="63A00543"/>
    <w:rsid w:val="63A854F9"/>
    <w:rsid w:val="63BE2991"/>
    <w:rsid w:val="63D672A4"/>
    <w:rsid w:val="63E900E8"/>
    <w:rsid w:val="63F105D2"/>
    <w:rsid w:val="64003000"/>
    <w:rsid w:val="64020FD8"/>
    <w:rsid w:val="640B49C1"/>
    <w:rsid w:val="64156CD8"/>
    <w:rsid w:val="64413D22"/>
    <w:rsid w:val="64470699"/>
    <w:rsid w:val="644B6CD5"/>
    <w:rsid w:val="646253D3"/>
    <w:rsid w:val="64627D01"/>
    <w:rsid w:val="6473435B"/>
    <w:rsid w:val="64864D44"/>
    <w:rsid w:val="64A01013"/>
    <w:rsid w:val="64C76164"/>
    <w:rsid w:val="64D3186F"/>
    <w:rsid w:val="64EF2266"/>
    <w:rsid w:val="64F33559"/>
    <w:rsid w:val="64FD2EEA"/>
    <w:rsid w:val="64FF1ABC"/>
    <w:rsid w:val="650E3520"/>
    <w:rsid w:val="654069DE"/>
    <w:rsid w:val="65413B3E"/>
    <w:rsid w:val="654B3E81"/>
    <w:rsid w:val="655555A6"/>
    <w:rsid w:val="655F14F0"/>
    <w:rsid w:val="65660277"/>
    <w:rsid w:val="656E6D13"/>
    <w:rsid w:val="65990AED"/>
    <w:rsid w:val="65A63707"/>
    <w:rsid w:val="65A80F59"/>
    <w:rsid w:val="65AA319F"/>
    <w:rsid w:val="65AC5539"/>
    <w:rsid w:val="65BB595A"/>
    <w:rsid w:val="65F22562"/>
    <w:rsid w:val="65F65692"/>
    <w:rsid w:val="660C7338"/>
    <w:rsid w:val="66407FD5"/>
    <w:rsid w:val="665346CA"/>
    <w:rsid w:val="6661498D"/>
    <w:rsid w:val="666B3926"/>
    <w:rsid w:val="668C5B9C"/>
    <w:rsid w:val="66A421AD"/>
    <w:rsid w:val="66C77BCC"/>
    <w:rsid w:val="66CF58C8"/>
    <w:rsid w:val="66D00FF0"/>
    <w:rsid w:val="66E50A5C"/>
    <w:rsid w:val="66E5305A"/>
    <w:rsid w:val="66FA0A76"/>
    <w:rsid w:val="670314C2"/>
    <w:rsid w:val="670A28DD"/>
    <w:rsid w:val="671F2137"/>
    <w:rsid w:val="67256725"/>
    <w:rsid w:val="672C3BD3"/>
    <w:rsid w:val="6743379E"/>
    <w:rsid w:val="67441F0C"/>
    <w:rsid w:val="674465E9"/>
    <w:rsid w:val="67594618"/>
    <w:rsid w:val="675B3954"/>
    <w:rsid w:val="676B6466"/>
    <w:rsid w:val="67954429"/>
    <w:rsid w:val="67C47F84"/>
    <w:rsid w:val="67D85572"/>
    <w:rsid w:val="67DD10E7"/>
    <w:rsid w:val="67E51A4F"/>
    <w:rsid w:val="67E81C89"/>
    <w:rsid w:val="67F16AAB"/>
    <w:rsid w:val="67FC2A34"/>
    <w:rsid w:val="68022928"/>
    <w:rsid w:val="68163291"/>
    <w:rsid w:val="68244FDF"/>
    <w:rsid w:val="682634A6"/>
    <w:rsid w:val="68335612"/>
    <w:rsid w:val="68340F12"/>
    <w:rsid w:val="683D75EE"/>
    <w:rsid w:val="683F6341"/>
    <w:rsid w:val="68413BF7"/>
    <w:rsid w:val="684A3899"/>
    <w:rsid w:val="68516552"/>
    <w:rsid w:val="685D249D"/>
    <w:rsid w:val="68600066"/>
    <w:rsid w:val="6861776A"/>
    <w:rsid w:val="687222C2"/>
    <w:rsid w:val="6879445C"/>
    <w:rsid w:val="687A5897"/>
    <w:rsid w:val="687D194E"/>
    <w:rsid w:val="68945561"/>
    <w:rsid w:val="689D6C87"/>
    <w:rsid w:val="68A05E34"/>
    <w:rsid w:val="68A4599C"/>
    <w:rsid w:val="68AD0074"/>
    <w:rsid w:val="68D4182F"/>
    <w:rsid w:val="68DA458B"/>
    <w:rsid w:val="68E565D8"/>
    <w:rsid w:val="68ED4DA7"/>
    <w:rsid w:val="68FC5EBD"/>
    <w:rsid w:val="69122538"/>
    <w:rsid w:val="69194FE8"/>
    <w:rsid w:val="691F4315"/>
    <w:rsid w:val="69544350"/>
    <w:rsid w:val="69703FA0"/>
    <w:rsid w:val="69997B9C"/>
    <w:rsid w:val="69A84304"/>
    <w:rsid w:val="69B52A42"/>
    <w:rsid w:val="69B67148"/>
    <w:rsid w:val="69BE4DB3"/>
    <w:rsid w:val="69CF0E91"/>
    <w:rsid w:val="69CF0ED8"/>
    <w:rsid w:val="69D52B56"/>
    <w:rsid w:val="69D54DDD"/>
    <w:rsid w:val="69E028D2"/>
    <w:rsid w:val="69E71C90"/>
    <w:rsid w:val="69E874BD"/>
    <w:rsid w:val="69F54308"/>
    <w:rsid w:val="6A0A7A54"/>
    <w:rsid w:val="6A2622A1"/>
    <w:rsid w:val="6A35577F"/>
    <w:rsid w:val="6A3A22EA"/>
    <w:rsid w:val="6A3F2D1D"/>
    <w:rsid w:val="6A592054"/>
    <w:rsid w:val="6A777087"/>
    <w:rsid w:val="6A820574"/>
    <w:rsid w:val="6A99048F"/>
    <w:rsid w:val="6AA077DB"/>
    <w:rsid w:val="6AA47C92"/>
    <w:rsid w:val="6AB909BB"/>
    <w:rsid w:val="6ABA0C51"/>
    <w:rsid w:val="6ABD020C"/>
    <w:rsid w:val="6ADD6D64"/>
    <w:rsid w:val="6B0F06C2"/>
    <w:rsid w:val="6B2B6878"/>
    <w:rsid w:val="6B633F4F"/>
    <w:rsid w:val="6B70680D"/>
    <w:rsid w:val="6B816F14"/>
    <w:rsid w:val="6B8A298B"/>
    <w:rsid w:val="6B8A779B"/>
    <w:rsid w:val="6BAD6C20"/>
    <w:rsid w:val="6BB456BB"/>
    <w:rsid w:val="6BB62A44"/>
    <w:rsid w:val="6BD81D0A"/>
    <w:rsid w:val="6BE052CE"/>
    <w:rsid w:val="6BF2692A"/>
    <w:rsid w:val="6BF358A4"/>
    <w:rsid w:val="6C051F4E"/>
    <w:rsid w:val="6C096C12"/>
    <w:rsid w:val="6C1A5960"/>
    <w:rsid w:val="6C417EB8"/>
    <w:rsid w:val="6C5D448C"/>
    <w:rsid w:val="6C613F45"/>
    <w:rsid w:val="6C756221"/>
    <w:rsid w:val="6C7B08BB"/>
    <w:rsid w:val="6C816AF9"/>
    <w:rsid w:val="6C846694"/>
    <w:rsid w:val="6CA841D2"/>
    <w:rsid w:val="6CB10385"/>
    <w:rsid w:val="6CDF0F3A"/>
    <w:rsid w:val="6CE47854"/>
    <w:rsid w:val="6D0D25B8"/>
    <w:rsid w:val="6D490A6B"/>
    <w:rsid w:val="6D582A6D"/>
    <w:rsid w:val="6D604FD1"/>
    <w:rsid w:val="6D635FBA"/>
    <w:rsid w:val="6D6534EB"/>
    <w:rsid w:val="6D6C0EA8"/>
    <w:rsid w:val="6D732F9C"/>
    <w:rsid w:val="6D9239A2"/>
    <w:rsid w:val="6DB664EE"/>
    <w:rsid w:val="6DBC6250"/>
    <w:rsid w:val="6DC64BAC"/>
    <w:rsid w:val="6E037AD7"/>
    <w:rsid w:val="6E056523"/>
    <w:rsid w:val="6E074EC9"/>
    <w:rsid w:val="6E160E52"/>
    <w:rsid w:val="6E2E569B"/>
    <w:rsid w:val="6E4064F1"/>
    <w:rsid w:val="6E4E39FC"/>
    <w:rsid w:val="6E5545BD"/>
    <w:rsid w:val="6E5D1964"/>
    <w:rsid w:val="6E614B19"/>
    <w:rsid w:val="6E616F13"/>
    <w:rsid w:val="6E7369B5"/>
    <w:rsid w:val="6E7B5CAB"/>
    <w:rsid w:val="6EAA56FE"/>
    <w:rsid w:val="6EB37B5B"/>
    <w:rsid w:val="6EBE6FBB"/>
    <w:rsid w:val="6ED70BA2"/>
    <w:rsid w:val="6EDB7671"/>
    <w:rsid w:val="6EF77260"/>
    <w:rsid w:val="6F2302E3"/>
    <w:rsid w:val="6F314C13"/>
    <w:rsid w:val="6F382FA6"/>
    <w:rsid w:val="6F391F60"/>
    <w:rsid w:val="6F41270D"/>
    <w:rsid w:val="6F655B31"/>
    <w:rsid w:val="6F694006"/>
    <w:rsid w:val="6F6C5490"/>
    <w:rsid w:val="6F761900"/>
    <w:rsid w:val="6FA71AD5"/>
    <w:rsid w:val="6FAF2607"/>
    <w:rsid w:val="6FD47D24"/>
    <w:rsid w:val="6FE17D06"/>
    <w:rsid w:val="6FF536DD"/>
    <w:rsid w:val="6FFD71B3"/>
    <w:rsid w:val="700D2412"/>
    <w:rsid w:val="70112883"/>
    <w:rsid w:val="70243856"/>
    <w:rsid w:val="70294DB1"/>
    <w:rsid w:val="703F2471"/>
    <w:rsid w:val="704B4131"/>
    <w:rsid w:val="70531ED5"/>
    <w:rsid w:val="705A528C"/>
    <w:rsid w:val="7068062C"/>
    <w:rsid w:val="707F47B3"/>
    <w:rsid w:val="70954F53"/>
    <w:rsid w:val="70A94A40"/>
    <w:rsid w:val="70D80F32"/>
    <w:rsid w:val="70D97C76"/>
    <w:rsid w:val="70F76E40"/>
    <w:rsid w:val="711337D0"/>
    <w:rsid w:val="713173E8"/>
    <w:rsid w:val="71420658"/>
    <w:rsid w:val="7143472C"/>
    <w:rsid w:val="71440341"/>
    <w:rsid w:val="71531561"/>
    <w:rsid w:val="71597148"/>
    <w:rsid w:val="715E0B5E"/>
    <w:rsid w:val="716D089C"/>
    <w:rsid w:val="71715206"/>
    <w:rsid w:val="71743A1D"/>
    <w:rsid w:val="71774D56"/>
    <w:rsid w:val="71901CEF"/>
    <w:rsid w:val="719438F4"/>
    <w:rsid w:val="719D7F3F"/>
    <w:rsid w:val="71B55DFD"/>
    <w:rsid w:val="71B834E8"/>
    <w:rsid w:val="71D0750E"/>
    <w:rsid w:val="71D803D1"/>
    <w:rsid w:val="71E501C6"/>
    <w:rsid w:val="71F40A44"/>
    <w:rsid w:val="7202163F"/>
    <w:rsid w:val="723B04C8"/>
    <w:rsid w:val="724E6817"/>
    <w:rsid w:val="72600D68"/>
    <w:rsid w:val="72604620"/>
    <w:rsid w:val="726B02C1"/>
    <w:rsid w:val="726D2C67"/>
    <w:rsid w:val="729A0F74"/>
    <w:rsid w:val="72F03574"/>
    <w:rsid w:val="72F77CB6"/>
    <w:rsid w:val="731438BD"/>
    <w:rsid w:val="733155C8"/>
    <w:rsid w:val="73422D3C"/>
    <w:rsid w:val="73625723"/>
    <w:rsid w:val="737007D9"/>
    <w:rsid w:val="738B5B50"/>
    <w:rsid w:val="73AA53A0"/>
    <w:rsid w:val="73B04F6B"/>
    <w:rsid w:val="73CC3A6E"/>
    <w:rsid w:val="73D20D1A"/>
    <w:rsid w:val="73E168D2"/>
    <w:rsid w:val="73E873C4"/>
    <w:rsid w:val="73F07AA4"/>
    <w:rsid w:val="74010DBC"/>
    <w:rsid w:val="74054701"/>
    <w:rsid w:val="740D2C3F"/>
    <w:rsid w:val="74135925"/>
    <w:rsid w:val="742827DB"/>
    <w:rsid w:val="742D6CA9"/>
    <w:rsid w:val="742E58A2"/>
    <w:rsid w:val="74525628"/>
    <w:rsid w:val="745F06BF"/>
    <w:rsid w:val="746C713B"/>
    <w:rsid w:val="748D2368"/>
    <w:rsid w:val="749217E0"/>
    <w:rsid w:val="74B22D8C"/>
    <w:rsid w:val="74C26B38"/>
    <w:rsid w:val="74C55FC1"/>
    <w:rsid w:val="74CC7EC1"/>
    <w:rsid w:val="74DA7552"/>
    <w:rsid w:val="74E41FDD"/>
    <w:rsid w:val="74EF6361"/>
    <w:rsid w:val="74F347DF"/>
    <w:rsid w:val="74FA7FE6"/>
    <w:rsid w:val="74FD4A9B"/>
    <w:rsid w:val="751D43A6"/>
    <w:rsid w:val="75453AE1"/>
    <w:rsid w:val="75573AC9"/>
    <w:rsid w:val="75595449"/>
    <w:rsid w:val="758B283A"/>
    <w:rsid w:val="75BD313A"/>
    <w:rsid w:val="75BF6D3D"/>
    <w:rsid w:val="75DC1EF4"/>
    <w:rsid w:val="75E50837"/>
    <w:rsid w:val="75EF5520"/>
    <w:rsid w:val="75F63713"/>
    <w:rsid w:val="76143A54"/>
    <w:rsid w:val="7637074A"/>
    <w:rsid w:val="763B63B0"/>
    <w:rsid w:val="764772A3"/>
    <w:rsid w:val="767B7960"/>
    <w:rsid w:val="769A6195"/>
    <w:rsid w:val="76A44430"/>
    <w:rsid w:val="76A71FBB"/>
    <w:rsid w:val="76AA5D81"/>
    <w:rsid w:val="76AB50DC"/>
    <w:rsid w:val="76BB3C83"/>
    <w:rsid w:val="76C80EC7"/>
    <w:rsid w:val="76F73D47"/>
    <w:rsid w:val="77006E1F"/>
    <w:rsid w:val="77032A24"/>
    <w:rsid w:val="771670C1"/>
    <w:rsid w:val="772C16E9"/>
    <w:rsid w:val="77683E14"/>
    <w:rsid w:val="776911B8"/>
    <w:rsid w:val="77734EA5"/>
    <w:rsid w:val="77A06542"/>
    <w:rsid w:val="77A922C9"/>
    <w:rsid w:val="77AC049C"/>
    <w:rsid w:val="77B23714"/>
    <w:rsid w:val="77BB772D"/>
    <w:rsid w:val="77D43FD2"/>
    <w:rsid w:val="77FA155A"/>
    <w:rsid w:val="781137AD"/>
    <w:rsid w:val="781D13FA"/>
    <w:rsid w:val="782817E9"/>
    <w:rsid w:val="78555C26"/>
    <w:rsid w:val="78640057"/>
    <w:rsid w:val="78810787"/>
    <w:rsid w:val="78826969"/>
    <w:rsid w:val="788E3AAC"/>
    <w:rsid w:val="78B515B5"/>
    <w:rsid w:val="78C21620"/>
    <w:rsid w:val="78CE2D76"/>
    <w:rsid w:val="78EE2375"/>
    <w:rsid w:val="78FA244C"/>
    <w:rsid w:val="78FE1B78"/>
    <w:rsid w:val="79024116"/>
    <w:rsid w:val="790B5E4F"/>
    <w:rsid w:val="790D572F"/>
    <w:rsid w:val="79233654"/>
    <w:rsid w:val="79455569"/>
    <w:rsid w:val="79470AE2"/>
    <w:rsid w:val="795123A8"/>
    <w:rsid w:val="79535AC3"/>
    <w:rsid w:val="79620961"/>
    <w:rsid w:val="79987ED2"/>
    <w:rsid w:val="79AE1AE3"/>
    <w:rsid w:val="79AE77FB"/>
    <w:rsid w:val="79B85AA8"/>
    <w:rsid w:val="79C342A8"/>
    <w:rsid w:val="79C34F9F"/>
    <w:rsid w:val="79C81B6A"/>
    <w:rsid w:val="79E83652"/>
    <w:rsid w:val="79EF6059"/>
    <w:rsid w:val="7A074D7D"/>
    <w:rsid w:val="7A1053E1"/>
    <w:rsid w:val="7A17618B"/>
    <w:rsid w:val="7A1E05C7"/>
    <w:rsid w:val="7A3F1ABF"/>
    <w:rsid w:val="7A413A99"/>
    <w:rsid w:val="7A4642A9"/>
    <w:rsid w:val="7A4B6B30"/>
    <w:rsid w:val="7A5D3D51"/>
    <w:rsid w:val="7A5F0CF7"/>
    <w:rsid w:val="7A675EA5"/>
    <w:rsid w:val="7A6B3865"/>
    <w:rsid w:val="7A7041ED"/>
    <w:rsid w:val="7A832390"/>
    <w:rsid w:val="7A92679C"/>
    <w:rsid w:val="7A955810"/>
    <w:rsid w:val="7A985E92"/>
    <w:rsid w:val="7A9C2E47"/>
    <w:rsid w:val="7A9E009C"/>
    <w:rsid w:val="7AA254FD"/>
    <w:rsid w:val="7AC019FF"/>
    <w:rsid w:val="7ACA6FB9"/>
    <w:rsid w:val="7AF46C5F"/>
    <w:rsid w:val="7AF91BCC"/>
    <w:rsid w:val="7B0C5BAE"/>
    <w:rsid w:val="7B2374FE"/>
    <w:rsid w:val="7B34342A"/>
    <w:rsid w:val="7B3873CB"/>
    <w:rsid w:val="7B496993"/>
    <w:rsid w:val="7B783675"/>
    <w:rsid w:val="7B796807"/>
    <w:rsid w:val="7BAC2D3A"/>
    <w:rsid w:val="7BAE3C97"/>
    <w:rsid w:val="7BB16076"/>
    <w:rsid w:val="7BB46DB9"/>
    <w:rsid w:val="7BBF62B2"/>
    <w:rsid w:val="7BC02341"/>
    <w:rsid w:val="7BD74454"/>
    <w:rsid w:val="7BE96DEC"/>
    <w:rsid w:val="7C021A51"/>
    <w:rsid w:val="7C033C13"/>
    <w:rsid w:val="7C041A0F"/>
    <w:rsid w:val="7C110306"/>
    <w:rsid w:val="7C212B8A"/>
    <w:rsid w:val="7C5817E4"/>
    <w:rsid w:val="7C8464A1"/>
    <w:rsid w:val="7C9D2D7B"/>
    <w:rsid w:val="7CA26867"/>
    <w:rsid w:val="7CB43A8E"/>
    <w:rsid w:val="7CC106AB"/>
    <w:rsid w:val="7CDF4250"/>
    <w:rsid w:val="7D09113D"/>
    <w:rsid w:val="7D157A0E"/>
    <w:rsid w:val="7D1658AD"/>
    <w:rsid w:val="7D1D4159"/>
    <w:rsid w:val="7D243099"/>
    <w:rsid w:val="7D4B3993"/>
    <w:rsid w:val="7D5F5E30"/>
    <w:rsid w:val="7D6C208F"/>
    <w:rsid w:val="7D897D56"/>
    <w:rsid w:val="7D9B14E5"/>
    <w:rsid w:val="7DAA42B2"/>
    <w:rsid w:val="7DAA569A"/>
    <w:rsid w:val="7DB1501E"/>
    <w:rsid w:val="7DB676D9"/>
    <w:rsid w:val="7DBE16CF"/>
    <w:rsid w:val="7DC37DE3"/>
    <w:rsid w:val="7DD45912"/>
    <w:rsid w:val="7E0D4E8F"/>
    <w:rsid w:val="7E107D04"/>
    <w:rsid w:val="7E202441"/>
    <w:rsid w:val="7E4B691E"/>
    <w:rsid w:val="7E616C7B"/>
    <w:rsid w:val="7E733A70"/>
    <w:rsid w:val="7E8A0780"/>
    <w:rsid w:val="7EA574A2"/>
    <w:rsid w:val="7EBB0DC0"/>
    <w:rsid w:val="7EC42E15"/>
    <w:rsid w:val="7EC50C54"/>
    <w:rsid w:val="7ED11A3C"/>
    <w:rsid w:val="7ED91C72"/>
    <w:rsid w:val="7EEB5BB3"/>
    <w:rsid w:val="7F1568D7"/>
    <w:rsid w:val="7F2E0D24"/>
    <w:rsid w:val="7F312E91"/>
    <w:rsid w:val="7F33645C"/>
    <w:rsid w:val="7F4E4DC2"/>
    <w:rsid w:val="7F66205C"/>
    <w:rsid w:val="7FA8327A"/>
    <w:rsid w:val="7FB32EED"/>
    <w:rsid w:val="7FB6358D"/>
    <w:rsid w:val="7FE0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4696</Words>
  <Characters>5223</Characters>
  <Lines>0</Lines>
  <Paragraphs>0</Paragraphs>
  <TotalTime>8</TotalTime>
  <ScaleCrop>false</ScaleCrop>
  <LinksUpToDate>false</LinksUpToDate>
  <CharactersWithSpaces>5447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2023-04-23T08:56:00Z</dcterms:created>
  <dc:creator>新一天</dc:creator>
  <cp:lastModifiedBy>Administrator</cp:lastModifiedBy>
  <cp:lastPrinted>2023-05-26T08:11:00Z</cp:lastPrinted>
  <dcterms:modified xsi:type="dcterms:W3CDTF">2023-07-10T00:38:27Z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50306CC149C84F98BF850919EA3E5AFB_13</vt:lpwstr>
  </property>
</Properties>
</file>