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2022</w:t>
      </w:r>
      <w:r>
        <w:rPr>
          <w:rFonts w:hint="eastAsia" w:ascii="方正小标宋简体" w:eastAsia="方正小标宋简体"/>
          <w:sz w:val="44"/>
          <w:szCs w:val="44"/>
        </w:rPr>
        <w:t>年度</w:t>
      </w:r>
      <w:r>
        <w:rPr>
          <w:rFonts w:hint="eastAsia" w:ascii="方正小标宋简体" w:eastAsia="方正小标宋简体"/>
          <w:sz w:val="44"/>
          <w:szCs w:val="44"/>
          <w:lang w:eastAsia="zh-CN"/>
        </w:rPr>
        <w:t>岳阳市司法局部门</w:t>
      </w:r>
      <w:r>
        <w:rPr>
          <w:rFonts w:hint="eastAsia" w:ascii="方正小标宋简体" w:eastAsia="方正小标宋简体"/>
          <w:sz w:val="44"/>
          <w:szCs w:val="44"/>
        </w:rPr>
        <w:t>整体支出</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hint="eastAsia" w:eastAsia="黑体"/>
          <w:sz w:val="36"/>
          <w:szCs w:val="36"/>
        </w:rPr>
        <w:t>单位名称（盖章）：</w:t>
      </w:r>
      <w:r>
        <w:rPr>
          <w:rFonts w:hint="eastAsia" w:eastAsia="黑体"/>
          <w:sz w:val="36"/>
          <w:szCs w:val="36"/>
          <w:lang w:eastAsia="zh-CN"/>
        </w:rPr>
        <w:t>岳阳市司法局</w:t>
      </w: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0" w:firstLineChars="200"/>
        <w:rPr>
          <w:rFonts w:eastAsia="楷体_GB2312"/>
          <w:sz w:val="32"/>
          <w:szCs w:val="32"/>
        </w:rPr>
      </w:pPr>
      <w:r>
        <w:rPr>
          <w:rFonts w:eastAsia="楷体_GB2312"/>
          <w:sz w:val="32"/>
          <w:szCs w:val="32"/>
        </w:rPr>
        <w:t>（一）部门基本情况</w:t>
      </w:r>
    </w:p>
    <w:p>
      <w:pPr>
        <w:ind w:firstLine="560" w:firstLineChars="200"/>
        <w:rPr>
          <w:rFonts w:eastAsia="楷体_GB2312"/>
          <w:sz w:val="32"/>
          <w:szCs w:val="32"/>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委全面依法治市委员会办公室设市司法局，市委依法治市办内设秘书科，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个科室，下设2个二级机构，分别为市强制隔离戒毒所（副处级行政单位）、市法律援助中心（正科级行政单位）。人员编制2</w:t>
      </w:r>
      <w:r>
        <w:rPr>
          <w:rFonts w:hint="eastAsia" w:ascii="仿宋" w:hAnsi="仿宋" w:eastAsia="仿宋" w:cs="仿宋"/>
          <w:bCs/>
          <w:sz w:val="28"/>
          <w:szCs w:val="28"/>
          <w:lang w:val="en-US" w:eastAsia="zh-CN"/>
        </w:rPr>
        <w:t>28</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216</w:t>
      </w:r>
      <w:r>
        <w:rPr>
          <w:rFonts w:hint="eastAsia" w:ascii="仿宋" w:hAnsi="仿宋" w:eastAsia="仿宋" w:cs="仿宋"/>
          <w:bCs/>
          <w:sz w:val="28"/>
          <w:szCs w:val="28"/>
        </w:rPr>
        <w:t>人。</w:t>
      </w:r>
    </w:p>
    <w:p>
      <w:pPr>
        <w:spacing w:line="600" w:lineRule="exact"/>
        <w:ind w:firstLine="640" w:firstLineChars="200"/>
        <w:rPr>
          <w:rFonts w:eastAsia="楷体_GB2312"/>
          <w:sz w:val="32"/>
          <w:szCs w:val="32"/>
        </w:rPr>
      </w:pPr>
      <w:r>
        <w:rPr>
          <w:rFonts w:eastAsia="楷体_GB2312"/>
          <w:sz w:val="32"/>
          <w:szCs w:val="32"/>
        </w:rPr>
        <w:t>（二）部门年度整体支出绩效目标，市级专项资金绩效目标、其他项目支出（除市级专项资金以外）绩效目标</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2022年</w:t>
      </w:r>
      <w:r>
        <w:rPr>
          <w:rFonts w:hint="eastAsia" w:ascii="仿宋" w:hAnsi="仿宋" w:eastAsia="仿宋" w:cs="仿宋"/>
          <w:bCs/>
          <w:sz w:val="28"/>
          <w:szCs w:val="28"/>
        </w:rPr>
        <w:t>全市司法行政系统围绕中心服务大局</w:t>
      </w:r>
      <w:r>
        <w:rPr>
          <w:rFonts w:hint="eastAsia" w:ascii="仿宋" w:hAnsi="仿宋" w:eastAsia="仿宋" w:cs="仿宋"/>
          <w:bCs/>
          <w:sz w:val="28"/>
          <w:szCs w:val="28"/>
          <w:lang w:eastAsia="zh-CN"/>
        </w:rPr>
        <w:t>积极</w:t>
      </w:r>
      <w:r>
        <w:rPr>
          <w:rFonts w:hint="eastAsia" w:ascii="仿宋" w:hAnsi="仿宋" w:eastAsia="仿宋" w:cs="仿宋"/>
          <w:bCs/>
          <w:sz w:val="28"/>
          <w:szCs w:val="28"/>
        </w:rPr>
        <w:t>开展法</w:t>
      </w:r>
      <w:r>
        <w:rPr>
          <w:rFonts w:hint="eastAsia" w:ascii="仿宋" w:hAnsi="仿宋" w:eastAsia="仿宋" w:cs="仿宋"/>
          <w:bCs/>
          <w:sz w:val="28"/>
          <w:szCs w:val="28"/>
          <w:lang w:eastAsia="zh-CN"/>
        </w:rPr>
        <w:t>治</w:t>
      </w:r>
      <w:r>
        <w:rPr>
          <w:rFonts w:hint="eastAsia" w:ascii="仿宋" w:hAnsi="仿宋" w:eastAsia="仿宋" w:cs="仿宋"/>
          <w:bCs/>
          <w:sz w:val="28"/>
          <w:szCs w:val="28"/>
        </w:rPr>
        <w:t>宣传，努力营造浓厚法治氛围</w:t>
      </w:r>
      <w:r>
        <w:rPr>
          <w:rFonts w:hint="eastAsia" w:ascii="仿宋" w:hAnsi="仿宋" w:eastAsia="仿宋" w:cs="仿宋"/>
          <w:bCs/>
          <w:sz w:val="28"/>
          <w:szCs w:val="28"/>
          <w:lang w:eastAsia="zh-CN"/>
        </w:rPr>
        <w:t>、</w:t>
      </w:r>
      <w:r>
        <w:rPr>
          <w:rFonts w:hint="eastAsia" w:ascii="仿宋" w:hAnsi="仿宋" w:eastAsia="仿宋" w:cs="仿宋"/>
          <w:bCs/>
          <w:sz w:val="28"/>
          <w:szCs w:val="28"/>
        </w:rPr>
        <w:t>服务政府依法行政</w:t>
      </w:r>
      <w:r>
        <w:rPr>
          <w:rFonts w:hint="eastAsia" w:ascii="仿宋" w:hAnsi="仿宋" w:eastAsia="仿宋" w:cs="仿宋"/>
          <w:bCs/>
          <w:sz w:val="28"/>
          <w:szCs w:val="28"/>
          <w:lang w:eastAsia="zh-CN"/>
        </w:rPr>
        <w:t>、</w:t>
      </w:r>
      <w:r>
        <w:rPr>
          <w:rFonts w:hint="eastAsia" w:ascii="仿宋" w:hAnsi="仿宋" w:eastAsia="仿宋" w:cs="仿宋"/>
          <w:bCs/>
          <w:sz w:val="28"/>
          <w:szCs w:val="28"/>
        </w:rPr>
        <w:t>服务全市经济发展、服务民生实事工程</w:t>
      </w:r>
      <w:r>
        <w:rPr>
          <w:rFonts w:hint="eastAsia" w:ascii="仿宋" w:hAnsi="仿宋" w:eastAsia="仿宋" w:cs="仿宋"/>
          <w:bCs/>
          <w:sz w:val="28"/>
          <w:szCs w:val="28"/>
          <w:lang w:eastAsia="zh-CN"/>
        </w:rPr>
        <w:t>、</w:t>
      </w:r>
      <w:r>
        <w:rPr>
          <w:rFonts w:hint="eastAsia" w:ascii="仿宋" w:hAnsi="仿宋" w:eastAsia="仿宋" w:cs="仿宋"/>
          <w:bCs/>
          <w:sz w:val="28"/>
          <w:szCs w:val="28"/>
        </w:rPr>
        <w:t>创新调解方式，全力推进社会矛盾化解</w:t>
      </w:r>
      <w:r>
        <w:rPr>
          <w:rFonts w:hint="eastAsia" w:ascii="仿宋" w:hAnsi="仿宋" w:eastAsia="仿宋" w:cs="仿宋"/>
          <w:bCs/>
          <w:sz w:val="28"/>
          <w:szCs w:val="28"/>
          <w:lang w:eastAsia="zh-CN"/>
        </w:rPr>
        <w:t>、</w:t>
      </w:r>
      <w:r>
        <w:rPr>
          <w:rFonts w:hint="eastAsia" w:ascii="仿宋" w:hAnsi="仿宋" w:eastAsia="仿宋" w:cs="仿宋"/>
          <w:bCs/>
          <w:sz w:val="28"/>
          <w:szCs w:val="28"/>
        </w:rPr>
        <w:t>维护社会稳定，切实加强重点人员管</w:t>
      </w:r>
      <w:r>
        <w:rPr>
          <w:rFonts w:hint="eastAsia" w:ascii="仿宋" w:hAnsi="仿宋" w:eastAsia="仿宋" w:cs="仿宋"/>
          <w:bCs/>
          <w:sz w:val="28"/>
          <w:szCs w:val="28"/>
          <w:lang w:eastAsia="zh-CN"/>
        </w:rPr>
        <w:t>控、</w:t>
      </w:r>
      <w:r>
        <w:rPr>
          <w:rFonts w:hint="eastAsia" w:ascii="仿宋" w:hAnsi="仿宋" w:eastAsia="仿宋" w:cs="仿宋"/>
          <w:bCs/>
          <w:sz w:val="28"/>
          <w:szCs w:val="28"/>
          <w:lang w:val="en-US" w:eastAsia="zh-CN"/>
        </w:rPr>
        <w:t>开展法律援助等公共法律服务。</w:t>
      </w:r>
    </w:p>
    <w:p>
      <w:pPr>
        <w:spacing w:line="600" w:lineRule="exact"/>
        <w:ind w:firstLine="640" w:firstLineChars="200"/>
        <w:rPr>
          <w:rFonts w:eastAsia="黑体"/>
          <w:sz w:val="32"/>
          <w:szCs w:val="32"/>
        </w:rPr>
      </w:pPr>
      <w:r>
        <w:rPr>
          <w:rFonts w:eastAsia="黑体"/>
          <w:sz w:val="32"/>
          <w:szCs w:val="32"/>
        </w:rPr>
        <w:t>二、一般公共预算支出情况</w:t>
      </w:r>
    </w:p>
    <w:p>
      <w:pPr>
        <w:spacing w:line="600" w:lineRule="exact"/>
        <w:ind w:firstLine="640" w:firstLineChars="200"/>
        <w:rPr>
          <w:rFonts w:eastAsia="楷体_GB2312"/>
          <w:sz w:val="32"/>
          <w:szCs w:val="32"/>
        </w:rPr>
      </w:pPr>
      <w:r>
        <w:rPr>
          <w:rFonts w:eastAsia="楷体_GB2312"/>
          <w:sz w:val="32"/>
          <w:szCs w:val="32"/>
        </w:rPr>
        <w:t>（一）基本支出情况</w:t>
      </w:r>
    </w:p>
    <w:p>
      <w:pPr>
        <w:ind w:firstLine="560" w:firstLineChars="200"/>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年度局机关及二级机构基本支出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4836.04</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4233.48</w:t>
      </w:r>
      <w:r>
        <w:rPr>
          <w:rFonts w:hint="eastAsia" w:ascii="仿宋" w:hAnsi="仿宋" w:eastAsia="仿宋" w:cs="仿宋"/>
          <w:bCs/>
          <w:sz w:val="28"/>
          <w:szCs w:val="28"/>
        </w:rPr>
        <w:t>万元，主要用于发放行政人员、事业人员以及</w:t>
      </w:r>
      <w:r>
        <w:rPr>
          <w:rFonts w:hint="eastAsia" w:ascii="仿宋" w:hAnsi="仿宋" w:eastAsia="仿宋" w:cs="仿宋"/>
          <w:bCs/>
          <w:sz w:val="28"/>
          <w:szCs w:val="28"/>
          <w:lang w:eastAsia="zh-CN"/>
        </w:rPr>
        <w:t>劳务派遣人员</w:t>
      </w:r>
      <w:r>
        <w:rPr>
          <w:rFonts w:hint="eastAsia" w:ascii="仿宋" w:hAnsi="仿宋" w:eastAsia="仿宋" w:cs="仿宋"/>
          <w:bCs/>
          <w:sz w:val="28"/>
          <w:szCs w:val="28"/>
        </w:rPr>
        <w:t>工资及津补贴；支付机关离退休员工的工资及津补贴、抚恤金、丧葬费、生活补助等；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602.56</w:t>
      </w:r>
      <w:r>
        <w:rPr>
          <w:rFonts w:hint="eastAsia" w:ascii="仿宋" w:hAnsi="仿宋" w:eastAsia="仿宋" w:cs="仿宋"/>
          <w:bCs/>
          <w:sz w:val="28"/>
          <w:szCs w:val="28"/>
        </w:rPr>
        <w:t>万元，主要用于保障机关正常运转所需开支的办公费、差旅费、招待费、会议费、公务用车运行维护费、物业管理费等。</w:t>
      </w:r>
    </w:p>
    <w:p>
      <w:pPr>
        <w:spacing w:line="600" w:lineRule="exact"/>
        <w:ind w:firstLine="640" w:firstLineChars="200"/>
        <w:rPr>
          <w:rFonts w:eastAsia="楷体_GB2312"/>
          <w:sz w:val="32"/>
          <w:szCs w:val="32"/>
        </w:rPr>
      </w:pPr>
      <w:r>
        <w:rPr>
          <w:rFonts w:eastAsia="楷体_GB2312"/>
          <w:sz w:val="32"/>
          <w:szCs w:val="32"/>
        </w:rPr>
        <w:t>（二）项目支出情况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年度局机关及二级机构项目支出合计</w:t>
      </w:r>
      <w:r>
        <w:rPr>
          <w:rFonts w:hint="eastAsia" w:ascii="仿宋" w:hAnsi="仿宋" w:eastAsia="仿宋" w:cs="仿宋"/>
          <w:bCs/>
          <w:sz w:val="28"/>
          <w:szCs w:val="28"/>
          <w:lang w:val="en-US" w:eastAsia="zh-CN"/>
        </w:rPr>
        <w:t>2452.17</w:t>
      </w:r>
      <w:r>
        <w:rPr>
          <w:rFonts w:hint="eastAsia" w:ascii="仿宋" w:hAnsi="仿宋" w:eastAsia="仿宋" w:cs="仿宋"/>
          <w:bCs/>
          <w:sz w:val="28"/>
          <w:szCs w:val="28"/>
        </w:rPr>
        <w:t>万元。专项支出主要用于行政立法、行政执法、依法治市、戒毒人员管理、法律援助、人民调解、社区矫正和安置帮教。</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2452.17</w:t>
      </w:r>
      <w:r>
        <w:rPr>
          <w:rFonts w:hint="eastAsia" w:ascii="仿宋" w:hAnsi="仿宋" w:eastAsia="仿宋" w:cs="仿宋"/>
          <w:bCs/>
          <w:sz w:val="28"/>
          <w:szCs w:val="28"/>
        </w:rPr>
        <w:t>万元，全部用于专项工作，专项资没有被挪用、挤占，全部按进度支付到位。</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三、部门专项组织实施情况</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1、完善制度，规范管理</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认真贯彻落实中央八项规定</w:t>
      </w:r>
      <w:r>
        <w:rPr>
          <w:rFonts w:hint="eastAsia" w:ascii="仿宋" w:hAnsi="仿宋" w:eastAsia="仿宋" w:cs="仿宋"/>
          <w:bCs/>
          <w:sz w:val="28"/>
          <w:szCs w:val="28"/>
          <w:lang w:eastAsia="zh-CN"/>
        </w:rPr>
        <w:t>和</w:t>
      </w:r>
      <w:r>
        <w:rPr>
          <w:rFonts w:hint="eastAsia" w:ascii="仿宋" w:hAnsi="仿宋" w:eastAsia="仿宋" w:cs="仿宋"/>
          <w:bCs/>
          <w:sz w:val="28"/>
          <w:szCs w:val="28"/>
        </w:rPr>
        <w:t>市委、市政府厉行节约的精神，进一步规范机关作风、加强机关财务管理，对单位行政运行、内部控制、会议、差旅、培训等严格按政策管理执行。</w:t>
      </w: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严格执行预算，控制各项经费支出</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为加强单位资金使用效率，落实好财务管理制度，我局成立有财务工作领导小组，在资金使用审批上坚持局党组集体研究，纪检部门全程跟踪，分管副局长一支笔签字</w:t>
      </w:r>
      <w:r>
        <w:rPr>
          <w:rFonts w:hint="eastAsia" w:ascii="仿宋" w:hAnsi="仿宋" w:eastAsia="仿宋" w:cs="仿宋"/>
          <w:bCs/>
          <w:sz w:val="28"/>
          <w:szCs w:val="28"/>
          <w:lang w:eastAsia="zh-CN"/>
        </w:rPr>
        <w:t>报账</w:t>
      </w:r>
      <w:r>
        <w:rPr>
          <w:rFonts w:hint="eastAsia" w:ascii="仿宋" w:hAnsi="仿宋" w:eastAsia="仿宋" w:cs="仿宋"/>
          <w:bCs/>
          <w:sz w:val="28"/>
          <w:szCs w:val="28"/>
        </w:rPr>
        <w:t>的原则。严格执行政府采购。优化政府采购领域的营商环境，进一步深化财政体制改革，严格遵守政府采购制度，所有耗材及办公用品均通过政府采购平台进行采购。</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（二）专项管理情况分析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在专项资金的使用上，根据专项工作不同要求，确定项目资金负责人，局机关专项支出由</w:t>
      </w:r>
      <w:r>
        <w:rPr>
          <w:rFonts w:hint="eastAsia" w:ascii="仿宋" w:hAnsi="仿宋" w:eastAsia="仿宋" w:cs="仿宋"/>
          <w:bCs/>
          <w:sz w:val="28"/>
          <w:szCs w:val="28"/>
          <w:lang w:eastAsia="zh-CN"/>
        </w:rPr>
        <w:t>装备财务科</w:t>
      </w:r>
      <w:r>
        <w:rPr>
          <w:rFonts w:hint="eastAsia" w:ascii="仿宋" w:hAnsi="仿宋" w:eastAsia="仿宋" w:cs="仿宋"/>
          <w:bCs/>
          <w:sz w:val="28"/>
          <w:szCs w:val="28"/>
        </w:rPr>
        <w:t>科长负责管理，二级机构专项资金的使用由机构主要负责人管理实施。局机关负责监督全部专项资金的管理使用，在保障各项工作有序开展的同时，</w:t>
      </w:r>
      <w:r>
        <w:rPr>
          <w:rFonts w:hint="eastAsia" w:ascii="仿宋" w:hAnsi="仿宋" w:eastAsia="仿宋" w:cs="仿宋"/>
          <w:bCs/>
          <w:sz w:val="28"/>
          <w:szCs w:val="28"/>
          <w:lang w:eastAsia="zh-CN"/>
        </w:rPr>
        <w:t>提高资金的使用效益</w:t>
      </w:r>
      <w:r>
        <w:rPr>
          <w:rFonts w:hint="eastAsia" w:ascii="仿宋" w:hAnsi="仿宋" w:eastAsia="仿宋" w:cs="仿宋"/>
          <w:bCs/>
          <w:sz w:val="28"/>
          <w:szCs w:val="28"/>
        </w:rPr>
        <w:t>。</w:t>
      </w:r>
    </w:p>
    <w:p>
      <w:pPr>
        <w:spacing w:line="600" w:lineRule="exact"/>
        <w:ind w:firstLine="640" w:firstLineChars="200"/>
        <w:rPr>
          <w:rFonts w:eastAsia="黑体"/>
          <w:sz w:val="32"/>
          <w:szCs w:val="32"/>
        </w:rPr>
      </w:pPr>
      <w:r>
        <w:rPr>
          <w:rFonts w:eastAsia="黑体"/>
          <w:sz w:val="32"/>
          <w:szCs w:val="32"/>
        </w:rPr>
        <w:t>四、部门整体支出绩效情况</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bCs/>
          <w:sz w:val="28"/>
          <w:szCs w:val="28"/>
          <w:lang w:val="en-US" w:eastAsia="zh-CN"/>
        </w:rPr>
        <w:t>2022年，</w:t>
      </w:r>
      <w:r>
        <w:rPr>
          <w:rFonts w:hint="eastAsia" w:ascii="仿宋" w:hAnsi="仿宋" w:eastAsia="仿宋" w:cs="仿宋"/>
          <w:color w:val="auto"/>
          <w:sz w:val="28"/>
          <w:szCs w:val="28"/>
        </w:rPr>
        <w:t>全市司法行政系统在省司法厅、市委、市政府的坚强领导下，在市委政法委的具体指导下，坚持以习近平新时代中国特色社会主义思想为指导，坚持党对司法行政工作的绝对领导，围绕中心服务大局，全力推进法治岳阳、法治政府和平安岳阳建设，持续巩固深化政法队伍教育整顿成果，扎实抓好干部队伍外树形象内强素质，全力以赴战疫情、防风险、护稳定、促发展，取得了较好的成绩。</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w:t>
      </w:r>
      <w:r>
        <w:rPr>
          <w:rFonts w:hint="eastAsia" w:ascii="仿宋" w:hAnsi="仿宋" w:eastAsia="仿宋" w:cs="仿宋"/>
          <w:bCs/>
          <w:sz w:val="28"/>
          <w:szCs w:val="28"/>
          <w:lang w:val="en-US" w:eastAsia="zh-CN"/>
        </w:rPr>
        <w:t>,</w:t>
      </w:r>
      <w:r>
        <w:rPr>
          <w:rFonts w:hint="eastAsia" w:ascii="仿宋" w:hAnsi="仿宋" w:eastAsia="仿宋" w:cs="仿宋"/>
          <w:bCs/>
          <w:sz w:val="28"/>
          <w:szCs w:val="28"/>
        </w:rPr>
        <w:t>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及时进行了拨付；不存在截留或滞留专项资金情况；三公经费总额和财政拨款支出三公经费总体控制较好。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600" w:lineRule="exact"/>
        <w:ind w:firstLine="560" w:firstLineChars="200"/>
        <w:rPr>
          <w:rFonts w:hint="eastAsia" w:ascii="仿宋_GB2312" w:hAnsi="仿宋_GB2312" w:eastAsia="仿宋_GB2312" w:cs="仿宋_GB2312"/>
          <w:sz w:val="32"/>
          <w:szCs w:val="32"/>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w:t>
      </w:r>
      <w:r>
        <w:rPr>
          <w:rFonts w:hint="eastAsia" w:ascii="仿宋_GB2312" w:hAnsi="仿宋_GB2312" w:eastAsia="仿宋_GB2312" w:cs="仿宋_GB2312"/>
          <w:sz w:val="32"/>
          <w:szCs w:val="32"/>
        </w:rPr>
        <w:t>以服务民生为己任，进一步扩大法律援助范围，将触角努力延伸至低收入群体，加强法律援助“绿色通道”建设，努力提供便民利民的援助服务，加大对刑事案件的援助力度。一年来，共受理法援案件2669件。11月，司法部对法律援助案卷开展评查，我市代表全省迎检，抽查案卷优秀率达到100%，居全国领先。</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年度评价得分99分。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spacing w:line="60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、存在的问题及原因分析</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spacing w:line="600" w:lineRule="exact"/>
        <w:ind w:firstLine="640" w:firstLineChars="200"/>
        <w:rPr>
          <w:rFonts w:eastAsia="黑体"/>
          <w:sz w:val="32"/>
          <w:szCs w:val="32"/>
        </w:rPr>
      </w:pPr>
      <w:r>
        <w:rPr>
          <w:rFonts w:eastAsia="黑体"/>
          <w:sz w:val="32"/>
          <w:szCs w:val="32"/>
        </w:rPr>
        <w:t>八、下一步改进措施</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w:t>
      </w:r>
      <w:r>
        <w:rPr>
          <w:rFonts w:hint="eastAsia" w:ascii="仿宋" w:hAnsi="仿宋" w:eastAsia="仿宋" w:cs="仿宋"/>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ind w:firstLine="560"/>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spacing w:line="600" w:lineRule="exact"/>
        <w:ind w:firstLine="640" w:firstLineChars="200"/>
        <w:rPr>
          <w:rFonts w:eastAsia="黑体"/>
          <w:sz w:val="32"/>
          <w:szCs w:val="32"/>
        </w:rPr>
      </w:pPr>
      <w:r>
        <w:rPr>
          <w:rFonts w:eastAsia="黑体"/>
          <w:sz w:val="32"/>
          <w:szCs w:val="32"/>
        </w:rPr>
        <w:t>九、绩效自评结果拟应用和公开情况</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按要求在门户网站进行了公开。</w:t>
      </w:r>
    </w:p>
    <w:p>
      <w:pPr>
        <w:spacing w:line="600" w:lineRule="exact"/>
        <w:ind w:firstLine="640" w:firstLineChars="200"/>
        <w:rPr>
          <w:rFonts w:eastAsia="仿宋_GB2312"/>
          <w:sz w:val="32"/>
          <w:szCs w:val="32"/>
        </w:rPr>
      </w:pPr>
    </w:p>
    <w:p>
      <w:pPr>
        <w:spacing w:line="600" w:lineRule="exact"/>
        <w:rPr>
          <w:rFonts w:eastAsia="仿宋_GB2312"/>
          <w:kern w:val="0"/>
          <w:sz w:val="32"/>
          <w:szCs w:val="32"/>
        </w:rPr>
      </w:pPr>
      <w:bookmarkStart w:id="0" w:name="_GoBack"/>
      <w:bookmarkEnd w:id="0"/>
    </w:p>
    <w:p>
      <w:pPr>
        <w:spacing w:line="600" w:lineRule="exact"/>
        <w:rPr>
          <w:rFonts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2FE2C"/>
    <w:multiLevelType w:val="singleLevel"/>
    <w:tmpl w:val="6502FE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5652"/>
    <w:rsid w:val="031747D6"/>
    <w:rsid w:val="0BCB6C89"/>
    <w:rsid w:val="14040B30"/>
    <w:rsid w:val="1AF3438E"/>
    <w:rsid w:val="2A3F463B"/>
    <w:rsid w:val="2C156A3E"/>
    <w:rsid w:val="2D8242A2"/>
    <w:rsid w:val="32E04556"/>
    <w:rsid w:val="33C04A95"/>
    <w:rsid w:val="36BA14D2"/>
    <w:rsid w:val="3B162ACA"/>
    <w:rsid w:val="3F346842"/>
    <w:rsid w:val="43F95652"/>
    <w:rsid w:val="50C66C58"/>
    <w:rsid w:val="66FE53EB"/>
    <w:rsid w:val="6CDF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2023-06-29T03:14:00Z</dcterms:created>
  <dc:creator>Administrator</dc:creator>
  <cp:lastModifiedBy>Administrator</cp:lastModifiedBy>
  <cp:lastPrinted>2023-07-06T08:57:00Z</cp:lastPrinted>
  <dcterms:modified xsi:type="dcterms:W3CDTF">2023-07-20T07:00:52Z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91248644F7E5452BBD39934163605154</vt:lpwstr>
  </property>
</Properties>
</file>