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8522"/>
      </w:tblGrid>
      <w:tr>
        <w:tblPrEx>
          <w:tblCellMar>
            <w:top w:w="0" w:type="dxa"/>
            <w:left w:w="108" w:type="dxa"/>
            <w:bottom w:w="0" w:type="dxa"/>
            <w:right w:w="108" w:type="dxa"/>
          </w:tblCellMar>
        </w:tblPrEx>
        <w:trPr>
          <w:trHeight w:val="1380" w:hRule="atLeast"/>
        </w:trPr>
        <w:tc>
          <w:tcPr>
            <w:tcW w:w="5000" w:type="pct"/>
            <w:tcBorders>
              <w:top w:val="nil"/>
              <w:left w:val="nil"/>
              <w:bottom w:val="nil"/>
              <w:right w:val="nil"/>
            </w:tcBorders>
            <w:shd w:val="clear" w:color="auto" w:fill="auto"/>
            <w:vAlign w:val="center"/>
          </w:tcPr>
          <w:p>
            <w:pPr>
              <w:widowControl/>
              <w:jc w:val="center"/>
              <w:rPr>
                <w:rFonts w:ascii="方正小标宋_GBK" w:hAnsi="宋体" w:eastAsia="方正小标宋_GBK" w:cs="宋体"/>
                <w:color w:val="000000"/>
                <w:kern w:val="0"/>
                <w:sz w:val="40"/>
                <w:szCs w:val="40"/>
              </w:rPr>
            </w:pPr>
            <w:r>
              <w:rPr>
                <w:rFonts w:hint="eastAsia" w:ascii="方正小标宋_GBK" w:hAnsi="宋体" w:eastAsia="方正小标宋_GBK" w:cs="宋体"/>
                <w:color w:val="000000"/>
                <w:kern w:val="0"/>
                <w:sz w:val="40"/>
                <w:szCs w:val="40"/>
              </w:rPr>
              <w:t>湖南东洞庭湖国家级自然保护区管理局2022年度单位预算</w:t>
            </w:r>
          </w:p>
        </w:tc>
      </w:tr>
      <w:tr>
        <w:tblPrEx>
          <w:tblCellMar>
            <w:top w:w="0" w:type="dxa"/>
            <w:left w:w="108" w:type="dxa"/>
            <w:bottom w:w="0" w:type="dxa"/>
            <w:right w:w="108" w:type="dxa"/>
          </w:tblCellMar>
        </w:tblPrEx>
        <w:trPr>
          <w:trHeight w:val="642" w:hRule="atLeast"/>
        </w:trPr>
        <w:tc>
          <w:tcPr>
            <w:tcW w:w="5000" w:type="pct"/>
            <w:tcBorders>
              <w:top w:val="nil"/>
              <w:left w:val="nil"/>
              <w:bottom w:val="nil"/>
              <w:right w:val="nil"/>
            </w:tcBorders>
            <w:shd w:val="clear" w:color="auto" w:fill="auto"/>
            <w:vAlign w:val="center"/>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目录</w:t>
            </w:r>
          </w:p>
        </w:tc>
      </w:tr>
      <w:tr>
        <w:tblPrEx>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第一部分  2022年单位预算说明</w:t>
            </w:r>
          </w:p>
        </w:tc>
      </w:tr>
      <w:tr>
        <w:tblPrEx>
          <w:tblCellMar>
            <w:top w:w="0" w:type="dxa"/>
            <w:left w:w="108" w:type="dxa"/>
            <w:bottom w:w="0" w:type="dxa"/>
            <w:right w:w="108" w:type="dxa"/>
          </w:tblCellMar>
        </w:tblPrEx>
        <w:trPr>
          <w:trHeight w:val="60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第二部分  2022年单位预算公开表格</w:t>
            </w:r>
          </w:p>
        </w:tc>
      </w:tr>
      <w:tr>
        <w:tblPrEx>
          <w:tblCellMar>
            <w:top w:w="0" w:type="dxa"/>
            <w:left w:w="108" w:type="dxa"/>
            <w:bottom w:w="0" w:type="dxa"/>
            <w:right w:w="108" w:type="dxa"/>
          </w:tblCellMar>
        </w:tblPrEx>
        <w:trPr>
          <w:trHeight w:val="4482" w:hRule="atLeast"/>
        </w:trPr>
        <w:tc>
          <w:tcPr>
            <w:tcW w:w="5000" w:type="pct"/>
            <w:vMerge w:val="restar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1、收支总表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2、收入总表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3、支出总表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4、支出预算分类汇总表（按政府预算经济分类）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5、支出预算分类汇总表（按部门预算经济分类）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6、财政拨款收支总表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7、一般公共预算支出表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8、一般公共预算基本支出表-人员经费（工资福利支出）（按政府预算经济分类）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9、一般公共预算基本支出表-人员经费（工资福利支出）（按部门预算经济分类）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10、一般公共预算基本支出表-人员经费（对个人和家庭的补助）（按政府预算经济分类）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11、一般公共预算基本支出表-人员经费（对个人和家庭的补助）（按部门预算经济分类）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12、一般公共预算基本支出表-人员经费（商品和服务支出）（按政府预算经济分类）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13、一般公共预算基本支出表-人员经费（商品和服务支出）（按部门预算经济分类）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14、一般公共预算“三公”经费支出表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15、政府性基金预算支出表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16、政府性基金预算支出分类汇总表（按政府预算经济分类）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17、政府性基金预算支出分类汇总表（按部门预算经济分类）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18、国有资本经营预算支出表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19、财政专户管理资金预算支出表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20、专项资金预算汇总表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21、项目支出绩效目标表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22、整体支出绩效目标表</w:t>
            </w:r>
          </w:p>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注：以上单位预算公开报表中，空表表示本单位无相关收支情况。</w:t>
            </w:r>
          </w:p>
        </w:tc>
      </w:tr>
      <w:tr>
        <w:tblPrEx>
          <w:tblCellMar>
            <w:top w:w="0" w:type="dxa"/>
            <w:left w:w="108" w:type="dxa"/>
            <w:bottom w:w="0" w:type="dxa"/>
            <w:right w:w="108" w:type="dxa"/>
          </w:tblCellMar>
        </w:tblPrEx>
        <w:trPr>
          <w:trHeight w:val="4482" w:hRule="atLeast"/>
        </w:trPr>
        <w:tc>
          <w:tcPr>
            <w:tcW w:w="5000" w:type="pct"/>
            <w:vMerge w:val="continue"/>
            <w:tcBorders>
              <w:top w:val="nil"/>
              <w:left w:val="nil"/>
              <w:bottom w:val="nil"/>
              <w:right w:val="nil"/>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840" w:hRule="atLeast"/>
        </w:trPr>
        <w:tc>
          <w:tcPr>
            <w:tcW w:w="5000" w:type="pct"/>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第一部分  2022年单位预算说明</w:t>
            </w:r>
          </w:p>
        </w:tc>
      </w:tr>
      <w:tr>
        <w:tblPrEx>
          <w:tblCellMar>
            <w:top w:w="0" w:type="dxa"/>
            <w:left w:w="108" w:type="dxa"/>
            <w:bottom w:w="0" w:type="dxa"/>
            <w:right w:w="108" w:type="dxa"/>
          </w:tblCellMar>
        </w:tblPrEx>
        <w:trPr>
          <w:trHeight w:val="2625" w:hRule="atLeast"/>
        </w:trPr>
        <w:tc>
          <w:tcPr>
            <w:tcW w:w="5000" w:type="pct"/>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一、单位基本概况</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（一）职能职责</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湖南东洞庭湖国家级自然保护区是湖南省最早成立的湿地类型保护区，主要保护对为区域内以鸟类、麋鹿等为代表的野生动物资源及其栖息地和以东洞庭湖为主体的湿地生态系统。东洞庭湖是洞庭湖的本底湖，其独特和多样化的湿地生态环境，孕育和承载了极其丰富的湿地自然资源。</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（二）机构设置</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湖南东洞庭湖国家级自然保护区管理局，为副处级公益一类事业单位，下设5个副科级分支机构：采桑湖管理站、丁字堤管理站、红旗湖管理站、春风管理站、君山后湖管理站。2022年初在职人员42人，退休人员12人。</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二、单位预算单位构成</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本单位预算仅含本级预算。</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三、单位收支总体情况</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（一）收入预算</w:t>
            </w:r>
          </w:p>
        </w:tc>
      </w:tr>
      <w:tr>
        <w:tblPrEx>
          <w:tblCellMar>
            <w:top w:w="0" w:type="dxa"/>
            <w:left w:w="108" w:type="dxa"/>
            <w:bottom w:w="0" w:type="dxa"/>
            <w:right w:w="108" w:type="dxa"/>
          </w:tblCellMar>
        </w:tblPrEx>
        <w:trPr>
          <w:trHeight w:val="225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包括一般公共预算、政府性基金、国有资本经营预算等财政拨款收入，以及经营收入、事业收入等单位资金。2022年本单位收入预算634.83万元，其中，一般公共预算拨款634.83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收入较去年增加130.55万元，主要是因为2022年预算中增加专项资金（工会经费、物业服务补助、伙食补助、预安排综合绩效奖和平安建设奖）。</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（二）支出预算</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2022年本单位支出预算634.83万元，其中，社会保障和就业支出45.39万元，占比7.15%，卫生健康支出23.3万元，占比3.67%，农林水支出529.29万元，占比83.38%，住房保障支出36.84万元，占比5.80%。支出较去年增加130.55万元，主要是因为本年预算中增加专项资金（工会经费、物业服务补助、伙食补助、预安排综合绩效奖和平安建设奖）。</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四、一般公共预算拨款支出预算</w:t>
            </w:r>
          </w:p>
        </w:tc>
      </w:tr>
      <w:tr>
        <w:tblPrEx>
          <w:tblCellMar>
            <w:top w:w="0" w:type="dxa"/>
            <w:left w:w="108" w:type="dxa"/>
            <w:bottom w:w="0" w:type="dxa"/>
            <w:right w:w="108" w:type="dxa"/>
          </w:tblCellMar>
        </w:tblPrEx>
        <w:trPr>
          <w:trHeight w:val="126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本单位一般公共预算拨款支出预算634.83万元，其中，社会保障和就业支出45.39万元，占比7.15%，卫生健康支出23.3万元，占比3.67%，农林水支出529.29万元，占比83.38%，住房保障支出36.84万元，占比5.80%。具体安排情况如下：</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一）基本支出：2022年基本支出年初预算数为469.34万元（数据来源见表7），是指为保障单位机构正常运转、完成日常工作任务而发生的各项支出，包括用于基本工资、津贴补贴等人员经费以及办公费、印刷费、水电费、差旅费等日常公用经费。</w:t>
            </w:r>
          </w:p>
        </w:tc>
      </w:tr>
      <w:tr>
        <w:tblPrEx>
          <w:tblCellMar>
            <w:top w:w="0" w:type="dxa"/>
            <w:left w:w="108" w:type="dxa"/>
            <w:bottom w:w="0" w:type="dxa"/>
            <w:right w:w="108" w:type="dxa"/>
          </w:tblCellMar>
        </w:tblPrEx>
        <w:trPr>
          <w:trHeight w:val="150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二）项目支出：2022年项目支出年初预算数为165.49万元（数据来源见表20），是指单位为完成特定行政工作任务或事业发展目标而发生的支出，包括有关业务工作经费、运行维护经费等。其中：工会经费专项支出16.2万元、伙食补助专项支出21.6万元、物业服务补贴专项支出19.44万元、预安排综合绩效奖和平安建设奖108万元、办案费专项支出0.25万元（按专项名称列出支出预算明细，数据来源见表20），主要用于职工的工会经费、伙食补助、物业服务补贴、预安排奖金和办案费专项经费开支。</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五、政府性基金预算支出</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2022年度本单位无政府性基金安排的支出，所以公开的附件15-17（政府性基金预算）为空。</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六、其他重要事项的情况说明</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（一）机关运行经费</w:t>
            </w:r>
          </w:p>
        </w:tc>
      </w:tr>
      <w:tr>
        <w:tblPrEx>
          <w:tblCellMar>
            <w:top w:w="0" w:type="dxa"/>
            <w:left w:w="108" w:type="dxa"/>
            <w:bottom w:w="0" w:type="dxa"/>
            <w:right w:w="108" w:type="dxa"/>
          </w:tblCellMar>
        </w:tblPrEx>
        <w:trPr>
          <w:trHeight w:val="85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本单位2022年机关运行经费当年一般公共预算拨款52.48万元（数据来源见表12），比上一年增加1.27万元，增加2.48%。主要原因是增加公务车运行维护费及公务交通补贴的变动。</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（二）“三公”经费预算</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三公”经费预算数34.13万元（数据来源见表14），其中，公务接待费25.13万元，因公出国（境）费0万元，公务用车购置及运行费9万元，其中公务用车购置费0万元，公务用车运行费9万元，较上年增加0.6万元，是因为2022年预算增加了一台公务车辆的运行维护费用。</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（三）一般性支出情况</w:t>
            </w:r>
          </w:p>
        </w:tc>
      </w:tr>
      <w:tr>
        <w:tblPrEx>
          <w:tblCellMar>
            <w:top w:w="0" w:type="dxa"/>
            <w:left w:w="108" w:type="dxa"/>
            <w:bottom w:w="0" w:type="dxa"/>
            <w:right w:w="108" w:type="dxa"/>
          </w:tblCellMar>
        </w:tblPrEx>
        <w:trPr>
          <w:trHeight w:val="187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会议费预算2.4万元（数据来源见表13会议费+培训费），拟召开5次会议，人数50人，内容为意识形态、党风廉政、党建方面的会议；培训费预算2万元，拟开展4次培训，人数80人，内容为科研监测、巡护管理、党建业务、技能培训；计划举办节庆、晚会、论坛、赛事活动400万元，内容为2022年洞庭湖国际观鸟节。</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（四）政府采购情况</w:t>
            </w:r>
          </w:p>
        </w:tc>
      </w:tr>
      <w:tr>
        <w:tblPrEx>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本单位2022年政府采购预算总额3675.76万元，其中工程类3027.64万元，货物类321.17万元，服务类326.95万元。</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（五）国有资产占有使用及新增资产配置情况</w:t>
            </w:r>
          </w:p>
        </w:tc>
      </w:tr>
      <w:tr>
        <w:tblPrEx>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widowControl/>
              <w:ind w:firstLine="420" w:firstLineChars="150"/>
              <w:jc w:val="left"/>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rPr>
              <w:t>截至上年底，本单位共有车辆3辆，其中领导干部用车0辆，一般公务用车0辆，其他用车3辆。单位价值50万元以上通用设备0台，单位价值100万元以上专用设备2台。</w:t>
            </w:r>
          </w:p>
          <w:p>
            <w:pPr>
              <w:widowControl/>
              <w:ind w:firstLine="420" w:firstLineChars="150"/>
              <w:jc w:val="left"/>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rPr>
              <w:t xml:space="preserve">    2022年拟报废处置公务用车0辆，拟新增配置车辆0辆，其中领导干部用车0辆，一般公务用车0辆，其他用车0辆。</w:t>
            </w:r>
            <w:bookmarkStart w:id="0" w:name="_GoBack"/>
            <w:bookmarkEnd w:id="0"/>
          </w:p>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2022年拟新增配备领导干部用车0辆，一般公务用车0辆，其他用车0辆，新增配备单位价值50万元以上通用设备0台，单位价值100万元以上专用设备0台。2022年度本单位未计划处置或新增车辆、设备等。</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（六）预算绩效目标说明</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本单位所有支出实行绩效目标管理。纳入2022年部门整体支出绩效目标的金额为634.83万元，其中，基本支出469.34万元，项目支出165.49万元，详见文尾附表中单位预算公开表格的表21-22。</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七、名词解释</w:t>
            </w:r>
          </w:p>
        </w:tc>
      </w:tr>
      <w:tr>
        <w:tblPrEx>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CellMar>
            <w:top w:w="0" w:type="dxa"/>
            <w:left w:w="108" w:type="dxa"/>
            <w:bottom w:w="0" w:type="dxa"/>
            <w:right w:w="108" w:type="dxa"/>
          </w:tblCellMar>
        </w:tblPrEx>
        <w:trPr>
          <w:trHeight w:val="900" w:hRule="atLeast"/>
        </w:trPr>
        <w:tc>
          <w:tcPr>
            <w:tcW w:w="5000" w:type="pct"/>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第二部分  2022年单位预算公开表格</w:t>
            </w:r>
          </w:p>
        </w:tc>
      </w:tr>
      <w:tr>
        <w:tblPrEx>
          <w:tblCellMar>
            <w:top w:w="0" w:type="dxa"/>
            <w:left w:w="108" w:type="dxa"/>
            <w:bottom w:w="0" w:type="dxa"/>
            <w:right w:w="108" w:type="dxa"/>
          </w:tblCellMar>
        </w:tblPrEx>
        <w:trPr>
          <w:trHeight w:val="8190" w:hRule="atLeast"/>
        </w:trPr>
        <w:tc>
          <w:tcPr>
            <w:tcW w:w="5000" w:type="pc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1、收支总表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2、收入总表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3、支出总表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4、支出预算分类汇总表（按政府预算经济分类）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5、支出预算分类汇总表（按部门预算经济分类）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6、财政拨款收支总表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7、一般公共预算支出表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8、一般公共预算基本支出表-人员经费（工资福利支出）（按政府预算经济分类）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9、一般公共预算基本支出表-人员经费（工资福利支出）（按部门预算经济分类）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10、一般公共预算基本支出表-人员经费（对个人和家庭的补助）（按政府预算经济分类）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11、一般公共预算基本支出表-人员经费（对个人和家庭的补助）（按部门预算经济分类）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12、一般公共预算基本支出表-人员经费（商品和服务支出）（按政府预算经济分类）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13、一般公共预算基本支出表-人员经费（商品和服务支出）（按部门预算经济分类）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14、一般公共预算“三公”经费支出表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15、政府性基金预算支出表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16、政府性基金预算支出分类汇总表（按政府预算经济分类）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17、政府性基金预算支出分类汇总表（按部门预算经济分类）</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18、国有资本经营预算支出表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19、财政专户管理资金预算支出表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20、专项资金预算汇总表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21、项目支出绩效目标表</w:t>
            </w:r>
          </w:p>
          <w:p>
            <w:pPr>
              <w:widowControl/>
              <w:jc w:val="left"/>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rPr>
              <w:t>22、整体支出绩效目标表</w:t>
            </w:r>
          </w:p>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注：以上单位预算公开报表中，空表表示本单位无相关收支情况。</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4NWZmOGRjYjgyMzBkNjY4OGE4ZThkOWE2MDMyOTYifQ=="/>
  </w:docVars>
  <w:rsids>
    <w:rsidRoot w:val="00233D22"/>
    <w:rsid w:val="00233D22"/>
    <w:rsid w:val="00D2276B"/>
    <w:rsid w:val="213B6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3285</Words>
  <Characters>3592</Characters>
  <Lines>26</Lines>
  <Paragraphs>7</Paragraphs>
  <TotalTime>6</TotalTime>
  <ScaleCrop>false</ScaleCrop>
  <LinksUpToDate>false</LinksUpToDate>
  <CharactersWithSpaces>3649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2023-06-09T02:51:00Z</dcterms:created>
  <dc:creator>微软用户</dc:creator>
  <cp:lastModifiedBy>丫丫</cp:lastModifiedBy>
  <dcterms:modified xsi:type="dcterms:W3CDTF">2023-07-12T01:27:43Z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5C0B2F4FE4AD42E09A69499C46471571_12</vt:lpwstr>
  </property>
</Properties>
</file>