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岳阳市巴陵戏传承研究院</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501004</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248"/>
        <w:gridCol w:w="1039"/>
        <w:gridCol w:w="226"/>
        <w:gridCol w:w="196"/>
        <w:gridCol w:w="54"/>
        <w:gridCol w:w="1170"/>
        <w:gridCol w:w="380"/>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00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何翠微</w:t>
            </w: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13975008668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00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相关文艺政策宣传、公共服务工作；承担对外文化艺术交流何艺术普及工作；巴陵戏保护、研究及传承；各类艺术创作生产演出、公益性惠民演出；全市重点剧（节）目创作咨询辅导；艺术课题与理论的研究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落实主题责任，加强全面从严治党；迎难而上、多点开花，展示我院创作实力和艺术风采；人才培养、薪火相传；拓展思路、融合发展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对党建任务进行职责分工，实行目标分解、责任到人，明确完成的时间节点，细化任务分工；</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新冠疫情反复，但顺利完成送戏下乡演出任务，得到了广大市民群众及师生的赞不绝口；</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积极开展“名师传艺”工程，选送年轻演员参加“百团百角唱百年”市级决赛活动；</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文化艺术融入到旅游景区之内，从节目形式和内容上创新，上演短小精简而富有地方代表性的戏曲、歌舞、相声等节目50余次，惠及游客近50多万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6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市巴陵戏传承研究院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3245.18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2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2057.86</w:t>
            </w:r>
          </w:p>
        </w:tc>
        <w:tc>
          <w:tcPr>
            <w:tcW w:w="126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2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6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6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6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35"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7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3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1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7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市巴陵戏传承研究院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3245.18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1385.71</w:t>
            </w:r>
          </w:p>
        </w:tc>
        <w:tc>
          <w:tcPr>
            <w:tcW w:w="152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1251.07</w:t>
            </w:r>
          </w:p>
        </w:tc>
        <w:tc>
          <w:tcPr>
            <w:tcW w:w="151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134.64</w:t>
            </w:r>
          </w:p>
        </w:tc>
        <w:tc>
          <w:tcPr>
            <w:tcW w:w="117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1859.47</w:t>
            </w:r>
          </w:p>
        </w:tc>
        <w:tc>
          <w:tcPr>
            <w:tcW w:w="83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1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三公经费</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公务接待费</w:t>
            </w: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公务用车运维费</w:t>
            </w:r>
          </w:p>
        </w:tc>
        <w:tc>
          <w:tcPr>
            <w:tcW w:w="151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公务用车购置费</w:t>
            </w:r>
          </w:p>
        </w:tc>
        <w:tc>
          <w:tcPr>
            <w:tcW w:w="263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市巴陵戏传承研究院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0.24</w:t>
            </w: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51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263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1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3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highlight w:val="none"/>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7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0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市巴陵戏传承研究院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178.78</w:t>
            </w:r>
          </w:p>
        </w:tc>
        <w:tc>
          <w:tcPr>
            <w:tcW w:w="287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178.78</w:t>
            </w:r>
          </w:p>
        </w:tc>
        <w:tc>
          <w:tcPr>
            <w:tcW w:w="320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7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0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1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14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4214" w:type="dxa"/>
            <w:gridSpan w:val="7"/>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大型传统巴陵戏《审刺客》的复排；</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2、为湖南省三年一度的艺术盛会做汇演；</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3、增加恵及游客人数；</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4、文旅融合，创作有地方代表性的戏曲、歌舞、相声等；</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5、完成巴陵戏传承展演中心晓朝宾馆改扩建项目；</w:t>
            </w:r>
          </w:p>
        </w:tc>
        <w:tc>
          <w:tcPr>
            <w:tcW w:w="4145" w:type="dxa"/>
            <w:gridSpan w:val="9"/>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顺利完成了大型传统巴陵戏《审刺客》的复排；</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2、已完成参赛任务，于2022年元月6日赴长沙参加湖南省第七届艺术节新创大型舞台剧目展演；</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3、增加恵及游客人数50多万；</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4、对于文旅融合，我们拓展思路积极探索，将文化艺术融入到旅游景区之内，从节目形式和内容上创新，上演短小精简而富有地方代表性的戏曲、歌舞、相声等节目50余次，惠及游客近50多万；</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5、年前可以招投标完毕正式开工。</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参加湖南省第七届艺术节新创大型舞台剧目展演</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已完成参赛任务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大型传统巴陵戏《审刺客》的复排。</w:t>
            </w:r>
          </w:p>
        </w:tc>
        <w:tc>
          <w:tcPr>
            <w:tcW w:w="2684" w:type="dxa"/>
            <w:gridSpan w:val="6"/>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公演完成，得到了老一辈艺人和同行专家的认同和肯定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增加恵及游客人数</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50万人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有地方代表性的戏曲、歌舞、相声等</w:t>
            </w:r>
            <w:r>
              <w:rPr>
                <w:rFonts w:hint="eastAsia" w:ascii="仿宋_GB2312" w:hAnsi="仿宋_GB2312" w:eastAsia="仿宋_GB2312" w:cs="仿宋_GB2312"/>
                <w:color w:val="000000"/>
                <w:sz w:val="24"/>
                <w:lang w:val="en-US" w:eastAsia="zh-CN"/>
              </w:rPr>
              <w:t>表演</w:t>
            </w:r>
          </w:p>
        </w:tc>
        <w:tc>
          <w:tcPr>
            <w:tcW w:w="2684" w:type="dxa"/>
            <w:gridSpan w:val="6"/>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50余次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目标任务完成及时率100%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预算成本控制≤</w:t>
            </w:r>
            <w:r>
              <w:rPr>
                <w:rFonts w:hint="eastAsia" w:ascii="仿宋_GB2312" w:hAnsi="仿宋_GB2312" w:eastAsia="仿宋_GB2312" w:cs="仿宋_GB2312"/>
                <w:color w:val="000000"/>
                <w:sz w:val="24"/>
                <w:lang w:val="en-US" w:eastAsia="zh-CN"/>
              </w:rPr>
              <w:t>3245.18</w:t>
            </w:r>
            <w:r>
              <w:rPr>
                <w:rFonts w:hint="eastAsia" w:ascii="仿宋_GB2312" w:hAnsi="仿宋_GB2312" w:eastAsia="仿宋_GB2312" w:cs="仿宋_GB2312"/>
                <w:color w:val="000000"/>
                <w:sz w:val="24"/>
              </w:rPr>
              <w:t>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3245.18</w:t>
            </w:r>
            <w:r>
              <w:rPr>
                <w:rFonts w:hint="eastAsia" w:ascii="仿宋_GB2312" w:hAnsi="仿宋_GB2312" w:eastAsia="仿宋_GB2312" w:cs="仿宋_GB2312"/>
                <w:color w:val="000000"/>
                <w:sz w:val="24"/>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可持续性</w:t>
            </w:r>
            <w:r>
              <w:rPr>
                <w:rFonts w:hint="eastAsia" w:ascii="仿宋_GB2312" w:hAnsi="仿宋_GB2312" w:eastAsia="仿宋_GB2312" w:cs="仿宋_GB2312"/>
                <w:color w:val="000000"/>
                <w:sz w:val="24"/>
              </w:rPr>
              <w:t>效益</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推动文化与旅游的融合发展</w:t>
            </w:r>
          </w:p>
        </w:tc>
        <w:tc>
          <w:tcPr>
            <w:tcW w:w="2684" w:type="dxa"/>
            <w:gridSpan w:val="6"/>
            <w:vAlign w:val="center"/>
          </w:tcPr>
          <w:p>
            <w:pPr>
              <w:autoSpaceDN w:val="0"/>
              <w:spacing w:line="360" w:lineRule="exact"/>
              <w:ind w:firstLine="720" w:firstLineChars="300"/>
              <w:jc w:val="both"/>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推动明显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组织活动满意度≥90%</w:t>
            </w:r>
          </w:p>
        </w:tc>
        <w:tc>
          <w:tcPr>
            <w:tcW w:w="2684" w:type="dxa"/>
            <w:gridSpan w:val="6"/>
            <w:vAlign w:val="center"/>
          </w:tcPr>
          <w:p>
            <w:pPr>
              <w:autoSpaceDN w:val="0"/>
              <w:spacing w:line="36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400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w:t>
            </w:r>
            <w:bookmarkStart w:id="0" w:name="_GoBack"/>
            <w:bookmarkEnd w:id="0"/>
            <w:r>
              <w:rPr>
                <w:rFonts w:hint="eastAsia" w:ascii="仿宋_GB2312" w:hAnsi="仿宋_GB2312" w:eastAsia="仿宋_GB2312" w:cs="仿宋_GB2312"/>
                <w:color w:val="000000"/>
                <w:sz w:val="24"/>
              </w:rPr>
              <w:t>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危  巍</w:t>
            </w:r>
          </w:p>
        </w:tc>
        <w:tc>
          <w:tcPr>
            <w:tcW w:w="4001" w:type="dxa"/>
            <w:gridSpan w:val="6"/>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lang w:val="en-US" w:eastAsia="zh-CN"/>
              </w:rPr>
              <w:t>分管领导</w:t>
            </w: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何翠微</w:t>
            </w:r>
          </w:p>
        </w:tc>
        <w:tc>
          <w:tcPr>
            <w:tcW w:w="4001" w:type="dxa"/>
            <w:gridSpan w:val="6"/>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会计</w:t>
            </w: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00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00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岳阳市巴陵戏传承研究院截止2020年12月31日，实际在编在岗干部职工共有</w:t>
            </w:r>
            <w:r>
              <w:rPr>
                <w:rFonts w:hint="eastAsia" w:ascii="仿宋_GB2312" w:hAnsi="仿宋_GB2312" w:eastAsia="仿宋_GB2312" w:cs="仿宋_GB2312"/>
                <w:bCs/>
                <w:sz w:val="28"/>
                <w:szCs w:val="28"/>
                <w:lang w:val="en-US" w:eastAsia="zh-CN"/>
              </w:rPr>
              <w:t>98</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val="en-US" w:eastAsia="zh-CN"/>
              </w:rPr>
              <w:t>实有编制110人，空编12个，退休59人。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3245.18</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2057.86</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其他收入1187.32万元</w:t>
            </w:r>
            <w:r>
              <w:rPr>
                <w:rFonts w:hint="eastAsia" w:ascii="仿宋_GB2312" w:hAnsi="仿宋_GB2312" w:eastAsia="仿宋_GB2312" w:cs="仿宋_GB2312"/>
                <w:bCs/>
                <w:sz w:val="28"/>
                <w:szCs w:val="28"/>
              </w:rPr>
              <w:t>，上年结转</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w:t>
            </w:r>
            <w:r>
              <w:rPr>
                <w:rFonts w:hint="eastAsia" w:ascii="仿宋_GB2312" w:hAnsi="仿宋_GB2312" w:eastAsia="仿宋_GB2312" w:cs="仿宋_GB2312"/>
                <w:bCs/>
                <w:sz w:val="28"/>
                <w:szCs w:val="28"/>
                <w:lang w:val="en-US" w:eastAsia="zh-CN"/>
              </w:rPr>
              <w:t>3245.18</w:t>
            </w:r>
            <w:r>
              <w:rPr>
                <w:rFonts w:hint="eastAsia" w:ascii="仿宋_GB2312" w:hAnsi="仿宋_GB2312" w:eastAsia="仿宋_GB2312" w:cs="仿宋_GB2312"/>
                <w:bCs/>
                <w:sz w:val="28"/>
                <w:szCs w:val="28"/>
              </w:rPr>
              <w:t>万元，其中文化旅游体育与传媒支出</w:t>
            </w:r>
            <w:r>
              <w:rPr>
                <w:rFonts w:hint="eastAsia" w:ascii="仿宋_GB2312" w:hAnsi="仿宋_GB2312" w:eastAsia="仿宋_GB2312" w:cs="仿宋_GB2312"/>
                <w:bCs/>
                <w:sz w:val="28"/>
                <w:szCs w:val="28"/>
                <w:lang w:val="en-US" w:eastAsia="zh-CN"/>
              </w:rPr>
              <w:t>3054.65万元，社会保障和就业支出136.92万元，卫生健康支出54.24万元，结余0万元。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1385.71</w:t>
            </w:r>
            <w:r>
              <w:rPr>
                <w:rFonts w:hint="eastAsia" w:ascii="仿宋_GB2312" w:hAnsi="仿宋_GB2312" w:eastAsia="仿宋_GB2312" w:cs="仿宋_GB2312"/>
                <w:bCs/>
                <w:sz w:val="28"/>
                <w:szCs w:val="28"/>
              </w:rPr>
              <w:t>万元，使用内容为人员经费和日常公用经费。其中人员经费支出</w:t>
            </w:r>
            <w:r>
              <w:rPr>
                <w:rFonts w:hint="eastAsia" w:ascii="仿宋_GB2312" w:hAnsi="仿宋_GB2312" w:eastAsia="仿宋_GB2312" w:cs="仿宋_GB2312"/>
                <w:bCs/>
                <w:sz w:val="28"/>
                <w:szCs w:val="28"/>
                <w:lang w:val="en-US" w:eastAsia="zh-CN"/>
              </w:rPr>
              <w:t>1251.07</w:t>
            </w:r>
            <w:r>
              <w:rPr>
                <w:rFonts w:hint="eastAsia" w:ascii="仿宋_GB2312" w:hAnsi="仿宋_GB2312" w:eastAsia="仿宋_GB2312" w:cs="仿宋_GB2312"/>
                <w:bCs/>
                <w:sz w:val="28"/>
                <w:szCs w:val="28"/>
              </w:rPr>
              <w:t>万元，主要用于发放行政人员、事业人员、工勤人员以及临时工工资及津补贴；支付机关离退休员工的工资及津补贴、抚恤金、丧葬费、生活补助等；</w:t>
            </w:r>
            <w:r>
              <w:rPr>
                <w:rFonts w:hint="eastAsia" w:ascii="仿宋_GB2312" w:hAnsi="仿宋_GB2312" w:eastAsia="仿宋_GB2312" w:cs="仿宋_GB2312"/>
                <w:bCs/>
                <w:sz w:val="28"/>
                <w:szCs w:val="28"/>
                <w:lang w:val="en-US" w:eastAsia="zh-CN"/>
              </w:rPr>
              <w:t>其中</w:t>
            </w:r>
            <w:r>
              <w:rPr>
                <w:rFonts w:hint="eastAsia" w:ascii="仿宋_GB2312" w:hAnsi="仿宋_GB2312" w:eastAsia="仿宋_GB2312" w:cs="仿宋_GB2312"/>
                <w:bCs/>
                <w:sz w:val="28"/>
                <w:szCs w:val="28"/>
              </w:rPr>
              <w:t>公用经费</w:t>
            </w:r>
            <w:r>
              <w:rPr>
                <w:rFonts w:hint="eastAsia" w:ascii="仿宋_GB2312" w:hAnsi="仿宋_GB2312" w:eastAsia="仿宋_GB2312" w:cs="仿宋_GB2312"/>
                <w:bCs/>
                <w:sz w:val="28"/>
                <w:szCs w:val="28"/>
                <w:lang w:val="en-US" w:eastAsia="zh-CN"/>
              </w:rPr>
              <w:t>支出</w:t>
            </w: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134.64</w:t>
            </w:r>
            <w:r>
              <w:rPr>
                <w:rFonts w:hint="eastAsia" w:ascii="仿宋_GB2312" w:hAnsi="仿宋_GB2312" w:eastAsia="仿宋_GB2312" w:cs="仿宋_GB2312"/>
                <w:bCs/>
                <w:sz w:val="28"/>
                <w:szCs w:val="28"/>
              </w:rPr>
              <w:t>万元，主要用于保障机关正常运转所需开支的办公费、差旅费、招待费、会议费、公务用车运行维护费、物业管理费等。</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（二）项目支出情况</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2021年项目支出数为</w:t>
            </w:r>
            <w:r>
              <w:rPr>
                <w:rFonts w:hint="eastAsia" w:ascii="仿宋_GB2312" w:hAnsi="仿宋_GB2312" w:eastAsia="仿宋_GB2312" w:cs="仿宋_GB2312"/>
                <w:bCs/>
                <w:sz w:val="28"/>
                <w:szCs w:val="28"/>
                <w:highlight w:val="none"/>
                <w:lang w:val="en-US" w:eastAsia="zh-CN"/>
              </w:rPr>
              <w:t>1859.46</w:t>
            </w:r>
            <w:r>
              <w:rPr>
                <w:rFonts w:hint="eastAsia"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val="en-US" w:eastAsia="zh-CN"/>
              </w:rPr>
              <w:t>主要用于（晓朝宾馆）维修改造项目、2021年国家级非物质文化遗产保护资金--艺术剧院巴陵戏、濒危剧种免费或低票价演出补助等。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本单位2021年“三公”经费预算数</w:t>
            </w:r>
            <w:r>
              <w:rPr>
                <w:rFonts w:hint="eastAsia" w:ascii="仿宋_GB2312" w:hAnsi="仿宋_GB2312" w:eastAsia="仿宋_GB2312" w:cs="仿宋_GB2312"/>
                <w:bCs/>
                <w:sz w:val="28"/>
                <w:szCs w:val="28"/>
                <w:highlight w:val="none"/>
                <w:lang w:val="en-US" w:eastAsia="zh-CN"/>
              </w:rPr>
              <w:t>0.24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实际拨</w:t>
            </w:r>
            <w:r>
              <w:rPr>
                <w:rFonts w:hint="eastAsia" w:ascii="仿宋_GB2312" w:hAnsi="仿宋_GB2312" w:eastAsia="仿宋_GB2312" w:cs="仿宋_GB2312"/>
                <w:bCs/>
                <w:sz w:val="28"/>
                <w:szCs w:val="28"/>
                <w:highlight w:val="none"/>
                <w:lang w:val="en-US" w:eastAsia="zh-CN"/>
              </w:rPr>
              <w:t>付0.24</w:t>
            </w:r>
            <w:r>
              <w:rPr>
                <w:rFonts w:hint="eastAsia" w:ascii="仿宋_GB2312" w:hAnsi="仿宋_GB2312" w:eastAsia="仿宋_GB2312" w:cs="仿宋_GB2312"/>
                <w:bCs/>
                <w:sz w:val="28"/>
                <w:szCs w:val="28"/>
                <w:lang w:val="en-US" w:eastAsia="zh-CN"/>
              </w:rPr>
              <w:t>万元，主要用</w:t>
            </w:r>
            <w:r>
              <w:rPr>
                <w:rFonts w:hint="eastAsia" w:ascii="仿宋_GB2312" w:hAnsi="仿宋_GB2312" w:eastAsia="仿宋_GB2312" w:cs="仿宋_GB2312"/>
                <w:bCs/>
                <w:sz w:val="28"/>
                <w:szCs w:val="28"/>
                <w:highlight w:val="none"/>
                <w:lang w:val="en-US" w:eastAsia="zh-CN"/>
              </w:rPr>
              <w:t xml:space="preserve">于公务接待 </w:t>
            </w:r>
            <w:r>
              <w:rPr>
                <w:rFonts w:hint="eastAsia" w:ascii="仿宋_GB2312" w:hAnsi="仿宋_GB2312" w:eastAsia="仿宋_GB2312" w:cs="仿宋_GB2312"/>
                <w:bCs/>
                <w:sz w:val="28"/>
                <w:szCs w:val="28"/>
                <w:highlight w:val="none"/>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spacing w:line="56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rPr>
              <w:t>截至2021年12月底，本单位固定资产合计</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highlight w:val="none"/>
                <w:lang w:val="en-US" w:eastAsia="zh-CN"/>
              </w:rPr>
              <w:t>78.78</w:t>
            </w:r>
            <w:r>
              <w:rPr>
                <w:rFonts w:ascii="仿宋_GB2312" w:hAnsi="仿宋_GB2312" w:eastAsia="仿宋_GB2312" w:cs="仿宋_GB2312"/>
                <w:bCs/>
                <w:sz w:val="28"/>
                <w:szCs w:val="28"/>
                <w:highlight w:val="none"/>
              </w:rPr>
              <w:t>万元，其中在用固定资产</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highlight w:val="none"/>
                <w:lang w:val="en-US" w:eastAsia="zh-CN"/>
              </w:rPr>
              <w:t>78.78</w:t>
            </w:r>
            <w:r>
              <w:rPr>
                <w:rFonts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市巴陵戏传承研究院（晓朝宾馆）维修改造项目是一项重要公共文化基础设施建设项目，是非物质文化遗产保护和文化传承的需要，对满足市民精神文化需求、推动文化产业发展、塑造城市文明形象具有重要意义。市政府对项目改造高度重视，其中副市长陈阁辉先后召开4次调度会；5月20日市委副书记、市长李爱武亲临晓朝宾馆现场调度并召开专题会议，并形成相关会议纪要。8月2日省政府发布的《支持岳阳市加快建设省域副中心城市的意见》中要求“促进文化和旅游融合发展，加强城市文化建设，发展文创产业，支持岳阳巴陵戏传承展演中心建设”。目前巴陵戏传承展演中心项目前期工作全部完成，预计年前可以招投标完毕正式开工。</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迎难而上、多点开花。因新冠疫情反复，我院大型演出活动受到了诸多制约。在困难面前，我们没有消极懈怠、知难而退，而是积极面对、迎难而上。疫情防控稍有起色，我们立即组织多个文艺演出小分队，在严格按照疫情防控指挥部的要求范围内，将优秀文艺作品送进社区、学校、厂矿、基层，在顺利完成送戏下乡演出任务的同时，得到了广大市民群众及师生的赞不绝口。不仅如此，我们在日常创作、演出等繁重的业务工作中，牺牲了许多休息时间，顺利完成了大型传统巴陵戏《审刺客》的复排。该剧由优秀青年演员担纲主演，经过反复打磨，使青年演员的业务实践能力，得到明显提升。公演后，得到了老一辈艺人和同行专家的认同和肯定。</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今年恰逢湖南省三年一度的艺术盛会——第七届湖南艺术节。为了在本次艺术盛会上，汇报我院艺术创作成果，充分展示我院创作实力和艺术风采。自2021年底，院班子成员便开始了积极筹划和准备。从剧本的筛选、创作班子的组建到参加剧（节）目的确立，反复征求业内领导专家们的意见、建议，最终决定新创一台大戏（现代花鼓戏《十步桥》），提质打磨一台小戏（花鼓戏《告别》），创作一部声乐作品（歌伴舞《你是天边一轮月》）来参加本次艺术节新创大型舞台剧目展演、新创小戏展演和新创音乐作品展演等多个竞赛单元。截止到2021年12月20日，小戏《告别》、歌伴舞《你是天边一轮月》已完成参赛任务，受到参赛现场评委和观众的好评和喜爱。而新创大型现代花鼓戏《十步桥》由我市著名剧作家、曹禺文学奖（戏剧类）获得者吴傲君先生编剧，著名中青年导演何艺光指导，并集中了省内作曲、舞美、灯光、人物造型、服装设计、等多位知名专家参与该剧的创作。并邀请了一大批退休前取得过骄人业绩退休老艺人，其中多数为获得了高级职称的老艺术家倾情加盟，使该剧增色不少。在全剧组演职员的共同努力下，该局已完成初排、连排、合成、彩排、听取意见建议、修改、打磨、再三彩排等创作流程，将于2022年元月6日赴长沙参加湖南省第七届艺术节新创大型舞台剧目展演，为全省人民奉上一台思想精深、艺术精湛、制作精良的优秀艺术作品。</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大型活动、精彩纷呈。我院一年来参加多场市级大型演出活动。参加岳阳市“三下乡”集中示范活动暨第二届金色麻塘乡村旅游文化节开幕式文艺演出；赴武汉受邀参加“守正创新·汉韵芬芳”——汉剧流播地区优秀剧目展演；参加为文化部非遗司来岳调研非遗进景区演出；参加市旅游推介会武汉、广州两地演出；组织策划完成了市委市政府组织的《岳阳楼记诞辰975周年》等重大演出活动；参加全市禁毒、消防等大型专题宣传活动，并且深入基层进行巡演。</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3、人才培养、薪火相传。我院继续贯彻落实《湖南省文化厅关于实施“名师传艺”工程的通知》和市委组织部、文广新局组织实施的《岳阳市“名师传艺”工程 实施办法》等文件精神，积极开展“名师传艺”工程，委派李政红、李源、刘茂林、彭明、吴三元、方利等高级职称演职员，以“一对一”的传艺方式，促进青年一代演员传承接班本领，选送年轻演员参加“百团百角唱百年”市级决赛活动，罗辑、周末、杨慧、吴青瑶、丁露、方帆入围决赛；今年，我院委托省艺术职业学院培训的30名巴陵戏表演专业学员的业务技能培训进入最为关键的一年，为了让学员们全面掌握巴陵戏的表演技能，提升舞台实践能力，院班子在年初便作出决定，克服一切困难，自2021年暑期开始，将全部学员集中到院进行基本功和剧目的强化训练，并为此制定了详细的教学计划和课程安排，在自有资金本就捉襟见肘的情形下，一方面大力压缩行政开支，一方面积极争取政府及社会各界的支持。先后采取了利用晓朝闲置场地加以维修改造，用于学员集训和剧目教学；根据学员实际情况，优选传统经典折子戏，委派名师进入各剧组教学；专门腾出2设备库房，投资数万元改造成学院食堂，聘请原晓朝宾馆名厨掌勺；配备专门的学习、生活老师加强对学员各方面的管理；利用学员有效参与日常演出，以增加舞台实践能力等诸多有效举措，使学员全面有序地投入到紧张的学习中，成效明显。并在秋季业务考核和汇报演出中得到了上级观摩领导和同行专家们的一致肯定和好评，同时也让我们看到了巴陵戏美好未来。</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拓展思路、融合发展。文化是旅游的灵魂，旅游是文化的载体，推动文化与旅游的融合发展，对旅游转型升级和实现文化传承具有非常重要的意义。对于文旅融合，我们拓展思路积极探索，将文化艺术融入到旅游景区之内，从节目形式和内容上创新，上演短小精简而富有地方代表性的戏曲、歌舞、相声等节目50余次，惠及游客近50多万。在为游客提供丰富的文化供给和旅游体验同时，助力拉动景区旅游业的复苏回暖，进一步推动文化和旅游的深度融合，我院将继续推进进旅游景区景点演出常态化。</w:t>
            </w:r>
          </w:p>
          <w:p>
            <w:pPr>
              <w:spacing w:line="560" w:lineRule="exact"/>
              <w:ind w:firstLine="560" w:firstLineChars="200"/>
              <w:rPr>
                <w:rFonts w:hint="eastAsia" w:ascii="黑体" w:hAnsi="黑体" w:eastAsia="黑体" w:cs="黑体"/>
                <w:bCs/>
                <w:sz w:val="28"/>
                <w:szCs w:val="28"/>
                <w:highlight w:val="none"/>
              </w:rPr>
            </w:pPr>
            <w:r>
              <w:rPr>
                <w:rFonts w:hint="eastAsia" w:ascii="黑体" w:hAnsi="黑体" w:eastAsia="黑体" w:cs="黑体"/>
                <w:bCs/>
                <w:sz w:val="28"/>
                <w:szCs w:val="28"/>
                <w:highlight w:val="none"/>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预算编制有待更严格的执行。经费支出严格按预算规定项目的财务支出内容进行财务预算，在预算金额内严控费用支出。</w:t>
            </w:r>
          </w:p>
          <w:p>
            <w:pPr>
              <w:spacing w:line="5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六、改进措施和有关建议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黑体"/>
                <w:bCs/>
                <w:color w:val="000000" w:themeColor="text1"/>
                <w:sz w:val="28"/>
                <w:szCs w:val="28"/>
                <w:lang w:val="en-US"/>
                <w14:textFill>
                  <w14:solidFill>
                    <w14:schemeClr w14:val="tx1"/>
                  </w14:solidFill>
                </w14:textFill>
              </w:rPr>
            </w:pPr>
            <w:r>
              <w:rPr>
                <w:rFonts w:hint="eastAsia" w:ascii="仿宋_GB2312" w:hAnsi="仿宋_GB2312" w:eastAsia="仿宋_GB2312" w:cs="仿宋_GB2312"/>
                <w:bCs/>
                <w:sz w:val="28"/>
                <w:szCs w:val="28"/>
                <w:lang w:val="en-US" w:eastAsia="zh-CN"/>
              </w:rPr>
              <w:t>加强绩效目标管理和审核，将绩效目标设置作为预算安排的前置条件。今后工作中，按照预算规定的项目和用途严格财务工作。</w:t>
            </w:r>
          </w:p>
          <w:p>
            <w:pPr>
              <w:spacing w:line="380" w:lineRule="exact"/>
              <w:ind w:firstLine="560" w:firstLineChars="200"/>
              <w:rPr>
                <w:rFonts w:eastAsia="楷体_GB2312"/>
                <w:bCs/>
                <w:sz w:val="28"/>
                <w:szCs w:val="28"/>
              </w:rPr>
            </w:pPr>
          </w:p>
        </w:tc>
      </w:tr>
    </w:tbl>
    <w:p/>
    <w:p/>
    <w:p>
      <w:pPr>
        <w:spacing w:line="500" w:lineRule="exact"/>
        <w:jc w:val="cente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岳阳市市博物馆</w:t>
      </w:r>
    </w:p>
    <w:p>
      <w:pPr>
        <w:spacing w:line="500" w:lineRule="exact"/>
        <w:jc w:val="center"/>
        <w:rPr>
          <w:rFonts w:ascii="仿宋" w:hAnsi="仿宋" w:eastAsia="仿宋" w:cs="仿宋"/>
          <w:color w:val="000000" w:themeColor="text1"/>
          <w:kern w:val="0"/>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部门整体支出绩效评价自评表</w:t>
      </w:r>
    </w:p>
    <w:tbl>
      <w:tblPr>
        <w:tblStyle w:val="6"/>
        <w:tblpPr w:leftFromText="180" w:rightFromText="180" w:vertAnchor="text" w:horzAnchor="page" w:tblpXSpec="center" w:tblpY="591"/>
        <w:tblOverlap w:val="never"/>
        <w:tblW w:w="10200" w:type="dxa"/>
        <w:jc w:val="center"/>
        <w:tblLayout w:type="fixed"/>
        <w:tblCellMar>
          <w:top w:w="0" w:type="dxa"/>
          <w:left w:w="108" w:type="dxa"/>
          <w:bottom w:w="0" w:type="dxa"/>
          <w:right w:w="108" w:type="dxa"/>
        </w:tblCellMar>
      </w:tblPr>
      <w:tblGrid>
        <w:gridCol w:w="1200"/>
        <w:gridCol w:w="1160"/>
        <w:gridCol w:w="1520"/>
        <w:gridCol w:w="3740"/>
        <w:gridCol w:w="580"/>
        <w:gridCol w:w="700"/>
        <w:gridCol w:w="1300"/>
      </w:tblGrid>
      <w:tr>
        <w:tblPrEx>
          <w:tblCellMar>
            <w:top w:w="0" w:type="dxa"/>
            <w:left w:w="108" w:type="dxa"/>
            <w:bottom w:w="0" w:type="dxa"/>
            <w:right w:w="108" w:type="dxa"/>
          </w:tblCellMar>
        </w:tblPrEx>
        <w:trPr>
          <w:trHeight w:val="498" w:hRule="atLeast"/>
          <w:tblHeader/>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一级指标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二级指标</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三级指标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评分标准</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分值</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自评得分</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扣分原因和其他说明</w:t>
            </w:r>
          </w:p>
        </w:tc>
      </w:tr>
      <w:tr>
        <w:tblPrEx>
          <w:tblCellMar>
            <w:top w:w="0" w:type="dxa"/>
            <w:left w:w="108" w:type="dxa"/>
            <w:bottom w:w="0" w:type="dxa"/>
            <w:right w:w="108" w:type="dxa"/>
          </w:tblCellMar>
        </w:tblPrEx>
        <w:trPr>
          <w:trHeight w:val="855"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投  入</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预算配置</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财政供养人员</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以100%为标准。在职人员控制率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100%，计5分；每超过一个百分点扣0.5分，扣完为止。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变动率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“三公经费”变动率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0,计5分；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“三公经费”＞0，每超过一个百分点扣0.5分，扣完为止。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重点支出</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安排率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重点支出安排率≥90%，计5分；80%（含）-90%，计4分；70%（含）-80%，计3分；60%（含）-70%，计2分；低于60%不得分。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预算执行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预算调整率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预算调整率=0，计3分；0-10%（含），计2分；10-20%（含），计1分；20-30%（含），计0.5分；大于30%不得分。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支付进度</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每出现一个专项未按进度完成资金下达扣0.5分，扣完为止。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资金结余</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无结余，3分；有结余，但不超过上年结转，2分；结余超过上年结转，不得分。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themeColor="text1"/>
                <w:kern w:val="0"/>
                <w:sz w:val="20"/>
                <w:lang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宋体" w:cs="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88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以100%为标准。三公经费控制率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100%，计6分；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每超过一个百分点扣1分，扣完为止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6</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6</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0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②相关管理制度合法、合规、完整，1分；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③相关管理制度得到有效执行，1分。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2194"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资金使用</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合规性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②资金拨付有完整的审批程序和手续；</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③项目支出按规定经过评估论证；</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④支出符合部门预算批复的用途；</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⑤资金使用无截留、挤占、挪用、虚列支出等情况。</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以上情况每出现一例不符合要求的扣1分，扣完为止。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837" w:hRule="atLeast"/>
          <w:jc w:val="center"/>
        </w:trPr>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预决算信息公开性和完善性</w:t>
            </w:r>
          </w:p>
        </w:tc>
        <w:tc>
          <w:tcPr>
            <w:tcW w:w="37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①按规定内容公开预决算信息，1分；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②按规定时限公开预决算信息，0.5分；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③基础数据信息和会计信息资料真实，0.5分；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④基础数据信息和会计信息资料完整，0.5分；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⑤基础数据信息和汇集信息资料准确，0.5分。                                            </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71"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政府采购执行率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政府采购执行率等于100%的，得3分；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每减少一个百分点，扣0.2分，扣完为止。</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46" w:hRule="atLeast"/>
          <w:jc w:val="center"/>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公务卡刷卡率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公务卡刷卡率达30％以上的，得3分。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每减少一个百分点，扣0.2分，扣完为止。                                            </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54" w:hRule="atLeast"/>
          <w:jc w:val="center"/>
        </w:trPr>
        <w:tc>
          <w:tcPr>
            <w:tcW w:w="12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（10分）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②相关资产管理制度得到有效执行，1分。                                           </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783"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安全性</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①资产保存完整；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②资产配置合理；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③资产处置规范； </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④资产账务管理合规，帐实相符；</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⑤资产有偿使用及处置收入及时足额上缴；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以上情况每出现一例不符合有关要求的扣1分，扣完为止。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78"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固定资产</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利用率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每低于100%一个百分点扣0.1分，扣完为止。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产  出（2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nil"/>
              <w:left w:val="nil"/>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职责履行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质量指标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参加湖南省第七届艺术节新创大型舞台剧目展演</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ind w:firstLine="200" w:firstLineChars="100"/>
              <w:jc w:val="both"/>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大型传统巴陵戏《审刺客》的复排。</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数量指标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增加恵及游客人数</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有地方代表性的戏曲、歌舞、相声等</w:t>
            </w:r>
            <w:r>
              <w:rPr>
                <w:rFonts w:hint="eastAsia" w:ascii="仿宋_GB2312" w:hAnsi="宋体" w:cs="宋体"/>
                <w:color w:val="000000" w:themeColor="text1"/>
                <w:kern w:val="0"/>
                <w:sz w:val="20"/>
                <w:szCs w:val="20"/>
                <w:lang w:val="en-US" w:eastAsia="zh-CN"/>
                <w14:textFill>
                  <w14:solidFill>
                    <w14:schemeClr w14:val="tx1"/>
                  </w14:solidFill>
                </w14:textFill>
              </w:rPr>
              <w:t>表演</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时效指标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目标任务完成及时率100%</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成本指标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预算成本控制≤3245.18万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807" w:hRule="atLeast"/>
          <w:jc w:val="center"/>
        </w:trPr>
        <w:tc>
          <w:tcPr>
            <w:tcW w:w="120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效  果</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0</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履职效益</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w:t>
            </w:r>
            <w:r>
              <w:rPr>
                <w:rFonts w:hint="eastAsia" w:ascii="仿宋_GB2312" w:hAnsi="宋体" w:cs="宋体"/>
                <w:color w:val="000000" w:themeColor="text1"/>
                <w:kern w:val="0"/>
                <w:sz w:val="20"/>
                <w:lang w:val="en-US" w:eastAsia="zh-CN"/>
                <w14:textFill>
                  <w14:solidFill>
                    <w14:schemeClr w14:val="tx1"/>
                  </w14:solidFill>
                </w14:textFill>
              </w:rPr>
              <w:t>20</w:t>
            </w:r>
            <w:r>
              <w:rPr>
                <w:rFonts w:hint="eastAsia" w:ascii="仿宋_GB2312" w:hAnsi="宋体" w:cs="宋体"/>
                <w:color w:val="000000" w:themeColor="text1"/>
                <w:kern w:val="0"/>
                <w:sz w:val="20"/>
                <w14:textFill>
                  <w14:solidFill>
                    <w14:schemeClr w14:val="tx1"/>
                  </w14:solidFill>
                </w14:textFill>
              </w:rPr>
              <w:t>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可持续性效益</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推动文化与旅游的融合发展</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r>
              <w:rPr>
                <w:rFonts w:hint="eastAsia" w:ascii="仿宋_GB2312" w:hAnsi="宋体" w:cs="宋体"/>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社会公众或服务对象满意度</w:t>
            </w:r>
          </w:p>
        </w:tc>
        <w:tc>
          <w:tcPr>
            <w:tcW w:w="374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95%（含）以上计8分；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85%（含）-95%，计3分；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75%（含）-85%，计1分；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低于75%计0分。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黑体" w:eastAsia="黑体" w:cs="宋体"/>
                <w:color w:val="000000" w:themeColor="text1"/>
                <w:kern w:val="0"/>
                <w:sz w:val="20"/>
                <w:szCs w:val="28"/>
                <w:lang w:val="en-US" w:eastAsia="zh-CN"/>
                <w14:textFill>
                  <w14:solidFill>
                    <w14:schemeClr w14:val="tx1"/>
                  </w14:solidFill>
                </w14:textFill>
              </w:rPr>
            </w:pPr>
            <w:r>
              <w:rPr>
                <w:rFonts w:hint="eastAsia" w:ascii="黑体" w:hAnsi="黑体" w:eastAsia="黑体" w:cs="宋体"/>
                <w:color w:val="000000" w:themeColor="text1"/>
                <w:kern w:val="0"/>
                <w:sz w:val="20"/>
                <w:szCs w:val="28"/>
                <w:lang w:val="en-US" w:eastAsia="zh-CN"/>
                <w14:textFill>
                  <w14:solidFill>
                    <w14:schemeClr w14:val="tx1"/>
                  </w14:solidFill>
                </w14:textFill>
              </w:rPr>
              <w:t>8</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20"/>
                <w:szCs w:val="28"/>
                <w14:textFill>
                  <w14:solidFill>
                    <w14:schemeClr w14:val="tx1"/>
                  </w14:solidFill>
                </w14:textFill>
              </w:rPr>
            </w:pPr>
            <w:r>
              <w:rPr>
                <w:rFonts w:hint="eastAsia" w:ascii="黑体" w:hAnsi="黑体" w:eastAsia="黑体" w:cs="宋体"/>
                <w:color w:val="000000" w:themeColor="text1"/>
                <w:kern w:val="0"/>
                <w:sz w:val="20"/>
                <w:szCs w:val="28"/>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szCs w:val="28"/>
                <w14:textFill>
                  <w14:solidFill>
                    <w14:schemeClr w14:val="tx1"/>
                  </w14:solidFill>
                </w14:textFill>
              </w:rPr>
            </w:pPr>
            <w:r>
              <w:rPr>
                <w:rFonts w:hint="eastAsia" w:ascii="黑体" w:hAnsi="黑体" w:eastAsia="黑体" w:cs="宋体"/>
                <w:b/>
                <w:bCs/>
                <w:color w:val="000000" w:themeColor="text1"/>
                <w:kern w:val="0"/>
                <w:sz w:val="20"/>
                <w:szCs w:val="28"/>
                <w14:textFill>
                  <w14:solidFill>
                    <w14:schemeClr w14:val="tx1"/>
                  </w14:solidFill>
                </w14:textFill>
              </w:rPr>
              <w:t>总 分</w:t>
            </w:r>
          </w:p>
        </w:tc>
        <w:tc>
          <w:tcPr>
            <w:tcW w:w="116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374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100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lang w:val="en-US" w:eastAsia="zh-CN"/>
                <w14:textFill>
                  <w14:solidFill>
                    <w14:schemeClr w14:val="tx1"/>
                  </w14:solidFill>
                </w14:textFill>
              </w:rPr>
              <w:t>98</w:t>
            </w:r>
            <w:r>
              <w:rPr>
                <w:rFonts w:hint="eastAsia" w:ascii="黑体" w:hAnsi="黑体" w:eastAsia="黑体" w:cs="宋体"/>
                <w:b/>
                <w:bCs/>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499BE"/>
    <w:multiLevelType w:val="singleLevel"/>
    <w:tmpl w:val="BE0499BE"/>
    <w:lvl w:ilvl="0" w:tentative="0">
      <w:start w:val="1"/>
      <w:numFmt w:val="decimal"/>
      <w:suff w:val="nothing"/>
      <w:lvlText w:val="%1、"/>
      <w:lvlJc w:val="left"/>
    </w:lvl>
  </w:abstractNum>
  <w:abstractNum w:abstractNumId="1">
    <w:nsid w:val="0D0B76DC"/>
    <w:multiLevelType w:val="singleLevel"/>
    <w:tmpl w:val="0D0B76D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DE1ZTc5N2NhM2Q5MjE1ZDAyNGIzOWQzY2I4MjQifQ=="/>
  </w:docVars>
  <w:rsids>
    <w:rsidRoot w:val="2D3B2895"/>
    <w:rsid w:val="02956A18"/>
    <w:rsid w:val="1314072F"/>
    <w:rsid w:val="20C600CD"/>
    <w:rsid w:val="215C1CDE"/>
    <w:rsid w:val="279836DC"/>
    <w:rsid w:val="2D3B2895"/>
    <w:rsid w:val="31A52E8B"/>
    <w:rsid w:val="32837B72"/>
    <w:rsid w:val="47F31F71"/>
    <w:rsid w:val="4BC63DCA"/>
    <w:rsid w:val="5D0C4037"/>
    <w:rsid w:val="5E9F6DB8"/>
    <w:rsid w:val="635549AB"/>
    <w:rsid w:val="69661932"/>
    <w:rsid w:val="72887820"/>
    <w:rsid w:val="7D26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5758</Words>
  <Characters>6132</Characters>
  <Lines>0</Lines>
  <Paragraphs>0</Paragraphs>
  <TotalTime>2</TotalTime>
  <ScaleCrop>false</ScaleCrop>
  <LinksUpToDate>false</LinksUpToDate>
  <CharactersWithSpaces>6700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2022-06-14T04:27:00Z</dcterms:created>
  <dc:creator>Moonn~</dc:creator>
  <cp:lastModifiedBy>Administrator</cp:lastModifiedBy>
  <dcterms:modified xsi:type="dcterms:W3CDTF">2022-06-22T03:20:39Z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98B4F3A4BDDE4A5495055C6E06B3C6B9</vt:lpwstr>
  </property>
</Properties>
</file>