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Fonts w:hint="eastAsia"/>
          <w:sz w:val="56"/>
          <w:szCs w:val="56"/>
        </w:rPr>
      </w:pPr>
    </w:p>
    <w:p>
      <w:pPr>
        <w:pStyle w:val="9"/>
        <w:jc w:val="center"/>
        <w:rPr>
          <w:sz w:val="56"/>
          <w:szCs w:val="56"/>
        </w:rPr>
      </w:pPr>
    </w:p>
    <w:p>
      <w:pPr>
        <w:pStyle w:val="9"/>
        <w:jc w:val="center"/>
        <w:rPr>
          <w:sz w:val="84"/>
          <w:szCs w:val="84"/>
        </w:rPr>
      </w:pPr>
    </w:p>
    <w:p>
      <w:pPr>
        <w:pStyle w:val="9"/>
        <w:jc w:val="center"/>
        <w:rPr>
          <w:sz w:val="84"/>
          <w:szCs w:val="84"/>
        </w:rPr>
      </w:pPr>
    </w:p>
    <w:p>
      <w:pPr>
        <w:pStyle w:val="9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2021年度</w:t>
      </w:r>
    </w:p>
    <w:p>
      <w:pPr>
        <w:pStyle w:val="9"/>
        <w:jc w:val="center"/>
        <w:rPr>
          <w:sz w:val="84"/>
          <w:szCs w:val="84"/>
        </w:rPr>
      </w:pPr>
      <w:r>
        <w:rPr>
          <w:rFonts w:hint="eastAsia"/>
          <w:sz w:val="84"/>
          <w:szCs w:val="84"/>
          <w:lang w:eastAsia="zh-CN"/>
        </w:rPr>
        <w:t>岳阳文化艺术会展中心</w:t>
      </w:r>
      <w:r>
        <w:rPr>
          <w:rFonts w:hint="eastAsia"/>
          <w:sz w:val="84"/>
          <w:szCs w:val="84"/>
        </w:rPr>
        <w:t>部门决算</w:t>
      </w:r>
    </w:p>
    <w:p>
      <w:pPr>
        <w:pStyle w:val="9"/>
        <w:jc w:val="center"/>
        <w:rPr>
          <w:sz w:val="56"/>
          <w:szCs w:val="56"/>
        </w:rPr>
      </w:pPr>
    </w:p>
    <w:p>
      <w:pPr>
        <w:pStyle w:val="9"/>
        <w:jc w:val="center"/>
        <w:rPr>
          <w:sz w:val="56"/>
          <w:szCs w:val="56"/>
        </w:rPr>
      </w:pPr>
    </w:p>
    <w:p>
      <w:pPr>
        <w:pStyle w:val="9"/>
        <w:jc w:val="center"/>
        <w:rPr>
          <w:sz w:val="56"/>
          <w:szCs w:val="56"/>
        </w:rPr>
      </w:pPr>
    </w:p>
    <w:p>
      <w:pPr>
        <w:pStyle w:val="9"/>
        <w:jc w:val="center"/>
        <w:rPr>
          <w:sz w:val="56"/>
          <w:szCs w:val="56"/>
        </w:rPr>
      </w:pPr>
    </w:p>
    <w:p>
      <w:pPr>
        <w:pStyle w:val="9"/>
        <w:jc w:val="center"/>
        <w:rPr>
          <w:sz w:val="32"/>
          <w:szCs w:val="32"/>
        </w:rPr>
      </w:pPr>
    </w:p>
    <w:p>
      <w:pPr>
        <w:pStyle w:val="9"/>
        <w:jc w:val="center"/>
        <w:rPr>
          <w:sz w:val="32"/>
          <w:szCs w:val="32"/>
        </w:rPr>
      </w:pPr>
    </w:p>
    <w:p>
      <w:pPr>
        <w:pStyle w:val="9"/>
        <w:jc w:val="center"/>
        <w:rPr>
          <w:sz w:val="32"/>
          <w:szCs w:val="32"/>
        </w:rPr>
      </w:pPr>
    </w:p>
    <w:p>
      <w:pPr>
        <w:pStyle w:val="9"/>
        <w:jc w:val="center"/>
        <w:rPr>
          <w:sz w:val="32"/>
          <w:szCs w:val="32"/>
        </w:rPr>
      </w:pPr>
    </w:p>
    <w:p>
      <w:pPr>
        <w:pStyle w:val="9"/>
        <w:jc w:val="center"/>
        <w:rPr>
          <w:sz w:val="32"/>
          <w:szCs w:val="32"/>
        </w:rPr>
      </w:pPr>
    </w:p>
    <w:p>
      <w:pPr>
        <w:pStyle w:val="9"/>
        <w:spacing w:line="540" w:lineRule="exact"/>
        <w:jc w:val="center"/>
        <w:rPr>
          <w:sz w:val="56"/>
          <w:szCs w:val="56"/>
        </w:rPr>
      </w:pPr>
    </w:p>
    <w:p>
      <w:pPr>
        <w:pStyle w:val="9"/>
        <w:spacing w:line="500" w:lineRule="exact"/>
        <w:jc w:val="center"/>
        <w:rPr>
          <w:b/>
          <w:sz w:val="36"/>
          <w:szCs w:val="28"/>
        </w:rPr>
      </w:pPr>
    </w:p>
    <w:p>
      <w:pPr>
        <w:pStyle w:val="9"/>
        <w:spacing w:line="500" w:lineRule="exact"/>
        <w:jc w:val="center"/>
        <w:rPr>
          <w:b/>
          <w:sz w:val="36"/>
          <w:szCs w:val="28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jc w:val="center"/>
        <w:textAlignment w:val="auto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目录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第一部分</w:t>
      </w:r>
      <w:r>
        <w:rPr>
          <w:rFonts w:hint="eastAsia"/>
          <w:b/>
          <w:sz w:val="28"/>
          <w:szCs w:val="28"/>
          <w:lang w:val="en-US" w:eastAsia="zh-CN"/>
        </w:rPr>
        <w:t xml:space="preserve">  岳阳文化艺术会展中心</w:t>
      </w:r>
      <w:r>
        <w:rPr>
          <w:rFonts w:hint="eastAsia"/>
          <w:b/>
          <w:sz w:val="28"/>
          <w:szCs w:val="28"/>
        </w:rPr>
        <w:t>概况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一、部门职责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hint="eastAsia" w:cs="仿宋_GB2312" w:asciiTheme="minorEastAsia" w:hAnsiTheme="minorEastAsia" w:eastAsiaTheme="minorEastAsia"/>
          <w:sz w:val="28"/>
          <w:szCs w:val="28"/>
          <w:lang w:eastAsia="zh-CN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二、机构设置</w:t>
      </w:r>
      <w:r>
        <w:rPr>
          <w:rFonts w:hint="eastAsia" w:cs="仿宋_GB2312" w:asciiTheme="minorEastAsia" w:hAnsiTheme="minorEastAsia" w:eastAsiaTheme="minorEastAsia"/>
          <w:sz w:val="28"/>
          <w:szCs w:val="28"/>
          <w:lang w:eastAsia="zh-CN"/>
        </w:rPr>
        <w:t>及决算单位构成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 w:hAnsi="仿宋_GB2312"/>
          <w:b/>
          <w:sz w:val="28"/>
          <w:szCs w:val="28"/>
        </w:rPr>
        <w:t>第二部分</w:t>
      </w:r>
      <w:r>
        <w:rPr>
          <w:rFonts w:hint="eastAsia" w:hAnsi="仿宋_GB2312"/>
          <w:b/>
          <w:sz w:val="28"/>
          <w:szCs w:val="28"/>
          <w:lang w:val="en-US" w:eastAsia="zh-CN"/>
        </w:rPr>
        <w:t xml:space="preserve">  </w:t>
      </w:r>
      <w:r>
        <w:rPr>
          <w:rFonts w:hAnsi="仿宋_GB2312"/>
          <w:b/>
          <w:sz w:val="28"/>
          <w:szCs w:val="28"/>
        </w:rPr>
        <w:t>20</w:t>
      </w:r>
      <w:r>
        <w:rPr>
          <w:rFonts w:hint="eastAsia" w:hAnsi="仿宋_GB2312"/>
          <w:b/>
          <w:sz w:val="28"/>
          <w:szCs w:val="28"/>
        </w:rPr>
        <w:t>21年度部门决算表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一、收入支出决算总表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二、收入决算表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三、支出决算表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四、财政拨款收入支出决算总表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五、一般公共预算财政拨款支出决算表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六、一般公共预算财政拨款基本支出决算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明细</w:t>
      </w:r>
      <w:r>
        <w:rPr>
          <w:rFonts w:cs="仿宋_GB2312" w:asciiTheme="minorEastAsia" w:hAnsiTheme="minorEastAsia" w:eastAsiaTheme="minorEastAsia"/>
          <w:sz w:val="28"/>
          <w:szCs w:val="28"/>
        </w:rPr>
        <w:t>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七、一般公共预算财政拨款“三公”经费支出决算表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八、政府性基金预算财政拨款收入支出决算表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九、国有资本经营预算财政拨款支出决算表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 w:hAnsi="仿宋_GB2312"/>
          <w:b/>
          <w:sz w:val="28"/>
          <w:szCs w:val="28"/>
        </w:rPr>
        <w:t>第三部分</w:t>
      </w:r>
      <w:r>
        <w:rPr>
          <w:rFonts w:hint="eastAsia" w:hAnsi="仿宋_GB2312"/>
          <w:b/>
          <w:sz w:val="28"/>
          <w:szCs w:val="28"/>
          <w:lang w:val="en-US" w:eastAsia="zh-CN"/>
        </w:rPr>
        <w:t xml:space="preserve">  </w:t>
      </w:r>
      <w:r>
        <w:rPr>
          <w:rFonts w:hAnsi="仿宋_GB2312"/>
          <w:b/>
          <w:sz w:val="28"/>
          <w:szCs w:val="28"/>
        </w:rPr>
        <w:t>20</w:t>
      </w:r>
      <w:r>
        <w:rPr>
          <w:rFonts w:hint="eastAsia" w:hAnsi="仿宋_GB2312"/>
          <w:b/>
          <w:sz w:val="28"/>
          <w:szCs w:val="28"/>
        </w:rPr>
        <w:t>21年度部门决算情况说明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一、收入支出决算总体情况说明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二、收入决算情况说明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三、支出决算情况说明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四、财政拨款收入支出决算总体情况说明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五、一般公共预算财政拨款支出决算情况说明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六、一般公共预算财政拨款基本支出决算情况说明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七、一般公共预算财政拨款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“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三公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”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经费支出决算情况说明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八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政府性基金预算收入支出决算情况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hint="eastAsia" w:ascii="仿宋_GB2312" w:hAnsi="仿宋_GB2312" w:cs="仿宋_GB2312" w:eastAsiaTheme="minorEastAsia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九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国有资本经营预算财政拨款支出决算</w:t>
      </w:r>
      <w:r>
        <w:rPr>
          <w:rFonts w:hint="eastAsia" w:cs="仿宋_GB2312" w:asciiTheme="minorEastAsia" w:hAnsiTheme="minorEastAsia"/>
          <w:sz w:val="28"/>
          <w:szCs w:val="28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十、机关运行经费支出说明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十一、一般性支出情况说明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 w:eastAsiaTheme="minorEastAsia"/>
          <w:sz w:val="28"/>
          <w:szCs w:val="28"/>
        </w:rPr>
      </w:pPr>
      <w:r>
        <w:rPr>
          <w:rFonts w:hint="eastAsia" w:ascii="仿宋_GB2312" w:hAnsi="仿宋_GB2312" w:cs="仿宋_GB2312" w:eastAsiaTheme="minorEastAsia"/>
          <w:sz w:val="28"/>
          <w:szCs w:val="28"/>
        </w:rPr>
        <w:t>十二、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政府采购支出说明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hint="eastAsia" w:ascii="仿宋_GB2312" w:hAnsi="仿宋_GB2312" w:cs="仿宋_GB2312" w:eastAsiaTheme="minorEastAsia"/>
          <w:sz w:val="28"/>
          <w:szCs w:val="28"/>
        </w:rPr>
      </w:pPr>
      <w:r>
        <w:rPr>
          <w:rFonts w:hint="eastAsia" w:ascii="仿宋_GB2312" w:hAnsi="仿宋_GB2312" w:cs="仿宋_GB2312" w:eastAsiaTheme="minorEastAsia"/>
          <w:sz w:val="28"/>
          <w:szCs w:val="28"/>
        </w:rPr>
        <w:t>十三、国有资产占用情况说明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hint="eastAsia" w:ascii="仿宋_GB2312" w:hAnsi="仿宋_GB2312" w:cs="仿宋_GB2312" w:eastAsiaTheme="minorEastAsia"/>
          <w:sz w:val="28"/>
          <w:szCs w:val="28"/>
          <w:lang w:eastAsia="zh-CN"/>
        </w:rPr>
      </w:pPr>
      <w:r>
        <w:rPr>
          <w:rFonts w:hint="eastAsia" w:ascii="仿宋_GB2312" w:hAnsi="仿宋_GB2312" w:cs="仿宋_GB2312" w:eastAsiaTheme="minorEastAsia"/>
          <w:sz w:val="28"/>
          <w:szCs w:val="28"/>
          <w:lang w:eastAsia="zh-CN"/>
        </w:rPr>
        <w:t>十四、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2021年</w:t>
      </w:r>
      <w:r>
        <w:rPr>
          <w:rFonts w:hint="eastAsia" w:ascii="仿宋_GB2312" w:hAnsi="仿宋_GB2312" w:cs="仿宋_GB2312" w:eastAsiaTheme="minorEastAsia"/>
          <w:sz w:val="28"/>
          <w:szCs w:val="28"/>
        </w:rPr>
        <w:t>度预算绩效情况说明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left"/>
        <w:textAlignment w:val="auto"/>
        <w:rPr>
          <w:rFonts w:ascii="黑体" w:hAnsi="黑体" w:eastAsia="黑体" w:cs="黑体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黑体"/>
          <w:b/>
          <w:color w:val="000000"/>
          <w:kern w:val="0"/>
          <w:sz w:val="28"/>
          <w:szCs w:val="28"/>
        </w:rPr>
        <w:t>第四部分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ascii="黑体" w:hAnsi="黑体" w:eastAsia="黑体" w:cs="黑体"/>
          <w:b/>
          <w:color w:val="000000"/>
          <w:kern w:val="0"/>
          <w:sz w:val="28"/>
          <w:szCs w:val="28"/>
        </w:rPr>
        <w:t>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left"/>
        <w:textAlignment w:val="auto"/>
        <w:rPr>
          <w:rFonts w:ascii="黑体" w:hAnsi="黑体" w:eastAsia="黑体" w:cs="仿宋_GB2312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第五部分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20" w:lineRule="exact"/>
        <w:jc w:val="center"/>
        <w:textAlignment w:val="auto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rPr>
          <w:sz w:val="72"/>
          <w:szCs w:val="72"/>
        </w:rPr>
      </w:pPr>
    </w:p>
    <w:p>
      <w:pPr>
        <w:pStyle w:val="9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第一部分</w:t>
      </w:r>
      <w:r>
        <w:rPr>
          <w:sz w:val="84"/>
          <w:szCs w:val="84"/>
        </w:rPr>
        <w:t xml:space="preserve"> </w:t>
      </w:r>
    </w:p>
    <w:p>
      <w:pPr>
        <w:pStyle w:val="9"/>
        <w:jc w:val="center"/>
        <w:rPr>
          <w:sz w:val="84"/>
          <w:szCs w:val="84"/>
        </w:rPr>
      </w:pPr>
    </w:p>
    <w:p>
      <w:pPr>
        <w:pStyle w:val="9"/>
        <w:jc w:val="center"/>
        <w:rPr>
          <w:rFonts w:hint="eastAsia"/>
          <w:sz w:val="84"/>
          <w:szCs w:val="84"/>
          <w:lang w:eastAsia="zh-CN"/>
        </w:rPr>
      </w:pPr>
      <w:r>
        <w:rPr>
          <w:rFonts w:hint="eastAsia"/>
          <w:sz w:val="84"/>
          <w:szCs w:val="84"/>
          <w:lang w:eastAsia="zh-CN"/>
        </w:rPr>
        <w:t>岳阳文化艺术会展中心</w:t>
      </w:r>
    </w:p>
    <w:p>
      <w:pPr>
        <w:pStyle w:val="9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概况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pStyle w:val="10"/>
        <w:ind w:left="720" w:firstLine="0" w:firstLineChars="0"/>
        <w:jc w:val="left"/>
        <w:rPr>
          <w:rFonts w:ascii="黑体" w:hAnsi="黑体" w:eastAsia="黑体"/>
          <w:sz w:val="32"/>
          <w:szCs w:val="32"/>
        </w:rPr>
      </w:pPr>
    </w:p>
    <w:p>
      <w:pPr>
        <w:pStyle w:val="10"/>
        <w:ind w:left="720" w:firstLine="0" w:firstLineChars="0"/>
        <w:jc w:val="left"/>
        <w:rPr>
          <w:rFonts w:ascii="黑体" w:hAnsi="黑体" w:eastAsia="黑体"/>
          <w:sz w:val="32"/>
          <w:szCs w:val="32"/>
        </w:rPr>
      </w:pPr>
    </w:p>
    <w:p>
      <w:pPr>
        <w:pStyle w:val="10"/>
        <w:ind w:left="720" w:firstLine="0" w:firstLineChars="0"/>
        <w:jc w:val="left"/>
        <w:rPr>
          <w:rFonts w:ascii="黑体" w:hAnsi="黑体" w:eastAsia="黑体"/>
          <w:sz w:val="32"/>
          <w:szCs w:val="32"/>
        </w:rPr>
      </w:pPr>
    </w:p>
    <w:p>
      <w:pPr>
        <w:pStyle w:val="10"/>
        <w:numPr>
          <w:ilvl w:val="0"/>
          <w:numId w:val="1"/>
        </w:numPr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部门职责</w:t>
      </w:r>
    </w:p>
    <w:p>
      <w:pPr>
        <w:ind w:firstLine="800" w:firstLineChars="250"/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（一）</w:t>
      </w:r>
    </w:p>
    <w:p>
      <w:pPr>
        <w:ind w:firstLine="800" w:firstLineChars="250"/>
        <w:jc w:val="left"/>
        <w:rPr>
          <w:rFonts w:hint="default" w:asciiTheme="minorEastAsia" w:hAnsiTheme="minorEastAsia" w:eastAsiaTheme="minorEastAsia"/>
          <w:i/>
          <w:iCs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中心主要承担者高雅艺术演出、进行中外文化交流、举行重要会议、培育文化艺术消费市场等社会公益职能。</w:t>
      </w:r>
    </w:p>
    <w:p>
      <w:pPr>
        <w:widowControl/>
        <w:spacing w:line="600" w:lineRule="exact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二、机构设置及决算单位构成</w:t>
      </w:r>
    </w:p>
    <w:p>
      <w:pPr>
        <w:widowControl/>
        <w:spacing w:line="600" w:lineRule="exact"/>
        <w:ind w:firstLine="960" w:firstLineChars="300"/>
        <w:rPr>
          <w:rFonts w:hint="eastAsia" w:asciiTheme="minorEastAsia" w:hAnsiTheme="minorEastAsia"/>
          <w:bCs/>
          <w:kern w:val="0"/>
          <w:sz w:val="32"/>
          <w:szCs w:val="32"/>
        </w:rPr>
      </w:pPr>
      <w:r>
        <w:rPr>
          <w:rFonts w:hint="eastAsia" w:asciiTheme="minorEastAsia" w:hAnsiTheme="minorEastAsia"/>
          <w:bCs/>
          <w:kern w:val="0"/>
          <w:sz w:val="32"/>
          <w:szCs w:val="32"/>
        </w:rPr>
        <w:t>（一）内设机构设置。</w:t>
      </w:r>
    </w:p>
    <w:p>
      <w:pPr>
        <w:widowControl/>
        <w:spacing w:line="600" w:lineRule="exact"/>
        <w:ind w:firstLine="960" w:firstLineChars="300"/>
        <w:rPr>
          <w:rFonts w:hint="eastAsia" w:asciiTheme="minorEastAsia" w:hAnsiTheme="minorEastAsia"/>
          <w:bCs/>
          <w:kern w:val="0"/>
          <w:sz w:val="32"/>
          <w:szCs w:val="32"/>
          <w:lang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岳阳文化艺术会展中心独立编制、核算机构数1个、现有人员编制9名、为公益一类事业单位。社内设机构5个：接待部、动力技术部、财务室、办公室、党建室。</w:t>
      </w:r>
    </w:p>
    <w:p>
      <w:pPr>
        <w:widowControl/>
        <w:numPr>
          <w:ilvl w:val="0"/>
          <w:numId w:val="2"/>
        </w:numPr>
        <w:spacing w:line="600" w:lineRule="exact"/>
        <w:rPr>
          <w:rFonts w:asciiTheme="minorEastAsia" w:hAnsiTheme="minorEastAsia"/>
          <w:bCs/>
          <w:i/>
          <w:iCs/>
          <w:kern w:val="0"/>
          <w:sz w:val="32"/>
          <w:szCs w:val="32"/>
        </w:rPr>
      </w:pPr>
      <w:r>
        <w:rPr>
          <w:rFonts w:hint="eastAsia" w:asciiTheme="minorEastAsia" w:hAnsiTheme="minorEastAsia"/>
          <w:bCs/>
          <w:kern w:val="0"/>
          <w:sz w:val="32"/>
          <w:szCs w:val="32"/>
        </w:rPr>
        <w:t>决算单位构成。</w:t>
      </w:r>
      <w:r>
        <w:rPr>
          <w:rFonts w:hint="eastAsia" w:asciiTheme="minorEastAsia" w:hAnsiTheme="minorEastAsia"/>
          <w:bCs/>
          <w:kern w:val="0"/>
          <w:sz w:val="32"/>
          <w:szCs w:val="32"/>
          <w:lang w:eastAsia="zh-CN"/>
        </w:rPr>
        <w:t>岳阳文化艺术会展中心</w:t>
      </w:r>
      <w:r>
        <w:rPr>
          <w:rFonts w:asciiTheme="minorEastAsia" w:hAnsiTheme="minorEastAsia"/>
          <w:bCs/>
          <w:kern w:val="0"/>
          <w:sz w:val="32"/>
          <w:szCs w:val="32"/>
        </w:rPr>
        <w:t>20</w:t>
      </w:r>
      <w:r>
        <w:rPr>
          <w:rFonts w:hint="eastAsia" w:asciiTheme="minorEastAsia" w:hAnsiTheme="minorEastAsia"/>
          <w:bCs/>
          <w:kern w:val="0"/>
          <w:sz w:val="32"/>
          <w:szCs w:val="32"/>
        </w:rPr>
        <w:t>21年部门决算汇总公开单位构成包括：</w:t>
      </w:r>
      <w:r>
        <w:rPr>
          <w:rFonts w:hint="eastAsia" w:asciiTheme="minorEastAsia" w:hAnsiTheme="minorEastAsia"/>
          <w:bCs/>
          <w:kern w:val="0"/>
          <w:sz w:val="32"/>
          <w:szCs w:val="32"/>
          <w:lang w:eastAsia="zh-CN"/>
        </w:rPr>
        <w:t>岳阳文化艺术会展中心本级。</w:t>
      </w:r>
    </w:p>
    <w:p>
      <w:pPr>
        <w:jc w:val="left"/>
        <w:rPr>
          <w:rFonts w:ascii="仿宋_GB2312" w:eastAsia="仿宋_GB2312" w:hAnsiTheme="minorEastAsia"/>
          <w:sz w:val="28"/>
          <w:szCs w:val="32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第二部分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>部门决算表</w:t>
      </w:r>
    </w:p>
    <w:p>
      <w:pPr>
        <w:jc w:val="center"/>
        <w:rPr>
          <w:rFonts w:hint="eastAsia" w:eastAsiaTheme="minorEastAsia"/>
          <w:sz w:val="72"/>
          <w:szCs w:val="72"/>
          <w:lang w:eastAsia="zh-CN"/>
        </w:rPr>
      </w:pPr>
      <w:r>
        <w:rPr>
          <w:rFonts w:hint="eastAsia"/>
          <w:sz w:val="72"/>
          <w:szCs w:val="72"/>
          <w:lang w:eastAsia="zh-CN"/>
        </w:rPr>
        <w:t>（见附件）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both"/>
        <w:rPr>
          <w:sz w:val="72"/>
          <w:szCs w:val="72"/>
        </w:rPr>
      </w:pPr>
    </w:p>
    <w:p>
      <w:pPr>
        <w:jc w:val="left"/>
        <w:rPr>
          <w:rFonts w:asciiTheme="minorEastAsia" w:hAnsiTheme="minorEastAsia"/>
          <w:sz w:val="32"/>
          <w:szCs w:val="32"/>
        </w:rPr>
        <w:sectPr>
          <w:headerReference r:id="rId3" w:type="default"/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pStyle w:val="9"/>
        <w:jc w:val="both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第三部分</w:t>
      </w:r>
    </w:p>
    <w:p>
      <w:pPr>
        <w:pStyle w:val="9"/>
        <w:jc w:val="center"/>
        <w:rPr>
          <w:sz w:val="70"/>
          <w:szCs w:val="70"/>
        </w:rPr>
      </w:pPr>
    </w:p>
    <w:p>
      <w:pPr>
        <w:pStyle w:val="9"/>
        <w:jc w:val="center"/>
        <w:rPr>
          <w:sz w:val="70"/>
          <w:szCs w:val="70"/>
        </w:rPr>
      </w:pPr>
      <w:r>
        <w:rPr>
          <w:sz w:val="70"/>
          <w:szCs w:val="70"/>
        </w:rPr>
        <w:t>20</w:t>
      </w:r>
      <w:r>
        <w:rPr>
          <w:rFonts w:hint="eastAsia"/>
          <w:sz w:val="70"/>
          <w:szCs w:val="70"/>
        </w:rPr>
        <w:t>21年度部门决算情况说明</w:t>
      </w:r>
    </w:p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sz w:val="70"/>
          <w:szCs w:val="70"/>
        </w:rPr>
        <w:br w:type="page"/>
      </w:r>
    </w:p>
    <w:p>
      <w:pPr>
        <w:pStyle w:val="9"/>
        <w:rPr>
          <w:rFonts w:asciiTheme="minorEastAsia" w:hAnsiTheme="minorEastAsia" w:eastAsiaTheme="minorEastAsia"/>
          <w:sz w:val="32"/>
          <w:szCs w:val="32"/>
        </w:rPr>
      </w:pP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一、收入支出决算总体情况说明</w:t>
      </w:r>
    </w:p>
    <w:p>
      <w:pPr>
        <w:pStyle w:val="9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2021年度收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入</w:t>
      </w:r>
      <w:r>
        <w:rPr>
          <w:rFonts w:hint="eastAsia" w:asciiTheme="minorEastAsia" w:hAnsiTheme="minorEastAsia" w:eastAsiaTheme="minorEastAsia"/>
          <w:sz w:val="32"/>
          <w:szCs w:val="32"/>
        </w:rPr>
        <w:t>总计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795.43</w:t>
      </w:r>
      <w:r>
        <w:rPr>
          <w:rFonts w:hint="eastAsia" w:asciiTheme="minorEastAsia" w:hAnsiTheme="minorEastAsia" w:eastAsiaTheme="minorEastAsia"/>
          <w:sz w:val="32"/>
          <w:szCs w:val="32"/>
        </w:rPr>
        <w:t>万元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、支出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795.43万元</w:t>
      </w:r>
      <w:r>
        <w:rPr>
          <w:rFonts w:hint="eastAsia" w:asciiTheme="minorEastAsia" w:hAnsiTheme="minorEastAsia" w:eastAsiaTheme="minorEastAsia"/>
          <w:sz w:val="32"/>
          <w:szCs w:val="32"/>
        </w:rPr>
        <w:t>。与上年相比，减少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27.39</w:t>
      </w:r>
      <w:r>
        <w:rPr>
          <w:rFonts w:hint="eastAsia" w:asciiTheme="minorEastAsia" w:hAnsiTheme="minorEastAsia" w:eastAsiaTheme="minorEastAsia"/>
          <w:sz w:val="32"/>
          <w:szCs w:val="32"/>
        </w:rPr>
        <w:t>万元，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0.03</w:t>
      </w:r>
      <w:r>
        <w:rPr>
          <w:rFonts w:hint="eastAsia" w:asciiTheme="minorEastAsia" w:hAnsiTheme="minorEastAsia" w:eastAsiaTheme="minorEastAsia"/>
          <w:sz w:val="32"/>
          <w:szCs w:val="32"/>
        </w:rPr>
        <w:t>%，主要是因为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水、电、气费差异。</w:t>
      </w: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二、收入决算情况说明</w:t>
      </w:r>
    </w:p>
    <w:p>
      <w:pPr>
        <w:pStyle w:val="9"/>
        <w:ind w:firstLine="640" w:firstLineChars="200"/>
        <w:rPr>
          <w:rFonts w:hint="eastAsia" w:asciiTheme="minorEastAsia" w:hAnsiTheme="minorEastAsia" w:eastAsiaTheme="minorEastAsia"/>
          <w:b w:val="0"/>
          <w:bCs w:val="0"/>
          <w:i/>
          <w:iCs/>
          <w:sz w:val="36"/>
          <w:szCs w:val="36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2021年度收入合计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786.84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万元，其中：财政拨款收入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786.84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%；上级补助收入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%；事业收入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%；经营收入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%；附属单位上缴收入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%；其他收入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%。</w:t>
      </w: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三、支出决算情况说明</w:t>
      </w:r>
    </w:p>
    <w:p>
      <w:pPr>
        <w:pStyle w:val="9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2021年度支出合计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795.43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万元，其中：基本支出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586.72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73.7</w:t>
      </w:r>
      <w:r>
        <w:rPr>
          <w:rFonts w:hint="eastAsia" w:asciiTheme="minorEastAsia" w:hAnsiTheme="minorEastAsia" w:eastAsiaTheme="minorEastAsia"/>
          <w:sz w:val="32"/>
          <w:szCs w:val="32"/>
        </w:rPr>
        <w:t>%；项目支出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208.71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26.3</w:t>
      </w:r>
      <w:r>
        <w:rPr>
          <w:rFonts w:hint="eastAsia" w:asciiTheme="minorEastAsia" w:hAnsiTheme="minorEastAsia" w:eastAsiaTheme="minorEastAsia"/>
          <w:sz w:val="32"/>
          <w:szCs w:val="32"/>
        </w:rPr>
        <w:t>%；上缴上级支出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%；经营支出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%；对附属单位补助支出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%。</w:t>
      </w: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四、财政拨款收入支出决算总体情况说明</w:t>
      </w:r>
    </w:p>
    <w:p>
      <w:pPr>
        <w:pStyle w:val="9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  2021年度财政拨款收、支总计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795.43</w:t>
      </w:r>
      <w:r>
        <w:rPr>
          <w:rFonts w:hint="eastAsia" w:asciiTheme="minorEastAsia" w:hAnsiTheme="minorEastAsia" w:eastAsiaTheme="minorEastAsia"/>
          <w:sz w:val="32"/>
          <w:szCs w:val="32"/>
        </w:rPr>
        <w:t>万元，与上年相比，减少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27.39</w:t>
      </w:r>
      <w:r>
        <w:rPr>
          <w:rFonts w:hint="eastAsia" w:asciiTheme="minorEastAsia" w:hAnsiTheme="minorEastAsia" w:eastAsiaTheme="minorEastAsia"/>
          <w:sz w:val="32"/>
          <w:szCs w:val="32"/>
        </w:rPr>
        <w:t>万元,减少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0.03</w:t>
      </w:r>
      <w:r>
        <w:rPr>
          <w:rFonts w:hint="eastAsia" w:asciiTheme="minorEastAsia" w:hAnsiTheme="minorEastAsia" w:eastAsiaTheme="minorEastAsia"/>
          <w:sz w:val="32"/>
          <w:szCs w:val="32"/>
        </w:rPr>
        <w:t>%，主要是因为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水、电、气费差异。</w:t>
      </w: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五、一般公共预算财政拨款支出决算情况说明</w:t>
      </w:r>
    </w:p>
    <w:p>
      <w:pPr>
        <w:pStyle w:val="9"/>
        <w:ind w:firstLine="640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（一）财政拨款支出决算总体情况</w:t>
      </w:r>
    </w:p>
    <w:p>
      <w:pPr>
        <w:pStyle w:val="9"/>
        <w:ind w:firstLine="800" w:firstLineChars="25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2021年度财政拨款支出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795.43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万元，占本年支出合计的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%，与上年相比，财政拨款支出减少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27.39</w:t>
      </w:r>
      <w:r>
        <w:rPr>
          <w:rFonts w:hint="eastAsia" w:asciiTheme="minorEastAsia" w:hAnsiTheme="minorEastAsia" w:eastAsiaTheme="minorEastAsia"/>
          <w:sz w:val="32"/>
          <w:szCs w:val="32"/>
        </w:rPr>
        <w:t>万元，减少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.03</w:t>
      </w:r>
      <w:r>
        <w:rPr>
          <w:rFonts w:hint="eastAsia" w:asciiTheme="minorEastAsia" w:hAnsiTheme="minorEastAsia" w:eastAsiaTheme="minorEastAsia"/>
          <w:sz w:val="32"/>
          <w:szCs w:val="32"/>
        </w:rPr>
        <w:t>%，主要是因为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水、电、气费差异。</w:t>
      </w:r>
    </w:p>
    <w:p>
      <w:pPr>
        <w:pStyle w:val="9"/>
        <w:ind w:firstLine="480" w:firstLineChars="15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（二）财政拨款支出决算结构情况</w:t>
      </w:r>
    </w:p>
    <w:p>
      <w:pPr>
        <w:pStyle w:val="9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2021年度财政拨款支出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795.43</w:t>
      </w:r>
      <w:r>
        <w:rPr>
          <w:rFonts w:hint="eastAsia" w:asciiTheme="minorEastAsia" w:hAnsiTheme="minorEastAsia" w:eastAsiaTheme="minorEastAsia"/>
          <w:sz w:val="32"/>
          <w:szCs w:val="32"/>
        </w:rPr>
        <w:t>万元，主要用于以下方面：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文化旅游体育</w:t>
      </w:r>
      <w:r>
        <w:rPr>
          <w:rFonts w:hint="eastAsia" w:asciiTheme="minorEastAsia" w:hAnsiTheme="minorEastAsia" w:eastAsiaTheme="minorEastAsia"/>
          <w:sz w:val="32"/>
          <w:szCs w:val="32"/>
        </w:rPr>
        <w:t>（类）支出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785.43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98.7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；一般公共服务支出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10万元，占1.3%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9"/>
        <w:ind w:firstLine="800" w:firstLineChars="25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（三）财政拨款支出决算具体情况</w:t>
      </w:r>
    </w:p>
    <w:p>
      <w:pPr>
        <w:pStyle w:val="9"/>
        <w:ind w:firstLine="800" w:firstLineChars="250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2021年度财政拨款支出年初预算数为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685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万元，支出决算数为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795.43</w:t>
      </w:r>
    </w:p>
    <w:p>
      <w:pPr>
        <w:pStyle w:val="9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%，其中：</w:t>
      </w:r>
    </w:p>
    <w:p>
      <w:pPr>
        <w:pStyle w:val="9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1、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文化旅游体育与传媒支出</w:t>
      </w:r>
      <w:r>
        <w:rPr>
          <w:rFonts w:hint="eastAsia" w:asciiTheme="minorEastAsia" w:hAnsiTheme="minorEastAsia" w:eastAsiaTheme="minorEastAsia"/>
          <w:sz w:val="32"/>
          <w:szCs w:val="32"/>
        </w:rPr>
        <w:t>（类）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文化和旅游</w:t>
      </w:r>
      <w:r>
        <w:rPr>
          <w:rFonts w:hint="eastAsia" w:asciiTheme="minorEastAsia" w:hAnsiTheme="minorEastAsia" w:eastAsiaTheme="minorEastAsia"/>
          <w:sz w:val="32"/>
          <w:szCs w:val="32"/>
        </w:rPr>
        <w:t>（款）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行政运行</w:t>
      </w:r>
      <w:r>
        <w:rPr>
          <w:rFonts w:hint="eastAsia" w:asciiTheme="minorEastAsia" w:hAnsiTheme="minorEastAsia" w:eastAsiaTheme="minorEastAsia"/>
          <w:sz w:val="32"/>
          <w:szCs w:val="32"/>
        </w:rPr>
        <w:t>（项）。</w:t>
      </w:r>
    </w:p>
    <w:p>
      <w:pPr>
        <w:pStyle w:val="9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年初预算为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695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795.43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%，决算数大于年初预算数的主要原因是：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年中增加政府补助拨款及专项资金。</w:t>
      </w:r>
    </w:p>
    <w:p>
      <w:pPr>
        <w:pStyle w:val="9"/>
        <w:ind w:firstLine="800" w:firstLineChars="25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六、一般公共预算财政拨款基本支出决算情况说明</w:t>
      </w:r>
    </w:p>
    <w:p>
      <w:pPr>
        <w:pStyle w:val="9"/>
        <w:ind w:firstLine="640" w:firstLineChars="200"/>
        <w:rPr>
          <w:rFonts w:asciiTheme="minorEastAsia" w:hAnsiTheme="minorEastAsia" w:eastAsiaTheme="minorEastAsia"/>
          <w:i/>
          <w:color w:val="FF0000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2021年度财政拨款基本支出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586.72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万元，其中：人员经费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256.99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万元，占基本支出的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43.8</w:t>
      </w:r>
      <w:r>
        <w:rPr>
          <w:rFonts w:hint="eastAsia" w:asciiTheme="minorEastAsia" w:hAnsiTheme="minorEastAsia" w:eastAsiaTheme="minorEastAsia"/>
          <w:sz w:val="32"/>
          <w:szCs w:val="32"/>
        </w:rPr>
        <w:t>%,主要包括主要包括基本工资、津贴补贴、</w:t>
      </w:r>
      <w:r>
        <w:rPr>
          <w:rFonts w:hint="eastAsia" w:asciiTheme="minorEastAsia" w:hAnsiTheme="minorEastAsia" w:eastAsiaTheme="minorEastAsia"/>
          <w:sz w:val="32"/>
          <w:szCs w:val="32"/>
          <w:lang w:val="zh-CN"/>
        </w:rPr>
        <w:t>奖金、伙食补助费、绩效工资、机关事业单位基本养老保险缴费、职业年金缴费、职工基本医疗保险缴费、公务员医疗补助缴费、其他社会保障缴费、住房公积金、医疗费、其他工资福利支出、离休费、退休费、抚恤金、生活补助、医疗费补助、奖励金、其他对个人和家庭的补助</w:t>
      </w:r>
      <w:r>
        <w:rPr>
          <w:rFonts w:hint="eastAsia" w:asciiTheme="minorEastAsia" w:hAnsiTheme="minorEastAsia" w:eastAsiaTheme="minorEastAsia"/>
          <w:sz w:val="32"/>
          <w:szCs w:val="32"/>
        </w:rPr>
        <w:t>；公用经费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329.73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万元，占基本支出的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52</w:t>
      </w:r>
      <w:r>
        <w:rPr>
          <w:rFonts w:hint="eastAsia" w:asciiTheme="minorEastAsia" w:hAnsiTheme="minorEastAsia" w:eastAsiaTheme="minorEastAsia"/>
          <w:sz w:val="32"/>
          <w:szCs w:val="32"/>
        </w:rPr>
        <w:t>%，主要包括办公费、印刷费、咨询费、手续费、水费、电费、邮电费、取暖费、物业管理费、差旅费、因公出国（境）费用、维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信息网络及软件购置更新、公务用车购置、其他交通工具购置、文物和陈列品购置、无形资产购置、其他资本性支出、赠与。</w:t>
      </w: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七、一般公共预算财政拨款“三公”经费支出决算情况说明</w:t>
      </w:r>
    </w:p>
    <w:p>
      <w:pPr>
        <w:pStyle w:val="9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（一）“三公”经费财政拨款支出决算总体情况说明</w:t>
      </w:r>
    </w:p>
    <w:p>
      <w:pPr>
        <w:pStyle w:val="9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2021年度“三公”经费财政拨款支出预算为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万元，由于预算数为0，无法计算百分比，其中：</w:t>
      </w:r>
    </w:p>
    <w:p>
      <w:pPr>
        <w:pStyle w:val="9"/>
        <w:ind w:firstLine="800" w:firstLineChars="25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因公出国（境）费支出预算为0万元，支出决算为0万元，由于预算数为0，无法计算百分比，主要原因为本年未安排因公出国（境）；与上年相比无变化，主要原因是未安排外事出访活动。</w:t>
      </w:r>
    </w:p>
    <w:p>
      <w:pPr>
        <w:pStyle w:val="9"/>
        <w:ind w:firstLine="800" w:firstLineChars="25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公务接待费支出预算为0万元，支出决算为0万元，由于预算数为0，无法计算百分比，决算数为0，主要原因为本年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未发生公务接待</w:t>
      </w:r>
      <w:r>
        <w:rPr>
          <w:rFonts w:hint="eastAsia" w:asciiTheme="minorEastAsia" w:hAnsiTheme="minorEastAsia" w:eastAsiaTheme="minorEastAsia"/>
          <w:sz w:val="32"/>
          <w:szCs w:val="32"/>
        </w:rPr>
        <w:t>；与上年相比无变化，主要原因为本年未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发生公务接待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pStyle w:val="9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公务用车购置费支出预算为0万元，支出决算为0万元，由于预算数为0，无法计算百分比，决算数为0，主要原因为本年未购置公务用车；与上年相比无变化，主要原因为本年未购置公务用车。</w:t>
      </w:r>
    </w:p>
    <w:p>
      <w:pPr>
        <w:pStyle w:val="9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公务用车运行维护费支出预算为0万元，支出决算为0万元，由于预算数为0，无法计算百分比，决算数为0，主要原因为本年未购置公务用车；与上年相比无变化，主要原因为本年未购置公务用车。</w:t>
      </w:r>
      <w:bookmarkStart w:id="0" w:name="_GoBack"/>
      <w:bookmarkEnd w:id="0"/>
    </w:p>
    <w:p>
      <w:pPr>
        <w:pStyle w:val="9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（二）“三公”经费财政拨款支出决算具体情况说明</w:t>
      </w:r>
    </w:p>
    <w:p>
      <w:pPr>
        <w:pStyle w:val="9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2021年度“三公”经费财政拨款支出决算中，公务接待费支出决算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%,因公出国（境）费支出决算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%,公务用车购置费及运行维护费支出决算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%。其中：</w:t>
      </w:r>
    </w:p>
    <w:p>
      <w:pPr>
        <w:pStyle w:val="9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1、因公出国（境）费支出决算为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万元，全年安排因公出国（境）团组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个，累计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人次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9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2、公务接待费支出决算为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万元，全年共接待来访团组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个、来宾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人次。</w:t>
      </w:r>
    </w:p>
    <w:p>
      <w:pPr>
        <w:ind w:firstLine="800" w:firstLineChars="250"/>
        <w:rPr>
          <w:rFonts w:cs="黑体" w:asciiTheme="minorEastAsia" w:hAnsiTheme="minorEastAsia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3、公务用车购置费及运行维护费支出决算为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/>
          <w:sz w:val="32"/>
          <w:szCs w:val="32"/>
        </w:rPr>
        <w:t>万元，其中：公务用车购置费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/>
          <w:sz w:val="32"/>
          <w:szCs w:val="32"/>
        </w:rPr>
        <w:t>万元，</w:t>
      </w:r>
      <w:r>
        <w:rPr>
          <w:rFonts w:hint="eastAsia" w:asciiTheme="minorEastAsia" w:hAnsiTheme="minorEastAsia"/>
          <w:sz w:val="32"/>
          <w:szCs w:val="32"/>
          <w:lang w:eastAsia="zh-CN"/>
        </w:rPr>
        <w:t>岳阳文化艺术会展中心</w:t>
      </w:r>
      <w:r>
        <w:rPr>
          <w:rFonts w:hint="eastAsia" w:asciiTheme="minorEastAsia" w:hAnsiTheme="minorEastAsia"/>
          <w:sz w:val="32"/>
          <w:szCs w:val="32"/>
        </w:rPr>
        <w:t>更新公务用车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/>
          <w:sz w:val="32"/>
          <w:szCs w:val="32"/>
        </w:rPr>
        <w:t>辆</w:t>
      </w:r>
      <w:r>
        <w:rPr>
          <w:rFonts w:hint="eastAsia" w:asciiTheme="minorEastAsia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/>
          <w:sz w:val="32"/>
          <w:szCs w:val="32"/>
        </w:rPr>
        <w:t>公务用车运行维护费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/>
          <w:sz w:val="32"/>
          <w:szCs w:val="32"/>
        </w:rPr>
        <w:t>万元，截止2021年12月31日，我单位开支财政拨款的公务用车保有量为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/>
          <w:sz w:val="32"/>
          <w:szCs w:val="32"/>
        </w:rPr>
        <w:t>辆。</w:t>
      </w: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八、政府性基金预算收入支出决算情况</w:t>
      </w:r>
    </w:p>
    <w:p>
      <w:pPr>
        <w:pStyle w:val="9"/>
        <w:ind w:firstLine="800" w:firstLineChars="25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岳阳文化艺术会展中心无政府性基金收支。</w:t>
      </w:r>
    </w:p>
    <w:p>
      <w:pPr>
        <w:pStyle w:val="9"/>
        <w:numPr>
          <w:ilvl w:val="0"/>
          <w:numId w:val="3"/>
        </w:numPr>
        <w:rPr>
          <w:rFonts w:hint="eastAsia" w:hAnsi="黑体"/>
          <w:b/>
          <w:sz w:val="32"/>
          <w:szCs w:val="32"/>
          <w:lang w:eastAsia="zh-CN"/>
        </w:rPr>
      </w:pPr>
      <w:r>
        <w:rPr>
          <w:rFonts w:hint="eastAsia" w:hAnsi="黑体"/>
          <w:b/>
          <w:sz w:val="32"/>
          <w:szCs w:val="32"/>
        </w:rPr>
        <w:t>国有资本经营预算财政拨款支出决算</w:t>
      </w:r>
      <w:r>
        <w:rPr>
          <w:rFonts w:hint="eastAsia" w:hAnsi="黑体"/>
          <w:b/>
          <w:sz w:val="32"/>
          <w:szCs w:val="32"/>
          <w:lang w:eastAsia="zh-CN"/>
        </w:rPr>
        <w:t>情况</w:t>
      </w:r>
    </w:p>
    <w:p>
      <w:pPr>
        <w:pStyle w:val="9"/>
        <w:ind w:firstLine="640" w:firstLineChars="200"/>
        <w:rPr>
          <w:rFonts w:hint="eastAsia" w:hAnsi="黑体" w:eastAsia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岳阳文化艺术会展中心无国有资本经营预算财政拨款支出。</w:t>
      </w: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十、机关运行经费支出说明</w:t>
      </w:r>
    </w:p>
    <w:p>
      <w:pPr>
        <w:pStyle w:val="9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本部门2021年度机关运行经费支出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586.72</w:t>
      </w:r>
      <w:r>
        <w:rPr>
          <w:rFonts w:hint="eastAsia" w:asciiTheme="minorEastAsia" w:hAnsiTheme="minorEastAsia" w:eastAsiaTheme="minorEastAsia"/>
          <w:sz w:val="32"/>
          <w:szCs w:val="32"/>
        </w:rPr>
        <w:t>万，比年初预算数（或者上年决算数）增加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34.69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 万元，增长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5.9</w:t>
      </w:r>
      <w:r>
        <w:rPr>
          <w:rFonts w:hint="eastAsia" w:asciiTheme="minorEastAsia" w:hAnsiTheme="minorEastAsia" w:eastAsiaTheme="minorEastAsia"/>
          <w:sz w:val="32"/>
          <w:szCs w:val="32"/>
        </w:rPr>
        <w:t>%。主要原因是：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政府性会议较去年相比增加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20%，水、电、气及维修费相应增加。</w:t>
      </w: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十一、一般性支出情况说明</w:t>
      </w:r>
    </w:p>
    <w:p>
      <w:pPr>
        <w:pStyle w:val="9"/>
        <w:ind w:firstLine="640" w:firstLineChars="200"/>
        <w:rPr>
          <w:rFonts w:asciiTheme="minorEastAsia" w:hAnsiTheme="minorEastAsia" w:eastAsiaTheme="minorEastAsia"/>
          <w:i/>
          <w:iCs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2021年本部门开支会议费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万元，人数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人；开支培训费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0.3</w:t>
      </w:r>
      <w:r>
        <w:rPr>
          <w:rFonts w:hint="eastAsia" w:asciiTheme="minorEastAsia" w:hAnsiTheme="minorEastAsia" w:eastAsiaTheme="minorEastAsia"/>
          <w:sz w:val="32"/>
          <w:szCs w:val="32"/>
        </w:rPr>
        <w:t>万元，用于开展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入党积极分子、继续教育等</w:t>
      </w:r>
      <w:r>
        <w:rPr>
          <w:rFonts w:hint="eastAsia" w:asciiTheme="minorEastAsia" w:hAnsiTheme="minorEastAsia" w:eastAsiaTheme="minorEastAsia"/>
          <w:sz w:val="32"/>
          <w:szCs w:val="32"/>
        </w:rPr>
        <w:t>培训，人数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32"/>
          <w:szCs w:val="32"/>
        </w:rPr>
        <w:t>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，内容为：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2人参加入党积极分子，1人继续教育，1人新媒体实操培训班</w:t>
      </w:r>
      <w:r>
        <w:rPr>
          <w:rFonts w:hint="eastAsia" w:asciiTheme="minorEastAsia" w:hAnsiTheme="minorEastAsia" w:eastAsiaTheme="minorEastAsia"/>
          <w:sz w:val="32"/>
          <w:szCs w:val="32"/>
        </w:rPr>
        <w:t>；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无</w:t>
      </w:r>
      <w:r>
        <w:rPr>
          <w:rFonts w:hint="eastAsia" w:asciiTheme="minorEastAsia" w:hAnsiTheme="minorEastAsia" w:eastAsiaTheme="minorEastAsia"/>
          <w:sz w:val="32"/>
          <w:szCs w:val="32"/>
        </w:rPr>
        <w:t>举办节庆、晚会、论坛、赛事活动，开支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十二、政府采购支出说明</w:t>
      </w:r>
    </w:p>
    <w:p>
      <w:pPr>
        <w:pStyle w:val="9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本部门2021年度政府采购支出总额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77.5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万元，其中：政府采购货物支出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万元、政府采购工程支出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万元、政府采购服务支出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77.5</w:t>
      </w:r>
      <w:r>
        <w:rPr>
          <w:rFonts w:hint="eastAsia" w:asciiTheme="minorEastAsia" w:hAnsiTheme="minorEastAsia" w:eastAsiaTheme="minorEastAsia"/>
          <w:sz w:val="32"/>
          <w:szCs w:val="32"/>
        </w:rPr>
        <w:t>万元。授予中小企业合同金额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万元，占政府采购支出总额的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%，其中：授予小微企业合同金额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万元，占授予中小企业合同金额的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%；货物采购授予中小企业合同金额占货物支出金额的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%，工程采购授予中小企业合同金额占工程支出金额的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%，服务采购授予中小企业合同金额占服务支出金额的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%。</w:t>
      </w: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十三、国有资产占用情况说明</w:t>
      </w:r>
    </w:p>
    <w:p>
      <w:pPr>
        <w:pStyle w:val="9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截至2021年12月31日，部门（单位）共有车辆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辆，其中，主要领导干部用车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辆，机要通信用车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辆、应急保障用车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辆、执法执勤用车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辆、特种专业技术用车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辆、其他用车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辆，；单位价值50万元以上通用设备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台（套）；单位价值100万元以上专用设备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台（套）。</w:t>
      </w:r>
    </w:p>
    <w:p>
      <w:pPr>
        <w:pStyle w:val="9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  <w:lang w:eastAsia="zh-CN"/>
        </w:rPr>
        <w:t>十四、</w:t>
      </w:r>
      <w:r>
        <w:rPr>
          <w:rFonts w:hint="eastAsia" w:hAnsi="黑体"/>
          <w:b/>
          <w:sz w:val="32"/>
          <w:szCs w:val="32"/>
        </w:rPr>
        <w:t>2021年度预算绩效情况说明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为了丰富市民精神文化生活，提升城市文化品位，拉近普通百姓与高雅艺术的距离。岳阳文化艺术会展中心根据岳阳市委、市政府“文化惠民”指示精神，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2021年继续</w:t>
      </w:r>
      <w:r>
        <w:rPr>
          <w:rFonts w:hint="eastAsia" w:ascii="宋体" w:hAnsi="宋体" w:eastAsia="宋体" w:cs="宋体"/>
          <w:sz w:val="32"/>
          <w:szCs w:val="32"/>
        </w:rPr>
        <w:t>推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行</w:t>
      </w:r>
      <w:r>
        <w:rPr>
          <w:rFonts w:hint="eastAsia" w:ascii="宋体" w:hAnsi="宋体" w:eastAsia="宋体" w:cs="宋体"/>
          <w:sz w:val="32"/>
          <w:szCs w:val="32"/>
        </w:rPr>
        <w:t>“高雅艺术惠民演出”。演出剧种丰富、剧目经典，涵盖音乐会、话剧、魔术、戏剧、歌舞、室内乐、人偶剧、交响乐等多个高雅艺术门类。迄今，中心成功举办了《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大宅门</w:t>
      </w:r>
      <w:r>
        <w:rPr>
          <w:rFonts w:hint="eastAsia" w:ascii="宋体" w:hAnsi="宋体" w:eastAsia="宋体" w:cs="宋体"/>
          <w:sz w:val="32"/>
          <w:szCs w:val="32"/>
        </w:rPr>
        <w:t>》、《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乌龙山伯爵</w:t>
      </w:r>
      <w:r>
        <w:rPr>
          <w:rFonts w:hint="eastAsia" w:ascii="宋体" w:hAnsi="宋体" w:eastAsia="宋体" w:cs="宋体"/>
          <w:sz w:val="32"/>
          <w:szCs w:val="32"/>
        </w:rPr>
        <w:t>》、童话剧《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海底总动员</w:t>
      </w:r>
      <w:r>
        <w:rPr>
          <w:rFonts w:hint="eastAsia" w:ascii="宋体" w:hAnsi="宋体" w:eastAsia="宋体" w:cs="宋体"/>
          <w:sz w:val="32"/>
          <w:szCs w:val="32"/>
        </w:rPr>
        <w:t>》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、《新年音乐会》</w:t>
      </w:r>
      <w:r>
        <w:rPr>
          <w:rFonts w:hint="eastAsia" w:ascii="宋体" w:hAnsi="宋体" w:eastAsia="宋体" w:cs="宋体"/>
          <w:sz w:val="32"/>
          <w:szCs w:val="32"/>
        </w:rPr>
        <w:t>等高雅艺术惠民演出。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市委市政府为进一步贯彻落实我市文化惠民政策，使高雅艺术惠民演出长效发展，结合演出市场情况，中心每年上演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sz w:val="32"/>
          <w:szCs w:val="32"/>
        </w:rPr>
        <w:t>场以上高雅艺术惠民演出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演出专项资金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180</w:t>
      </w:r>
      <w:r>
        <w:rPr>
          <w:rFonts w:hint="eastAsia" w:ascii="宋体" w:hAnsi="宋体" w:eastAsia="宋体" w:cs="宋体"/>
          <w:sz w:val="32"/>
          <w:szCs w:val="32"/>
        </w:rPr>
        <w:t>万元，实行专项管理，严格按照财政等行政管理部门的要求实行专项管理。“高雅艺术惠民演出”自推出以来，好评如潮，原来只有在一、二线大城市才能看到的高雅艺术演出，在岳阳文化艺术会展中心每个月轮番上演，我市市民足不出户就能欣赏到一场场精彩绝伦的艺术盛宴。“高雅艺术惠民演出”打造了岳阳演艺事业文化品牌，为我市“文化惠民”的贯彻落实提供了良好的文化环境，获得了各级领导的充分肯定和社会各界的广泛好评。</w:t>
      </w:r>
    </w:p>
    <w:p>
      <w:pPr>
        <w:autoSpaceDE w:val="0"/>
        <w:autoSpaceDN w:val="0"/>
        <w:adjustRightInd w:val="0"/>
        <w:jc w:val="left"/>
        <w:rPr>
          <w:rFonts w:hint="default" w:cs="黑体" w:asciiTheme="minorEastAsia" w:hAnsiTheme="minorEastAsia" w:eastAsiaTheme="minorEastAsia"/>
          <w:b/>
          <w:bCs/>
          <w:i/>
          <w:i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9"/>
        <w:rPr>
          <w:sz w:val="72"/>
          <w:szCs w:val="72"/>
        </w:rPr>
      </w:pPr>
    </w:p>
    <w:p>
      <w:pPr>
        <w:pStyle w:val="9"/>
        <w:jc w:val="both"/>
        <w:rPr>
          <w:sz w:val="72"/>
          <w:szCs w:val="72"/>
        </w:rPr>
      </w:pPr>
    </w:p>
    <w:p>
      <w:pPr>
        <w:pStyle w:val="9"/>
        <w:jc w:val="center"/>
        <w:rPr>
          <w:rFonts w:hint="eastAsia"/>
          <w:sz w:val="72"/>
          <w:szCs w:val="72"/>
        </w:rPr>
      </w:pPr>
    </w:p>
    <w:p>
      <w:pPr>
        <w:pStyle w:val="9"/>
        <w:jc w:val="center"/>
        <w:rPr>
          <w:rFonts w:hint="eastAsia"/>
          <w:sz w:val="72"/>
          <w:szCs w:val="72"/>
        </w:rPr>
      </w:pPr>
    </w:p>
    <w:p>
      <w:pPr>
        <w:pStyle w:val="9"/>
        <w:jc w:val="center"/>
        <w:rPr>
          <w:rFonts w:hint="eastAsia"/>
          <w:sz w:val="72"/>
          <w:szCs w:val="72"/>
        </w:rPr>
      </w:pPr>
    </w:p>
    <w:p>
      <w:pPr>
        <w:pStyle w:val="9"/>
        <w:jc w:val="center"/>
        <w:rPr>
          <w:rFonts w:hint="eastAsia"/>
          <w:sz w:val="72"/>
          <w:szCs w:val="72"/>
        </w:rPr>
      </w:pPr>
    </w:p>
    <w:p>
      <w:pPr>
        <w:pStyle w:val="9"/>
        <w:jc w:val="center"/>
        <w:rPr>
          <w:rFonts w:hint="eastAsia"/>
          <w:sz w:val="72"/>
          <w:szCs w:val="72"/>
        </w:rPr>
      </w:pPr>
    </w:p>
    <w:p>
      <w:pPr>
        <w:pStyle w:val="9"/>
        <w:jc w:val="center"/>
        <w:rPr>
          <w:rFonts w:hint="eastAsia"/>
          <w:sz w:val="72"/>
          <w:szCs w:val="72"/>
        </w:rPr>
      </w:pPr>
    </w:p>
    <w:p>
      <w:pPr>
        <w:pStyle w:val="9"/>
        <w:jc w:val="center"/>
        <w:rPr>
          <w:rFonts w:hint="eastAsia"/>
          <w:sz w:val="72"/>
          <w:szCs w:val="72"/>
        </w:rPr>
      </w:pPr>
    </w:p>
    <w:p>
      <w:pPr>
        <w:pStyle w:val="9"/>
        <w:jc w:val="center"/>
        <w:rPr>
          <w:rFonts w:hint="eastAsia"/>
          <w:sz w:val="72"/>
          <w:szCs w:val="72"/>
        </w:rPr>
      </w:pPr>
    </w:p>
    <w:p>
      <w:pPr>
        <w:pStyle w:val="9"/>
        <w:jc w:val="center"/>
        <w:rPr>
          <w:rFonts w:hint="eastAsia"/>
          <w:sz w:val="72"/>
          <w:szCs w:val="72"/>
        </w:rPr>
      </w:pPr>
    </w:p>
    <w:p>
      <w:pPr>
        <w:pStyle w:val="9"/>
        <w:jc w:val="center"/>
        <w:rPr>
          <w:rFonts w:hint="eastAsia"/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第四部分</w:t>
      </w: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hint="eastAsia" w:ascii="黑体" w:eastAsia="黑体" w:cs="黑体"/>
          <w:color w:val="000000"/>
          <w:kern w:val="0"/>
          <w:sz w:val="70"/>
          <w:szCs w:val="70"/>
        </w:rPr>
        <w:t>名词解释</w:t>
      </w:r>
    </w:p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ascii="黑体" w:eastAsia="黑体" w:cs="黑体"/>
          <w:color w:val="000000"/>
          <w:kern w:val="0"/>
          <w:sz w:val="70"/>
          <w:szCs w:val="70"/>
        </w:rPr>
        <w:br w:type="page"/>
      </w: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一、“三公”经费：指用财政拨款安排的因公出国（境）费、公务用车购置及运行费和公务接待费。其中，因公出国（境）费反映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二、机关运行经费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是指各部门的公用经费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三、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财政拨款收入：指本级财政当年拨付的资金</w:t>
      </w:r>
    </w:p>
    <w:p>
      <w:pPr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四、工资福利支出：反映单位开支的在职职工和编制外长期聘用人员的各类劳动报酬，以及为上述人员缴纳的各项社会保险费等</w:t>
      </w: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第五部分</w:t>
      </w: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hint="eastAsia" w:ascii="黑体" w:eastAsia="黑体" w:cs="黑体"/>
          <w:color w:val="000000"/>
          <w:kern w:val="0"/>
          <w:sz w:val="70"/>
          <w:szCs w:val="70"/>
        </w:rPr>
        <w:t>附件</w:t>
      </w:r>
    </w:p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ascii="黑体" w:eastAsia="黑体" w:cs="黑体"/>
          <w:color w:val="000000"/>
          <w:kern w:val="0"/>
          <w:sz w:val="70"/>
          <w:szCs w:val="70"/>
        </w:rPr>
        <w:br w:type="page"/>
      </w: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ind w:firstLine="640" w:firstLineChars="200"/>
        <w:jc w:val="left"/>
        <w:rPr>
          <w:rFonts w:hint="eastAsia" w:cs="黑体" w:asciiTheme="minorEastAsia" w:hAnsiTheme="minorEastAsia" w:eastAsiaTheme="minorEastAsia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  <w:lang w:val="en-US" w:eastAsia="zh-CN"/>
        </w:rPr>
        <w:t>1、2021年部门决算公开表格</w:t>
      </w:r>
    </w:p>
    <w:p>
      <w:pPr>
        <w:ind w:firstLine="640" w:firstLineChars="200"/>
        <w:jc w:val="left"/>
        <w:rPr>
          <w:rFonts w:cs="黑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  <w:lang w:val="en-US" w:eastAsia="zh-CN"/>
        </w:rPr>
        <w:t>2、</w:t>
      </w: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2021年度部门整体支出绩效评价报告</w:t>
      </w: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6A298D"/>
    <w:multiLevelType w:val="singleLevel"/>
    <w:tmpl w:val="B16A298D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C5F40D2"/>
    <w:multiLevelType w:val="singleLevel"/>
    <w:tmpl w:val="FC5F40D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73518C1"/>
    <w:multiLevelType w:val="multilevel"/>
    <w:tmpl w:val="373518C1"/>
    <w:lvl w:ilvl="0" w:tentative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2NGQxZjRjNWQ2YzBlZDQxNTc2NWYwZTRlMzBlYWUifQ=="/>
  </w:docVars>
  <w:rsids>
    <w:rsidRoot w:val="00172A27"/>
    <w:rsid w:val="0002229B"/>
    <w:rsid w:val="000273BD"/>
    <w:rsid w:val="000415B7"/>
    <w:rsid w:val="00041E3F"/>
    <w:rsid w:val="00055DAA"/>
    <w:rsid w:val="00061F7B"/>
    <w:rsid w:val="000658A3"/>
    <w:rsid w:val="00074155"/>
    <w:rsid w:val="000873EF"/>
    <w:rsid w:val="000A3F69"/>
    <w:rsid w:val="00103957"/>
    <w:rsid w:val="00124A1F"/>
    <w:rsid w:val="00152C6D"/>
    <w:rsid w:val="00162D39"/>
    <w:rsid w:val="001678BD"/>
    <w:rsid w:val="00182373"/>
    <w:rsid w:val="001A67DB"/>
    <w:rsid w:val="001C3C29"/>
    <w:rsid w:val="001D51E5"/>
    <w:rsid w:val="001E080D"/>
    <w:rsid w:val="001E53D0"/>
    <w:rsid w:val="001F0C3B"/>
    <w:rsid w:val="00202C14"/>
    <w:rsid w:val="00202C82"/>
    <w:rsid w:val="00214427"/>
    <w:rsid w:val="00226CB7"/>
    <w:rsid w:val="00264552"/>
    <w:rsid w:val="00264EF9"/>
    <w:rsid w:val="00265724"/>
    <w:rsid w:val="0027426B"/>
    <w:rsid w:val="002E0A30"/>
    <w:rsid w:val="003130C4"/>
    <w:rsid w:val="00316C4B"/>
    <w:rsid w:val="0032192B"/>
    <w:rsid w:val="003479BD"/>
    <w:rsid w:val="0037197D"/>
    <w:rsid w:val="003768D5"/>
    <w:rsid w:val="003C4197"/>
    <w:rsid w:val="003C47E6"/>
    <w:rsid w:val="003C4FC2"/>
    <w:rsid w:val="003E2331"/>
    <w:rsid w:val="00416E61"/>
    <w:rsid w:val="0042790C"/>
    <w:rsid w:val="004506F9"/>
    <w:rsid w:val="004717A2"/>
    <w:rsid w:val="00473DF3"/>
    <w:rsid w:val="00487911"/>
    <w:rsid w:val="00491741"/>
    <w:rsid w:val="004B0CEE"/>
    <w:rsid w:val="00500E5F"/>
    <w:rsid w:val="005122EF"/>
    <w:rsid w:val="0051441A"/>
    <w:rsid w:val="00517C33"/>
    <w:rsid w:val="00517D5F"/>
    <w:rsid w:val="00521AF2"/>
    <w:rsid w:val="00523644"/>
    <w:rsid w:val="0054069E"/>
    <w:rsid w:val="00544866"/>
    <w:rsid w:val="005767CC"/>
    <w:rsid w:val="00590D9F"/>
    <w:rsid w:val="00595D26"/>
    <w:rsid w:val="005A74E6"/>
    <w:rsid w:val="005B404E"/>
    <w:rsid w:val="005D4D55"/>
    <w:rsid w:val="005E2CFB"/>
    <w:rsid w:val="005F2103"/>
    <w:rsid w:val="005F3D1C"/>
    <w:rsid w:val="0062378F"/>
    <w:rsid w:val="00641842"/>
    <w:rsid w:val="00651EEC"/>
    <w:rsid w:val="00686673"/>
    <w:rsid w:val="00691E8C"/>
    <w:rsid w:val="006A22C4"/>
    <w:rsid w:val="006A348B"/>
    <w:rsid w:val="006A351B"/>
    <w:rsid w:val="006B0422"/>
    <w:rsid w:val="006C1B53"/>
    <w:rsid w:val="006D7730"/>
    <w:rsid w:val="006E5284"/>
    <w:rsid w:val="006F3EB5"/>
    <w:rsid w:val="00702E34"/>
    <w:rsid w:val="00704395"/>
    <w:rsid w:val="00710FE7"/>
    <w:rsid w:val="00717621"/>
    <w:rsid w:val="00720FF1"/>
    <w:rsid w:val="00727A53"/>
    <w:rsid w:val="00787B42"/>
    <w:rsid w:val="007C4539"/>
    <w:rsid w:val="007F3657"/>
    <w:rsid w:val="00812ED5"/>
    <w:rsid w:val="008277D9"/>
    <w:rsid w:val="0084478C"/>
    <w:rsid w:val="0086638C"/>
    <w:rsid w:val="008A3E8D"/>
    <w:rsid w:val="009237C4"/>
    <w:rsid w:val="00944C48"/>
    <w:rsid w:val="00950252"/>
    <w:rsid w:val="00967F5D"/>
    <w:rsid w:val="009A0F95"/>
    <w:rsid w:val="009B3ADF"/>
    <w:rsid w:val="009C3B52"/>
    <w:rsid w:val="009E6817"/>
    <w:rsid w:val="009E6E9A"/>
    <w:rsid w:val="00A01D2B"/>
    <w:rsid w:val="00A42218"/>
    <w:rsid w:val="00A70249"/>
    <w:rsid w:val="00A70B02"/>
    <w:rsid w:val="00A71D9F"/>
    <w:rsid w:val="00A92E9F"/>
    <w:rsid w:val="00B33BEA"/>
    <w:rsid w:val="00B57C9F"/>
    <w:rsid w:val="00B63572"/>
    <w:rsid w:val="00B845B3"/>
    <w:rsid w:val="00B85D8B"/>
    <w:rsid w:val="00BB4A40"/>
    <w:rsid w:val="00BD6C3E"/>
    <w:rsid w:val="00BE3674"/>
    <w:rsid w:val="00C10681"/>
    <w:rsid w:val="00C3049A"/>
    <w:rsid w:val="00C31B1E"/>
    <w:rsid w:val="00C77645"/>
    <w:rsid w:val="00CE04C3"/>
    <w:rsid w:val="00CE76A0"/>
    <w:rsid w:val="00D148C6"/>
    <w:rsid w:val="00D17A8A"/>
    <w:rsid w:val="00D415BA"/>
    <w:rsid w:val="00D63780"/>
    <w:rsid w:val="00D644EE"/>
    <w:rsid w:val="00D75489"/>
    <w:rsid w:val="00DD06FF"/>
    <w:rsid w:val="00DD5FE9"/>
    <w:rsid w:val="00E00C7A"/>
    <w:rsid w:val="00E209CF"/>
    <w:rsid w:val="00E37D6C"/>
    <w:rsid w:val="00E55B68"/>
    <w:rsid w:val="00E67BE6"/>
    <w:rsid w:val="00E8683C"/>
    <w:rsid w:val="00EA2B72"/>
    <w:rsid w:val="00F74360"/>
    <w:rsid w:val="00FB462F"/>
    <w:rsid w:val="00FE16FA"/>
    <w:rsid w:val="00FE328A"/>
    <w:rsid w:val="00FE6269"/>
    <w:rsid w:val="00FF5CD6"/>
    <w:rsid w:val="05633A58"/>
    <w:rsid w:val="06B411F0"/>
    <w:rsid w:val="087403E0"/>
    <w:rsid w:val="0B0438C0"/>
    <w:rsid w:val="0BE56081"/>
    <w:rsid w:val="13BE003E"/>
    <w:rsid w:val="13F41CAA"/>
    <w:rsid w:val="17A87124"/>
    <w:rsid w:val="27DB542D"/>
    <w:rsid w:val="2A120C4A"/>
    <w:rsid w:val="2E872DB6"/>
    <w:rsid w:val="321552C9"/>
    <w:rsid w:val="366364DD"/>
    <w:rsid w:val="370B6762"/>
    <w:rsid w:val="45F9639D"/>
    <w:rsid w:val="48A216CB"/>
    <w:rsid w:val="48ED43E7"/>
    <w:rsid w:val="51243C2A"/>
    <w:rsid w:val="535030C1"/>
    <w:rsid w:val="60A907EA"/>
    <w:rsid w:val="6145544E"/>
    <w:rsid w:val="6AAD3430"/>
    <w:rsid w:val="79D2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0904-B2FB-4FE3-894F-42F14B17BC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25</Pages>
  <Words>1452</Words>
  <Characters>8281</Characters>
  <Lines>69</Lines>
  <Paragraphs>19</Paragraphs>
  <TotalTime>5</TotalTime>
  <ScaleCrop>false</ScaleCrop>
  <LinksUpToDate>false</LinksUpToDate>
  <CharactersWithSpaces>9714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2020-07-02T02:32:00Z</dcterms:created>
  <dc:creator>李航 null</dc:creator>
  <cp:lastModifiedBy>Administrator</cp:lastModifiedBy>
  <cp:lastPrinted>2022-07-27T12:55:00Z</cp:lastPrinted>
  <dcterms:modified xsi:type="dcterms:W3CDTF">2023-09-22T07:01:03Z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C02081F76A1C414C807C3137DC2EA958</vt:lpwstr>
  </property>
</Properties>
</file>