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7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314" w:firstLineChars="3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岳阳市2020年度部门整体支出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628" w:firstLineChars="60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  <w:sectPr>
          <w:pgSz w:w="11906" w:h="16838"/>
          <w:pgMar w:top="1247" w:right="1587" w:bottom="1247" w:left="1587" w:header="851" w:footer="992" w:gutter="0"/>
          <w:pgNumType w:start="1"/>
          <w:cols w:space="0" w:num="1"/>
          <w:rtlGutter w:val="0"/>
          <w:docGrid w:type="linesAndChars" w:linePitch="602" w:charSpace="-430"/>
        </w:sect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绩效评价自评报告</w:t>
      </w:r>
    </w:p>
    <w:tbl>
      <w:tblPr>
        <w:tblStyle w:val="2"/>
        <w:tblW w:w="98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256"/>
        <w:gridCol w:w="180"/>
        <w:gridCol w:w="690"/>
        <w:gridCol w:w="210"/>
        <w:gridCol w:w="1145"/>
        <w:gridCol w:w="272"/>
        <w:gridCol w:w="808"/>
        <w:gridCol w:w="1388"/>
        <w:gridCol w:w="91"/>
        <w:gridCol w:w="226"/>
        <w:gridCol w:w="196"/>
        <w:gridCol w:w="259"/>
        <w:gridCol w:w="623"/>
        <w:gridCol w:w="722"/>
        <w:gridCol w:w="139"/>
        <w:gridCol w:w="159"/>
        <w:gridCol w:w="782"/>
        <w:gridCol w:w="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4" w:type="dxa"/>
            <w:gridSpan w:val="2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10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15973009860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10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岳阳市科学技术协会的主要职能有：1、开展学术交流，促进科技教育和经济发展。2、依照《科普法》，弘扬科学精神，普及科学知识，开展青少年科技活动，提高全民科学文化素质。3、反映科学技术工作者的诉求和意见；组织科学技术工作者参加政治协商、科学决策、民主监督工作。4、表彰奖励优秀科学技术工作者，举荐人才。5、开展科学论证、咨询服务、提出政策建议等。6、开展民间国际科学技术交流活动。7、开展继续教育和科学培训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任务1：深入实施创新驱动助力工程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任务2：深入实施基层科普行动计划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任务3：扎实推进《纲要》实施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任务4：积极开展学术交流活动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任务5：着重抓好青少年科技教育活动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任务6：托举宣传优秀科技人才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任务7：组建巴陵科技智库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任务8：不断加强科协系统自身建设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1.应急科普助力抗击疫情。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新冠肺炎疫情发生后，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市科协第一时间利用“科普岳阳”信息化平台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转载分享新冠肺炎疫情防控权威科普信息。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2.服务产业链建设。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11月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14日，以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聚集高端智慧，服务产业链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发展”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为主题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2020年院士专家岳阳行活动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在我市举办。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3.扎实推进《纲要》实施。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认真实施《岳阳市全民科学素质行动计划纲要实施方案（2016-2020）》，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组织成员单位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突出科学普及，助力全民科学素质提高。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4.科技助力乡村振兴。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通过积极争取，湖南省科技助力乡村振兴县域试点项目成功落地临湘市，获支持资金200万元，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420"/>
              <w:jc w:val="both"/>
              <w:textAlignment w:val="auto"/>
              <w:rPr>
                <w:rFonts w:hint="eastAsia" w:ascii="仿宋_GB2312" w:eastAsia="仿宋_GB2312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5.托举优秀科技人才。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做好20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年巴陵青年英才支持计划实施工作，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选拔全市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科技人才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名。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依托巴陵科技智库专家资源，组建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+1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条产业链人才专家库，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6.开展党建强会行动。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以“三表率一模范”政治机关建设为统揽，突出机关党建、行业党建两个重点，推动政治机关建设。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7.守护好一江碧水。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2020年岳阳市群团组织“守护好一江碧水”系列行动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4" w:type="dxa"/>
            <w:gridSpan w:val="2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4" w:type="dxa"/>
            <w:gridSpan w:val="2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681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090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209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市科协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1056.5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119.25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912.53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143.97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2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1、科协机关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778.55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58.35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772.53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、科技馆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200.45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45.89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3、科技活动管理中心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77.5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15.01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4" w:type="dxa"/>
            <w:gridSpan w:val="2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87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2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80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3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9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市科协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1075.3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431.3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372.33</w:t>
            </w:r>
          </w:p>
        </w:tc>
        <w:tc>
          <w:tcPr>
            <w:tcW w:w="13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58.97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644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-18.8</w:t>
            </w:r>
          </w:p>
        </w:tc>
        <w:tc>
          <w:tcPr>
            <w:tcW w:w="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100.45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1、科协机关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431.30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372.33</w:t>
            </w:r>
          </w:p>
        </w:tc>
        <w:tc>
          <w:tcPr>
            <w:tcW w:w="13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58.97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361.4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-14.15</w:t>
            </w:r>
          </w:p>
        </w:tc>
        <w:tc>
          <w:tcPr>
            <w:tcW w:w="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、科技馆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195.59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195.59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4.86</w:t>
            </w:r>
          </w:p>
        </w:tc>
        <w:tc>
          <w:tcPr>
            <w:tcW w:w="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3、科技活动管理中心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87.01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3.17</w:t>
            </w:r>
          </w:p>
        </w:tc>
        <w:tc>
          <w:tcPr>
            <w:tcW w:w="13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83.84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-9.51</w:t>
            </w:r>
          </w:p>
        </w:tc>
        <w:tc>
          <w:tcPr>
            <w:tcW w:w="7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87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市科协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11.32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5.75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5.57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1、科协机关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3.90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3.43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、科技馆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2.95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0.81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2.14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3、科技活动管理中心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87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市科协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1290.19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1290.19</w:t>
            </w:r>
          </w:p>
        </w:tc>
        <w:tc>
          <w:tcPr>
            <w:tcW w:w="364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1、科协机关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933.79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933.79</w:t>
            </w:r>
          </w:p>
        </w:tc>
        <w:tc>
          <w:tcPr>
            <w:tcW w:w="364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、科技馆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315.50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315.50</w:t>
            </w:r>
          </w:p>
        </w:tc>
        <w:tc>
          <w:tcPr>
            <w:tcW w:w="364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0   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3、科技活动管理中心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40.90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40.90</w:t>
            </w:r>
          </w:p>
        </w:tc>
        <w:tc>
          <w:tcPr>
            <w:tcW w:w="364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4" w:type="dxa"/>
            <w:gridSpan w:val="2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9" w:type="dxa"/>
            <w:gridSpan w:val="11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应急科普助力抗击疫情。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服务产业链建设。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目标3：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扎实推进《纲要》实施。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科技助力乡村振兴。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托举优秀科技人才。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开展党建强会行动。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7：守护好一江碧水。</w:t>
            </w:r>
          </w:p>
        </w:tc>
        <w:tc>
          <w:tcPr>
            <w:tcW w:w="45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1.应急科普助力抗击疫情。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新冠肺炎疫情发生后，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市科协第一时间利用“科普岳阳”信息化平台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转载分享新冠肺炎疫情防控权威科普信息。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2.服务产业链建设。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11月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14日，以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聚集高端智慧，服务产业链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发展”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为主题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2020年院士专家岳阳行活动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在我市举办。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3.扎实推进《纲要》实施。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认真实施《岳阳市全民科学素质行动计划纲要实施方案（2016-2020）》，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组织成员单位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突出科学普及，助力全民科学素质提高。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4.科技助力乡村振兴。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通过积极争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取，湖南省科技助力乡村振兴县域试点项目成功落地临湘市，。围绕巩固脱贫攻坚成果，市科协掌握了4个贫困村、驻点村和3个社区的劳动力外出务工需求，促成52人精准就业。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 w:firstLine="420" w:firstLineChars="200"/>
              <w:jc w:val="both"/>
              <w:textAlignment w:val="auto"/>
              <w:rPr>
                <w:rFonts w:hint="eastAsia" w:ascii="仿宋_GB2312" w:eastAsia="仿宋_GB2312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5.托举优秀科技人才。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做好20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年巴陵青年英才支持计划实施工作，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选拔全市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科技人才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仿宋_GB2312" w:hAnsi="新宋体" w:eastAsia="仿宋_GB2312"/>
                <w:b w:val="0"/>
                <w:bCs w:val="0"/>
                <w:sz w:val="21"/>
                <w:szCs w:val="21"/>
              </w:rPr>
              <w:t>名。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依托巴陵科技智库专家资源，组建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+1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条产业链人才专家库，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6.开展党建强会行动。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以“三表率一模范”政治机关建设为统揽，突出机关党建、行业党建两个重点，推动政治机关建设。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7.守护好一江碧水。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2020年岳阳市群团组织“守护好一江碧水”系列行动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sz w:val="21"/>
                <w:szCs w:val="21"/>
              </w:rPr>
              <w:t>指标1：符合《中华人民共和国科学技术普及法》；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sz w:val="21"/>
                <w:szCs w:val="21"/>
              </w:rPr>
              <w:t>指标2：符合《全民科学素质行动计划纲要》。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指标1：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应急科普助力抗击疫情。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利用“科普岳阳”信息化平台，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通过开设科普微视频、网上科普展厅，制作科普海报等措施，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共发布应急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科普信息300余条，阅读量100万人次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主动对接教育部门，向全市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1352所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中小学校免费发放了2万余本《新冠肺炎疫情防控校园科普知识》。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3、开展新冠肺炎疫情防控优秀科普作品评选活动，组委会共收到111幅作品，评选出21幅优秀科普作品。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0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4、市科技馆还充分发挥科普阵地作用，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打造线上“永不闭馆”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，推出《科普岳阳—掌握科学方法，预防新型肺炎》网上科普展览、科普微主播、巴陵小院士线上周六课堂、科学实验挑战赛等一系列线上科普活动，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共收到 200组视频参赛作品，分 5 期在线上进行推广展示，营造了良好的科学抗疫氛围。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指标2：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服务产业链建设。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14日，以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聚集高端智慧，服务产业链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发展”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为主题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2020年院士专家岳阳行活动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在我市举办。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5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扎实推进《纲要》实施。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开展科学家精神宣讲活动，在《科普岳阳》《懒人听书》《喜马拉雅》等平台上开设“科学家的故事”专栏，目前已编写李四光、屠呦呦等科学家故事 23期，阅读量达 6.5万多人次。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科技助力乡村振兴。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>通过积极争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取，湖南省科技助力乡村振兴县域试点项目成功落地临湘市，。围绕巩固脱贫攻坚成果，市科协掌握了4个贫困村、驻点村和3个社区的劳动力外出务工需求，促成52人精准就业。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托举优秀科技人才。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sz w:val="21"/>
                <w:szCs w:val="21"/>
              </w:rPr>
              <w:t>组建巴陵科技智库，选拔全市</w:t>
            </w:r>
            <w:r>
              <w:rPr>
                <w:rFonts w:hint="eastAsia" w:ascii="仿宋_GB2312" w:hAnsi="新宋体" w:eastAsia="仿宋_GB2312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新宋体" w:eastAsia="仿宋_GB2312"/>
                <w:sz w:val="21"/>
                <w:szCs w:val="21"/>
              </w:rPr>
              <w:t>科技人才</w:t>
            </w:r>
            <w:r>
              <w:rPr>
                <w:rFonts w:hint="eastAsia" w:ascii="仿宋_GB2312" w:hAnsi="新宋体" w:eastAsia="仿宋_GB2312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仿宋_GB2312" w:hAnsi="新宋体" w:eastAsia="仿宋_GB2312"/>
                <w:sz w:val="21"/>
                <w:szCs w:val="21"/>
              </w:rPr>
              <w:t>名。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依托巴陵科技智库专家资源，组建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+1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1"/>
                <w:szCs w:val="21"/>
              </w:rPr>
              <w:t>条产业链人才专家库，目前已有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218</w:t>
            </w:r>
            <w:r>
              <w:rPr>
                <w:rFonts w:hint="eastAsia" w:ascii="仿宋_GB2312" w:eastAsia="仿宋_GB2312"/>
                <w:sz w:val="21"/>
                <w:szCs w:val="21"/>
              </w:rPr>
              <w:t>名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副高</w:t>
            </w:r>
            <w:r>
              <w:rPr>
                <w:rFonts w:hint="eastAsia" w:ascii="仿宋_GB2312" w:eastAsia="仿宋_GB2312"/>
                <w:sz w:val="21"/>
                <w:szCs w:val="21"/>
              </w:rPr>
              <w:t>级以上的专家入库。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指标1：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举办主题科普活动年内完成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推荐科普示范村、协会、社区、单位、个人年内完成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3：开展企业科技信息服务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4：开展学术交流活动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749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5：青少年科技创新大赛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749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6：举荐优秀科技人才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年内完成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7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控制预算内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1493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提高岳阳市公民的科学文化素质；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指标2：推动岳阳经济的发展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156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5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指标1：科技人员满意率高于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指标2：群众满意率高于9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%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567" w:hRule="atLeast"/>
          <w:jc w:val="center"/>
        </w:trPr>
        <w:tc>
          <w:tcPr>
            <w:tcW w:w="2990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3"/>
            <w:vAlign w:val="center"/>
          </w:tcPr>
          <w:p>
            <w:pPr>
              <w:autoSpaceDN w:val="0"/>
              <w:spacing w:line="320" w:lineRule="exact"/>
              <w:ind w:firstLine="28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567" w:hRule="atLeast"/>
          <w:jc w:val="center"/>
        </w:trPr>
        <w:tc>
          <w:tcPr>
            <w:tcW w:w="2990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3"/>
            <w:vAlign w:val="center"/>
          </w:tcPr>
          <w:p>
            <w:pPr>
              <w:autoSpaceDN w:val="0"/>
              <w:spacing w:line="320" w:lineRule="exact"/>
              <w:ind w:firstLine="560" w:firstLineChars="2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9800" w:type="dxa"/>
            <w:gridSpan w:val="1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职务/职称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岚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党组成员、副主席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办公室主任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虹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学会部部长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翔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普及部部长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岳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市科协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2547" w:hRule="atLeast"/>
          <w:jc w:val="center"/>
        </w:trPr>
        <w:tc>
          <w:tcPr>
            <w:tcW w:w="9800" w:type="dxa"/>
            <w:gridSpan w:val="19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2562" w:hRule="atLeast"/>
          <w:jc w:val="center"/>
        </w:trPr>
        <w:tc>
          <w:tcPr>
            <w:tcW w:w="9800" w:type="dxa"/>
            <w:gridSpan w:val="19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" w:type="dxa"/>
          <w:trHeight w:val="2794" w:hRule="atLeast"/>
          <w:jc w:val="center"/>
        </w:trPr>
        <w:tc>
          <w:tcPr>
            <w:tcW w:w="9800" w:type="dxa"/>
            <w:gridSpan w:val="1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ind w:firstLine="560" w:firstLineChars="200"/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杨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岳</w:t>
      </w:r>
      <w:r>
        <w:rPr>
          <w:rFonts w:hint="eastAsia" w:eastAsia="仿宋_GB2312" w:cs="仿宋_GB2312"/>
          <w:bCs/>
          <w:sz w:val="28"/>
          <w:szCs w:val="28"/>
        </w:rPr>
        <w:t xml:space="preserve">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仿宋_GB2312"/>
          <w:bCs/>
          <w:sz w:val="28"/>
          <w:szCs w:val="28"/>
        </w:rPr>
        <w:t xml:space="preserve">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8634551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92DED"/>
    <w:multiLevelType w:val="singleLevel"/>
    <w:tmpl w:val="FF392D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53693"/>
    <w:rsid w:val="2AF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2021-09-13T14:50:00Z</dcterms:created>
  <dc:creator>小晔</dc:creator>
  <cp:lastModifiedBy>小晔</cp:lastModifiedBy>
  <dcterms:modified xsi:type="dcterms:W3CDTF">2021-09-13T14:50:42Z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