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Fonts w:hint="eastAsia" w:eastAsia="黑体"/>
          <w:kern w:val="0"/>
          <w:sz w:val="32"/>
          <w:szCs w:val="32"/>
        </w:rPr>
      </w:pPr>
      <w:r>
        <w:rPr>
          <w:rFonts w:eastAsia="黑体"/>
          <w:kern w:val="0"/>
          <w:sz w:val="32"/>
          <w:szCs w:val="32"/>
        </w:rPr>
        <w:t>附件</w:t>
      </w:r>
      <w:r>
        <w:rPr>
          <w:rFonts w:hint="eastAsia" w:eastAsia="黑体"/>
          <w:kern w:val="0"/>
          <w:sz w:val="32"/>
          <w:szCs w:val="32"/>
        </w:rPr>
        <w:t>5：</w:t>
      </w:r>
    </w:p>
    <w:p>
      <w:pPr>
        <w:widowControl/>
        <w:spacing w:line="400" w:lineRule="exact"/>
        <w:ind w:left="91"/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kern w:val="0"/>
          <w:sz w:val="36"/>
          <w:szCs w:val="36"/>
        </w:rPr>
        <w:t>岳阳经济技术开发区其他财政票据清查表</w:t>
      </w:r>
    </w:p>
    <w:bookmarkEnd w:id="0"/>
    <w:p>
      <w:pPr>
        <w:widowControl/>
        <w:tabs>
          <w:tab w:val="left" w:pos="1933"/>
          <w:tab w:val="left" w:pos="12570"/>
          <w:tab w:val="left" w:pos="14913"/>
          <w:tab w:val="left" w:pos="16373"/>
        </w:tabs>
        <w:ind w:left="93"/>
        <w:jc w:val="left"/>
        <w:rPr>
          <w:kern w:val="0"/>
          <w:sz w:val="18"/>
          <w:szCs w:val="18"/>
        </w:rPr>
      </w:pPr>
      <w:r>
        <w:rPr>
          <w:rFonts w:hAnsi="宋体"/>
          <w:kern w:val="0"/>
          <w:sz w:val="18"/>
          <w:szCs w:val="18"/>
        </w:rPr>
        <w:t>填报单位：（盖章）</w:t>
      </w:r>
      <w:r>
        <w:rPr>
          <w:kern w:val="0"/>
          <w:sz w:val="18"/>
          <w:szCs w:val="18"/>
        </w:rPr>
        <w:tab/>
      </w:r>
      <w:r>
        <w:rPr>
          <w:kern w:val="0"/>
          <w:sz w:val="18"/>
          <w:szCs w:val="18"/>
        </w:rPr>
        <w:tab/>
      </w:r>
      <w:r>
        <w:rPr>
          <w:rFonts w:hAnsi="宋体"/>
          <w:kern w:val="0"/>
          <w:sz w:val="18"/>
          <w:szCs w:val="18"/>
        </w:rPr>
        <w:t>数量单位：份</w:t>
      </w:r>
    </w:p>
    <w:p>
      <w:pPr>
        <w:widowControl/>
        <w:tabs>
          <w:tab w:val="left" w:pos="1933"/>
          <w:tab w:val="left" w:pos="12570"/>
          <w:tab w:val="left" w:pos="14913"/>
          <w:tab w:val="left" w:pos="16373"/>
        </w:tabs>
        <w:ind w:left="93"/>
        <w:jc w:val="left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ab/>
      </w:r>
      <w:r>
        <w:rPr>
          <w:kern w:val="0"/>
          <w:sz w:val="18"/>
          <w:szCs w:val="18"/>
        </w:rPr>
        <w:tab/>
      </w:r>
      <w:r>
        <w:rPr>
          <w:rFonts w:hAnsi="宋体"/>
          <w:kern w:val="0"/>
          <w:sz w:val="18"/>
          <w:szCs w:val="18"/>
        </w:rPr>
        <w:t>金额单位：元</w:t>
      </w:r>
    </w:p>
    <w:tbl>
      <w:tblPr>
        <w:tblStyle w:val="3"/>
        <w:tblW w:w="143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8"/>
        <w:gridCol w:w="1037"/>
        <w:gridCol w:w="1067"/>
        <w:gridCol w:w="890"/>
        <w:gridCol w:w="1955"/>
        <w:gridCol w:w="1420"/>
        <w:gridCol w:w="1088"/>
        <w:gridCol w:w="1955"/>
        <w:gridCol w:w="1737"/>
        <w:gridCol w:w="10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0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票  据  名  称</w:t>
            </w:r>
          </w:p>
        </w:tc>
        <w:tc>
          <w:tcPr>
            <w:tcW w:w="10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 xml:space="preserve">上年结存数量 </w:t>
            </w:r>
          </w:p>
        </w:tc>
        <w:tc>
          <w:tcPr>
            <w:tcW w:w="10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本年购领数量</w:t>
            </w:r>
          </w:p>
        </w:tc>
        <w:tc>
          <w:tcPr>
            <w:tcW w:w="42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本    年    使    用</w:t>
            </w:r>
          </w:p>
        </w:tc>
        <w:tc>
          <w:tcPr>
            <w:tcW w:w="10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年末结存</w:t>
            </w:r>
          </w:p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数量</w:t>
            </w:r>
          </w:p>
        </w:tc>
        <w:tc>
          <w:tcPr>
            <w:tcW w:w="19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起止号码</w:t>
            </w:r>
          </w:p>
        </w:tc>
        <w:tc>
          <w:tcPr>
            <w:tcW w:w="28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kern w:val="0"/>
                <w:sz w:val="18"/>
                <w:szCs w:val="18"/>
              </w:rPr>
              <w:t>区</w:t>
            </w:r>
            <w:r>
              <w:rPr>
                <w:rFonts w:eastAsia="黑体"/>
                <w:kern w:val="0"/>
                <w:sz w:val="18"/>
                <w:szCs w:val="18"/>
              </w:rPr>
              <w:t>非税</w:t>
            </w:r>
            <w:r>
              <w:rPr>
                <w:rFonts w:hint="eastAsia" w:eastAsia="黑体"/>
                <w:kern w:val="0"/>
                <w:sz w:val="18"/>
                <w:szCs w:val="18"/>
              </w:rPr>
              <w:t>办</w:t>
            </w:r>
            <w:r>
              <w:rPr>
                <w:rFonts w:eastAsia="黑体"/>
                <w:kern w:val="0"/>
                <w:sz w:val="18"/>
                <w:szCs w:val="18"/>
              </w:rPr>
              <w:t>审核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2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8"/>
                <w:szCs w:val="18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数  量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kern w:val="0"/>
                <w:sz w:val="18"/>
                <w:szCs w:val="18"/>
              </w:rPr>
              <w:t>起止号码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eastAsia="黑体"/>
                <w:kern w:val="0"/>
                <w:sz w:val="18"/>
                <w:szCs w:val="18"/>
              </w:rPr>
              <w:t>开票金额</w:t>
            </w:r>
          </w:p>
        </w:tc>
        <w:tc>
          <w:tcPr>
            <w:tcW w:w="10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8"/>
                <w:szCs w:val="18"/>
              </w:rPr>
            </w:pPr>
          </w:p>
        </w:tc>
        <w:tc>
          <w:tcPr>
            <w:tcW w:w="28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6" w:leftChars="-203" w:firstLine="426" w:firstLineChars="237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kern w:val="0"/>
                <w:sz w:val="18"/>
                <w:szCs w:val="18"/>
              </w:rPr>
              <w:t>抽检的票据数量</w:t>
            </w:r>
          </w:p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kern w:val="0"/>
                <w:sz w:val="18"/>
                <w:szCs w:val="18"/>
              </w:rPr>
              <w:t>及号段</w:t>
            </w:r>
          </w:p>
        </w:tc>
        <w:tc>
          <w:tcPr>
            <w:tcW w:w="10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6" w:leftChars="-203" w:firstLine="426" w:firstLineChars="237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-426" w:leftChars="-203" w:firstLine="426" w:firstLineChars="237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left="-426" w:leftChars="-203" w:firstLine="426" w:firstLineChars="237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left="-426" w:leftChars="-203" w:firstLine="426" w:firstLineChars="237"/>
              <w:jc w:val="center"/>
              <w:rPr>
                <w:rFonts w:hint="eastAsia" w:hAnsi="宋体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left="-426" w:leftChars="-203" w:firstLine="426" w:firstLineChars="237"/>
              <w:jc w:val="center"/>
              <w:rPr>
                <w:rFonts w:hint="eastAsia" w:hAnsi="宋体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kern w:val="0"/>
                <w:sz w:val="18"/>
                <w:szCs w:val="18"/>
              </w:rPr>
              <w:t>作废处理的票据数量及号段</w:t>
            </w:r>
          </w:p>
        </w:tc>
        <w:tc>
          <w:tcPr>
            <w:tcW w:w="10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left="-426" w:leftChars="-203" w:firstLine="426" w:firstLineChars="237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left="-426" w:leftChars="-203" w:firstLine="426" w:firstLineChars="237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left="-426" w:leftChars="-203" w:firstLine="426" w:firstLineChars="237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left="-426" w:leftChars="-203" w:firstLine="426" w:firstLineChars="237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3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kern w:val="0"/>
                <w:sz w:val="18"/>
                <w:szCs w:val="18"/>
              </w:rPr>
              <w:t>结转次年的票据数量及号段</w:t>
            </w:r>
          </w:p>
        </w:tc>
        <w:tc>
          <w:tcPr>
            <w:tcW w:w="10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left="-426" w:leftChars="-203" w:firstLine="426" w:firstLineChars="237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left="-426" w:leftChars="-203" w:firstLine="426" w:firstLineChars="237"/>
              <w:jc w:val="center"/>
              <w:rPr>
                <w:rFonts w:hAnsi="宋体"/>
                <w:kern w:val="0"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20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b/>
                <w:bCs/>
                <w:kern w:val="0"/>
                <w:sz w:val="18"/>
                <w:szCs w:val="18"/>
              </w:rPr>
              <w:t>合</w:t>
            </w:r>
            <w:r>
              <w:rPr>
                <w:b/>
                <w:bCs/>
                <w:kern w:val="0"/>
                <w:sz w:val="18"/>
                <w:szCs w:val="18"/>
              </w:rPr>
              <w:t xml:space="preserve">       </w:t>
            </w:r>
            <w:r>
              <w:rPr>
                <w:rFonts w:hAnsi="宋体"/>
                <w:b/>
                <w:bCs/>
                <w:kern w:val="0"/>
                <w:sz w:val="18"/>
                <w:szCs w:val="18"/>
              </w:rPr>
              <w:t>计</w:t>
            </w:r>
          </w:p>
        </w:tc>
        <w:tc>
          <w:tcPr>
            <w:tcW w:w="10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left="-426" w:leftChars="-203" w:firstLine="426" w:firstLineChars="237"/>
              <w:jc w:val="center"/>
              <w:rPr>
                <w:rFonts w:hAnsi="宋体"/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4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Ansi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73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</w:tbl>
    <w:p>
      <w:pPr>
        <w:widowControl/>
        <w:tabs>
          <w:tab w:val="left" w:pos="3453"/>
          <w:tab w:val="left" w:pos="4845"/>
          <w:tab w:val="left" w:pos="6413"/>
          <w:tab w:val="left" w:pos="9330"/>
          <w:tab w:val="left" w:pos="9373"/>
          <w:tab w:val="left" w:pos="10853"/>
          <w:tab w:val="left" w:pos="13813"/>
          <w:tab w:val="left" w:pos="15373"/>
          <w:tab w:val="left" w:pos="16273"/>
        </w:tabs>
        <w:spacing w:line="200" w:lineRule="exact"/>
        <w:jc w:val="left"/>
        <w:rPr>
          <w:kern w:val="0"/>
          <w:sz w:val="18"/>
          <w:szCs w:val="18"/>
        </w:rPr>
      </w:pPr>
      <w:r>
        <w:rPr>
          <w:rFonts w:hAnsi="宋体"/>
          <w:kern w:val="0"/>
          <w:sz w:val="18"/>
          <w:szCs w:val="18"/>
        </w:rPr>
        <w:t>单位负责人：</w:t>
      </w:r>
      <w:r>
        <w:rPr>
          <w:kern w:val="0"/>
          <w:sz w:val="18"/>
          <w:szCs w:val="18"/>
        </w:rPr>
        <w:tab/>
      </w:r>
      <w:r>
        <w:rPr>
          <w:kern w:val="0"/>
          <w:sz w:val="18"/>
          <w:szCs w:val="18"/>
        </w:rPr>
        <w:tab/>
      </w:r>
      <w:r>
        <w:rPr>
          <w:rFonts w:hAnsi="宋体"/>
          <w:kern w:val="0"/>
          <w:sz w:val="20"/>
          <w:szCs w:val="20"/>
        </w:rPr>
        <w:t>送检人：</w:t>
      </w:r>
      <w:r>
        <w:rPr>
          <w:kern w:val="0"/>
          <w:sz w:val="20"/>
          <w:szCs w:val="20"/>
        </w:rPr>
        <w:t xml:space="preserve">  </w:t>
      </w:r>
      <w:r>
        <w:rPr>
          <w:kern w:val="0"/>
          <w:sz w:val="18"/>
          <w:szCs w:val="18"/>
        </w:rPr>
        <w:tab/>
      </w:r>
      <w:r>
        <w:rPr>
          <w:kern w:val="0"/>
          <w:sz w:val="18"/>
          <w:szCs w:val="18"/>
        </w:rPr>
        <w:tab/>
      </w:r>
      <w:r>
        <w:rPr>
          <w:rFonts w:hAnsi="宋体"/>
          <w:kern w:val="0"/>
          <w:sz w:val="18"/>
          <w:szCs w:val="18"/>
        </w:rPr>
        <w:t>票据专管员：</w:t>
      </w:r>
      <w:r>
        <w:rPr>
          <w:kern w:val="0"/>
          <w:sz w:val="18"/>
          <w:szCs w:val="18"/>
        </w:rPr>
        <w:tab/>
      </w:r>
      <w:r>
        <w:rPr>
          <w:kern w:val="0"/>
          <w:sz w:val="18"/>
          <w:szCs w:val="18"/>
        </w:rPr>
        <w:tab/>
      </w:r>
      <w:r>
        <w:rPr>
          <w:kern w:val="0"/>
          <w:sz w:val="18"/>
          <w:szCs w:val="18"/>
        </w:rPr>
        <w:tab/>
      </w:r>
    </w:p>
    <w:p>
      <w:pPr>
        <w:widowControl/>
        <w:tabs>
          <w:tab w:val="left" w:pos="3453"/>
          <w:tab w:val="left" w:pos="4933"/>
          <w:tab w:val="left" w:pos="6413"/>
          <w:tab w:val="left" w:pos="7893"/>
          <w:tab w:val="left" w:pos="9373"/>
          <w:tab w:val="left" w:pos="10853"/>
          <w:tab w:val="left" w:pos="12333"/>
          <w:tab w:val="left" w:pos="13813"/>
          <w:tab w:val="left" w:pos="15373"/>
          <w:tab w:val="left" w:pos="16273"/>
        </w:tabs>
        <w:spacing w:line="200" w:lineRule="exact"/>
        <w:ind w:left="93"/>
        <w:jc w:val="left"/>
        <w:rPr>
          <w:kern w:val="0"/>
          <w:sz w:val="18"/>
          <w:szCs w:val="18"/>
        </w:rPr>
      </w:pPr>
      <w:r>
        <w:rPr>
          <w:kern w:val="0"/>
          <w:sz w:val="18"/>
          <w:szCs w:val="18"/>
        </w:rPr>
        <w:tab/>
      </w:r>
      <w:r>
        <w:rPr>
          <w:kern w:val="0"/>
          <w:sz w:val="18"/>
          <w:szCs w:val="18"/>
        </w:rPr>
        <w:tab/>
      </w:r>
      <w:r>
        <w:rPr>
          <w:kern w:val="0"/>
          <w:sz w:val="18"/>
          <w:szCs w:val="18"/>
        </w:rPr>
        <w:tab/>
      </w:r>
      <w:r>
        <w:rPr>
          <w:kern w:val="0"/>
          <w:sz w:val="18"/>
          <w:szCs w:val="18"/>
        </w:rPr>
        <w:tab/>
      </w:r>
      <w:r>
        <w:rPr>
          <w:kern w:val="0"/>
          <w:sz w:val="18"/>
          <w:szCs w:val="18"/>
        </w:rPr>
        <w:tab/>
      </w:r>
      <w:r>
        <w:rPr>
          <w:kern w:val="0"/>
          <w:sz w:val="18"/>
          <w:szCs w:val="18"/>
        </w:rPr>
        <w:tab/>
      </w:r>
      <w:r>
        <w:rPr>
          <w:kern w:val="0"/>
          <w:sz w:val="18"/>
          <w:szCs w:val="18"/>
        </w:rPr>
        <w:tab/>
      </w:r>
      <w:r>
        <w:rPr>
          <w:kern w:val="0"/>
          <w:sz w:val="18"/>
          <w:szCs w:val="18"/>
        </w:rPr>
        <w:tab/>
      </w:r>
      <w:r>
        <w:rPr>
          <w:kern w:val="0"/>
          <w:sz w:val="18"/>
          <w:szCs w:val="18"/>
        </w:rPr>
        <w:tab/>
      </w:r>
      <w:r>
        <w:rPr>
          <w:kern w:val="0"/>
          <w:sz w:val="18"/>
          <w:szCs w:val="18"/>
        </w:rPr>
        <w:tab/>
      </w:r>
    </w:p>
    <w:p>
      <w:pPr>
        <w:widowControl/>
        <w:spacing w:line="200" w:lineRule="exact"/>
        <w:ind w:left="961" w:leftChars="29" w:hanging="900" w:hangingChars="500"/>
        <w:jc w:val="left"/>
        <w:rPr>
          <w:rFonts w:hAnsi="宋体"/>
          <w:kern w:val="0"/>
          <w:sz w:val="18"/>
          <w:szCs w:val="18"/>
        </w:rPr>
      </w:pPr>
      <w:r>
        <w:rPr>
          <w:rFonts w:hAnsi="宋体"/>
          <w:kern w:val="0"/>
          <w:sz w:val="18"/>
          <w:szCs w:val="18"/>
        </w:rPr>
        <w:t>说明：</w:t>
      </w:r>
      <w:r>
        <w:rPr>
          <w:rFonts w:hint="eastAsia"/>
          <w:kern w:val="0"/>
          <w:sz w:val="18"/>
          <w:szCs w:val="18"/>
        </w:rPr>
        <w:t xml:space="preserve"> 1</w:t>
      </w:r>
      <w:r>
        <w:rPr>
          <w:rFonts w:hAnsi="宋体"/>
          <w:kern w:val="0"/>
          <w:sz w:val="18"/>
          <w:szCs w:val="18"/>
        </w:rPr>
        <w:t>、本表平衡关系：上年结存数量</w:t>
      </w:r>
      <w:r>
        <w:rPr>
          <w:kern w:val="0"/>
          <w:sz w:val="18"/>
          <w:szCs w:val="18"/>
        </w:rPr>
        <w:t>+</w:t>
      </w:r>
      <w:r>
        <w:rPr>
          <w:rFonts w:hAnsi="宋体"/>
          <w:kern w:val="0"/>
          <w:sz w:val="18"/>
          <w:szCs w:val="18"/>
        </w:rPr>
        <w:t>本年购领数量</w:t>
      </w:r>
      <w:r>
        <w:rPr>
          <w:kern w:val="0"/>
          <w:sz w:val="18"/>
          <w:szCs w:val="18"/>
        </w:rPr>
        <w:t>=</w:t>
      </w:r>
      <w:r>
        <w:rPr>
          <w:rFonts w:hAnsi="宋体"/>
          <w:kern w:val="0"/>
          <w:sz w:val="18"/>
          <w:szCs w:val="18"/>
        </w:rPr>
        <w:t>本年使用数量</w:t>
      </w:r>
      <w:r>
        <w:rPr>
          <w:kern w:val="0"/>
          <w:sz w:val="18"/>
          <w:szCs w:val="18"/>
        </w:rPr>
        <w:t>+</w:t>
      </w:r>
      <w:r>
        <w:rPr>
          <w:rFonts w:hAnsi="宋体"/>
          <w:kern w:val="0"/>
          <w:sz w:val="18"/>
          <w:szCs w:val="18"/>
        </w:rPr>
        <w:t>年末结存数量；</w:t>
      </w:r>
      <w:r>
        <w:rPr>
          <w:rFonts w:hint="eastAsia"/>
          <w:kern w:val="0"/>
          <w:sz w:val="18"/>
          <w:szCs w:val="18"/>
        </w:rPr>
        <w:t>2</w:t>
      </w:r>
      <w:r>
        <w:rPr>
          <w:rFonts w:hAnsi="宋体"/>
          <w:kern w:val="0"/>
          <w:sz w:val="18"/>
          <w:szCs w:val="18"/>
        </w:rPr>
        <w:t>、本表中票据起止号码按连续段号填写</w:t>
      </w:r>
      <w:r>
        <w:rPr>
          <w:rFonts w:hint="eastAsia" w:hAnsi="宋体"/>
          <w:kern w:val="0"/>
          <w:sz w:val="18"/>
          <w:szCs w:val="18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02744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RT</cp:lastModifiedBy>
  <dcterms:modified xsi:type="dcterms:W3CDTF">2018-01-25T07:51:16Z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