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黑体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2</w:t>
      </w:r>
    </w:p>
    <w:p>
      <w:pPr>
        <w:spacing w:before="156" w:beforeLines="50"/>
        <w:jc w:val="center"/>
        <w:rPr>
          <w:rFonts w:ascii="Times New Roman" w:hAnsi="Times New Roman" w:eastAsia="方正小标宋简体"/>
          <w:kern w:val="0"/>
          <w:sz w:val="42"/>
          <w:szCs w:val="42"/>
        </w:rPr>
      </w:pPr>
      <w:r>
        <w:rPr>
          <w:rFonts w:ascii="Times New Roman" w:hAnsi="Times New Roman" w:eastAsia="方正小标宋简体"/>
          <w:kern w:val="0"/>
          <w:sz w:val="42"/>
          <w:szCs w:val="42"/>
        </w:rPr>
        <w:t>部门（单位）整体支出预算绩效目标申报表</w:t>
      </w:r>
    </w:p>
    <w:p>
      <w:pPr>
        <w:jc w:val="center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（202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</w:rPr>
        <w:t>1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年度）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kern w:val="0"/>
          <w:sz w:val="24"/>
          <w:szCs w:val="24"/>
        </w:rPr>
        <w:t>填报单位（盖章）：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岳阳楼区禁违拆违治违督查办公室</w:t>
      </w:r>
      <w:r>
        <w:rPr>
          <w:rFonts w:ascii="Times New Roman" w:hAnsi="Times New Roman" w:eastAsia="仿宋_GB2312"/>
          <w:kern w:val="0"/>
          <w:sz w:val="24"/>
          <w:szCs w:val="24"/>
        </w:rPr>
        <w:t xml:space="preserve">       单位负责人：</w:t>
      </w:r>
    </w:p>
    <w:tbl>
      <w:tblPr>
        <w:tblStyle w:val="2"/>
        <w:tblW w:w="979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396"/>
        <w:gridCol w:w="1760"/>
        <w:gridCol w:w="1495"/>
        <w:gridCol w:w="265"/>
        <w:gridCol w:w="1640"/>
        <w:gridCol w:w="620"/>
        <w:gridCol w:w="11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部门基本信息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预算单位</w:t>
            </w:r>
          </w:p>
        </w:tc>
        <w:tc>
          <w:tcPr>
            <w:tcW w:w="69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岳阳市岳阳楼区禁违拆违治违督查办公室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绩效管理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3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胡浩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15200229396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人员编制数</w:t>
            </w:r>
          </w:p>
        </w:tc>
        <w:tc>
          <w:tcPr>
            <w:tcW w:w="3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实有人数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部门职能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职责概述</w:t>
            </w:r>
          </w:p>
        </w:tc>
        <w:tc>
          <w:tcPr>
            <w:tcW w:w="69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负责全区禁违拆违治违工作的业务指导、业务培训、日常督查、考核督办、综合考评、交流调研；负责对督查发现的违法建设进行交办、督办；负责协调区域内的大型禁违拆违治违执法行动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30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单位年度收入预算（万元）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收入合计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公共财政拨款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政府性基金拨款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非税收入拨款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其他拨款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1359.99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1359.99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30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单位年度支出预算（万元）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支出合计</w:t>
            </w:r>
          </w:p>
        </w:tc>
        <w:tc>
          <w:tcPr>
            <w:tcW w:w="3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项目支出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1359.99</w:t>
            </w:r>
          </w:p>
        </w:tc>
        <w:tc>
          <w:tcPr>
            <w:tcW w:w="352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559.99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800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其中</w:t>
            </w:r>
          </w:p>
        </w:tc>
        <w:tc>
          <w:tcPr>
            <w:tcW w:w="69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三公经费预算（万元）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3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公务用车运行和购置费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因公出国（境）费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公务接待费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484" w:type="dxa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年度绩效目标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部门整体支出</w:t>
            </w:r>
          </w:p>
        </w:tc>
        <w:tc>
          <w:tcPr>
            <w:tcW w:w="8308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本部门（单位）年度主要工作任务实现的目标：</w:t>
            </w:r>
          </w:p>
          <w:p>
            <w:pPr>
              <w:widowControl/>
              <w:spacing w:line="240" w:lineRule="auto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目标1：加大日夜巡查力度，提高违法建设发现率，确保违法建设在第一时间发现、第一时间处置。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目标2：加大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集中整治行动及老旧小区改造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处置力度，有计划地组织违法建设拆除行动，实现市委、市政府，区委、区政府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集中整治行动及老旧小区改造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的工作目标。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84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年度绩效指标部门整体支出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产出指标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（预期提供的公共产品或服务，包括数量、质量、时效、成本等）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集中整治行动及老旧小区改造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 xml:space="preserve">，拆后综合提质  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个以上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0处以上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集中整治行动及老旧小区改造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验收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，打造样板片区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通过市验收3个以上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3339"/>
              </w:tabs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完成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集中整治行动及老旧小区改造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任务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，存量拆除速度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按进度完成按计划落实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集中整治行动及老旧小区改造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成本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提质改造成本  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成本降低</w: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成本可控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效益指标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（预期可能实现的效益，包括经济效益、社会效益、环境效益、可持续影响以及服务对象满意度等）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集中整治行动及老旧小区改造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效益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提质改造效应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降低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集中整治行动及老旧小区改造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成本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营造良好发展环境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集中整治行动及老旧小区改造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效益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，提质改造效益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推动片区城市发展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，改善人居环境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集中整治行动及老旧小区改造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效益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，提质改造效益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改善通行、生活环境提升绿化率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可持续影响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片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集中整治行动及老旧小区改造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效益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，提质改造效益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提升持续发展空间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，优化环境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群众满意度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争取群众满意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84" w:type="dxa"/>
            <w:noWrap w:val="0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问题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其他说明的</w:t>
            </w:r>
          </w:p>
        </w:tc>
        <w:tc>
          <w:tcPr>
            <w:tcW w:w="830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484" w:type="dxa"/>
            <w:noWrap w:val="0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审核意见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财政部门</w:t>
            </w:r>
          </w:p>
        </w:tc>
        <w:tc>
          <w:tcPr>
            <w:tcW w:w="8308" w:type="dxa"/>
            <w:gridSpan w:val="7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（盖章）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年     月     日  </w:t>
            </w:r>
          </w:p>
        </w:tc>
      </w:tr>
    </w:tbl>
    <w:p/>
    <w:p>
      <w:pPr>
        <w:widowControl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黑体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3</w:t>
      </w:r>
    </w:p>
    <w:p>
      <w:pPr>
        <w:widowControl/>
        <w:spacing w:before="156" w:beforeLines="50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40"/>
          <w:szCs w:val="40"/>
        </w:rPr>
        <w:t>项目支出预算绩效目标申报表</w:t>
      </w:r>
    </w:p>
    <w:p>
      <w:pPr>
        <w:widowControl/>
        <w:jc w:val="center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（202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</w:rPr>
        <w:t>1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 xml:space="preserve"> 年度）</w:t>
      </w:r>
    </w:p>
    <w:p>
      <w:pPr>
        <w:widowControl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24"/>
          <w:szCs w:val="24"/>
        </w:rPr>
        <w:t>填报单位（盖章）：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岳阳楼区禁违拆违治违督查办公室</w:t>
      </w:r>
      <w: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仿宋_GB2312"/>
          <w:kern w:val="0"/>
          <w:sz w:val="24"/>
          <w:szCs w:val="24"/>
        </w:rPr>
        <w:t>单位负责人：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20"/>
        <w:gridCol w:w="725"/>
        <w:gridCol w:w="920"/>
        <w:gridCol w:w="600"/>
        <w:gridCol w:w="460"/>
        <w:gridCol w:w="848"/>
        <w:gridCol w:w="800"/>
        <w:gridCol w:w="700"/>
        <w:gridCol w:w="800"/>
        <w:gridCol w:w="64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禁违拆违整治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项目属性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新增项目□                       延续项目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区禁违办</w:t>
            </w: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项目起止时间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年1月-20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年12月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马兴新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联系电话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13507300561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绩效管理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胡浩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联系电话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15200229396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1.基本建设类 □    其中：新建  □    扩建  □    改建  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2.行政事业类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☑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      其中: 采购类□    修缮类□    奖励类□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3.其他专项类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项目概况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用于乡、街道办事处开展本辖区禁违拆违治违工作，主要包括禁违宣传，购置巡查、拆违工具、设备，组织拆违行动。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项目立项依据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tabs>
                <w:tab w:val="left" w:pos="3014"/>
              </w:tabs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岳楼发〔2011〕1号、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岳楼办发〔2011〕43 号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项目资金情况</w:t>
            </w:r>
          </w:p>
        </w:tc>
        <w:tc>
          <w:tcPr>
            <w:tcW w:w="13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项目资金申请（万元）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 目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上年度安排资金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本年度申请资金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 计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800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区级资金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市级资金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省级资金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中央资金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自有资金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支出明细预算（万元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 目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上年度安排资金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本年度申请资金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测算依据及说明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 计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……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单位已有的（或拟订的）保障项目实施的制度、措施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区禁违办专项资金管理和支付制度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项目年度实施进度计划</w:t>
            </w:r>
          </w:p>
        </w:tc>
        <w:tc>
          <w:tcPr>
            <w:tcW w:w="355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项目实施内容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1、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2、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……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项目年度绩效目标情况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长期绩效目标</w:t>
            </w:r>
          </w:p>
        </w:tc>
        <w:tc>
          <w:tcPr>
            <w:tcW w:w="8403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通过加大巡查和拆违力度，实现新增违法建设零增长，存量违法建设负增长工作目标。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本年度绩效目标</w:t>
            </w:r>
          </w:p>
        </w:tc>
        <w:tc>
          <w:tcPr>
            <w:tcW w:w="8403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组织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110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次以上拆违行动，将所有新增违法建设彻底拆除；组织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次以上大型拆违行动，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次以上中型拆违行，拆除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万平方米以上的存量违法建设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项目年度绩效指标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产出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指标</w:t>
            </w: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拆除新增违建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，拆除存量违法建设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200处以上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，100处以上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新增拆除效果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，存量拆除效果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拆除彻底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，顺利高效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新增拆除速度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，存量拆除速度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拆除在萌芽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，按计划落实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新增拆除成本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，存量拆除成本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成本降低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，成本可控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……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2.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产出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指标</w:t>
            </w: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2.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新增拆除效益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，存量拆除效益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遏制抢搭抢建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，降低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集中整治行动及老旧小区改造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2.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可持续影响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2.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群众满意度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争取群众满意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其他说明的问题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财政部门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678" w:type="dxa"/>
            <w:gridSpan w:val="9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      （盖章）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       年    月    日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A3804"/>
    <w:rsid w:val="0A6820CB"/>
    <w:rsid w:val="46AA3804"/>
    <w:rsid w:val="525A0E1E"/>
    <w:rsid w:val="5B0E1845"/>
    <w:rsid w:val="68A46C7C"/>
    <w:rsid w:val="6CC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2021-03-01T04:01:00Z</dcterms:created>
  <dc:creator>Administrator</dc:creator>
  <cp:lastModifiedBy>Administrator</cp:lastModifiedBy>
  <dcterms:modified xsi:type="dcterms:W3CDTF">2021-05-24T08:45:31Z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373585FF3D4343FE82EA4C11B3EF9F55</vt:lpwstr>
  </property>
</Properties>
</file>