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聚焦三高林业建设   推动绿色满山川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880" w:firstLineChars="20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4"/>
        <w:spacing w:line="640" w:lineRule="exact"/>
        <w:ind w:firstLine="640" w:firstLineChars="200"/>
        <w:jc w:val="center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——岳阳市林业局先进事迹材料</w:t>
      </w:r>
    </w:p>
    <w:p>
      <w:pPr>
        <w:pStyle w:val="4"/>
        <w:spacing w:line="640" w:lineRule="exact"/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（2022年8月）</w:t>
      </w:r>
    </w:p>
    <w:p>
      <w:pPr>
        <w:pStyle w:val="4"/>
        <w:spacing w:line="640" w:lineRule="exact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岳阳</w:t>
      </w:r>
      <w:r>
        <w:rPr>
          <w:rFonts w:ascii="仿宋_GB2312" w:eastAsia="仿宋_GB2312"/>
          <w:sz w:val="32"/>
          <w:szCs w:val="32"/>
        </w:rPr>
        <w:t>北枕长江，南纳三湘四水，怀抱洞庭，</w:t>
      </w:r>
      <w:r>
        <w:rPr>
          <w:rFonts w:hint="eastAsia" w:ascii="仿宋_GB2312" w:eastAsia="仿宋_GB2312"/>
          <w:sz w:val="32"/>
          <w:szCs w:val="32"/>
          <w:lang w:eastAsia="zh-CN"/>
        </w:rPr>
        <w:t>得</w:t>
      </w:r>
      <w:r>
        <w:rPr>
          <w:rFonts w:ascii="仿宋_GB2312" w:eastAsia="仿宋_GB2312"/>
          <w:sz w:val="32"/>
          <w:szCs w:val="32"/>
        </w:rPr>
        <w:t>江湖</w:t>
      </w:r>
      <w:r>
        <w:rPr>
          <w:rFonts w:hint="eastAsia" w:ascii="仿宋_GB2312" w:eastAsia="仿宋_GB2312"/>
          <w:sz w:val="32"/>
          <w:szCs w:val="32"/>
          <w:lang w:eastAsia="zh-CN"/>
        </w:rPr>
        <w:t>之胜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拥山川之美，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lang w:eastAsia="zh-CN"/>
        </w:rPr>
        <w:t>湖南</w:t>
      </w:r>
      <w:r>
        <w:rPr>
          <w:rFonts w:hint="eastAsia" w:ascii="仿宋_GB2312" w:eastAsia="仿宋_GB2312"/>
          <w:sz w:val="32"/>
          <w:szCs w:val="32"/>
        </w:rPr>
        <w:t>自然保护地大市和湿地大市。现有林地面积933.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万亩，森林覆盖率45.3%，活立木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蓄积量2547万立方米;湿地面积367万亩，占全省湿地面积的24%，新核准的湿地保护率71.86%</w:t>
      </w:r>
      <w:r>
        <w:rPr>
          <w:rFonts w:hint="eastAsia" w:ascii="仿宋_GB2312" w:eastAsia="仿宋_GB2312"/>
          <w:sz w:val="36"/>
          <w:szCs w:val="36"/>
        </w:rPr>
        <w:t>。</w:t>
      </w:r>
      <w:r>
        <w:rPr>
          <w:rFonts w:hint="eastAsia" w:ascii="仿宋_GB2312" w:eastAsia="仿宋_GB2312"/>
          <w:sz w:val="32"/>
          <w:szCs w:val="32"/>
        </w:rPr>
        <w:t>有国有林场15个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自然保护区、风景名胜区等自然保护地41个，其中国家级14个。东洞庭湖是</w:t>
      </w:r>
      <w:r>
        <w:rPr>
          <w:rFonts w:hint="eastAsia" w:ascii="仿宋_GB2312" w:eastAsia="仿宋_GB2312"/>
          <w:sz w:val="32"/>
          <w:szCs w:val="32"/>
        </w:rPr>
        <w:t>国家级湿地类型自然保护区，是我国首批加入国际湿地保护公约的湿地之一，总面积15.76万公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顷，被誉为“候鸟天堂”“长江中游的明珠”。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近年来，岳阳市林业局认真贯彻落实习近平生态文明思想，以高效能林业建设</w:t>
      </w:r>
      <w:r>
        <w:rPr>
          <w:rFonts w:hint="eastAsia" w:ascii="仿宋_GB2312" w:eastAsia="仿宋_GB2312"/>
          <w:sz w:val="32"/>
          <w:szCs w:val="32"/>
          <w:lang w:eastAsia="zh-CN"/>
        </w:rPr>
        <w:t>聚焦</w:t>
      </w:r>
      <w:r>
        <w:rPr>
          <w:rFonts w:hint="eastAsia" w:ascii="仿宋_GB2312" w:eastAsia="仿宋_GB2312"/>
          <w:sz w:val="32"/>
          <w:szCs w:val="32"/>
        </w:rPr>
        <w:t>“高颜值、高气质、高市值”林业建设，生态建设更加有力、生态品质不断彰显、生态惠民日益显现。2018年</w:t>
      </w:r>
      <w:r>
        <w:rPr>
          <w:rFonts w:hint="eastAsia" w:ascii="仿宋_GB2312" w:eastAsia="仿宋_GB2312"/>
          <w:sz w:val="32"/>
          <w:szCs w:val="32"/>
          <w:lang w:eastAsia="zh-CN"/>
        </w:rPr>
        <w:t>岳阳东洞庭湖国家级自然保护区林阁老巡护监测点作为</w:t>
      </w:r>
      <w:r>
        <w:rPr>
          <w:rFonts w:hint="eastAsia" w:ascii="仿宋_GB2312" w:eastAsia="仿宋_GB2312"/>
          <w:sz w:val="32"/>
          <w:szCs w:val="32"/>
        </w:rPr>
        <w:t>习近平总书记</w:t>
      </w:r>
      <w:r>
        <w:rPr>
          <w:rFonts w:hint="eastAsia" w:ascii="仿宋_GB2312" w:eastAsia="仿宋_GB2312"/>
          <w:sz w:val="32"/>
          <w:szCs w:val="32"/>
          <w:lang w:eastAsia="zh-CN"/>
        </w:rPr>
        <w:t>考察长江经济带的流动现场点，接受习近平总书记考察检阅。</w:t>
      </w:r>
      <w:r>
        <w:rPr>
          <w:rFonts w:hint="eastAsia" w:ascii="仿宋_GB2312" w:eastAsia="仿宋_GB2312"/>
          <w:sz w:val="32"/>
          <w:szCs w:val="32"/>
        </w:rPr>
        <w:t>2017-2021年岳阳林业</w:t>
      </w:r>
      <w:r>
        <w:rPr>
          <w:rFonts w:hint="eastAsia" w:ascii="仿宋_GB2312" w:eastAsia="仿宋_GB2312"/>
          <w:sz w:val="32"/>
          <w:szCs w:val="32"/>
          <w:lang w:eastAsia="zh-CN"/>
        </w:rPr>
        <w:t>连续五年</w:t>
      </w:r>
      <w:r>
        <w:rPr>
          <w:rFonts w:hint="eastAsia" w:ascii="仿宋_GB2312" w:eastAsia="仿宋_GB2312"/>
          <w:sz w:val="32"/>
          <w:szCs w:val="32"/>
        </w:rPr>
        <w:t>获评湖南省林业建设目标管理考核优胜单位，2022年</w:t>
      </w:r>
      <w:r>
        <w:rPr>
          <w:rFonts w:hint="eastAsia" w:ascii="仿宋_GB2312" w:eastAsia="仿宋_GB2312"/>
          <w:sz w:val="32"/>
          <w:szCs w:val="32"/>
          <w:lang w:eastAsia="zh-CN"/>
        </w:rPr>
        <w:t>岳阳</w:t>
      </w:r>
      <w:r>
        <w:rPr>
          <w:rFonts w:hint="eastAsia" w:ascii="仿宋_GB2312" w:eastAsia="仿宋_GB2312"/>
          <w:sz w:val="32"/>
          <w:szCs w:val="32"/>
        </w:rPr>
        <w:t>林长制考核排名全省第一。岳阳林业高质量发展态势加速形成。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0"/>
          <w:sz w:val="32"/>
          <w:szCs w:val="32"/>
        </w:rPr>
        <w:t>1.抓实生态修复，展现林业“高颜值”。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大力实施林业重点工程，重点推进绿色通道和秀美村庄建设三年行动、城乡绿化三年行动（2017-2019），年均造林20万亩左右。推进生态廊道建设，境内高速公路、高速铁路和国省道绿色通道建设达标率达95%。全面推进长江岸线复绿和洞庭湖湿地生态系统修复工程，完成岸线绿化1.94万亩，码头岸线复绿率达100%，初步建成兼具生态功能和景观效应的“绿色长廊”。修复洞庭湖湿地生态3.1万亩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华容县东湖、汨罗市汨罗江和湘阴县洋沙湖—东湖入选第二批省级重要湿地名录。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大力开展全民义务植树，共建义务植树基地48个，办绿化示范点560个，年均完成义务植树1100余万株，义务植树尽责率达到90%以上。平江县芦头林场芦头村等34个乡村入选首批“国家森林乡村”。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>临湘市梅池村、汨罗市神鼎村、西长村入选“全国生态文化村”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。全市1410个村参加秀美村庄创建，建成省级美丽乡村53个，秀美村庄创建覆盖面达83%。群防群治森林自然灾害，森林火灾受害率年均为0.087‰，连续多年远低于0.9‰的省控指标，实现了人员“零伤亡”，成效在位居全省前列，国务院安委会充分肯定岳阳森林防灭火工作；林业有害生物成灾率年均为2.86‰，低于4‰省控指标，并均呈下降趋势。</w:t>
      </w:r>
    </w:p>
    <w:p>
      <w:pPr>
        <w:spacing w:line="576" w:lineRule="exact"/>
        <w:ind w:firstLine="668" w:firstLineChars="20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0"/>
          <w:sz w:val="32"/>
          <w:szCs w:val="32"/>
        </w:rPr>
        <w:t>2.抓严生态保护，展现林业“高气质”。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推深做实林长制，构建全域覆盖的林长责任体系和网格化“一长三员”管护体系，在全省率先成立林长办行政机构，重塑林业行政执法体系；创新设立9大生态功能区,创新打造“一长多员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管护队伍，创新推进“林地+湿地”管理模式，形成了全面推行林长制的“岳阳模式”，在全省林业工作大会上推介经验。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出台《岳阳市城市规划区山体水体保护条例》，乱砍滥伐、乱占滥用、乱捕滥猎、乱采滥挖等生态破坏行为逐年下降，森林资源和野生动植物资源在严格保护中得到合理利用。出台《岳阳东洞庭湖国家级自然保护区条例》，成功举办了10届、11届洞庭湖观鸟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进生物多样性资源外业调查，加强麋鹿等旗舰物种保护，打造了屈原东古湖小天鹅“芈月”小明星，认证了省内首次发现的国家一级保护动物白肩雕，发现了“鸟中大熊猫”黑鹳的最大种群，东洞庭湖越冬水鸟达22.5万只，占洞庭湖候鸟栖息数量的一半以上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江豚、麋鹿稳定栖息分别达到110头和220头。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焦点访谈以《人鸟共生 蝶变洞庭》为题，系统报道了岳阳湿地保护修复成效。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岳阳被誉为“中国观鸟之都”和“最值得驻华大使馆向世界推荐的中国生态城市”。东洞庭湖自然保护区被世界自然保护联盟（IUCN）评为全球首批绿色保护地。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时刻将“守护好一江碧水”记在心上，扛在肩上，落实在行动上，东洞庭湖自然保护区林阁老监测点（华龙码头）成为宣讲和践行习近平生态文明思想的重要基地，成为展示岳阳乃至全省湿地保护成效的重要窗口，成为广大游客网红打卡地和向往之地，年接待中央、省部级领导视察12批次，游客近100万人次。助力“守护好一江碧水”首倡地展陈馆建设，岳阳以《牢记殷殷嘱托  建设大美洞庭》为主题在全省林业规财会上做典型发言，“听候鸟欢歌，看江豚微笑，留麋鹿倩影，游华龙码头”成为岳阳“守护好一江碧水”响当当的生态名片。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0"/>
          <w:sz w:val="32"/>
          <w:szCs w:val="32"/>
        </w:rPr>
        <w:t>3.抓活生态产业，展现林业“高市值”。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生态价值实现机制，强化林业科技支撑，加速发展油茶、竹木、生态旅游和森林康养、林下经济、花木等林业五大产业。推进油茶低改，油茶面积达到96万亩、产量9300余吨，产值18.8亿元。编制完善竹木百亿产业规划，加快楠竹综合产业园发展，竹木产值达到181.4亿元。全市新增3个省级秀美林场、3处省级森林康养基地，平江幕阜森林康养基地成功摘牌，成为国内第一家通过认证的国家级森林康养基地，森林旅游与康养收入达到42.7亿元。构建“公司+合作社+基地+农户”林下经济经营格局，省级以上示范基地达35个，面积达到138万亩，总产值33.4亿元。积极参加2021年湖南省花木博览会，获优秀组织奖，花木产值达5亿元。</w:t>
      </w:r>
    </w:p>
    <w:p>
      <w:pPr>
        <w:spacing w:line="576" w:lineRule="exact"/>
        <w:ind w:firstLine="668" w:firstLineChars="20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4.抓好党的建设，展现林业“高效能”</w:t>
      </w:r>
      <w:r>
        <w:rPr>
          <w:rFonts w:hint="eastAsia" w:ascii="楷体" w:hAnsi="楷体" w:eastAsia="楷体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突出政治建设为统领，全面加强党的领导，守住“红色”初心，担当“绿色”使命。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扎实推进党史学习教育，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把践行习近平生态文明思想、习近平总书记视察湖南讲话、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十九届六中全会精神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作为党组的第一议题，开展“专题研学”“红色基地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实地教</w:t>
      </w:r>
      <w:r>
        <w:rPr>
          <w:rFonts w:hint="eastAsia" w:ascii="仿宋_GB2312" w:hAnsi="仿宋_GB2312" w:eastAsia="仿宋_GB2312" w:cs="仿宋_GB2312"/>
          <w:sz w:val="32"/>
          <w:szCs w:val="32"/>
        </w:rPr>
        <w:t>学”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“传承红色基因 凝聚奋进力量”演讲等活动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。高度重视意识形态工作,拓展宣传维度，全年在省级以上媒体发表报道200余篇，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市“两会”召开前夕岳阳日报头版刊登的《美丽岳阳背后的林业力量》，网络点击量达10万以上。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深入开展“提振信心、提高能力、提升作为，为发展献策、为大局服务、为林业添彩”为主题的“三提三为”活动，推进市局机关提质改造，机关面貌焕然一新，工会、老干工作有序推进，干部职</w:t>
      </w:r>
      <w:r>
        <w:rPr>
          <w:rFonts w:hint="eastAsia" w:ascii="仿宋_GB2312" w:hAnsi="仿宋_GB2312" w:eastAsia="仿宋_GB2312" w:cs="仿宋_GB2312"/>
          <w:sz w:val="32"/>
          <w:szCs w:val="32"/>
        </w:rPr>
        <w:t>工干事创业、争先创优的精气神大幅提振。推进放管服改革，办理行政许可42项。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落实“一岗双责”,推进“红色护绿、碧水净心、清风惠民”清廉林业建设。驰</w:t>
      </w:r>
      <w:r>
        <w:rPr>
          <w:rFonts w:hint="eastAsia" w:ascii="仿宋_GB2312" w:hAnsi="仿宋_GB2312" w:eastAsia="仿宋_GB2312" w:cs="仿宋_GB2312"/>
          <w:sz w:val="32"/>
          <w:szCs w:val="32"/>
        </w:rPr>
        <w:t>而不息纠“四风”,</w:t>
      </w:r>
      <w:r>
        <w:rPr>
          <w:rFonts w:ascii="仿宋_GB2312" w:hAnsi="仿宋_GB2312" w:eastAsia="仿宋_GB2312" w:cs="仿宋_GB2312"/>
          <w:sz w:val="32"/>
          <w:szCs w:val="32"/>
        </w:rPr>
        <w:t>深入开展惠民惠农涉林财政补贴资金“一卡通”专项检查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定期开展工作纪律督查，林业系统风清气正，党风政风持续向好。</w:t>
      </w:r>
    </w:p>
    <w:p>
      <w:pPr>
        <w:spacing w:line="576" w:lineRule="exact"/>
        <w:ind w:firstLine="668" w:firstLineChars="209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下一步，岳阳将以林长制为抓手，以</w:t>
      </w:r>
      <w:r>
        <w:rPr>
          <w:rFonts w:hint="eastAsia" w:ascii="仿宋_GB2312" w:eastAsia="仿宋_GB2312"/>
          <w:sz w:val="32"/>
          <w:szCs w:val="32"/>
        </w:rPr>
        <w:t>习近平生态文明思想</w:t>
      </w:r>
      <w:r>
        <w:rPr>
          <w:rFonts w:hint="eastAsia" w:ascii="仿宋_GB2312" w:eastAsia="仿宋_GB2312"/>
          <w:sz w:val="32"/>
          <w:szCs w:val="32"/>
          <w:lang w:eastAsia="zh-CN"/>
        </w:rPr>
        <w:t>为引领，全力推进林草资源保护管理，着力打通绿水青山和金山银山的双向转换通道，为林草事业高质量发展做出岳阳应有的贡献！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2"/>
    <w:rsid w:val="006A5FC2"/>
    <w:rsid w:val="00A929B3"/>
    <w:rsid w:val="00B77F78"/>
    <w:rsid w:val="00C3327A"/>
    <w:rsid w:val="4F760419"/>
    <w:rsid w:val="ADF5060F"/>
    <w:rsid w:val="B99B4D40"/>
    <w:rsid w:val="FE7BA2C6"/>
    <w:rsid w:val="FFF69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4</Pages>
  <Words>328</Words>
  <Characters>1875</Characters>
  <Lines>15</Lines>
  <Paragraphs>4</Paragraphs>
  <TotalTime>5</TotalTime>
  <ScaleCrop>false</ScaleCrop>
  <LinksUpToDate>false</LinksUpToDate>
  <CharactersWithSpaces>2199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2022-08-09T08:12:00Z</dcterms:created>
  <dc:creator>xb21cn</dc:creator>
  <cp:lastModifiedBy>yyadmin</cp:lastModifiedBy>
  <dcterms:modified xsi:type="dcterms:W3CDTF">2022-08-09T17:28:39Z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