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72"/>
          <w:szCs w:val="72"/>
        </w:rPr>
      </w:pPr>
      <w:bookmarkStart w:id="2" w:name="_GoBack"/>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bookmarkEnd w:id="2"/>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岳阳市总工会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2"/>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1520.9202</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1201.3</w:t>
            </w: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12</w:t>
            </w: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rPr>
              <w:t>七</w:t>
            </w:r>
            <w:r>
              <w:rPr>
                <w:rFonts w:hint="eastAsia" w:ascii="Times New Roman" w:hAnsi="Times New Roman" w:eastAsia="仿宋_GB2312" w:cs="Times New Roman"/>
                <w:kern w:val="0"/>
                <w:szCs w:val="21"/>
                <w:lang w:eastAsia="zh-CN"/>
              </w:rPr>
              <w:t>、社会保障和就业支出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681" w:type="dxa"/>
            <w:tcBorders>
              <w:top w:val="nil"/>
              <w:left w:val="nil"/>
              <w:bottom w:val="single" w:color="auto" w:sz="4" w:space="0"/>
              <w:right w:val="single" w:color="auto" w:sz="4" w:space="0"/>
            </w:tcBorders>
            <w:noWrap/>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307.6202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1520.9202</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68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1520.9202</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681"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1520.9202</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681"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仿宋_GB2312" w:cs="Times New Roman"/>
                <w:b/>
                <w:bCs/>
                <w:kern w:val="0"/>
                <w:szCs w:val="21"/>
                <w:lang w:val="en-US" w:eastAsia="zh-CN"/>
              </w:rPr>
            </w:pPr>
            <w:r>
              <w:rPr>
                <w:rFonts w:hint="eastAsia" w:ascii="Times New Roman" w:hAnsi="Times New Roman" w:eastAsia="仿宋_GB2312" w:cs="Times New Roman"/>
                <w:b/>
                <w:bCs/>
                <w:kern w:val="0"/>
                <w:szCs w:val="21"/>
              </w:rPr>
              <w:t>　</w:t>
            </w:r>
            <w:r>
              <w:rPr>
                <w:rFonts w:hint="eastAsia" w:ascii="Times New Roman" w:hAnsi="Times New Roman" w:eastAsia="仿宋_GB2312" w:cs="Times New Roman"/>
                <w:b/>
                <w:bCs/>
                <w:kern w:val="0"/>
                <w:szCs w:val="21"/>
                <w:lang w:val="en-US" w:eastAsia="zh-CN"/>
              </w:rPr>
              <w:t>1520.9202</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r>
        <w:rPr>
          <w:rFonts w:ascii="Times New Roman" w:hAnsi="Times New Roman" w:eastAsia="黑体" w:cs="Times New Roman"/>
          <w:bCs/>
          <w:kern w:val="0"/>
          <w:sz w:val="32"/>
          <w:szCs w:val="32"/>
        </w:rPr>
        <w:br w:type="page"/>
      </w: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eastAsia="zh-CN"/>
        </w:rPr>
        <w:t>岳阳市总工会</w:t>
      </w:r>
      <w:r>
        <w:rPr>
          <w:rFonts w:hint="eastAsia" w:ascii="Times New Roman" w:hAnsi="Times New Roman" w:eastAsia="仿宋_GB2312" w:cs="Times New Roman"/>
          <w:color w:val="000000"/>
          <w:kern w:val="0"/>
          <w:szCs w:val="21"/>
        </w:rPr>
        <w:t>单位</w:t>
      </w:r>
      <w:r>
        <w:rPr>
          <w:rFonts w:ascii="Times New Roman" w:hAnsi="Times New Roman" w:eastAsia="仿宋_GB2312" w:cs="Times New Roman"/>
          <w:color w:val="000000"/>
          <w:kern w:val="0"/>
          <w:szCs w:val="21"/>
        </w:rPr>
        <w:t xml:space="preserve">                                                                                                     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2"/>
        <w:tblW w:w="13813" w:type="dxa"/>
        <w:jc w:val="center"/>
        <w:tblLayout w:type="autofit"/>
        <w:tblCellMar>
          <w:top w:w="0" w:type="dxa"/>
          <w:left w:w="108" w:type="dxa"/>
          <w:bottom w:w="0" w:type="dxa"/>
          <w:right w:w="108" w:type="dxa"/>
        </w:tblCellMar>
      </w:tblPr>
      <w:tblGrid>
        <w:gridCol w:w="1197"/>
        <w:gridCol w:w="1188"/>
        <w:gridCol w:w="1676"/>
        <w:gridCol w:w="1595"/>
        <w:gridCol w:w="1676"/>
        <w:gridCol w:w="1382"/>
        <w:gridCol w:w="1412"/>
        <w:gridCol w:w="1676"/>
        <w:gridCol w:w="2011"/>
      </w:tblGrid>
      <w:tr>
        <w:tblPrEx>
          <w:tblCellMar>
            <w:top w:w="0" w:type="dxa"/>
            <w:left w:w="108" w:type="dxa"/>
            <w:bottom w:w="0" w:type="dxa"/>
            <w:right w:w="108" w:type="dxa"/>
          </w:tblCellMar>
        </w:tblPrEx>
        <w:trPr>
          <w:trHeight w:val="450" w:hRule="atLeast"/>
          <w:jc w:val="center"/>
        </w:trPr>
        <w:tc>
          <w:tcPr>
            <w:tcW w:w="2385"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595"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38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41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2011"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18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1188"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95"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8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1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011"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2385"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95"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38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41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2011"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2385" w:type="dxa"/>
            <w:gridSpan w:val="2"/>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1520.9202</w:t>
            </w:r>
            <w:r>
              <w:rPr>
                <w:rFonts w:ascii="Times New Roman" w:hAnsi="Times New Roman" w:eastAsia="仿宋_GB2312" w:cs="Times New Roman"/>
                <w:kern w:val="0"/>
                <w:szCs w:val="21"/>
              </w:rPr>
              <w:t>　</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1520.9202</w:t>
            </w: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2012902</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一般行政管理事务</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17.1</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17.1</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36"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2012999</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其他群众团体事务支出</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526.12</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526.12</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2019999</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其他一般公共服务支出</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658.08</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658.08</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2069999</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其他科学技术支出</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12</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2080502</w:t>
            </w:r>
          </w:p>
        </w:tc>
        <w:tc>
          <w:tcPr>
            <w:tcW w:w="118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事业单位离退休</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41.35</w:t>
            </w:r>
          </w:p>
        </w:tc>
        <w:tc>
          <w:tcPr>
            <w:tcW w:w="159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41.35</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2080599</w:t>
            </w:r>
          </w:p>
        </w:tc>
        <w:tc>
          <w:tcPr>
            <w:tcW w:w="1188" w:type="dxa"/>
            <w:tcBorders>
              <w:top w:val="nil"/>
              <w:left w:val="nil"/>
              <w:bottom w:val="single" w:color="auto" w:sz="8"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其他行政事业单位离退休支出</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12.1</w:t>
            </w:r>
          </w:p>
        </w:tc>
        <w:tc>
          <w:tcPr>
            <w:tcW w:w="1595" w:type="dxa"/>
            <w:tcBorders>
              <w:top w:val="nil"/>
              <w:left w:val="nil"/>
              <w:bottom w:val="single" w:color="auto" w:sz="8"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12.1</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8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1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11"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2080899</w:t>
            </w:r>
          </w:p>
        </w:tc>
        <w:tc>
          <w:tcPr>
            <w:tcW w:w="1188" w:type="dxa"/>
            <w:tcBorders>
              <w:top w:val="nil"/>
              <w:left w:val="nil"/>
              <w:bottom w:val="single" w:color="auto" w:sz="8"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其他优抚支出</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14.1702</w:t>
            </w:r>
          </w:p>
        </w:tc>
        <w:tc>
          <w:tcPr>
            <w:tcW w:w="1595" w:type="dxa"/>
            <w:tcBorders>
              <w:top w:val="nil"/>
              <w:left w:val="nil"/>
              <w:bottom w:val="single" w:color="auto" w:sz="8"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14.1702</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8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2011"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8"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2089901</w:t>
            </w:r>
          </w:p>
        </w:tc>
        <w:tc>
          <w:tcPr>
            <w:tcW w:w="1188" w:type="dxa"/>
            <w:tcBorders>
              <w:top w:val="nil"/>
              <w:left w:val="nil"/>
              <w:bottom w:val="single" w:color="auto" w:sz="8" w:space="0"/>
              <w:right w:val="single" w:color="auto" w:sz="4" w:space="0"/>
            </w:tcBorders>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其他社会保障和就业支出</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240</w:t>
            </w:r>
          </w:p>
        </w:tc>
        <w:tc>
          <w:tcPr>
            <w:tcW w:w="1595" w:type="dxa"/>
            <w:tcBorders>
              <w:top w:val="nil"/>
              <w:left w:val="nil"/>
              <w:bottom w:val="single" w:color="auto" w:sz="8" w:space="0"/>
              <w:right w:val="single" w:color="auto" w:sz="4" w:space="0"/>
            </w:tcBorders>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240</w:t>
            </w: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38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12"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676" w:type="dxa"/>
            <w:tcBorders>
              <w:top w:val="nil"/>
              <w:left w:val="nil"/>
              <w:bottom w:val="single" w:color="auto" w:sz="8"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2011" w:type="dxa"/>
            <w:tcBorders>
              <w:top w:val="nil"/>
              <w:left w:val="nil"/>
              <w:bottom w:val="single" w:color="auto" w:sz="8"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15" w:hRule="atLeast"/>
          <w:jc w:val="center"/>
        </w:trPr>
        <w:tc>
          <w:tcPr>
            <w:tcW w:w="13813"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部门：</w:t>
      </w:r>
      <w:r>
        <w:rPr>
          <w:rFonts w:hint="eastAsia" w:ascii="Times New Roman" w:hAnsi="Times New Roman" w:eastAsia="仿宋_GB2312" w:cs="Times New Roman"/>
          <w:color w:val="000000"/>
          <w:kern w:val="0"/>
          <w:sz w:val="20"/>
          <w:szCs w:val="20"/>
          <w:lang w:eastAsia="zh-CN"/>
        </w:rPr>
        <w:t>岳阳市总工会</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2"/>
        <w:tblW w:w="1408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02"/>
        <w:gridCol w:w="1249"/>
        <w:gridCol w:w="1775"/>
        <w:gridCol w:w="1985"/>
        <w:gridCol w:w="1842"/>
        <w:gridCol w:w="1843"/>
        <w:gridCol w:w="1985"/>
        <w:gridCol w:w="23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77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84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843"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30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249"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77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249"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77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308"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77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43"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308"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351"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775"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1520.9202</w:t>
            </w: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1520.9202</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2012902</w:t>
            </w:r>
          </w:p>
        </w:tc>
        <w:tc>
          <w:tcPr>
            <w:tcW w:w="1249" w:type="dxa"/>
            <w:shd w:val="clear" w:color="auto" w:fill="auto"/>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一般行政管理事务</w:t>
            </w:r>
          </w:p>
        </w:tc>
        <w:tc>
          <w:tcPr>
            <w:tcW w:w="177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17.1</w:t>
            </w:r>
          </w:p>
        </w:tc>
        <w:tc>
          <w:tcPr>
            <w:tcW w:w="198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17.1</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2012999</w:t>
            </w:r>
          </w:p>
        </w:tc>
        <w:tc>
          <w:tcPr>
            <w:tcW w:w="1249" w:type="dxa"/>
            <w:shd w:val="clear" w:color="auto" w:fill="auto"/>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其他群众团体事务支出</w:t>
            </w:r>
          </w:p>
        </w:tc>
        <w:tc>
          <w:tcPr>
            <w:tcW w:w="177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526.12</w:t>
            </w:r>
          </w:p>
        </w:tc>
        <w:tc>
          <w:tcPr>
            <w:tcW w:w="198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526.12</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2019999</w:t>
            </w:r>
          </w:p>
        </w:tc>
        <w:tc>
          <w:tcPr>
            <w:tcW w:w="1249" w:type="dxa"/>
            <w:shd w:val="clear" w:color="auto" w:fill="auto"/>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其他一般公共服务支出</w:t>
            </w:r>
          </w:p>
        </w:tc>
        <w:tc>
          <w:tcPr>
            <w:tcW w:w="177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658.08</w:t>
            </w:r>
          </w:p>
        </w:tc>
        <w:tc>
          <w:tcPr>
            <w:tcW w:w="198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658.08</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2069999</w:t>
            </w:r>
          </w:p>
        </w:tc>
        <w:tc>
          <w:tcPr>
            <w:tcW w:w="1249" w:type="dxa"/>
            <w:shd w:val="clear" w:color="auto" w:fill="auto"/>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其他科学技术支出</w:t>
            </w:r>
          </w:p>
        </w:tc>
        <w:tc>
          <w:tcPr>
            <w:tcW w:w="177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12</w:t>
            </w:r>
          </w:p>
        </w:tc>
        <w:tc>
          <w:tcPr>
            <w:tcW w:w="198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12</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2080502</w:t>
            </w:r>
          </w:p>
        </w:tc>
        <w:tc>
          <w:tcPr>
            <w:tcW w:w="1249" w:type="dxa"/>
            <w:shd w:val="clear" w:color="auto" w:fill="auto"/>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事业单位离退休</w:t>
            </w:r>
          </w:p>
        </w:tc>
        <w:tc>
          <w:tcPr>
            <w:tcW w:w="177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41.35</w:t>
            </w:r>
          </w:p>
        </w:tc>
        <w:tc>
          <w:tcPr>
            <w:tcW w:w="198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41.35</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2080599</w:t>
            </w:r>
          </w:p>
        </w:tc>
        <w:tc>
          <w:tcPr>
            <w:tcW w:w="1249" w:type="dxa"/>
            <w:shd w:val="clear" w:color="auto" w:fill="auto"/>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其他行政事业单位离退休支出</w:t>
            </w:r>
          </w:p>
        </w:tc>
        <w:tc>
          <w:tcPr>
            <w:tcW w:w="177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12.1</w:t>
            </w:r>
          </w:p>
        </w:tc>
        <w:tc>
          <w:tcPr>
            <w:tcW w:w="198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12.1</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2080899</w:t>
            </w:r>
          </w:p>
        </w:tc>
        <w:tc>
          <w:tcPr>
            <w:tcW w:w="1249" w:type="dxa"/>
            <w:shd w:val="clear" w:color="auto" w:fill="auto"/>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其他优抚支出</w:t>
            </w:r>
          </w:p>
        </w:tc>
        <w:tc>
          <w:tcPr>
            <w:tcW w:w="177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14.1702</w:t>
            </w:r>
          </w:p>
        </w:tc>
        <w:tc>
          <w:tcPr>
            <w:tcW w:w="198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14.1702</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2089901</w:t>
            </w:r>
          </w:p>
        </w:tc>
        <w:tc>
          <w:tcPr>
            <w:tcW w:w="1249" w:type="dxa"/>
            <w:shd w:val="clear" w:color="auto" w:fill="auto"/>
            <w:noWrap/>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其他社会保障和就业支出</w:t>
            </w:r>
          </w:p>
        </w:tc>
        <w:tc>
          <w:tcPr>
            <w:tcW w:w="177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240</w:t>
            </w:r>
          </w:p>
        </w:tc>
        <w:tc>
          <w:tcPr>
            <w:tcW w:w="1985" w:type="dxa"/>
            <w:shd w:val="clear" w:color="auto" w:fill="auto"/>
            <w:noWrap/>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240</w:t>
            </w:r>
          </w:p>
        </w:tc>
        <w:tc>
          <w:tcPr>
            <w:tcW w:w="1842" w:type="dxa"/>
            <w:shd w:val="clear" w:color="auto" w:fill="auto"/>
            <w:noWrap/>
            <w:vAlign w:val="center"/>
          </w:tcPr>
          <w:p>
            <w:pPr>
              <w:widowControl/>
              <w:jc w:val="right"/>
              <w:rPr>
                <w:rFonts w:ascii="Times New Roman" w:hAnsi="Times New Roman" w:eastAsia="仿宋_GB2312" w:cs="Times New Roman"/>
                <w:kern w:val="0"/>
                <w:szCs w:val="21"/>
              </w:rPr>
            </w:pP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p>
        </w:tc>
        <w:tc>
          <w:tcPr>
            <w:tcW w:w="2308" w:type="dxa"/>
            <w:shd w:val="clear" w:color="auto" w:fill="auto"/>
            <w:noWrap/>
            <w:vAlign w:val="center"/>
          </w:tcPr>
          <w:p>
            <w:pPr>
              <w:widowControl/>
              <w:jc w:val="right"/>
              <w:rPr>
                <w:rFonts w:ascii="Times New Roman" w:hAnsi="Times New Roman" w:eastAsia="仿宋_GB2312" w:cs="Times New Roman"/>
                <w:kern w:val="0"/>
                <w:szCs w:val="21"/>
              </w:rPr>
            </w:pP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岳阳市总工会</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2"/>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1520.9202</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一、一般公共服务支出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8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1201.3</w:t>
            </w:r>
          </w:p>
        </w:tc>
        <w:tc>
          <w:tcPr>
            <w:tcW w:w="166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1201.3</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二、外交支出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三、国防支出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四、公共安全支出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五、教育支出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六、科学技术支出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12</w:t>
            </w: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12</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rPr>
              <w:t>七</w:t>
            </w:r>
            <w:r>
              <w:rPr>
                <w:rFonts w:hint="eastAsia" w:ascii="Times New Roman" w:hAnsi="Times New Roman" w:eastAsia="仿宋_GB2312" w:cs="Times New Roman"/>
                <w:kern w:val="0"/>
                <w:szCs w:val="21"/>
                <w:lang w:eastAsia="zh-CN"/>
              </w:rPr>
              <w:t>、社会保障和就业支出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8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307.6202</w:t>
            </w:r>
          </w:p>
        </w:tc>
        <w:tc>
          <w:tcPr>
            <w:tcW w:w="166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307.6202</w:t>
            </w:r>
          </w:p>
        </w:tc>
        <w:tc>
          <w:tcPr>
            <w:tcW w:w="1572"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880"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1520.9202</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8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1520.9202</w:t>
            </w:r>
          </w:p>
        </w:tc>
        <w:tc>
          <w:tcPr>
            <w:tcW w:w="166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1520.9202</w:t>
            </w: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72"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880" w:type="dxa"/>
            <w:shd w:val="clear" w:color="auto" w:fill="auto"/>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1520.9202</w:t>
            </w:r>
            <w:r>
              <w:rPr>
                <w:rFonts w:ascii="Times New Roman" w:hAnsi="Times New Roman" w:eastAsia="仿宋_GB2312" w:cs="Times New Roman"/>
                <w:kern w:val="0"/>
                <w:szCs w:val="21"/>
              </w:rPr>
              <w:t>　</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88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1520.9202</w:t>
            </w:r>
          </w:p>
        </w:tc>
        <w:tc>
          <w:tcPr>
            <w:tcW w:w="1660" w:type="dxa"/>
            <w:shd w:val="clear" w:color="auto" w:fill="auto"/>
            <w:noWrap/>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1520.9202</w:t>
            </w:r>
          </w:p>
        </w:tc>
        <w:tc>
          <w:tcPr>
            <w:tcW w:w="1572" w:type="dxa"/>
            <w:shd w:val="clear" w:color="auto" w:fill="auto"/>
            <w:noWrap/>
            <w:vAlign w:val="center"/>
          </w:tcPr>
          <w:p>
            <w:pPr>
              <w:widowControl/>
              <w:jc w:val="left"/>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岳阳市总工会</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2"/>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1520.9202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1520.9202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2012902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一般行政管理事务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17.1</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17.1</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2012999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其他群众团体事务支出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526.12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526.12</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2019999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其他一般公共服务支出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658.08</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658.08</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2069999</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其他科学技术支出</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12</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12</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2080502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事业单位离退休</w:t>
            </w:r>
          </w:p>
        </w:tc>
        <w:tc>
          <w:tcPr>
            <w:tcW w:w="3000"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41.35</w:t>
            </w:r>
          </w:p>
        </w:tc>
        <w:tc>
          <w:tcPr>
            <w:tcW w:w="3492" w:type="dxa"/>
            <w:tcBorders>
              <w:top w:val="nil"/>
              <w:left w:val="nil"/>
              <w:bottom w:val="single" w:color="auto" w:sz="4"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41.35</w:t>
            </w:r>
          </w:p>
        </w:tc>
        <w:tc>
          <w:tcPr>
            <w:tcW w:w="3000" w:type="dxa"/>
            <w:tcBorders>
              <w:top w:val="nil"/>
              <w:left w:val="nil"/>
              <w:bottom w:val="single" w:color="auto" w:sz="4"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2080599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其他行政事业单位离退休支出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12.1</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12.1</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2080899</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其他优抚支出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14.1702</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14.1702</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2089901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eastAsia="zh-CN"/>
              </w:rPr>
              <w:t>其他社会保障和就业支出</w:t>
            </w:r>
          </w:p>
        </w:tc>
        <w:tc>
          <w:tcPr>
            <w:tcW w:w="3000"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240</w:t>
            </w:r>
          </w:p>
        </w:tc>
        <w:tc>
          <w:tcPr>
            <w:tcW w:w="3492" w:type="dxa"/>
            <w:tcBorders>
              <w:top w:val="nil"/>
              <w:left w:val="nil"/>
              <w:bottom w:val="single" w:color="auto" w:sz="8" w:space="0"/>
              <w:right w:val="single" w:color="auto" w:sz="4" w:space="0"/>
            </w:tcBorders>
            <w:shd w:val="clear" w:color="auto" w:fill="auto"/>
            <w:vAlign w:val="center"/>
          </w:tcPr>
          <w:p>
            <w:pPr>
              <w:widowControl/>
              <w:jc w:val="right"/>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240</w:t>
            </w:r>
          </w:p>
        </w:tc>
        <w:tc>
          <w:tcPr>
            <w:tcW w:w="3000" w:type="dxa"/>
            <w:tcBorders>
              <w:top w:val="nil"/>
              <w:left w:val="nil"/>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岳阳市总工会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2"/>
        <w:tblW w:w="0" w:type="auto"/>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基本工资</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国内债务付息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津贴补贴</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印刷费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国外债务付息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咨询费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伙食补助费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手续费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房屋建筑物购建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绩效工资</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机关事业单位基本养老保险费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电费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职业年金缴费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邮电费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31005</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基础设施建设</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职工基本医疗保险缴费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取暖费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大型修缮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公务员医疗补助缴费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30209</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物业管理费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信息网络及软件购置更新</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其他社会保障缴费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差旅费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31008</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物资储备</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住房公积金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因公出国（境）费用</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土地补偿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维修（护）费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31010</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安置补助</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30199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其他工资福利支出</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租赁费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地上附着物和青苗补偿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会议费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拆迁补偿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离休费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培训费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公务用车购置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退休费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公务接待费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其他交通工具购置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退职（役）费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专用材料费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文物和陈列品购置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抚恤金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被装购置费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无形资产购置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30305</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生活补助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专用燃料费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31099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救济费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劳务费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委托业务费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赠与</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助学金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工会经费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国家赔偿费用支出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奖励金</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39908</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个人农业生产补贴</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9733" w:type="dxa"/>
            <w:gridSpan w:val="5"/>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岳阳市总工会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2"/>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autoSpaceDE w:val="0"/>
        <w:autoSpaceDN w:val="0"/>
        <w:adjustRightInd w:val="0"/>
        <w:ind w:left="315" w:leftChars="150"/>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岳阳市总工会</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2"/>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sz w:val="72"/>
          <w:szCs w:val="72"/>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043C7A"/>
    <w:rsid w:val="76043C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2020-10-09T06:01:00Z</dcterms:created>
  <dc:creator>Administrator</dc:creator>
  <cp:lastModifiedBy>Administrator</cp:lastModifiedBy>
  <dcterms:modified xsi:type="dcterms:W3CDTF">2020-10-09T06:01:59Z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