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rPr>
          <w:rFonts w:ascii="黑体" w:hAnsi="黑体" w:eastAsia="黑体" w:cs="黑体"/>
          <w:sz w:val="32"/>
          <w:szCs w:val="32"/>
        </w:rPr>
      </w:pPr>
      <w:r>
        <w:rPr>
          <w:rFonts w:hint="eastAsia" w:ascii="黑体" w:hAnsi="黑体" w:eastAsia="黑体" w:cs="黑体"/>
          <w:sz w:val="32"/>
          <w:szCs w:val="32"/>
        </w:rPr>
        <w:t>附件1</w:t>
      </w:r>
    </w:p>
    <w:p>
      <w:pPr>
        <w:spacing w:after="156"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2022年度部门整体支出绩效评价基础数据表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281</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243　</w:t>
            </w:r>
          </w:p>
        </w:tc>
        <w:tc>
          <w:tcPr>
            <w:tcW w:w="2041"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86.12</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2021年决算数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2022年决算数</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91.48</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146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198.42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75.09</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181.89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45</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98.16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75.09</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63</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83.73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16.38</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38</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16.53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1413.7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1413.7　</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1413.7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eastAsia="仿宋_GB2312"/>
                <w:sz w:val="21"/>
                <w:szCs w:val="21"/>
              </w:rPr>
              <w:t>市纪委办案经费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1081.7</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1081.7</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2、派驻机构工作经费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3、市委巡察办巡视和巡察工作经费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519.88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613.57</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685.27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55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453.82</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56.31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82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95.09</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99.07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50　</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23.02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（2022年完工项目）</w:t>
            </w: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　</w:t>
            </w:r>
          </w:p>
        </w:tc>
        <w:tc>
          <w:tcPr>
            <w:tcW w:w="84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pPr>
        <w:widowControl/>
        <w:spacing w:line="400" w:lineRule="exact"/>
        <w:jc w:val="left"/>
        <w:rPr>
          <w:rFonts w:ascii="Times New Roman" w:hAnsi="Times New Roman" w:eastAsia="仿宋_GB2312"/>
          <w:sz w:val="22"/>
        </w:rPr>
      </w:pPr>
    </w:p>
    <w:p>
      <w:pPr>
        <w:widowControl/>
        <w:spacing w:line="400" w:lineRule="exact"/>
        <w:jc w:val="left"/>
        <w:rPr>
          <w:rFonts w:ascii="黑体" w:hAnsi="黑体" w:eastAsia="黑体" w:cs="黑体"/>
          <w:sz w:val="32"/>
          <w:szCs w:val="32"/>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附件2</w:t>
      </w:r>
    </w:p>
    <w:p>
      <w:pPr>
        <w:widowControl/>
        <w:spacing w:after="156"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市纪委整体支出</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5488.49</w:t>
            </w:r>
          </w:p>
        </w:tc>
        <w:tc>
          <w:tcPr>
            <w:tcW w:w="1311"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7460.98</w:t>
            </w:r>
          </w:p>
        </w:tc>
        <w:tc>
          <w:tcPr>
            <w:tcW w:w="1269"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7460.98</w:t>
            </w:r>
          </w:p>
        </w:tc>
        <w:tc>
          <w:tcPr>
            <w:tcW w:w="71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100%</w:t>
            </w:r>
          </w:p>
        </w:tc>
        <w:tc>
          <w:tcPr>
            <w:tcW w:w="1446"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一般公共预算：6636.38</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其中：基本支出：3251.44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政府性基金拨款：0</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项目支出：3384.95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其他资金：573.44</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01"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33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949"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对26个市直单位开展专项监督</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1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7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2022年内完成</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44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65"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23"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1"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43"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3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98"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97</w:t>
            </w:r>
          </w:p>
        </w:tc>
        <w:tc>
          <w:tcPr>
            <w:tcW w:w="1446"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ascii="Times New Roman" w:hAnsi="Times New Roman" w:eastAsia="黑体"/>
          <w:sz w:val="32"/>
          <w:szCs w:val="32"/>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附件3</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岳阳市纪委监委办案经费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市纪委监委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1081.7</w:t>
            </w:r>
          </w:p>
        </w:tc>
        <w:tc>
          <w:tcPr>
            <w:tcW w:w="113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1081.7</w:t>
            </w:r>
          </w:p>
        </w:tc>
        <w:tc>
          <w:tcPr>
            <w:tcW w:w="113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1081.7</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1081.7</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1081.7</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1081.7</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52"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30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34"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04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对26个市直单位开展专项监督</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2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7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2022年内完成</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04"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98</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widowControl/>
        <w:spacing w:line="600" w:lineRule="exact"/>
        <w:jc w:val="left"/>
        <w:rPr>
          <w:rFonts w:hint="default" w:ascii="Times New Roman" w:hAnsi="Times New Roman" w:eastAsia="黑体"/>
          <w:sz w:val="32"/>
          <w:szCs w:val="32"/>
          <w:lang w:val="en-US" w:eastAsia="zh-CN"/>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附件3</w:t>
      </w:r>
      <w:r>
        <w:rPr>
          <w:rFonts w:hint="eastAsia" w:ascii="黑体" w:hAnsi="黑体" w:eastAsia="黑体" w:cs="黑体"/>
          <w:sz w:val="32"/>
          <w:szCs w:val="32"/>
          <w:lang w:val="en-US" w:eastAsia="zh-CN"/>
        </w:rPr>
        <w:t>-1</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岳阳市纪委监委派驻机构工作经费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市纪委监委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113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113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93.6</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93.6</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93.6</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52"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30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34"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15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对26个市直单位开展专项监督</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2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7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2022年内完成</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4</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04"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98</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widowControl/>
        <w:spacing w:line="600" w:lineRule="exact"/>
        <w:jc w:val="left"/>
        <w:rPr>
          <w:rFonts w:hint="default" w:ascii="Times New Roman" w:hAnsi="Times New Roman" w:eastAsia="黑体"/>
          <w:sz w:val="32"/>
          <w:szCs w:val="32"/>
          <w:lang w:val="en-US" w:eastAsia="zh-CN"/>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附件3</w:t>
      </w:r>
      <w:r>
        <w:rPr>
          <w:rFonts w:hint="eastAsia" w:ascii="黑体" w:hAnsi="黑体" w:eastAsia="黑体" w:cs="黑体"/>
          <w:sz w:val="32"/>
          <w:szCs w:val="32"/>
          <w:lang w:val="en-US" w:eastAsia="zh-CN"/>
        </w:rPr>
        <w:t>-2</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2022年度项目支出绩效自评表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岳阳市委巡察办巡视和巡察工作经费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市纪委监委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113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1134" w:type="dxa"/>
            <w:tcBorders>
              <w:top w:val="nil"/>
              <w:left w:val="nil"/>
              <w:bottom w:val="single" w:color="auto" w:sz="4" w:space="0"/>
              <w:right w:val="single" w:color="auto" w:sz="4" w:space="0"/>
            </w:tcBorders>
            <w:vAlign w:val="center"/>
          </w:tcPr>
          <w:p>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238.4</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238.4</w:t>
            </w:r>
          </w:p>
        </w:tc>
        <w:tc>
          <w:tcPr>
            <w:tcW w:w="1134"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238.4</w:t>
            </w:r>
          </w:p>
        </w:tc>
        <w:tc>
          <w:tcPr>
            <w:tcW w:w="828"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52"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30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34"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157"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ascii="仿宋_GB2312" w:hAnsi="仿宋_GB2312" w:eastAsia="仿宋_GB2312" w:cs="仿宋_GB2312"/>
                <w:color w:val="000000"/>
                <w:sz w:val="20"/>
                <w:szCs w:val="20"/>
              </w:rPr>
            </w:pP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对26个市直单位开展专项监督</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26个</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2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78"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2022年内完成</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9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ascii="仿宋_GB2312" w:hAnsi="仿宋_GB2312" w:eastAsia="仿宋_GB2312" w:cs="仿宋_GB2312"/>
                <w:color w:val="000000"/>
                <w:sz w:val="20"/>
                <w:szCs w:val="20"/>
              </w:rPr>
            </w:pP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75"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04"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99</w:t>
            </w:r>
          </w:p>
        </w:tc>
        <w:tc>
          <w:tcPr>
            <w:tcW w:w="1418" w:type="dxa"/>
            <w:tcBorders>
              <w:top w:val="nil"/>
              <w:left w:val="nil"/>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ascii="Times New Roman" w:hAnsi="Times New Roman" w:eastAsia="仿宋_GB2312"/>
          <w:sz w:val="18"/>
          <w:szCs w:val="18"/>
        </w:rPr>
      </w:pPr>
    </w:p>
    <w:p>
      <w:pPr>
        <w:rPr>
          <w:rFonts w:ascii="Times New Roman" w:hAnsi="Times New Roman" w:eastAsia="方正小标宋_GBK"/>
          <w:sz w:val="52"/>
          <w:szCs w:val="52"/>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2023.7.20</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2022年度市纪委监委单位整体支出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jc w:val="center"/>
        <w:rPr>
          <w:rFonts w:ascii="Times New Roman" w:hAnsi="Times New Roman" w:eastAsia="方正小标宋_GBK"/>
          <w:b/>
          <w:sz w:val="52"/>
          <w:szCs w:val="5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2023</w:t>
      </w:r>
      <w:r>
        <w:rPr>
          <w:rFonts w:ascii="Times New Roman" w:hAnsi="Times New Roman" w:eastAsia="楷体_GB2312"/>
          <w:sz w:val="32"/>
          <w:szCs w:val="32"/>
        </w:rPr>
        <w:t>年</w:t>
      </w:r>
      <w:r>
        <w:rPr>
          <w:rFonts w:hint="eastAsia" w:ascii="Times New Roman" w:hAnsi="Times New Roman" w:eastAsia="楷体_GB2312"/>
          <w:sz w:val="32"/>
          <w:szCs w:val="32"/>
        </w:rPr>
        <w:t>7</w:t>
      </w:r>
      <w:r>
        <w:rPr>
          <w:rFonts w:ascii="Times New Roman" w:hAnsi="Times New Roman" w:eastAsia="楷体_GB2312"/>
          <w:sz w:val="32"/>
          <w:szCs w:val="32"/>
        </w:rPr>
        <w:t>月</w:t>
      </w:r>
      <w:r>
        <w:rPr>
          <w:rFonts w:hint="eastAsia" w:ascii="Times New Roman" w:hAnsi="Times New Roman" w:eastAsia="楷体_GB2312"/>
          <w:sz w:val="32"/>
          <w:szCs w:val="32"/>
        </w:rPr>
        <w:t>14</w:t>
      </w:r>
      <w:r>
        <w:rPr>
          <w:rFonts w:ascii="Times New Roman" w:hAnsi="Times New Roman" w:eastAsia="楷体_GB2312"/>
          <w:sz w:val="32"/>
          <w:szCs w:val="32"/>
        </w:rPr>
        <w:t>日</w:t>
      </w:r>
    </w:p>
    <w:p>
      <w:pPr>
        <w:jc w:val="center"/>
        <w:rPr>
          <w:rFonts w:ascii="Times New Roman" w:hAnsi="Times New Roman" w:eastAsia="仿宋_GB2312"/>
          <w:sz w:val="32"/>
          <w:szCs w:val="32"/>
        </w:rPr>
      </w:pPr>
      <w:r>
        <w:rPr>
          <w:rFonts w:ascii="Times New Roman" w:hAnsi="Times New Roman" w:eastAsia="仿宋_GB2312"/>
          <w:sz w:val="32"/>
          <w:szCs w:val="32"/>
        </w:rPr>
        <w:t>（此页为封面）</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2022年度市纪委监委单位整体支出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pStyle w:val="2"/>
        <w:keepNext w:val="0"/>
        <w:keepLines w:val="0"/>
        <w:pageBreakBefore w:val="0"/>
        <w:kinsoku/>
        <w:wordWrap/>
        <w:overflowPunct/>
        <w:topLinePunct w:val="0"/>
        <w:autoSpaceDE/>
        <w:autoSpaceDN/>
        <w:bidi w:val="0"/>
        <w:adjustRightInd/>
        <w:snapToGrid/>
        <w:spacing w:before="0" w:after="0" w:line="600" w:lineRule="exact"/>
        <w:textAlignment w:val="auto"/>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根据《中共岳阳市纪律检查委员会、岳阳市监察委员会机关职能配置、内设机构和人员编制规定》，市纪委与市监委合署办公，实行一套工作机构、两个机关名称，履行党的纪律检查和国家监察两项职责。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市纪委市监委设置19个副处级内设机构和2个正科级内设机构。19个副处级机构：综合部门4个，即办公室、组织部、宣传部、调研法规室；监督执纪部门15个，即党风政风监督室、信访室、案件监督管理室、第一至第十纪检监察室、案件审理室、纪检监察干部监督室。2个正科级内设机构：信息技术保障室、财务科。机关党委机关纪委按照章程设置，机关工会、离退休人员管理服务科按相关规定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市委巡察办是中共岳阳市委巡察工作领导小组的日常办事机构，作为市委工作机关，为正处级，设在中共岳阳市纪律检查委员会。主要负责：传达贯彻中央、省委、市委、市委巡察工作领导小组的决策和部署；承担巡察工作有关的政策研究、制度建设等工作；统筹协调指导市委巡察组开展工作；协调指导县市区党委开展巡察等工作。设置3个正科级内设机构：综合联络科、巡察科、督办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市纪委市监委机关下设案件管理中心，为正科级公益一类事业单位。负责为监督执纪问责和监督调查处置提供必要的场所和安全管理、后勤保障服务等。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纪委市监委机关下设市纪委市监委事务中心，为正科级公益一类事业单位。负责为市纪委市监委网站的管理维护与日常运行，权威发布重大案例及重要信息及承接市纪委监委其他政事分开的辅助性、服务性等事务性工作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市纪委市监委设置26个派驻纪检监察组：驻市委办公室纪检监察组、驻市委组织部纪检监察组、驻市委宣传部纪检监察组、驻市委政法委员会纪检监察组、驻市委统一战线工作部纪检监察组、驻市人大机关纪检监察组、驻市人民政府办公室纪检监察组、驻市政协机关纪检监察组、驻市发展和改革委员会纪检监察组、驻市农业农村局纪检监察组、驻市工业和信息化局纪检监察组、驻市交通运输局纪检监察组、驻市住房和城乡建设局纪检监察组、驻市城市管理和综合执法局纪检监察组、驻市民政局纪检监察组、驻市卫生健康委员会纪检监察组、驻市财政局纪检监察组、驻市市场监督管理局纪检监察组、驻市自然资源和规划局纪检监察组、驻市水利局纪检监察组、驻市人民政府国有资产监督管理委员会纪检监察组、驻市人力资源和社会保障局纪检监察组、驻市教育体育局纪检监察组、驻市公安局纪检监察组、驻市人民检察院纪检监察组、驻市中级人民法院纪检监察组。派驻纪检监察组均设置内设机构综合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市纪委市监委派驻纪检监察组履行纪检、监察两项职能。派驻机构对派驻它的机关负责，接受其直接领导。派驻机构按照干部管理权限和派驻它的机关的授权履行监督、执纪、问责和监督、调查、处置职责。驻在部门具有行业管理职能的，派驻机构可以根据授权对驻在单位管理的行业、系统实施党内监督和国家监察。</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2022年基本支出年初预算数为3193.51万元，是指为保障市纪委监委正常运转、完成日常工作任务而发生的各项支出，包括用于基本工资、津贴补贴等人员经费以及办公费、印刷费、水电费、差旅费等日常公用经费。</w:t>
      </w:r>
    </w:p>
    <w:p>
      <w:pPr>
        <w:pStyle w:val="5"/>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项目支出情况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2022年项目支出年初预算数为2294.98万元，是指市纪委监委为完成特定工作任务目标而发生的支出，其中：工会补助经费86.40万元，主要用于工会活动福利支出；伙食补助115.20万元，主要用于干部伙食支出；物业服务补贴103.68万元，主要用于发放在职、离退休干部的物业补贴；综合绩效奖和平安岳阳建设奖576万元，主要用于发放相关绩效奖；岳阳市纪委监委办案经费1081.70万元，主要用于办案产生的相关费用；岳阳市纪委监委派驻机构工作经费93.60万元，主要用于26个派驻纪检组日常支出和办案费用；岳阳市委巡察办巡视和巡察工作经费238.40万元，主要用于市委巡察办的日常开支及开展巡察工作的相关费用</w:t>
      </w:r>
      <w:r>
        <w:rPr>
          <w:rFonts w:hint="eastAsia" w:ascii="Times New Roman" w:hAnsi="Times New Roman" w:eastAsia="仿宋_GB2312" w:cs="仿宋_GB2312"/>
          <w:sz w:val="32"/>
          <w:szCs w:val="32"/>
        </w:rPr>
        <w:t>。</w:t>
      </w:r>
    </w:p>
    <w:p>
      <w:pPr>
        <w:pStyle w:val="5"/>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政府性基金预算支出情况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pStyle w:val="5"/>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hint="eastAsia" w:ascii="Times New Roman" w:hAnsi="Times New Roman" w:eastAsia="仿宋_GB2312" w:cs="仿宋_GB2312"/>
          <w:sz w:val="32"/>
          <w:szCs w:val="32"/>
        </w:rPr>
        <w:t>无。</w:t>
      </w:r>
    </w:p>
    <w:p>
      <w:pPr>
        <w:pStyle w:val="5"/>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严格按</w:t>
      </w:r>
      <w:r>
        <w:rPr>
          <w:rFonts w:hint="eastAsia" w:ascii="Times New Roman" w:hAnsi="Times New Roman" w:eastAsia="仿宋_GB2312"/>
          <w:color w:val="000000"/>
          <w:sz w:val="32"/>
          <w:szCs w:val="32"/>
        </w:rPr>
        <w:t>岳阳市财政局</w:t>
      </w:r>
      <w:r>
        <w:rPr>
          <w:rFonts w:ascii="Times New Roman" w:hAnsi="Times New Roman" w:eastAsia="仿宋_GB2312"/>
          <w:color w:val="000000"/>
          <w:sz w:val="32"/>
          <w:szCs w:val="32"/>
        </w:rPr>
        <w:t>的批复执行预算，“三公”经费、会议费等一般</w:t>
      </w:r>
      <w:r>
        <w:rPr>
          <w:rFonts w:hint="eastAsia" w:ascii="Times New Roman" w:hAnsi="Times New Roman" w:eastAsia="仿宋_GB2312"/>
          <w:color w:val="000000"/>
          <w:sz w:val="32"/>
          <w:szCs w:val="32"/>
        </w:rPr>
        <w:t>公共</w:t>
      </w:r>
      <w:r>
        <w:rPr>
          <w:rFonts w:ascii="Times New Roman" w:hAnsi="Times New Roman" w:eastAsia="仿宋_GB2312"/>
          <w:color w:val="000000"/>
          <w:sz w:val="32"/>
          <w:szCs w:val="32"/>
        </w:rPr>
        <w:t>支出严格控制在预算标准内，增强了职能履行和重点工作经费的保障能力；加快预算执行进度，提高资金使用绩效；持续推进预决算和“三公”经费公开，按时按质完成预决算公开，规范财务管理；加强财务监督检查，财务管理水平稳步提高。2022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部门整体支出重点绩效情况如下：</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（一）运行成本</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w:t>
      </w:r>
      <w:r>
        <w:rPr>
          <w:rFonts w:hint="eastAsia" w:ascii="Times New Roman" w:hAnsi="Times New Roman" w:eastAsia="仿宋_GB2312"/>
          <w:color w:val="000000"/>
          <w:sz w:val="32"/>
          <w:szCs w:val="32"/>
        </w:rPr>
        <w:t>我单位</w:t>
      </w:r>
      <w:r>
        <w:rPr>
          <w:rFonts w:ascii="Times New Roman" w:hAnsi="Times New Roman" w:eastAsia="仿宋_GB2312"/>
          <w:color w:val="000000"/>
          <w:sz w:val="32"/>
          <w:szCs w:val="32"/>
        </w:rPr>
        <w:t>全年一般公共预算财政拨款安排的基本支出</w:t>
      </w:r>
      <w:r>
        <w:rPr>
          <w:rFonts w:hint="eastAsia" w:ascii="Times New Roman" w:hAnsi="Times New Roman" w:eastAsia="仿宋_GB2312"/>
          <w:color w:val="000000"/>
          <w:sz w:val="32"/>
          <w:szCs w:val="32"/>
        </w:rPr>
        <w:t>3821.17</w:t>
      </w:r>
      <w:r>
        <w:rPr>
          <w:rFonts w:ascii="Times New Roman" w:hAnsi="Times New Roman" w:eastAsia="仿宋_GB2312"/>
          <w:color w:val="000000"/>
          <w:sz w:val="32"/>
          <w:szCs w:val="32"/>
        </w:rPr>
        <w:t>万元，其中，人员经费</w:t>
      </w:r>
      <w:r>
        <w:rPr>
          <w:rFonts w:hint="eastAsia" w:ascii="Times New Roman" w:hAnsi="Times New Roman" w:eastAsia="仿宋_GB2312"/>
          <w:color w:val="000000"/>
          <w:sz w:val="32"/>
          <w:szCs w:val="32"/>
        </w:rPr>
        <w:t>3129.29</w:t>
      </w:r>
      <w:r>
        <w:rPr>
          <w:rFonts w:ascii="Times New Roman" w:hAnsi="Times New Roman" w:eastAsia="仿宋_GB2312"/>
          <w:color w:val="000000"/>
          <w:sz w:val="32"/>
          <w:szCs w:val="32"/>
        </w:rPr>
        <w:t>万元，日常公用经费</w:t>
      </w:r>
      <w:r>
        <w:rPr>
          <w:rFonts w:hint="eastAsia" w:ascii="Times New Roman" w:hAnsi="Times New Roman" w:eastAsia="仿宋_GB2312"/>
          <w:color w:val="000000"/>
          <w:sz w:val="32"/>
          <w:szCs w:val="32"/>
        </w:rPr>
        <w:t>691.88</w:t>
      </w:r>
      <w:r>
        <w:rPr>
          <w:rFonts w:ascii="Times New Roman" w:hAnsi="Times New Roman" w:eastAsia="仿宋_GB2312"/>
          <w:color w:val="000000"/>
          <w:sz w:val="32"/>
          <w:szCs w:val="32"/>
        </w:rPr>
        <w:t>万元。根据</w:t>
      </w:r>
      <w:r>
        <w:rPr>
          <w:rFonts w:hint="eastAsia" w:ascii="Times New Roman" w:hAnsi="Times New Roman" w:eastAsia="仿宋_GB2312"/>
          <w:color w:val="000000"/>
          <w:sz w:val="32"/>
          <w:szCs w:val="32"/>
        </w:rPr>
        <w:t>市直</w:t>
      </w:r>
      <w:r>
        <w:rPr>
          <w:rFonts w:ascii="Times New Roman" w:hAnsi="Times New Roman" w:eastAsia="仿宋_GB2312"/>
          <w:color w:val="000000"/>
          <w:sz w:val="32"/>
          <w:szCs w:val="32"/>
        </w:rPr>
        <w:t>相关工资标准支出人员经费，不超范围不超标准；严格落实中央和省</w:t>
      </w:r>
      <w:r>
        <w:rPr>
          <w:rFonts w:hint="eastAsia" w:ascii="Times New Roman" w:hAnsi="Times New Roman" w:eastAsia="仿宋_GB2312"/>
          <w:color w:val="000000"/>
          <w:sz w:val="32"/>
          <w:szCs w:val="32"/>
        </w:rPr>
        <w:t>市</w:t>
      </w:r>
      <w:r>
        <w:rPr>
          <w:rFonts w:ascii="Times New Roman" w:hAnsi="Times New Roman" w:eastAsia="仿宋_GB2312"/>
          <w:color w:val="000000"/>
          <w:sz w:val="32"/>
          <w:szCs w:val="32"/>
        </w:rPr>
        <w:t>关于压减一般性支出相关规定，坚持厉行节约，遵守国家财务管理规定，重大重点支出坚持事前审批，严格执行一般性公务支出标准，加快预算执行进度。</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楷体_GB2312"/>
          <w:b/>
          <w:sz w:val="32"/>
          <w:szCs w:val="32"/>
        </w:rPr>
        <w:t>（二）管理效率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w:t>
      </w:r>
      <w:r>
        <w:rPr>
          <w:rFonts w:hint="eastAsia" w:ascii="Times New Roman" w:hAnsi="Times New Roman" w:eastAsia="仿宋_GB2312"/>
          <w:color w:val="000000"/>
          <w:sz w:val="32"/>
          <w:szCs w:val="32"/>
        </w:rPr>
        <w:t>我单位</w:t>
      </w:r>
      <w:r>
        <w:rPr>
          <w:rFonts w:hint="eastAsia" w:ascii="Times New Roman" w:hAnsi="Times New Roman" w:eastAsia="仿宋_GB2312"/>
          <w:color w:val="000000"/>
          <w:sz w:val="32"/>
          <w:szCs w:val="32"/>
          <w:lang w:eastAsia="zh-CN"/>
        </w:rPr>
        <w:t>年初结余</w:t>
      </w:r>
      <w:r>
        <w:rPr>
          <w:rFonts w:hint="eastAsia" w:ascii="Times New Roman" w:hAnsi="Times New Roman" w:eastAsia="仿宋_GB2312"/>
          <w:color w:val="000000"/>
          <w:sz w:val="32"/>
          <w:szCs w:val="32"/>
          <w:lang w:val="en-US" w:eastAsia="zh-CN"/>
        </w:rPr>
        <w:t>251.16万元，本年</w:t>
      </w:r>
      <w:r>
        <w:rPr>
          <w:rFonts w:ascii="Times New Roman" w:hAnsi="Times New Roman" w:eastAsia="仿宋_GB2312"/>
          <w:color w:val="000000"/>
          <w:sz w:val="32"/>
          <w:szCs w:val="32"/>
        </w:rPr>
        <w:t>财政拨款预算收入</w:t>
      </w:r>
      <w:r>
        <w:rPr>
          <w:rFonts w:hint="eastAsia" w:ascii="Times New Roman" w:hAnsi="Times New Roman" w:eastAsia="仿宋_GB2312"/>
          <w:color w:val="000000"/>
          <w:sz w:val="32"/>
          <w:szCs w:val="32"/>
        </w:rPr>
        <w:t>7209.82</w:t>
      </w:r>
      <w:r>
        <w:rPr>
          <w:rFonts w:ascii="Times New Roman" w:hAnsi="Times New Roman" w:eastAsia="仿宋_GB2312"/>
          <w:color w:val="000000"/>
          <w:sz w:val="32"/>
          <w:szCs w:val="32"/>
        </w:rPr>
        <w:t>万元，支出</w:t>
      </w:r>
      <w:r>
        <w:rPr>
          <w:rFonts w:hint="eastAsia" w:ascii="Times New Roman" w:hAnsi="Times New Roman" w:eastAsia="仿宋_GB2312"/>
          <w:color w:val="000000"/>
          <w:sz w:val="32"/>
          <w:szCs w:val="32"/>
        </w:rPr>
        <w:t>7206.12</w:t>
      </w:r>
      <w:r>
        <w:rPr>
          <w:rFonts w:ascii="Times New Roman" w:hAnsi="Times New Roman" w:eastAsia="仿宋_GB2312"/>
          <w:color w:val="000000"/>
          <w:sz w:val="32"/>
          <w:szCs w:val="32"/>
        </w:rPr>
        <w:t>万元，年末结余</w:t>
      </w:r>
      <w:r>
        <w:rPr>
          <w:rFonts w:hint="eastAsia" w:ascii="Times New Roman" w:hAnsi="Times New Roman" w:eastAsia="仿宋_GB2312"/>
          <w:color w:val="000000"/>
          <w:sz w:val="32"/>
          <w:szCs w:val="32"/>
        </w:rPr>
        <w:t>254.86</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主要为基本支出结余，</w:t>
      </w:r>
      <w:r>
        <w:rPr>
          <w:rFonts w:ascii="Times New Roman" w:hAnsi="Times New Roman" w:eastAsia="仿宋_GB2312"/>
          <w:color w:val="000000"/>
          <w:sz w:val="32"/>
          <w:szCs w:val="32"/>
        </w:rPr>
        <w:t>预算执行率为</w:t>
      </w:r>
      <w:r>
        <w:rPr>
          <w:rFonts w:hint="eastAsia" w:ascii="Times New Roman" w:hAnsi="Times New Roman" w:eastAsia="仿宋_GB2312"/>
          <w:color w:val="000000"/>
          <w:sz w:val="32"/>
          <w:szCs w:val="32"/>
        </w:rPr>
        <w:t>99.95</w:t>
      </w:r>
      <w:r>
        <w:rPr>
          <w:rFonts w:ascii="Times New Roman" w:hAnsi="Times New Roman" w:eastAsia="仿宋_GB2312"/>
          <w:color w:val="000000"/>
          <w:sz w:val="32"/>
          <w:szCs w:val="32"/>
        </w:rPr>
        <w:t>%。</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从结余情况看，影响预算执行率的主要原因为</w:t>
      </w:r>
      <w:r>
        <w:rPr>
          <w:rFonts w:hint="eastAsia" w:ascii="Times New Roman" w:hAnsi="Times New Roman" w:eastAsia="仿宋_GB2312"/>
          <w:color w:val="000000"/>
          <w:sz w:val="32"/>
          <w:szCs w:val="32"/>
        </w:rPr>
        <w:t>基本</w:t>
      </w:r>
      <w:r>
        <w:rPr>
          <w:rFonts w:ascii="Times New Roman" w:hAnsi="Times New Roman" w:eastAsia="仿宋_GB2312"/>
          <w:color w:val="000000"/>
          <w:sz w:val="32"/>
          <w:szCs w:val="32"/>
        </w:rPr>
        <w:t>支出，</w:t>
      </w:r>
      <w:r>
        <w:rPr>
          <w:rFonts w:hint="eastAsia" w:ascii="Times New Roman" w:hAnsi="Times New Roman" w:eastAsia="仿宋_GB2312"/>
          <w:color w:val="000000"/>
          <w:sz w:val="32"/>
          <w:szCs w:val="32"/>
        </w:rPr>
        <w:t>主要为公用支出结余。</w:t>
      </w:r>
      <w:r>
        <w:rPr>
          <w:rFonts w:ascii="Times New Roman" w:hAnsi="Times New Roman" w:eastAsia="仿宋_GB2312"/>
          <w:color w:val="000000"/>
          <w:sz w:val="32"/>
          <w:szCs w:val="32"/>
        </w:rPr>
        <w:t>今后重点加强</w:t>
      </w:r>
      <w:r>
        <w:rPr>
          <w:rFonts w:hint="eastAsia" w:ascii="Times New Roman" w:hAnsi="Times New Roman" w:eastAsia="仿宋_GB2312"/>
          <w:color w:val="000000"/>
          <w:sz w:val="32"/>
          <w:szCs w:val="32"/>
        </w:rPr>
        <w:t>预算指标准确度和精细度，加强与</w:t>
      </w:r>
      <w:r>
        <w:rPr>
          <w:rFonts w:ascii="Times New Roman" w:hAnsi="Times New Roman" w:eastAsia="仿宋_GB2312"/>
          <w:color w:val="000000"/>
          <w:sz w:val="32"/>
          <w:szCs w:val="32"/>
        </w:rPr>
        <w:t>业务</w:t>
      </w:r>
      <w:r>
        <w:rPr>
          <w:rFonts w:hint="eastAsia" w:ascii="Times New Roman" w:hAnsi="Times New Roman" w:eastAsia="仿宋_GB2312"/>
          <w:color w:val="000000"/>
          <w:sz w:val="32"/>
          <w:szCs w:val="32"/>
        </w:rPr>
        <w:t>部</w:t>
      </w:r>
      <w:r>
        <w:rPr>
          <w:rFonts w:ascii="Times New Roman" w:hAnsi="Times New Roman" w:eastAsia="仿宋_GB2312"/>
          <w:color w:val="000000"/>
          <w:sz w:val="32"/>
          <w:szCs w:val="32"/>
        </w:rPr>
        <w:t>室</w:t>
      </w:r>
      <w:r>
        <w:rPr>
          <w:rFonts w:hint="eastAsia" w:ascii="Times New Roman" w:hAnsi="Times New Roman" w:eastAsia="仿宋_GB2312"/>
          <w:color w:val="000000"/>
          <w:sz w:val="32"/>
          <w:szCs w:val="32"/>
        </w:rPr>
        <w:t>沟通</w:t>
      </w:r>
      <w:r>
        <w:rPr>
          <w:rFonts w:ascii="Times New Roman" w:hAnsi="Times New Roman" w:eastAsia="仿宋_GB2312"/>
          <w:color w:val="000000"/>
          <w:sz w:val="32"/>
          <w:szCs w:val="32"/>
        </w:rPr>
        <w:t>衔接，定期调度预算执行进度，提升资金支付效率。</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楷体_GB2312"/>
          <w:b/>
          <w:sz w:val="32"/>
          <w:szCs w:val="32"/>
        </w:rPr>
        <w:t>（三）履职效能</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2022年以来，在省纪委监委和岳阳市委的正确领导下，岳阳市纪委监委忠诚履职，主动作为，各项工作取得新成效。</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一是理论武装入脑入心。学懂弄通做实习近平新时代中国特色社会主义思想，严格落实“第一议题”制度今年来开展理论学习中心组学习 12 次，确保党中央最新精神落地生根、见行见效。</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是自身建设从严从实。坚持讲“土话”、讲“丑话”、讲实话、讲管用的话，出台《关于进一步加强市纪委常委班子自身建设的十条规定》，对加强自身建设作出具体规定。出台《岳阳市纪委监委公文错情通报制度》，切实改进文风作风。刚性执行省纪委十二条“负面清单”，将最严格的监督和约束落到实处。</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三是干部队伍向善向好。完成派驻纪检监察组组长第一轮全员轮岗“换防”，进一步优化队伍结构、激发队伍活力。举办首场“借调归来话感受”报告会，建立互帮、互教、互学交流平台。</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2023年，我们将以学习宣传贯彻党的二十大精神为统揽，认真落实中央纪委、省纪委全会部署和市委要求，坚定不移推进全面从严治党。</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（一）预算绩效管理追踪执行力度有待加强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开展全面预算绩效管理，需要对各项目的绩效完成进度及资金使用情况进行持续监督与追踪，本年度对于部分年中财政临时追加下达的项目工作经费，未及时设置绩效目标。主要原因是我</w:t>
      </w:r>
      <w:r>
        <w:rPr>
          <w:rFonts w:hint="eastAsia" w:ascii="Times New Roman" w:hAnsi="Times New Roman" w:eastAsia="仿宋_GB2312"/>
          <w:sz w:val="32"/>
          <w:szCs w:val="32"/>
        </w:rPr>
        <w:t>单位</w:t>
      </w:r>
      <w:r>
        <w:rPr>
          <w:rFonts w:ascii="Times New Roman" w:hAnsi="Times New Roman" w:eastAsia="仿宋_GB2312"/>
          <w:sz w:val="32"/>
          <w:szCs w:val="32"/>
        </w:rPr>
        <w:t>为发挥资金使用效益，结合实际资金缺口对追加资金进行了较长时间的研究和统筹。</w:t>
      </w:r>
    </w:p>
    <w:p>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（二）项目预算执行率有待提高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从整体情况看，</w:t>
      </w:r>
      <w:r>
        <w:rPr>
          <w:rFonts w:hint="eastAsia" w:ascii="Times New Roman" w:hAnsi="Times New Roman" w:eastAsia="仿宋_GB2312"/>
          <w:sz w:val="32"/>
          <w:szCs w:val="32"/>
        </w:rPr>
        <w:t>项目</w:t>
      </w:r>
      <w:r>
        <w:rPr>
          <w:rFonts w:ascii="Times New Roman" w:hAnsi="Times New Roman" w:eastAsia="仿宋_GB2312"/>
          <w:sz w:val="32"/>
          <w:szCs w:val="32"/>
        </w:rPr>
        <w:t>支出预算完成率和预算控制率完成较好，部分项目指标执行率</w:t>
      </w:r>
      <w:r>
        <w:rPr>
          <w:rFonts w:hint="eastAsia" w:ascii="Times New Roman" w:hAnsi="Times New Roman" w:eastAsia="仿宋_GB2312"/>
          <w:sz w:val="32"/>
          <w:szCs w:val="32"/>
        </w:rPr>
        <w:t>有待加强。</w:t>
      </w:r>
      <w:r>
        <w:rPr>
          <w:rFonts w:ascii="Times New Roman" w:hAnsi="Times New Roman" w:eastAsia="仿宋_GB2312"/>
          <w:sz w:val="32"/>
          <w:szCs w:val="32"/>
        </w:rPr>
        <w:t>主要原因</w:t>
      </w:r>
      <w:r>
        <w:rPr>
          <w:rFonts w:hint="eastAsia" w:ascii="Times New Roman" w:hAnsi="Times New Roman" w:eastAsia="仿宋_GB2312"/>
          <w:sz w:val="32"/>
          <w:szCs w:val="32"/>
        </w:rPr>
        <w:t>是预算指标申请金额未完全匹配实际使用需要，导致年终时有出现批量调剂指标情况</w:t>
      </w:r>
      <w:r>
        <w:rPr>
          <w:rFonts w:ascii="Times New Roman" w:hAnsi="Times New Roman" w:eastAsia="仿宋_GB2312"/>
          <w:sz w:val="32"/>
          <w:szCs w:val="32"/>
        </w:rPr>
        <w:t>。</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（一）加强沟通对接，提升预算执行率</w:t>
      </w:r>
      <w:r>
        <w:rPr>
          <w:rFonts w:hint="eastAsia" w:ascii="Times New Roman" w:hAnsi="Times New Roman" w:eastAsia="楷体_GB2312"/>
          <w:b/>
          <w:sz w:val="32"/>
          <w:szCs w:val="32"/>
        </w:rPr>
        <w:t>。</w:t>
      </w:r>
      <w:r>
        <w:rPr>
          <w:rFonts w:ascii="Times New Roman" w:hAnsi="Times New Roman" w:eastAsia="仿宋_GB2312"/>
          <w:sz w:val="32"/>
          <w:szCs w:val="32"/>
        </w:rPr>
        <w:t>科学合理安排年度预算，及时申请结余已收回资金重新下达，加强与财评部门沟通联系，保障支付、财评、结算等程序进程，</w:t>
      </w:r>
      <w:r>
        <w:rPr>
          <w:rFonts w:hint="eastAsia" w:ascii="Times New Roman" w:hAnsi="Times New Roman" w:eastAsia="仿宋_GB2312"/>
          <w:sz w:val="32"/>
          <w:szCs w:val="32"/>
        </w:rPr>
        <w:t>提高</w:t>
      </w:r>
      <w:r>
        <w:rPr>
          <w:rFonts w:ascii="Times New Roman" w:hAnsi="Times New Roman" w:eastAsia="仿宋_GB2312"/>
          <w:sz w:val="32"/>
          <w:szCs w:val="32"/>
        </w:rPr>
        <w:t>资金支付</w:t>
      </w:r>
      <w:r>
        <w:rPr>
          <w:rFonts w:hint="eastAsia" w:ascii="Times New Roman" w:hAnsi="Times New Roman" w:eastAsia="仿宋_GB2312"/>
          <w:sz w:val="32"/>
          <w:szCs w:val="32"/>
        </w:rPr>
        <w:t>速度</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（二）进一步提高预算编制的科学性与预见性</w:t>
      </w:r>
      <w:r>
        <w:rPr>
          <w:rFonts w:hint="eastAsia" w:ascii="Times New Roman" w:hAnsi="Times New Roman" w:eastAsia="楷体_GB2312"/>
          <w:b/>
          <w:sz w:val="32"/>
          <w:szCs w:val="32"/>
        </w:rPr>
        <w:t>。</w:t>
      </w:r>
      <w:r>
        <w:rPr>
          <w:rFonts w:ascii="Times New Roman" w:hAnsi="Times New Roman" w:eastAsia="仿宋_GB2312"/>
          <w:sz w:val="32"/>
          <w:szCs w:val="32"/>
        </w:rPr>
        <w:t>结合实际运转需要，预编一部分不可预计费用，不断提升财政资金使用的精准性和准确性。</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楷体_GB2312"/>
          <w:b/>
          <w:sz w:val="32"/>
          <w:szCs w:val="32"/>
        </w:rPr>
        <w:t>（三）严格绩效和监督管理。</w:t>
      </w:r>
      <w:r>
        <w:rPr>
          <w:rFonts w:ascii="Times New Roman" w:hAnsi="Times New Roman" w:eastAsia="仿宋_GB2312"/>
          <w:sz w:val="32"/>
          <w:szCs w:val="32"/>
        </w:rPr>
        <w:t>加强对项目的监督检查，督促项目按计划进度实施，确保项目按期实现预算绩效目标。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九、部门整体支出绩效自评结果拟应用和公开情况</w:t>
      </w:r>
    </w:p>
    <w:p>
      <w:pPr>
        <w:pStyle w:val="2"/>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针对绩效自评中发现的问题，我</w:t>
      </w:r>
      <w:r>
        <w:rPr>
          <w:rFonts w:hint="eastAsia" w:ascii="Times New Roman" w:hAnsi="Times New Roman" w:eastAsia="仿宋_GB2312"/>
          <w:sz w:val="32"/>
          <w:szCs w:val="32"/>
        </w:rPr>
        <w:t>单位</w:t>
      </w:r>
      <w:r>
        <w:rPr>
          <w:rFonts w:ascii="Times New Roman" w:hAnsi="Times New Roman" w:eastAsia="仿宋_GB2312"/>
          <w:sz w:val="32"/>
          <w:szCs w:val="32"/>
        </w:rPr>
        <w:t>将加强与相关单位的沟通协调，采取切实可行的举措整改落实到位。同时，按要求在</w:t>
      </w:r>
      <w:r>
        <w:rPr>
          <w:rFonts w:hint="eastAsia" w:ascii="Times New Roman" w:hAnsi="Times New Roman" w:eastAsia="仿宋_GB2312"/>
          <w:sz w:val="32"/>
          <w:szCs w:val="32"/>
        </w:rPr>
        <w:t>政府</w:t>
      </w:r>
      <w:r>
        <w:rPr>
          <w:rFonts w:ascii="Times New Roman" w:hAnsi="Times New Roman" w:eastAsia="仿宋_GB2312"/>
          <w:sz w:val="32"/>
          <w:szCs w:val="32"/>
        </w:rPr>
        <w:t>门户网站公开我</w:t>
      </w:r>
      <w:r>
        <w:rPr>
          <w:rFonts w:hint="eastAsia" w:ascii="Times New Roman" w:hAnsi="Times New Roman" w:eastAsia="仿宋_GB2312"/>
          <w:sz w:val="32"/>
          <w:szCs w:val="32"/>
        </w:rPr>
        <w:t>单位</w:t>
      </w:r>
      <w:r>
        <w:rPr>
          <w:rFonts w:ascii="Times New Roman" w:hAnsi="Times New Roman" w:eastAsia="仿宋_GB2312"/>
          <w:sz w:val="32"/>
          <w:szCs w:val="32"/>
        </w:rPr>
        <w:t>2022年部门整体支出绩效自评报告，接受社会监督。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4.政府性基金预算支出情况表</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无）</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5.国有资本经营预算支出情况表</w:t>
      </w:r>
      <w:r>
        <w:rPr>
          <w:rFonts w:hint="eastAsia" w:ascii="仿宋_GB2312" w:hAnsi="仿宋_GB2312" w:eastAsia="仿宋_GB2312" w:cs="仿宋_GB2312"/>
          <w:sz w:val="32"/>
          <w:szCs w:val="32"/>
          <w:lang w:eastAsia="zh-CN"/>
        </w:rPr>
        <w:t>（无）</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6.社会保险基金预算支出情况表</w:t>
      </w:r>
      <w:r>
        <w:rPr>
          <w:rFonts w:hint="eastAsia" w:ascii="仿宋_GB2312" w:hAnsi="仿宋_GB2312" w:eastAsia="仿宋_GB2312" w:cs="仿宋_GB2312"/>
          <w:sz w:val="32"/>
          <w:szCs w:val="32"/>
          <w:lang w:eastAsia="zh-CN"/>
        </w:rPr>
        <w:t>（无）</w:t>
      </w:r>
    </w:p>
    <w:p>
      <w:pPr>
        <w:widowControl/>
        <w:spacing w:line="64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附件5</w:t>
      </w:r>
    </w:p>
    <w:p>
      <w:pPr>
        <w:spacing w:before="156" w:beforeLines="50" w:after="156" w:afterLines="50"/>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z w:val="36"/>
          <w:szCs w:val="36"/>
        </w:rPr>
        <w:t>部门整体支出</w:t>
      </w:r>
      <w:r>
        <w:rPr>
          <w:rFonts w:hint="eastAsia" w:ascii="方正小标宋简体" w:hAnsi="方正小标宋简体" w:eastAsia="方正小标宋简体" w:cs="方正小标宋简体"/>
          <w:spacing w:val="-6"/>
          <w:sz w:val="36"/>
          <w:szCs w:val="36"/>
        </w:rPr>
        <w:t>绩效自评工作考核评分表</w:t>
      </w:r>
    </w:p>
    <w:tbl>
      <w:tblPr>
        <w:tblStyle w:val="3"/>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一级指标</w:t>
            </w: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二级指标</w:t>
            </w:r>
          </w:p>
        </w:tc>
        <w:tc>
          <w:tcPr>
            <w:tcW w:w="5000"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评分标准</w:t>
            </w:r>
          </w:p>
        </w:tc>
        <w:tc>
          <w:tcPr>
            <w:tcW w:w="3022"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bCs/>
                <w:sz w:val="21"/>
                <w:szCs w:val="21"/>
              </w:rPr>
            </w:pPr>
            <w:r>
              <w:rPr>
                <w:rFonts w:ascii="Times New Roman" w:hAnsi="Times New Roman" w:eastAsia="黑体"/>
                <w:bCs/>
                <w:sz w:val="21"/>
                <w:szCs w:val="21"/>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布置工作</w:t>
            </w:r>
          </w:p>
          <w:p>
            <w:pPr>
              <w:spacing w:line="300" w:lineRule="exact"/>
              <w:jc w:val="center"/>
              <w:rPr>
                <w:rFonts w:ascii="Times New Roman" w:hAnsi="Times New Roman" w:eastAsia="仿宋_GB2312"/>
                <w:sz w:val="20"/>
                <w:szCs w:val="20"/>
              </w:rPr>
            </w:pPr>
          </w:p>
          <w:p>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10分</w:t>
            </w:r>
          </w:p>
        </w:tc>
        <w:tc>
          <w:tcPr>
            <w:tcW w:w="1174" w:type="dxa"/>
            <w:tcBorders>
              <w:top w:val="single" w:color="auto" w:sz="4" w:space="0"/>
              <w:left w:val="nil"/>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自评通知</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（8分）</w:t>
            </w:r>
          </w:p>
        </w:tc>
        <w:tc>
          <w:tcPr>
            <w:tcW w:w="500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1</w:t>
            </w:r>
            <w:r>
              <w:rPr>
                <w:rFonts w:hint="eastAsia" w:ascii="Times New Roman" w:hAnsi="Times New Roman" w:eastAsia="仿宋_GB2312"/>
                <w:sz w:val="20"/>
                <w:szCs w:val="20"/>
              </w:rPr>
              <w:t>.</w:t>
            </w:r>
            <w:r>
              <w:rPr>
                <w:rFonts w:ascii="Times New Roman" w:hAnsi="Times New Roman" w:eastAsia="仿宋_GB2312"/>
                <w:sz w:val="20"/>
                <w:szCs w:val="20"/>
              </w:rPr>
              <w:t>印发绩效自评通知的得2分，否则不得分。</w:t>
            </w:r>
          </w:p>
          <w:p>
            <w:pPr>
              <w:spacing w:line="300" w:lineRule="exact"/>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工作小组</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（2分）</w:t>
            </w:r>
          </w:p>
        </w:tc>
        <w:tc>
          <w:tcPr>
            <w:tcW w:w="500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成立绩效自评工作小组的得2分，否则不得分。</w:t>
            </w:r>
          </w:p>
        </w:tc>
        <w:tc>
          <w:tcPr>
            <w:tcW w:w="3022"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本部门、本单位预算绩效管理领导小组/绩效评价工作小组有关文件盖章的电子版</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实施评价</w:t>
            </w:r>
          </w:p>
          <w:p>
            <w:pPr>
              <w:spacing w:line="300" w:lineRule="exact"/>
              <w:jc w:val="center"/>
              <w:rPr>
                <w:rFonts w:ascii="Times New Roman" w:hAnsi="Times New Roman" w:eastAsia="仿宋_GB2312"/>
                <w:sz w:val="20"/>
                <w:szCs w:val="20"/>
              </w:rPr>
            </w:pP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单位自查</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（10分）</w:t>
            </w:r>
          </w:p>
        </w:tc>
        <w:tc>
          <w:tcPr>
            <w:tcW w:w="5000" w:type="dxa"/>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hint="eastAsia" w:ascii="Times New Roman" w:hAnsi="Times New Roman" w:eastAsia="仿宋_GB2312"/>
                <w:sz w:val="20"/>
                <w:szCs w:val="20"/>
              </w:rPr>
              <w:t>市级</w:t>
            </w:r>
            <w:r>
              <w:rPr>
                <w:rFonts w:ascii="Times New Roman" w:hAnsi="Times New Roman" w:eastAsia="仿宋_GB2312"/>
                <w:sz w:val="20"/>
                <w:szCs w:val="20"/>
              </w:rPr>
              <w:t>预算部门本级和所属单位都要开展绩效自查，转移支付项目单位都要开展绩效自查，</w:t>
            </w:r>
            <w:r>
              <w:rPr>
                <w:rFonts w:hint="eastAsia" w:ascii="Times New Roman" w:hAnsi="Times New Roman" w:eastAsia="仿宋_GB2312"/>
                <w:sz w:val="20"/>
                <w:szCs w:val="20"/>
              </w:rPr>
              <w:t>县、区</w:t>
            </w:r>
            <w:r>
              <w:rPr>
                <w:rFonts w:ascii="Times New Roman" w:hAnsi="Times New Roman" w:eastAsia="仿宋_GB2312"/>
                <w:sz w:val="20"/>
                <w:szCs w:val="20"/>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vAlign w:val="center"/>
          </w:tcPr>
          <w:p>
            <w:pPr>
              <w:numPr>
                <w:ilvl w:val="0"/>
                <w:numId w:val="4"/>
              </w:numPr>
              <w:spacing w:line="300" w:lineRule="exact"/>
              <w:rPr>
                <w:rFonts w:ascii="Times New Roman" w:hAnsi="Times New Roman" w:eastAsia="仿宋_GB2312"/>
                <w:sz w:val="20"/>
                <w:szCs w:val="20"/>
              </w:rPr>
            </w:pPr>
            <w:r>
              <w:rPr>
                <w:rFonts w:ascii="Times New Roman" w:hAnsi="Times New Roman" w:eastAsia="仿宋_GB2312"/>
                <w:sz w:val="20"/>
                <w:szCs w:val="20"/>
              </w:rPr>
              <w:t>转移支付项目单位名称和资</w:t>
            </w:r>
            <w:r>
              <w:rPr>
                <w:rFonts w:hint="eastAsia" w:ascii="Times New Roman" w:hAnsi="Times New Roman" w:eastAsia="仿宋_GB2312"/>
                <w:sz w:val="20"/>
                <w:szCs w:val="20"/>
              </w:rPr>
              <w:t xml:space="preserve"> </w:t>
            </w:r>
            <w:r>
              <w:rPr>
                <w:rFonts w:ascii="Times New Roman" w:hAnsi="Times New Roman" w:eastAsia="仿宋_GB2312"/>
                <w:sz w:val="20"/>
                <w:szCs w:val="20"/>
              </w:rPr>
              <w:t>金情况清单</w:t>
            </w:r>
          </w:p>
          <w:p>
            <w:pPr>
              <w:numPr>
                <w:ilvl w:val="0"/>
                <w:numId w:val="4"/>
              </w:numPr>
              <w:spacing w:line="300" w:lineRule="exact"/>
              <w:rPr>
                <w:rFonts w:ascii="Times New Roman" w:hAnsi="Times New Roman" w:eastAsia="仿宋_GB2312"/>
                <w:sz w:val="20"/>
                <w:szCs w:val="20"/>
              </w:rPr>
            </w:pPr>
            <w:r>
              <w:rPr>
                <w:rFonts w:ascii="Times New Roman" w:hAnsi="Times New Roman" w:eastAsia="仿宋_GB2312"/>
                <w:sz w:val="20"/>
                <w:szCs w:val="20"/>
              </w:rPr>
              <w:t>有转移支付资金的各</w:t>
            </w:r>
            <w:r>
              <w:rPr>
                <w:rFonts w:hint="eastAsia" w:ascii="Times New Roman" w:hAnsi="Times New Roman" w:eastAsia="仿宋_GB2312"/>
                <w:sz w:val="20"/>
                <w:szCs w:val="20"/>
              </w:rPr>
              <w:t>县区</w:t>
            </w:r>
            <w:r>
              <w:rPr>
                <w:rFonts w:ascii="Times New Roman" w:hAnsi="Times New Roman" w:eastAsia="仿宋_GB2312"/>
                <w:sz w:val="20"/>
                <w:szCs w:val="20"/>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提交报告</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（10分）</w:t>
            </w:r>
          </w:p>
        </w:tc>
        <w:tc>
          <w:tcPr>
            <w:tcW w:w="8022" w:type="dxa"/>
            <w:gridSpan w:val="2"/>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按时向</w:t>
            </w:r>
            <w:r>
              <w:rPr>
                <w:rFonts w:hint="eastAsia" w:ascii="Times New Roman" w:hAnsi="Times New Roman" w:eastAsia="仿宋_GB2312"/>
                <w:sz w:val="20"/>
                <w:szCs w:val="20"/>
              </w:rPr>
              <w:t>市财政局</w:t>
            </w:r>
            <w:r>
              <w:rPr>
                <w:rFonts w:ascii="Times New Roman" w:hAnsi="Times New Roman" w:eastAsia="仿宋_GB2312"/>
                <w:sz w:val="20"/>
                <w:szCs w:val="20"/>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自评报告</w:t>
            </w:r>
          </w:p>
          <w:p>
            <w:pPr>
              <w:spacing w:line="300" w:lineRule="exact"/>
              <w:jc w:val="center"/>
              <w:rPr>
                <w:rFonts w:ascii="Times New Roman" w:hAnsi="Times New Roman" w:eastAsia="仿宋_GB2312"/>
                <w:sz w:val="20"/>
                <w:szCs w:val="20"/>
              </w:rPr>
            </w:pP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70分</w:t>
            </w: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完整性</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（15分）</w:t>
            </w:r>
          </w:p>
        </w:tc>
        <w:tc>
          <w:tcPr>
            <w:tcW w:w="8022"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0"/>
                <w:szCs w:val="20"/>
              </w:rPr>
            </w:pPr>
            <w:r>
              <w:rPr>
                <w:rFonts w:ascii="Times New Roman" w:hAnsi="Times New Roman" w:eastAsia="仿宋_GB2312"/>
                <w:sz w:val="20"/>
                <w:szCs w:val="20"/>
              </w:rPr>
              <w:t>1</w:t>
            </w:r>
            <w:r>
              <w:rPr>
                <w:rFonts w:hint="eastAsia" w:ascii="Times New Roman" w:hAnsi="Times New Roman" w:eastAsia="仿宋_GB2312"/>
                <w:sz w:val="20"/>
                <w:szCs w:val="20"/>
              </w:rPr>
              <w:t>.</w:t>
            </w:r>
            <w:r>
              <w:rPr>
                <w:rFonts w:ascii="Times New Roman" w:hAnsi="Times New Roman" w:eastAsia="仿宋_GB2312"/>
                <w:sz w:val="20"/>
                <w:szCs w:val="20"/>
              </w:rPr>
              <w:t>绩效自评报告正文部分内容齐全的，得8分；否则每少一个部分扣2分，最多扣8分。</w:t>
            </w:r>
          </w:p>
          <w:p>
            <w:pPr>
              <w:jc w:val="left"/>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single" w:color="auto" w:sz="4" w:space="0"/>
              <w:left w:val="nil"/>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绩效</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自评表</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8022"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0"/>
                <w:szCs w:val="20"/>
              </w:rPr>
            </w:pPr>
            <w:r>
              <w:rPr>
                <w:rFonts w:ascii="Times New Roman" w:hAnsi="Times New Roman" w:eastAsia="仿宋_GB2312"/>
                <w:sz w:val="20"/>
                <w:szCs w:val="20"/>
              </w:rPr>
              <w:t>1、部门整体支出和项目支出绩效指标反映产出、效益、服务对象满意度方面的指标和预算执行率的权重符合《</w:t>
            </w:r>
            <w:r>
              <w:rPr>
                <w:rFonts w:hint="eastAsia" w:ascii="Times New Roman" w:hAnsi="Times New Roman" w:eastAsia="仿宋_GB2312"/>
                <w:sz w:val="20"/>
                <w:szCs w:val="20"/>
              </w:rPr>
              <w:t>岳阳市市级</w:t>
            </w:r>
            <w:r>
              <w:rPr>
                <w:rFonts w:ascii="Times New Roman" w:hAnsi="Times New Roman" w:eastAsia="仿宋_GB2312"/>
                <w:sz w:val="20"/>
                <w:szCs w:val="20"/>
              </w:rPr>
              <w:t>预算部门绩效自评操作规程》要求的，得5分，否则按比例扣除相应的分数。</w:t>
            </w:r>
          </w:p>
          <w:p>
            <w:pPr>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部门整体支出和项目支出绩效指标全部细化到三级指标的，得5分；部分细化的，酌情扣分；没有细化的，不得分。</w:t>
            </w:r>
          </w:p>
          <w:p>
            <w:pPr>
              <w:jc w:val="left"/>
              <w:rPr>
                <w:rFonts w:ascii="Times New Roman" w:hAnsi="Times New Roman" w:eastAsia="仿宋_GB2312"/>
                <w:sz w:val="20"/>
                <w:szCs w:val="20"/>
              </w:rPr>
            </w:pPr>
            <w:r>
              <w:rPr>
                <w:rFonts w:ascii="Times New Roman" w:hAnsi="Times New Roman" w:eastAsia="仿宋_GB2312"/>
                <w:sz w:val="20"/>
                <w:szCs w:val="20"/>
              </w:rPr>
              <w:t>3</w:t>
            </w:r>
            <w:r>
              <w:rPr>
                <w:rFonts w:hint="eastAsia" w:ascii="Times New Roman" w:hAnsi="Times New Roman" w:eastAsia="仿宋_GB2312"/>
                <w:sz w:val="20"/>
                <w:szCs w:val="20"/>
              </w:rPr>
              <w:t>.</w:t>
            </w:r>
            <w:r>
              <w:rPr>
                <w:rFonts w:ascii="Times New Roman" w:hAnsi="Times New Roman" w:eastAsia="仿宋_GB2312"/>
                <w:sz w:val="20"/>
                <w:szCs w:val="20"/>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pPr>
              <w:jc w:val="center"/>
              <w:rPr>
                <w:rFonts w:ascii="Times New Roman" w:hAnsi="Times New Roman"/>
              </w:rPr>
            </w:pPr>
          </w:p>
          <w:p>
            <w:pPr>
              <w:jc w:val="center"/>
              <w:rPr>
                <w:rFonts w:ascii="Times New Roman" w:hAnsi="Times New Roman" w:eastAsia="仿宋_GB2312"/>
                <w:sz w:val="20"/>
                <w:szCs w:val="20"/>
              </w:rPr>
            </w:pPr>
            <w:r>
              <w:rPr>
                <w:rFonts w:ascii="Times New Roman" w:hAnsi="Times New Roman" w:eastAsia="仿宋_GB2312"/>
                <w:sz w:val="20"/>
                <w:szCs w:val="20"/>
              </w:rPr>
              <w:t>反映问</w:t>
            </w:r>
          </w:p>
          <w:p>
            <w:pPr>
              <w:jc w:val="center"/>
              <w:rPr>
                <w:rFonts w:ascii="Times New Roman" w:hAnsi="Times New Roman" w:eastAsia="仿宋_GB2312"/>
                <w:sz w:val="20"/>
                <w:szCs w:val="20"/>
              </w:rPr>
            </w:pPr>
            <w:r>
              <w:rPr>
                <w:rFonts w:ascii="Times New Roman" w:hAnsi="Times New Roman" w:eastAsia="仿宋_GB2312"/>
                <w:sz w:val="20"/>
                <w:szCs w:val="20"/>
              </w:rPr>
              <w:t>题情况</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8022" w:type="dxa"/>
            <w:gridSpan w:val="2"/>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sz w:val="20"/>
                <w:szCs w:val="20"/>
              </w:rPr>
            </w:pPr>
            <w:r>
              <w:rPr>
                <w:rFonts w:ascii="Times New Roman" w:hAnsi="Times New Roman" w:eastAsia="仿宋_GB2312"/>
                <w:sz w:val="20"/>
                <w:szCs w:val="20"/>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建议情况</w:t>
            </w:r>
          </w:p>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（15分）</w:t>
            </w:r>
          </w:p>
        </w:tc>
        <w:tc>
          <w:tcPr>
            <w:tcW w:w="8022" w:type="dxa"/>
            <w:gridSpan w:val="2"/>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sz w:val="20"/>
                <w:szCs w:val="20"/>
              </w:rPr>
            </w:pPr>
            <w:r>
              <w:rPr>
                <w:rFonts w:ascii="Times New Roman" w:hAnsi="Times New Roman" w:eastAsia="仿宋_GB2312"/>
                <w:sz w:val="20"/>
                <w:szCs w:val="20"/>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合计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100分</w:t>
            </w:r>
          </w:p>
        </w:tc>
        <w:tc>
          <w:tcPr>
            <w:tcW w:w="802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0"/>
                <w:szCs w:val="20"/>
              </w:rPr>
            </w:pPr>
            <w:r>
              <w:rPr>
                <w:rFonts w:ascii="Times New Roman" w:hAnsi="Times New Roman" w:eastAsia="仿宋_GB2312"/>
                <w:sz w:val="20"/>
                <w:szCs w:val="20"/>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E6514"/>
    <w:multiLevelType w:val="singleLevel"/>
    <w:tmpl w:val="C54E6514"/>
    <w:lvl w:ilvl="0" w:tentative="0">
      <w:start w:val="8"/>
      <w:numFmt w:val="chineseCounting"/>
      <w:suff w:val="nothing"/>
      <w:lvlText w:val="%1、"/>
      <w:lvlJc w:val="left"/>
      <w:rPr>
        <w:rFonts w:hint="eastAsia"/>
      </w:rPr>
    </w:lvl>
  </w:abstractNum>
  <w:abstractNum w:abstractNumId="1">
    <w:nsid w:val="F5F838C0"/>
    <w:multiLevelType w:val="singleLevel"/>
    <w:tmpl w:val="F5F838C0"/>
    <w:lvl w:ilvl="0" w:tentative="0">
      <w:start w:val="2"/>
      <w:numFmt w:val="chineseCounting"/>
      <w:suff w:val="nothing"/>
      <w:lvlText w:val="（%1）"/>
      <w:lvlJc w:val="left"/>
      <w:rPr>
        <w:rFonts w:hint="eastAsia"/>
      </w:rPr>
    </w:lvl>
  </w:abstractNum>
  <w:abstractNum w:abstractNumId="2">
    <w:nsid w:val="0BC3D692"/>
    <w:multiLevelType w:val="singleLevel"/>
    <w:tmpl w:val="0BC3D692"/>
    <w:lvl w:ilvl="0" w:tentative="0">
      <w:start w:val="1"/>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033338"/>
    <w:rsid w:val="00B10A06"/>
    <w:rsid w:val="00C12C8F"/>
    <w:rsid w:val="097A0695"/>
    <w:rsid w:val="0C272781"/>
    <w:rsid w:val="13033338"/>
    <w:rsid w:val="15472450"/>
    <w:rsid w:val="1B935C0A"/>
    <w:rsid w:val="22F4651A"/>
    <w:rsid w:val="28B44C81"/>
    <w:rsid w:val="38187BA4"/>
    <w:rsid w:val="4FC767E2"/>
    <w:rsid w:val="564818AC"/>
    <w:rsid w:val="5CCA498F"/>
    <w:rsid w:val="5D870292"/>
    <w:rsid w:val="6B7E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1232</Words>
  <Characters>7024</Characters>
  <Lines>58</Lines>
  <Paragraphs>16</Paragraphs>
  <TotalTime>1</TotalTime>
  <ScaleCrop>false</ScaleCrop>
  <LinksUpToDate>false</LinksUpToDate>
  <CharactersWithSpaces>8240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2023-07-14T13:44:00Z</dcterms:created>
  <dc:creator>付敏</dc:creator>
  <cp:lastModifiedBy>付敏</cp:lastModifiedBy>
  <dcterms:modified xsi:type="dcterms:W3CDTF">2023-07-20T09:17:43Z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F6644A55BF694F4EBBC923F48746F424</vt:lpwstr>
  </property>
</Properties>
</file>