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9962"/>
      </w:tblGrid>
      <w:tr>
        <w:tblPrEx>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jc w:val="center"/>
              <w:textAlignment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kern w:val="0"/>
                <w:sz w:val="36"/>
                <w:szCs w:val="36"/>
                <w:lang w:bidi="ar"/>
              </w:rPr>
              <w:t>岳阳市城市管理行政执法支队2021年度单位预算公开</w:t>
            </w:r>
          </w:p>
        </w:tc>
      </w:tr>
      <w:tr>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szCs w:val="28"/>
              </w:rPr>
            </w:pPr>
          </w:p>
        </w:tc>
      </w:tr>
      <w:tr>
        <w:tblPrEx>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jc w:val="center"/>
              <w:textAlignment w:val="center"/>
              <w:rPr>
                <w:rFonts w:ascii="黑体" w:hAnsi="宋体" w:eastAsia="黑体" w:cs="黑体"/>
                <w:sz w:val="36"/>
                <w:szCs w:val="36"/>
              </w:rPr>
            </w:pPr>
            <w:r>
              <w:rPr>
                <w:rFonts w:hint="eastAsia" w:ascii="黑体" w:hAnsi="宋体" w:eastAsia="黑体" w:cs="黑体"/>
                <w:kern w:val="0"/>
                <w:sz w:val="36"/>
                <w:szCs w:val="36"/>
                <w:lang w:bidi="ar"/>
              </w:rPr>
              <w:t>目录</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numPr>
                <w:ilvl w:val="0"/>
                <w:numId w:val="1"/>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 xml:space="preserve"> 2021年单位预算说明</w:t>
            </w:r>
          </w:p>
          <w:p>
            <w:pPr>
              <w:numPr>
                <w:ilvl w:val="0"/>
                <w:numId w:val="1"/>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 xml:space="preserve"> 单位预算公开表格</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一、收支总表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二、收入总表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三、支出总表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四、支出预算分类汇总表（按政府预算经济分类）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五、支出预算分类汇总表（按部门预算经济分类）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六、财政拨款收支总表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七、一般公共预算支出表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八、一般公共预算基本支出表--人员经费(工资福利支出)(按政府预算经济分类)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九、一般公共预算基本支出表--人员经费(工资福利支出)(按部门预算经济分类)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十、一般公共预算基本支出表--人员经费(对个人和家庭的补助)(按政府预算经济分类)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十一、一般公共预算基本支出表--人员经费(对个人和家庭的补助)（按部门预算经济分类）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十二、一般公共预算基本支出表--公用经费(商品和服务支出)（按政府预算经济分类）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十三、一般公共预算基本支出表--公用经费(商品和服务支出)(按部门预算经济分类)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十四、一般公共预算“三公”经费支出表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十五、政府性基金预算支出表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十六、政府性基金预算支出分类汇总表（按政府预算经济分类）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十七、政府性基金预算支出分类汇总表（按部门预算经济分类）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十八、国有资产经营预算支出表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十九、纳入专户管理的非税收入拨款支出预算表(按政府预算经济分类)</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二十、纳入专户管理的非税收入拨款支出预算表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二十一、支出预算项目明细表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二十二、财政支出项目预算绩效目标申报表</w:t>
            </w:r>
          </w:p>
          <w:p>
            <w:pPr>
              <w:numPr>
                <w:ilvl w:val="0"/>
                <w:numId w:val="0"/>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二十三、部门(单位)整体支出预算绩效目标申报表</w:t>
            </w:r>
          </w:p>
          <w:p>
            <w:pPr>
              <w:numPr>
                <w:ilvl w:val="0"/>
                <w:numId w:val="0"/>
              </w:numPr>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二十四、一般公共预算基本支出总表</w:t>
            </w:r>
          </w:p>
          <w:p>
            <w:pPr>
              <w:numPr>
                <w:ilvl w:val="0"/>
                <w:numId w:val="0"/>
              </w:numPr>
              <w:jc w:val="left"/>
              <w:textAlignment w:val="center"/>
              <w:rPr>
                <w:rFonts w:ascii="仿宋_GB2312" w:hAnsi="宋体" w:cs="仿宋_GB2312"/>
                <w:szCs w:val="28"/>
              </w:rPr>
            </w:pPr>
            <w:r>
              <w:rPr>
                <w:rFonts w:hint="eastAsia" w:ascii="仿宋_GB2312" w:hAnsi="宋体" w:cs="仿宋_GB2312"/>
                <w:kern w:val="0"/>
                <w:szCs w:val="28"/>
                <w:lang w:bidi="ar"/>
              </w:rPr>
              <w:t>注：以上单位预算公开报表中，空表表示本单位无相关收支情况。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szCs w:val="28"/>
              </w:rPr>
            </w:pP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szCs w:val="28"/>
              </w:rPr>
            </w:pPr>
          </w:p>
        </w:tc>
      </w:tr>
      <w:tr>
        <w:tblPrEx>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jc w:val="center"/>
              <w:textAlignment w:val="center"/>
              <w:rPr>
                <w:rFonts w:ascii="黑体" w:hAnsi="宋体" w:eastAsia="黑体" w:cs="黑体"/>
                <w:sz w:val="36"/>
                <w:szCs w:val="36"/>
              </w:rPr>
            </w:pPr>
            <w:r>
              <w:rPr>
                <w:rFonts w:hint="eastAsia" w:ascii="黑体" w:hAnsi="宋体" w:eastAsia="黑体" w:cs="黑体"/>
                <w:kern w:val="0"/>
                <w:sz w:val="36"/>
                <w:szCs w:val="36"/>
                <w:lang w:bidi="ar"/>
              </w:rPr>
              <w:t>第一部分    2021年单位预算说明</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szCs w:val="28"/>
              </w:rPr>
            </w:pPr>
            <w:r>
              <w:rPr>
                <w:rFonts w:hint="eastAsia" w:ascii="黑体" w:hAnsi="宋体" w:eastAsia="黑体" w:cs="黑体"/>
                <w:kern w:val="0"/>
                <w:szCs w:val="28"/>
                <w:lang w:bidi="ar"/>
              </w:rPr>
              <w:t xml:space="preserve">    一、单位基本概况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（一）职能职责</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r>
              <w:rPr>
                <w:rFonts w:hint="eastAsia" w:ascii="仿宋_GB2312" w:hAnsi="宋体" w:cs="仿宋_GB2312"/>
                <w:kern w:val="0"/>
                <w:szCs w:val="28"/>
                <w:lang w:bidi="ar"/>
              </w:rPr>
              <w:t xml:space="preserve">    </w:t>
            </w:r>
            <w:r>
              <w:rPr>
                <w:rFonts w:hint="eastAsia"/>
              </w:rPr>
              <w:t>岳阳市城管综合行政执法支队以市城管局名义对外开展行政执法活动，在履行职责过程中坚持和加强党对城市管理综合行政执法工作的集中统一领导。主要职责是：</w:t>
            </w:r>
          </w:p>
          <w:p>
            <w:r>
              <w:rPr>
                <w:rFonts w:hint="eastAsia"/>
              </w:rPr>
              <w:t>　　1、贯彻执行国家有关城市管理方面的法律法规规章和政策规定；代拟城市管理综合行政执法工作方面的规范性文件、总体规划和年度计划，并组织实施。</w:t>
            </w:r>
          </w:p>
          <w:p>
            <w:r>
              <w:rPr>
                <w:rFonts w:hint="eastAsia"/>
              </w:rPr>
              <w:t>　　2、负责行使市本级管理权限范围内市政公用设施运行管理、市容环境卫生管理、园林绿化管理、城镇燃气管理、禁止燃放烟花爆竹等城市管理方面的行政处罚权及相应的行政强制权。</w:t>
            </w:r>
          </w:p>
          <w:p>
            <w:r>
              <w:rPr>
                <w:rFonts w:hint="eastAsia"/>
              </w:rPr>
              <w:t>　　3、负责逐步全面行使市本级管理权限范围内住房和城乡建设领域法律法规规章规定的行政处罚权及相应的行政强制权。</w:t>
            </w:r>
          </w:p>
          <w:p>
            <w:r>
              <w:rPr>
                <w:rFonts w:hint="eastAsia"/>
              </w:rPr>
              <w:t>　　4、负责行使市本级管理权限范围内向城市河道和水域倾倒废弃物和垃圾及违规取土、城市河道和水域违法建（构）筑物拆除等水利管理方面的行政处罚权及相应的行政强制权。</w:t>
            </w:r>
          </w:p>
          <w:p>
            <w:r>
              <w:rPr>
                <w:rFonts w:hint="eastAsia"/>
              </w:rPr>
              <w:t>　　5、负责行使市本级管理权限范围内社会生活噪声污染、建筑施工噪声污染、建筑施工扬尘污染、餐饮服务业油烟污染、露天烧烤污染、城市焚烧沥青塑料垃圾等烟尘和恶臭污染、露天焚烧秸秆落叶等烟尘污染、燃放烟花爆竹污染等生态环境保护管理方面的行政处罚权及相应的行政强制权。</w:t>
            </w:r>
          </w:p>
          <w:p>
            <w:r>
              <w:rPr>
                <w:rFonts w:hint="eastAsia"/>
              </w:rPr>
              <w:t>　　6、负责行使市本级管理权限范围内户外公共场所无照经营、食品销售和餐饮摊点无证经营，以及户外违法回收贩卖药品、违规设置户外广告等市场监督管理方面的行政处罚权及相应的行政强制权。</w:t>
            </w:r>
          </w:p>
          <w:p>
            <w:r>
              <w:rPr>
                <w:rFonts w:hint="eastAsia"/>
              </w:rPr>
              <w:t>　　7、负责行使市本级管理权限范围内侵占城市道路、违法停放车辆等公安交通管理方面的行政处罚权及相应的行政强制权。</w:t>
            </w:r>
          </w:p>
          <w:p>
            <w:r>
              <w:rPr>
                <w:rFonts w:hint="eastAsia"/>
              </w:rPr>
              <w:t>　　8、负责行使《湖南省人民政府关于调整岳阳火车站地区相对集中行政处罚权工作的批复》（湘政函〔2016〕22号）确定的行政处罚权及相应的行政强制权。</w:t>
            </w:r>
          </w:p>
          <w:p>
            <w:r>
              <w:rPr>
                <w:rFonts w:hint="eastAsia"/>
              </w:rPr>
              <w:t>　　9、负责全市城市管理综合行政执法跨区域及重大复杂违法违规案件的查处。</w:t>
            </w:r>
          </w:p>
          <w:p>
            <w:r>
              <w:rPr>
                <w:rFonts w:hint="eastAsia"/>
              </w:rPr>
              <w:t>　　10、负责市本级管理权限范围内“牛皮癣”的治理和清除；负责市本级管理权限范围内“门前三包”及岳阳楼区、云溪区、君山区、岳阳经济技术开发区、城陵矶新港区、南湖新区燃放烟花爆竹的指导、监督、考核工作。</w:t>
            </w:r>
          </w:p>
          <w:p>
            <w:pPr>
              <w:rPr>
                <w:rFonts w:ascii="仿宋_GB2312" w:hAnsi="宋体" w:cs="仿宋_GB2312"/>
                <w:szCs w:val="28"/>
              </w:rPr>
            </w:pPr>
            <w:r>
              <w:rPr>
                <w:rFonts w:hint="eastAsia"/>
              </w:rPr>
              <w:t>　　11、完成市委、市政府和市城管局交办的其他任务。</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（二）机构设置</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r>
              <w:rPr>
                <w:rFonts w:hint="eastAsia" w:ascii="仿宋_GB2312" w:hAnsi="宋体" w:cs="仿宋_GB2312"/>
                <w:kern w:val="0"/>
                <w:szCs w:val="28"/>
                <w:lang w:bidi="ar"/>
              </w:rPr>
              <w:t xml:space="preserve">    </w:t>
            </w:r>
            <w:r>
              <w:rPr>
                <w:rFonts w:hint="eastAsia"/>
              </w:rPr>
              <w:t>市城管综合执法支队设下列内设机构（规格为副科级）：办公室、人事科、财务科、安全科、协调科、信访科、宣传教育科、党委办公室、离退休人员管理服务科。</w:t>
            </w:r>
          </w:p>
          <w:p>
            <w:pPr>
              <w:jc w:val="left"/>
              <w:textAlignment w:val="center"/>
              <w:rPr>
                <w:rFonts w:ascii="仿宋_GB2312" w:hAnsi="宋体" w:cs="仿宋_GB2312"/>
                <w:szCs w:val="28"/>
              </w:rPr>
            </w:pPr>
            <w:r>
              <w:rPr>
                <w:rFonts w:hint="eastAsia"/>
              </w:rPr>
              <w:t>　　市城管综合执法支队设下列直属机构（规格为正科级）：直属一大队、直属二大队、建设工程执法大队、房地产执法大队、城镇燃气和禁炮执法大队、火车站地区综合执法大队（岳阳火车站地区管理办公室）、机动应急执法大队、执法督察大队、法制大队、行政处罚中心、信息指挥中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numPr>
                <w:ilvl w:val="0"/>
                <w:numId w:val="2"/>
              </w:numPr>
              <w:ind w:left="560" w:leftChars="0" w:firstLine="0" w:firstLineChars="0"/>
              <w:jc w:val="left"/>
              <w:textAlignment w:val="center"/>
              <w:rPr>
                <w:rFonts w:hint="eastAsia" w:ascii="黑体" w:hAnsi="宋体" w:eastAsia="黑体" w:cs="黑体"/>
                <w:kern w:val="0"/>
                <w:szCs w:val="28"/>
                <w:lang w:bidi="ar"/>
              </w:rPr>
            </w:pPr>
            <w:r>
              <w:rPr>
                <w:rFonts w:hint="eastAsia" w:ascii="黑体" w:hAnsi="宋体" w:eastAsia="黑体" w:cs="黑体"/>
                <w:kern w:val="0"/>
                <w:szCs w:val="28"/>
                <w:lang w:bidi="ar"/>
              </w:rPr>
              <w:t>单位收支总体情况</w:t>
            </w:r>
          </w:p>
          <w:p>
            <w:pPr>
              <w:numPr>
                <w:ilvl w:val="0"/>
                <w:numId w:val="0"/>
              </w:numPr>
              <w:ind w:left="560" w:leftChars="0"/>
              <w:jc w:val="left"/>
              <w:textAlignment w:val="center"/>
              <w:rPr>
                <w:rFonts w:hint="eastAsia" w:ascii="仿宋_GB2312" w:hAnsi="仿宋_GB2312" w:eastAsia="仿宋_GB2312" w:cs="仿宋_GB2312"/>
                <w:b w:val="0"/>
                <w:bCs w:val="0"/>
                <w:kern w:val="0"/>
                <w:szCs w:val="28"/>
                <w:lang w:bidi="ar"/>
              </w:rPr>
            </w:pPr>
            <w:r>
              <w:rPr>
                <w:rFonts w:hint="eastAsia" w:ascii="仿宋_GB2312" w:hAnsi="仿宋_GB2312" w:eastAsia="仿宋_GB2312" w:cs="仿宋_GB2312"/>
                <w:b w:val="0"/>
                <w:bCs w:val="0"/>
                <w:kern w:val="0"/>
                <w:szCs w:val="28"/>
                <w:lang w:bidi="ar"/>
              </w:rPr>
              <w:t>本单位为二级预算单位，没有预算独立、财务独立核算的下属预算单位，因</w:t>
            </w:r>
          </w:p>
          <w:p>
            <w:pPr>
              <w:numPr>
                <w:ilvl w:val="0"/>
                <w:numId w:val="0"/>
              </w:numPr>
              <w:jc w:val="left"/>
              <w:textAlignment w:val="center"/>
              <w:rPr>
                <w:rFonts w:hint="eastAsia" w:ascii="黑体" w:hAnsi="宋体" w:eastAsia="黑体" w:cs="黑体"/>
                <w:kern w:val="0"/>
                <w:szCs w:val="28"/>
                <w:lang w:val="en-US" w:eastAsia="zh-CN" w:bidi="ar"/>
              </w:rPr>
            </w:pPr>
            <w:r>
              <w:rPr>
                <w:rFonts w:hint="eastAsia" w:ascii="仿宋_GB2312" w:hAnsi="仿宋_GB2312" w:eastAsia="仿宋_GB2312" w:cs="仿宋_GB2312"/>
                <w:b w:val="0"/>
                <w:bCs w:val="0"/>
                <w:kern w:val="0"/>
                <w:szCs w:val="28"/>
                <w:lang w:bidi="ar"/>
              </w:rPr>
              <w:t>此纳入2021年部门预算公开范围的为本单位本级预算</w:t>
            </w:r>
            <w:r>
              <w:rPr>
                <w:rFonts w:hint="eastAsia" w:ascii="仿宋_GB2312" w:hAnsi="仿宋_GB2312" w:eastAsia="仿宋_GB2312" w:cs="仿宋_GB2312"/>
                <w:b w:val="0"/>
                <w:bCs w:val="0"/>
                <w:kern w:val="0"/>
                <w:szCs w:val="28"/>
                <w:lang w:eastAsia="zh-CN" w:bidi="ar"/>
              </w:rPr>
              <w:t>。</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hint="eastAsia" w:ascii="仿宋_GB2312" w:hAnsi="宋体" w:eastAsia="仿宋_GB2312" w:cs="仿宋_GB2312"/>
                <w:kern w:val="0"/>
                <w:szCs w:val="28"/>
                <w:lang w:eastAsia="zh-CN" w:bidi="ar"/>
              </w:rPr>
            </w:pPr>
            <w:r>
              <w:rPr>
                <w:rFonts w:hint="eastAsia" w:ascii="仿宋_GB2312" w:hAnsi="宋体" w:cs="仿宋_GB2312"/>
                <w:kern w:val="0"/>
                <w:szCs w:val="28"/>
                <w:lang w:bidi="ar"/>
              </w:rPr>
              <w:t xml:space="preserve">    （一）收入预算</w:t>
            </w:r>
          </w:p>
          <w:p>
            <w:pPr>
              <w:jc w:val="left"/>
              <w:textAlignment w:val="center"/>
              <w:rPr>
                <w:rFonts w:ascii="仿宋_GB2312" w:hAnsi="宋体" w:cs="仿宋_GB2312"/>
                <w:szCs w:val="28"/>
              </w:rPr>
            </w:pPr>
            <w:r>
              <w:rPr>
                <w:rFonts w:hint="eastAsia" w:ascii="仿宋_GB2312" w:hAnsi="宋体" w:cs="仿宋_GB2312"/>
                <w:kern w:val="0"/>
                <w:szCs w:val="28"/>
                <w:lang w:bidi="ar"/>
              </w:rPr>
              <w:t xml:space="preserve">    包括一般公共预算、政府性基金、国有资本经营预算等财政拨款收入，以及经营收入、事业收入等单位资金。</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本单位收入预算3,029.36万元，其中，一般公共预算拨款3,029.36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收入较去年减少28.78万元，降幅0.9%，原因是</w:t>
            </w:r>
            <w:r>
              <w:rPr>
                <w:rFonts w:hint="eastAsia"/>
              </w:rPr>
              <w:t>人员减少。</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（二）支出预算</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2021年本单位支出预算3,029.36万元，其中，社会保障和就业支出151.69万元，卫生健康支出98.37万元，城乡社区支出2,675.81万元，住房保障支出103.49万元。</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支出较去年减少28.78万元，其中基本支出较去年减少50.78万元，原因是</w:t>
            </w:r>
            <w:r>
              <w:rPr>
                <w:rFonts w:hint="eastAsia"/>
              </w:rPr>
              <w:t>人员减少</w:t>
            </w:r>
            <w:r>
              <w:rPr>
                <w:rFonts w:hint="eastAsia" w:ascii="仿宋_GB2312" w:hAnsi="宋体" w:cs="仿宋_GB2312"/>
                <w:kern w:val="0"/>
                <w:szCs w:val="28"/>
                <w:lang w:bidi="ar"/>
              </w:rPr>
              <w:t>和厉行节约；项目支出较去年增加22万元，原因是</w:t>
            </w:r>
            <w:r>
              <w:rPr>
                <w:rFonts w:hint="eastAsia"/>
              </w:rPr>
              <w:t>协管员人数增加和非税收入征收计划增加</w:t>
            </w:r>
            <w:r>
              <w:rPr>
                <w:rFonts w:hint="eastAsia" w:ascii="仿宋_GB2312" w:hAnsi="宋体" w:cs="仿宋_GB2312"/>
                <w:kern w:val="0"/>
                <w:szCs w:val="28"/>
                <w:lang w:bidi="ar"/>
              </w:rPr>
              <w:t>。</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szCs w:val="28"/>
              </w:rPr>
            </w:pPr>
            <w:r>
              <w:rPr>
                <w:rFonts w:hint="eastAsia" w:ascii="黑体" w:hAnsi="宋体" w:eastAsia="黑体" w:cs="黑体"/>
                <w:kern w:val="0"/>
                <w:szCs w:val="28"/>
                <w:lang w:bidi="ar"/>
              </w:rPr>
              <w:t xml:space="preserve">    三、一般公共预算拨款支出预算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2021年一般公共预算拨款支出预算3,029.36万元，其中，社会保障和就业支出151.69万元，占5.0%，卫生健康支出98.37万元，占3.2%，城乡社区支出2,675.81万元，占88.3%，住房保障支出103.49万元，占3.4%。具体安排情况如下：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一）基本支出：2021年基本支出年初预算数为1,512.36万元，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二）项目支出：2021年项目支出年初预算数为1,517.00万元，是指单位为完成特定行政工作任务或事业发展目标而发生的支出，包括有关业务工作经费、运行维护经费等。其中包括办案费79.00万元、城区新增路段管理经费25.00万元、琵琶王立交桥维护管理经费4.00万元、协管员人员经费844.00万元、基建场地污染源整治经费10.00万元、岳阳大道地下通道管理经费20.00万元、执法证件培训年检经费5.00万元、执法巡逻车辆补助40.00万元、夜市整治经费20.00万元、城管“三班制”执勤工作经费178.00万元等。</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szCs w:val="28"/>
              </w:rPr>
            </w:pPr>
            <w:r>
              <w:rPr>
                <w:rFonts w:hint="eastAsia" w:ascii="黑体" w:hAnsi="宋体" w:eastAsia="黑体" w:cs="黑体"/>
                <w:kern w:val="0"/>
                <w:szCs w:val="28"/>
                <w:lang w:bidi="ar"/>
              </w:rPr>
              <w:t xml:space="preserve">    四、政府性基金预算支出</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2021年度本单位无政府性基金安排的支出，所以公开的附件15-17为空。</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szCs w:val="28"/>
              </w:rPr>
            </w:pPr>
            <w:r>
              <w:rPr>
                <w:rFonts w:hint="eastAsia" w:ascii="黑体" w:hAnsi="宋体" w:eastAsia="黑体" w:cs="黑体"/>
                <w:kern w:val="0"/>
                <w:szCs w:val="28"/>
                <w:lang w:bidi="ar"/>
              </w:rPr>
              <w:t xml:space="preserve">    五、其他重要事项的情况说明</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lang w:bidi="ar"/>
              </w:rPr>
              <w:t xml:space="preserve">    （一）机关运行经费</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本单位2021年机关运行经费当年一般公共预算拨款290.43万元。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szCs w:val="28"/>
              </w:rPr>
            </w:pPr>
            <w:r>
              <w:rPr>
                <w:rFonts w:hint="eastAsia" w:ascii="仿宋_GB2312" w:hAnsi="宋体" w:cs="仿宋_GB2312"/>
                <w:kern w:val="0"/>
                <w:szCs w:val="28"/>
                <w:lang w:bidi="ar"/>
              </w:rPr>
              <w:t xml:space="preserve">    较去年减少12.92万元，降幅4.3%，原因是</w:t>
            </w:r>
            <w:r>
              <w:rPr>
                <w:rFonts w:hint="eastAsia"/>
              </w:rPr>
              <w:t>人员减少</w:t>
            </w:r>
            <w:r>
              <w:rPr>
                <w:rFonts w:hint="eastAsia" w:ascii="仿宋_GB2312" w:hAnsi="宋体" w:cs="仿宋_GB2312"/>
                <w:kern w:val="0"/>
                <w:szCs w:val="28"/>
                <w:lang w:bidi="ar"/>
              </w:rPr>
              <w:t>和厉行节约。</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lang w:bidi="ar"/>
              </w:rPr>
              <w:t xml:space="preserve">    （二）“三公”经费预算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本单位2021年“三公”经费预算数</w:t>
            </w:r>
            <w:r>
              <w:rPr>
                <w:rFonts w:hint="eastAsia" w:ascii="仿宋_GB2312" w:hAnsi="宋体" w:cs="仿宋_GB2312"/>
                <w:kern w:val="0"/>
                <w:szCs w:val="28"/>
                <w:lang w:val="en-US" w:eastAsia="zh-CN" w:bidi="ar"/>
              </w:rPr>
              <w:t>42</w:t>
            </w:r>
            <w:r>
              <w:rPr>
                <w:rFonts w:hint="eastAsia" w:ascii="仿宋_GB2312" w:hAnsi="宋体" w:cs="仿宋_GB2312"/>
                <w:kern w:val="0"/>
                <w:szCs w:val="28"/>
                <w:lang w:bidi="ar"/>
              </w:rPr>
              <w:t>.00万元，其中公务接待费6.00万元，因公出国（境）费0.00万元，公务用车购置及运行费等</w:t>
            </w:r>
            <w:r>
              <w:rPr>
                <w:rFonts w:hint="eastAsia" w:ascii="仿宋_GB2312" w:hAnsi="宋体" w:cs="仿宋_GB2312"/>
                <w:kern w:val="0"/>
                <w:szCs w:val="28"/>
                <w:lang w:val="en-US" w:eastAsia="zh-CN" w:bidi="ar"/>
              </w:rPr>
              <w:t>36</w:t>
            </w:r>
            <w:r>
              <w:rPr>
                <w:rFonts w:hint="eastAsia" w:ascii="仿宋_GB2312" w:hAnsi="宋体" w:cs="仿宋_GB2312"/>
                <w:kern w:val="0"/>
                <w:szCs w:val="28"/>
                <w:lang w:bidi="ar"/>
              </w:rPr>
              <w:t>.00万元（其中公务用车购置0.00万元，公务用车运行维护费36.00万元）。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比上一年减少</w:t>
            </w:r>
            <w:r>
              <w:rPr>
                <w:rFonts w:hint="eastAsia" w:ascii="仿宋_GB2312" w:hAnsi="宋体" w:cs="仿宋_GB2312"/>
                <w:kern w:val="0"/>
                <w:szCs w:val="28"/>
                <w:lang w:val="en-US" w:eastAsia="zh-CN" w:bidi="ar"/>
              </w:rPr>
              <w:t>8</w:t>
            </w:r>
            <w:r>
              <w:rPr>
                <w:rFonts w:hint="eastAsia" w:ascii="仿宋_GB2312" w:hAnsi="宋体" w:cs="仿宋_GB2312"/>
                <w:kern w:val="0"/>
                <w:szCs w:val="28"/>
                <w:lang w:bidi="ar"/>
              </w:rPr>
              <w:t>万元，降低</w:t>
            </w:r>
            <w:r>
              <w:rPr>
                <w:rFonts w:hint="eastAsia" w:ascii="仿宋_GB2312" w:hAnsi="宋体" w:cs="仿宋_GB2312"/>
                <w:kern w:val="0"/>
                <w:szCs w:val="28"/>
                <w:lang w:val="en-US" w:eastAsia="zh-CN" w:bidi="ar"/>
              </w:rPr>
              <w:t>16</w:t>
            </w:r>
            <w:r>
              <w:rPr>
                <w:rFonts w:hint="eastAsia" w:ascii="仿宋_GB2312" w:hAnsi="宋体" w:cs="仿宋_GB2312"/>
                <w:kern w:val="0"/>
                <w:szCs w:val="28"/>
                <w:lang w:bidi="ar"/>
              </w:rPr>
              <w:t>%，主要原因是厉行节约，压缩开支。</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lang w:bidi="ar"/>
              </w:rPr>
              <w:t xml:space="preserve">    （三）一般性支出情况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2021年度本单位未计划召开会议；培训费预算7.05万元，拟开展</w:t>
            </w:r>
            <w:r>
              <w:rPr>
                <w:rFonts w:hint="eastAsia"/>
              </w:rPr>
              <w:t>2次培训，人数167人，内容为执法证件换证考试培训、行政处罚法等行政执法类法律法规培训。</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2021年度本单位未计划举办节庆、晚会、论坛、赛事活动。</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lang w:bidi="ar"/>
              </w:rPr>
              <w:t xml:space="preserve">    （四）政府采购情况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本单位2021年政府采购预算总额</w:t>
            </w:r>
            <w:r>
              <w:rPr>
                <w:rFonts w:hint="eastAsia"/>
              </w:rPr>
              <w:t>470万元，其中工程类35万元，货物类213万元，服务类222万元。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lang w:bidi="ar"/>
              </w:rPr>
              <w:t xml:space="preserve">    （五）国有资产占有使用及新增资产配置情况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截至上一年12月底，本单位共有车辆45辆，其中领导干部用车0辆，机要通信车1 辆，执法执勤车10辆，电动巡逻车34 辆。单位价值50万元以上通用设备0台，单位价值100万元以上专用设备0台。</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hint="eastAsia" w:ascii="仿宋_GB2312" w:hAnsi="宋体" w:eastAsia="仿宋_GB2312" w:cs="仿宋_GB2312"/>
                <w:kern w:val="0"/>
                <w:szCs w:val="28"/>
                <w:lang w:eastAsia="zh-CN" w:bidi="ar"/>
              </w:rPr>
            </w:pPr>
            <w:r>
              <w:rPr>
                <w:rFonts w:hint="eastAsia" w:ascii="仿宋_GB2312" w:hAnsi="宋体" w:cs="仿宋_GB2312"/>
                <w:kern w:val="0"/>
                <w:szCs w:val="28"/>
                <w:lang w:bidi="ar"/>
              </w:rPr>
              <w:t xml:space="preserve">    2021年拟报废处置执法执勤车4辆，拟新增配置车辆4辆，其中领导干部用车0辆，一般公务用车0辆，其他用车4辆（</w:t>
            </w:r>
            <w:r>
              <w:rPr>
                <w:rFonts w:hint="eastAsia"/>
              </w:rPr>
              <w:t>电动巡逻车</w:t>
            </w:r>
            <w:r>
              <w:rPr>
                <w:rFonts w:hint="eastAsia" w:ascii="仿宋_GB2312" w:hAnsi="宋体" w:cs="仿宋_GB2312"/>
                <w:kern w:val="0"/>
                <w:szCs w:val="28"/>
                <w:lang w:bidi="ar"/>
              </w:rPr>
              <w:t>），主要用于</w:t>
            </w:r>
            <w:r>
              <w:rPr>
                <w:rFonts w:hint="eastAsia"/>
              </w:rPr>
              <w:t>城管执法巡逻，资金来源为财政拨款</w:t>
            </w:r>
            <w:r>
              <w:rPr>
                <w:rFonts w:hint="eastAsia" w:ascii="仿宋_GB2312" w:hAnsi="宋体" w:cs="仿宋_GB2312"/>
                <w:kern w:val="0"/>
                <w:szCs w:val="28"/>
                <w:lang w:bidi="ar"/>
              </w:rPr>
              <w:t>。</w:t>
            </w:r>
          </w:p>
          <w:p>
            <w:pPr>
              <w:jc w:val="left"/>
              <w:textAlignment w:val="center"/>
              <w:rPr>
                <w:rFonts w:ascii="仿宋_GB2312" w:hAnsi="宋体" w:cs="仿宋_GB2312"/>
                <w:szCs w:val="28"/>
              </w:rPr>
            </w:pPr>
            <w:r>
              <w:rPr>
                <w:rFonts w:hint="eastAsia" w:ascii="仿宋_GB2312" w:hAnsi="宋体" w:cs="仿宋_GB2312"/>
                <w:kern w:val="0"/>
                <w:szCs w:val="28"/>
                <w:lang w:bidi="ar"/>
              </w:rPr>
              <w:t xml:space="preserve">    2021年拟新增配备单位价值50万元以上通用设备0台，单位价值100万元以上专用设备0台。</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lang w:bidi="ar"/>
              </w:rPr>
              <w:t xml:space="preserve">    （六）预算绩效目标说明</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lang w:bidi="ar"/>
              </w:rPr>
              <w:t xml:space="preserve">    本单位所有支出实行绩效目标管理。纳入2021年单位整体支出绩效目标的金额为3,029.36万元，其中，基本支出1,512.36万元，项目支出1,517.00万元，绩效目标详见文尾附表中预算公开表格的表22-23。</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szCs w:val="28"/>
              </w:rPr>
            </w:pPr>
            <w:r>
              <w:rPr>
                <w:rFonts w:hint="eastAsia" w:ascii="黑体" w:hAnsi="宋体" w:eastAsia="黑体" w:cs="黑体"/>
                <w:kern w:val="0"/>
                <w:szCs w:val="28"/>
                <w:lang w:bidi="ar"/>
              </w:rPr>
              <w:t xml:space="preserve">    六、名词解释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jc w:val="left"/>
              <w:textAlignment w:val="center"/>
              <w:rPr>
                <w:rFonts w:hint="eastAsia" w:ascii="仿宋_GB2312" w:hAnsi="宋体" w:eastAsia="仿宋_GB2312" w:cs="仿宋_GB2312"/>
                <w:kern w:val="0"/>
                <w:szCs w:val="28"/>
                <w:lang w:eastAsia="zh-CN" w:bidi="ar"/>
              </w:rPr>
            </w:pPr>
            <w:r>
              <w:rPr>
                <w:rFonts w:hint="eastAsia" w:ascii="仿宋_GB2312" w:hAnsi="宋体" w:cs="仿宋_GB2312"/>
                <w:kern w:val="0"/>
                <w:szCs w:val="28"/>
                <w:lang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jc w:val="left"/>
              <w:textAlignment w:val="center"/>
              <w:rPr>
                <w:rFonts w:ascii="仿宋_GB2312" w:hAnsi="宋体" w:cs="仿宋_GB2312"/>
                <w:szCs w:val="28"/>
              </w:rPr>
            </w:pPr>
            <w:r>
              <w:rPr>
                <w:rFonts w:hint="eastAsia" w:ascii="仿宋_GB2312" w:hAnsi="宋体" w:cs="仿宋_GB2312"/>
                <w:kern w:val="0"/>
                <w:szCs w:val="28"/>
                <w:lang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szCs w:val="28"/>
              </w:rPr>
            </w:pP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szCs w:val="28"/>
              </w:rPr>
            </w:pPr>
          </w:p>
        </w:tc>
      </w:tr>
      <w:tr>
        <w:tblPrEx>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jc w:val="center"/>
              <w:textAlignment w:val="center"/>
              <w:rPr>
                <w:rFonts w:ascii="黑体" w:hAnsi="宋体" w:eastAsia="黑体" w:cs="黑体"/>
                <w:sz w:val="36"/>
                <w:szCs w:val="36"/>
              </w:rPr>
            </w:pPr>
            <w:r>
              <w:rPr>
                <w:rFonts w:hint="eastAsia" w:ascii="黑体" w:hAnsi="宋体" w:eastAsia="黑体" w:cs="黑体"/>
                <w:kern w:val="0"/>
                <w:sz w:val="36"/>
                <w:szCs w:val="36"/>
                <w:lang w:bidi="ar"/>
              </w:rPr>
              <w:t>第二部分  单位预算公开表格</w:t>
            </w:r>
          </w:p>
        </w:tc>
      </w:tr>
      <w:tr>
        <w:tblPrEx>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收支总表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收入总表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支出总表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支出预算分类汇总表（按政府预算经济分类）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支出预算分类汇总表（按部门预算经济分类）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财政拨款收支总表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一般公共预算支出表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一般公共预算基本支出表--人员经费(工资福利支出)(按政府预算经济分类)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一般公共预算基本支出表--人员经费(工资福利支出)(按部门预算经济分类)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一般公共预算基本支出表--人员经费(对个人和家庭的补助)(按政府预算经济分类)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一般公共预算基本支出表--人员经费(对个人和家庭的补助)（按部门预算经济分类）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一般公共预算基本支出表--公用经费(商品和服务支出)（按政府预算经济分类）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一般公共预算基本支出表--公用经费(商品和服务支出)(按部门预算经济分类)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一般公共预算“三公”经费支出表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政府性基金预算支出表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政府性基金预算支出分类汇总表（按政府预算经济分类）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政府性基金预算支出分类汇总表（按部门预算经济分类）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国有资产经营预算支出表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纳入专户管理的非税收入拨款支出预算表(按政府预算经济分类)</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纳入专户管理的非税收入拨款支出预算表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支出预算项目明细表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财政支出项目预算绩效目标申报表</w:t>
            </w:r>
          </w:p>
          <w:p>
            <w:pPr>
              <w:numPr>
                <w:ilvl w:val="0"/>
                <w:numId w:val="3"/>
              </w:numPr>
              <w:jc w:val="left"/>
              <w:textAlignment w:val="center"/>
              <w:rPr>
                <w:rFonts w:hint="eastAsia" w:ascii="仿宋_GB2312" w:hAnsi="宋体" w:cs="仿宋_GB2312"/>
                <w:kern w:val="0"/>
                <w:szCs w:val="28"/>
                <w:lang w:bidi="ar"/>
              </w:rPr>
            </w:pPr>
            <w:r>
              <w:rPr>
                <w:rFonts w:hint="eastAsia" w:ascii="仿宋_GB2312" w:hAnsi="宋体" w:cs="仿宋_GB2312"/>
                <w:kern w:val="0"/>
                <w:szCs w:val="28"/>
                <w:lang w:bidi="ar"/>
              </w:rPr>
              <w:t>部门(单位)整体支出预算绩效目标申报表</w:t>
            </w:r>
            <w:bookmarkStart w:id="0" w:name="_GoBack"/>
            <w:bookmarkEnd w:id="0"/>
          </w:p>
          <w:p>
            <w:pPr>
              <w:numPr>
                <w:ilvl w:val="0"/>
                <w:numId w:val="0"/>
              </w:numPr>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二十四、一般公共预算基本支出总表</w:t>
            </w:r>
          </w:p>
          <w:p>
            <w:pPr>
              <w:numPr>
                <w:ilvl w:val="0"/>
                <w:numId w:val="0"/>
              </w:numPr>
              <w:jc w:val="left"/>
              <w:textAlignment w:val="center"/>
              <w:rPr>
                <w:rFonts w:ascii="仿宋_GB2312" w:hAnsi="宋体" w:cs="仿宋_GB2312"/>
                <w:szCs w:val="28"/>
              </w:rPr>
            </w:pPr>
            <w:r>
              <w:rPr>
                <w:rFonts w:hint="eastAsia" w:ascii="仿宋_GB2312" w:hAnsi="宋体" w:cs="仿宋_GB2312"/>
                <w:kern w:val="0"/>
                <w:szCs w:val="28"/>
                <w:lang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F58CE"/>
    <w:multiLevelType w:val="singleLevel"/>
    <w:tmpl w:val="8F9F58CE"/>
    <w:lvl w:ilvl="0" w:tentative="0">
      <w:start w:val="1"/>
      <w:numFmt w:val="chineseCounting"/>
      <w:suff w:val="nothing"/>
      <w:lvlText w:val="%1、"/>
      <w:lvlJc w:val="left"/>
      <w:rPr>
        <w:rFonts w:hint="eastAsia"/>
      </w:rPr>
    </w:lvl>
  </w:abstractNum>
  <w:abstractNum w:abstractNumId="1">
    <w:nsid w:val="08D26C9F"/>
    <w:multiLevelType w:val="singleLevel"/>
    <w:tmpl w:val="08D26C9F"/>
    <w:lvl w:ilvl="0" w:tentative="0">
      <w:start w:val="1"/>
      <w:numFmt w:val="chineseCounting"/>
      <w:suff w:val="space"/>
      <w:lvlText w:val="第%1部分"/>
      <w:lvlJc w:val="left"/>
      <w:rPr>
        <w:rFonts w:hint="eastAsia"/>
      </w:rPr>
    </w:lvl>
  </w:abstractNum>
  <w:abstractNum w:abstractNumId="2">
    <w:nsid w:val="0EFDB958"/>
    <w:multiLevelType w:val="singleLevel"/>
    <w:tmpl w:val="0EFDB958"/>
    <w:lvl w:ilvl="0" w:tentative="0">
      <w:start w:val="2"/>
      <w:numFmt w:val="chineseCounting"/>
      <w:suff w:val="nothing"/>
      <w:lvlText w:val="%1、"/>
      <w:lvlJc w:val="left"/>
      <w:pPr>
        <w:ind w:left="560" w:leftChars="0" w:firstLine="0" w:firstLineChars="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wYjE2NzhkNDM2Y2Y5NzI2YzFkODFmZGY5MzM4MWUifQ=="/>
  </w:docVars>
  <w:rsids>
    <w:rsidRoot w:val="48885009"/>
    <w:rsid w:val="002E78AC"/>
    <w:rsid w:val="0044618C"/>
    <w:rsid w:val="00656D04"/>
    <w:rsid w:val="00665D39"/>
    <w:rsid w:val="00703512"/>
    <w:rsid w:val="00C422F1"/>
    <w:rsid w:val="02781BC8"/>
    <w:rsid w:val="060F4036"/>
    <w:rsid w:val="07453DF4"/>
    <w:rsid w:val="10C6734C"/>
    <w:rsid w:val="13FF1EFA"/>
    <w:rsid w:val="186E166C"/>
    <w:rsid w:val="1A694568"/>
    <w:rsid w:val="210A65D7"/>
    <w:rsid w:val="217100D7"/>
    <w:rsid w:val="22877993"/>
    <w:rsid w:val="24217571"/>
    <w:rsid w:val="28437BCE"/>
    <w:rsid w:val="312E36D8"/>
    <w:rsid w:val="34390DE3"/>
    <w:rsid w:val="3B1D14EC"/>
    <w:rsid w:val="3B51265F"/>
    <w:rsid w:val="48885009"/>
    <w:rsid w:val="4E542F0D"/>
    <w:rsid w:val="50B30947"/>
    <w:rsid w:val="5128731C"/>
    <w:rsid w:val="524C3343"/>
    <w:rsid w:val="55FC0B81"/>
    <w:rsid w:val="69647061"/>
    <w:rsid w:val="707F6E1E"/>
    <w:rsid w:val="7D687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jc w:val="both"/>
    </w:pPr>
    <w:rPr>
      <w:rFonts w:ascii="Times New Roman" w:hAnsi="Times New Roman" w:eastAsia="仿宋_GB2312" w:cstheme="minorBidi"/>
      <w:kern w:val="2"/>
      <w:sz w:val="28"/>
      <w:lang w:val="en-US" w:eastAsia="zh-CN" w:bidi="ar-SA"/>
    </w:rPr>
  </w:style>
  <w:style w:type="paragraph" w:styleId="2">
    <w:name w:val="heading 2"/>
    <w:basedOn w:val="1"/>
    <w:next w:val="1"/>
    <w:semiHidden/>
    <w:unhideWhenUsed/>
    <w:qFormat/>
    <w:uiPriority w:val="0"/>
    <w:pPr>
      <w:keepNext/>
      <w:keepLines/>
      <w:spacing w:before="260" w:after="26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after="260" w:line="413" w:lineRule="auto"/>
      <w:outlineLvl w:val="2"/>
    </w:pPr>
    <w:rPr>
      <w:rFonts w:ascii="Calibri" w:hAnsi="Calibri" w:eastAsia="楷体_GB2312" w:cs="Arial"/>
      <w:b/>
      <w:sz w:val="32"/>
      <w:szCs w:val="22"/>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customStyle="1" w:styleId="6">
    <w:name w:val="标题 3 字符"/>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4088</Words>
  <Characters>4437</Characters>
  <Lines>33</Lines>
  <Paragraphs>9</Paragraphs>
  <TotalTime>3</TotalTime>
  <ScaleCrop>false</ScaleCrop>
  <LinksUpToDate>false</LinksUpToDate>
  <CharactersWithSpaces>4627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2022-08-19T13:28:00Z</dcterms:created>
  <dc:creator>German Phillip</dc:creator>
  <cp:lastModifiedBy>AOC</cp:lastModifiedBy>
  <dcterms:modified xsi:type="dcterms:W3CDTF">2022-09-07T00:37:39Z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62E4785FFD294936A69BEBB521A0AB6E</vt:lpwstr>
  </property>
</Properties>
</file>