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36"/>
                <w:szCs w:val="36"/>
                <w:lang w:val="en-US" w:eastAsia="zh-CN" w:bidi="ar"/>
              </w:rPr>
              <w:t>岳阳市城市绿化管理中心2021年度单位预算公开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580" w:lineRule="exact"/>
              <w:ind w:firstLine="0" w:firstLineChars="0"/>
              <w:jc w:val="both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36"/>
                <w:szCs w:val="36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第一部分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2021年单位预算说明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第二部分  单位预算公开表格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一、收支总表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二、收入总表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三、支出总表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六、财政拨款收支总表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七、一般公共预算支出表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十四、一般公共预算“三公”经费支出表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十五、政府性基金预算支出表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十八、国有资产经营预算支出表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二十一、支出预算项目明细表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二十二、财政支出项目预算绩效目标申报表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二十四、一般公共预算支出总表</w:t>
            </w:r>
          </w:p>
          <w:p>
            <w:pPr>
              <w:keepLines w:val="0"/>
              <w:widowControl/>
              <w:numPr>
                <w:ilvl w:val="0"/>
                <w:numId w:val="0"/>
              </w:numPr>
              <w:suppressLineNumbers w:val="0"/>
              <w:snapToGrid/>
              <w:spacing w:before="0" w:beforeAutospacing="0" w:after="0" w:afterAutospacing="0" w:line="5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580" w:lineRule="exact"/>
              <w:ind w:firstLine="0" w:firstLineChars="0"/>
              <w:jc w:val="both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580" w:lineRule="exact"/>
              <w:ind w:firstLine="0" w:firstLineChars="0"/>
              <w:jc w:val="both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36"/>
                <w:szCs w:val="36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FF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FF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FF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负责参与本市街道绿化规划的拟定和评审。负责城区绿化配套改造工作。负责公共绿地、游园、行道树、古桩树木及配套设施的普查和维护管理工作。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FF0000"/>
                <w:spacing w:val="0"/>
                <w:w w:val="100"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FF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我中心是岳阳市园林绿化中心下属正科级差额拨款单位，现有编制人员112人，设置办公室、政工股、计财股、生产技术股和绿化监察股五个股室。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（一）收入预算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2021年本单位收入预算3,425.00万元，其中，一般公共预算拨款3,425.00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FF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FF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收入较去年增加218万元，增幅6.8%，原因是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增加了绿化养护工作量收入。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2021年本单位支出预算3,425.00万元，其中，城乡社区支出3,425.00万元。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FF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FF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支出较去年增加218万元，其中基本支出与去年持平；项目支出较去年增加218万元，原因是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增加了绿化养护工作量支出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2021年一般公共预算拨款支出预算3,425.00万元，其中，城乡社区支出3,425.00万元，占100.0%。具体安排情况如下：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（一）基本支出：2021年基本支出年初预算数为0.00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（二）项目支出：2021年项目支出年初预算数为3,425.00万元，是指单位为完成特定行政工作任务或事业发展目标而发生的支出，包括有关业务工作经费、运行维护经费等。其中包括非税收入征收成本46.80万元、补助项目支出5.20万元、站北箱涵苗木维护经费10.00万元、“两站四路”鲜花更换及道路花化经费115.00万元、琵琶王立交桥、王家河大桥、太阳桥立体绿化养护经费80.00万元、千亩湖养护经费77.00万元、城区行道树复壮维护经费70.00万元、绿化中心绿地季节性草花更换费用、绿化边沿石补损160.00万元、园林设施维护费40.00万元、湖州管理所营运管理经费55.00万元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本单位2021年机关运行经费当年一般公共预算拨款0.00万元。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与去年持平，未用财政拨款安排机关运行经费。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本单位2021年“三公”经费预算数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3.00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万元，其中公务接待费3.00万元，因公出国（境）费0.00万元，公务用车购置及运行费等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0.00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万元（其中公务用车购置费0.00万元，公务用车运行费0.00万元）。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与上年持平。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2021年度本单位未计划召开会议；2021年度本单位未计划组织培训。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FF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FF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本单位2021年政府采购预算总额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万元，其中工程类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万元，货物类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万元，服务类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FF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FF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截至上一年12月底，本单位共有车辆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20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辆，其中领导干部用车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辆，一般公务用车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辆，其他用车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20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辆。单位价值50万元以上通用设备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本单位所有支出实行绩效目标管理。纳入2021年单位整体支出绩效目标的金额为3,425.00万元，其中，基本支出0.00万元，项目支出3,425.00万元，绩效目标详见文尾附表中预算公开表格的表22-23。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580" w:lineRule="exact"/>
              <w:ind w:firstLine="0" w:firstLineChars="0"/>
              <w:jc w:val="both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580" w:lineRule="exact"/>
              <w:ind w:firstLine="0" w:firstLineChars="0"/>
              <w:jc w:val="both"/>
              <w:textAlignment w:val="baseline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36"/>
                <w:szCs w:val="36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一、收支总表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二、收入总表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三、支出总表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六、财政拨款收支总表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七、一般公共预算支出表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十四、一般公共预算“三公”经费支出表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十五、政府性基金预算支出表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十八、国有资产经营预算支出表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二十一、支出预算项目明细表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二十二、财政支出项目预算绩效目标申报表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二十四、一般公共预算支出总表</w:t>
            </w:r>
            <w:bookmarkStart w:id="0" w:name="_GoBack"/>
            <w:bookmarkEnd w:id="0"/>
          </w:p>
          <w:p>
            <w:pPr>
              <w:keepLines w:val="0"/>
              <w:widowControl/>
              <w:suppressLineNumbers w:val="0"/>
              <w:snapToGrid/>
              <w:spacing w:before="0" w:beforeAutospacing="0" w:after="0" w:afterAutospacing="0" w:line="580" w:lineRule="exact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>
      <w:pPr>
        <w:snapToGrid/>
        <w:spacing w:before="0" w:beforeAutospacing="0" w:after="0" w:afterAutospacing="0" w:line="580" w:lineRule="exact"/>
        <w:ind w:firstLine="0" w:firstLineChars="0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YjE2NzhkNDM2Y2Y5NzI2YzFkODFmZGY5MzM4MWUifQ=="/>
  </w:docVars>
  <w:rsids>
    <w:rsidRoot w:val="48885009"/>
    <w:rsid w:val="03EF3FFC"/>
    <w:rsid w:val="042B123A"/>
    <w:rsid w:val="053E3998"/>
    <w:rsid w:val="060F4036"/>
    <w:rsid w:val="06F061D0"/>
    <w:rsid w:val="07453DF4"/>
    <w:rsid w:val="08421D7D"/>
    <w:rsid w:val="089270BA"/>
    <w:rsid w:val="0BB973F1"/>
    <w:rsid w:val="0D70433E"/>
    <w:rsid w:val="1BDC2DB4"/>
    <w:rsid w:val="1F282554"/>
    <w:rsid w:val="2AB63060"/>
    <w:rsid w:val="2AE83824"/>
    <w:rsid w:val="301C5CA4"/>
    <w:rsid w:val="312E36D8"/>
    <w:rsid w:val="3AFB3CC3"/>
    <w:rsid w:val="3B51265F"/>
    <w:rsid w:val="3D442584"/>
    <w:rsid w:val="40E56A5B"/>
    <w:rsid w:val="48885009"/>
    <w:rsid w:val="49061130"/>
    <w:rsid w:val="4DD2750C"/>
    <w:rsid w:val="4E542F0D"/>
    <w:rsid w:val="4F4C559E"/>
    <w:rsid w:val="55FC0B81"/>
    <w:rsid w:val="56B17399"/>
    <w:rsid w:val="5F8E5B67"/>
    <w:rsid w:val="607A288B"/>
    <w:rsid w:val="69647061"/>
    <w:rsid w:val="700A349F"/>
    <w:rsid w:val="707F6E1E"/>
    <w:rsid w:val="7247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2936</Words>
  <Characters>3201</Characters>
  <Lines>0</Lines>
  <Paragraphs>0</Paragraphs>
  <TotalTime>0</TotalTime>
  <ScaleCrop>false</ScaleCrop>
  <LinksUpToDate>false</LinksUpToDate>
  <CharactersWithSpaces>3365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AOC</cp:lastModifiedBy>
  <dcterms:modified xsi:type="dcterms:W3CDTF">2022-09-07T01:02:17Z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EDBC7AD3768A474C9D011546885E04D5</vt:lpwstr>
  </property>
</Properties>
</file>