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156" w:beforeLines="50" w:beforeAutospacing="0" w:after="156" w:afterLines="50" w:afterAutospacing="0" w:line="460" w:lineRule="exact"/>
        <w:ind w:left="0" w:right="317"/>
        <w:jc w:val="right"/>
        <w:rPr>
          <w:rFonts w:hint="eastAsia" w:ascii="仿宋" w:hAnsi="仿宋" w:eastAsia="仿宋" w:cs="仿宋"/>
          <w:sz w:val="30"/>
          <w:szCs w:val="30"/>
          <w:lang w:eastAsia="zh-CN"/>
        </w:rPr>
      </w:pPr>
    </w:p>
    <w:p>
      <w:pPr>
        <w:pStyle w:val="8"/>
        <w:widowControl/>
        <w:spacing w:before="156" w:beforeLines="50" w:beforeAutospacing="0" w:after="156" w:afterLines="50" w:afterAutospacing="0" w:line="460" w:lineRule="exact"/>
        <w:ind w:left="0" w:right="317"/>
        <w:jc w:val="right"/>
        <w:rPr>
          <w:rFonts w:hint="eastAsia" w:ascii="仿宋" w:hAnsi="仿宋" w:eastAsia="仿宋" w:cs="仿宋"/>
          <w:sz w:val="30"/>
          <w:szCs w:val="30"/>
          <w:lang w:eastAsia="zh-CN"/>
        </w:rPr>
      </w:pPr>
    </w:p>
    <w:p>
      <w:pPr>
        <w:pStyle w:val="8"/>
        <w:widowControl/>
        <w:spacing w:before="156" w:beforeLines="50" w:beforeAutospacing="0" w:after="156" w:afterLines="50" w:afterAutospacing="0" w:line="460" w:lineRule="exact"/>
        <w:ind w:left="0" w:right="317"/>
        <w:jc w:val="right"/>
        <w:rPr>
          <w:rFonts w:hint="eastAsia" w:ascii="仿宋" w:hAnsi="仿宋" w:eastAsia="仿宋" w:cs="仿宋"/>
          <w:sz w:val="30"/>
          <w:szCs w:val="30"/>
          <w:lang w:eastAsia="zh-CN"/>
        </w:rPr>
      </w:pPr>
      <w:bookmarkStart w:id="2" w:name="_GoBack"/>
      <w:bookmarkEnd w:id="2"/>
    </w:p>
    <w:p>
      <w:pPr>
        <w:pStyle w:val="8"/>
        <w:keepNext w:val="0"/>
        <w:keepLines w:val="0"/>
        <w:pageBreakBefore w:val="0"/>
        <w:widowControl/>
        <w:kinsoku/>
        <w:wordWrap/>
        <w:overflowPunct/>
        <w:topLinePunct w:val="0"/>
        <w:autoSpaceDE/>
        <w:autoSpaceDN/>
        <w:bidi w:val="0"/>
        <w:adjustRightInd/>
        <w:snapToGrid/>
        <w:spacing w:before="156" w:beforeLines="50" w:beforeAutospacing="0" w:after="0" w:afterAutospacing="0" w:line="460" w:lineRule="exact"/>
        <w:ind w:left="0" w:right="317"/>
        <w:jc w:val="right"/>
        <w:textAlignment w:val="auto"/>
        <w:rPr>
          <w:rFonts w:hint="eastAsia" w:ascii="仿宋" w:hAnsi="仿宋" w:eastAsia="仿宋" w:cs="仿宋"/>
          <w:b/>
          <w:bCs w:val="0"/>
          <w:kern w:val="2"/>
          <w:sz w:val="30"/>
          <w:szCs w:val="30"/>
          <w:lang w:val="en-US"/>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岳环评〔</w:t>
      </w:r>
      <w:r>
        <w:rPr>
          <w:rFonts w:hint="eastAsia" w:ascii="仿宋" w:hAnsi="仿宋" w:eastAsia="仿宋" w:cs="仿宋"/>
          <w:sz w:val="30"/>
          <w:szCs w:val="30"/>
          <w:lang w:val="en-US"/>
        </w:rPr>
        <w:t>2023</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33</w:t>
      </w:r>
      <w:r>
        <w:rPr>
          <w:rFonts w:hint="eastAsia" w:ascii="仿宋" w:hAnsi="仿宋" w:eastAsia="仿宋" w:cs="仿宋"/>
          <w:sz w:val="30"/>
          <w:szCs w:val="30"/>
          <w:lang w:eastAsia="zh-CN"/>
        </w:rPr>
        <w:t>号</w:t>
      </w:r>
    </w:p>
    <w:p>
      <w:pPr>
        <w:keepNext w:val="0"/>
        <w:keepLines w:val="0"/>
        <w:widowControl w:val="0"/>
        <w:suppressLineNumbers w:val="0"/>
        <w:spacing w:before="0" w:beforeAutospacing="0" w:after="156" w:afterLines="50" w:afterAutospacing="0" w:line="460" w:lineRule="exact"/>
        <w:ind w:left="0" w:right="0"/>
        <w:jc w:val="center"/>
        <w:rPr>
          <w:rFonts w:hint="eastAsia" w:ascii="仿宋" w:hAnsi="仿宋" w:eastAsia="仿宋" w:cs="仿宋"/>
          <w:b/>
          <w:bCs w:val="0"/>
          <w:sz w:val="36"/>
          <w:szCs w:val="36"/>
          <w:lang w:val="en-US"/>
        </w:rPr>
      </w:pPr>
      <w:r>
        <w:rPr>
          <w:rFonts w:hint="eastAsia" w:ascii="仿宋" w:hAnsi="仿宋" w:eastAsia="仿宋" w:cs="仿宋"/>
          <w:b/>
          <w:bCs w:val="0"/>
          <w:w w:val="98"/>
          <w:kern w:val="0"/>
          <w:sz w:val="36"/>
          <w:szCs w:val="36"/>
          <w:lang w:val="en-US" w:eastAsia="zh-CN" w:bidi="ar"/>
        </w:rPr>
        <w:t>关于</w:t>
      </w:r>
      <w:r>
        <w:rPr>
          <w:rFonts w:hint="eastAsia" w:ascii="仿宋" w:hAnsi="仿宋" w:eastAsia="仿宋" w:cs="仿宋"/>
          <w:b/>
          <w:bCs w:val="0"/>
          <w:kern w:val="2"/>
          <w:sz w:val="36"/>
          <w:szCs w:val="36"/>
          <w:lang w:val="en-US" w:eastAsia="zh-CN" w:bidi="ar"/>
        </w:rPr>
        <w:t>20kt/a锂电三元材料循环利用生产线建设项目</w:t>
      </w:r>
      <w:r>
        <w:rPr>
          <w:rFonts w:hint="eastAsia" w:ascii="仿宋" w:hAnsi="仿宋" w:eastAsia="仿宋" w:cs="仿宋"/>
          <w:b/>
          <w:bCs w:val="0"/>
          <w:w w:val="98"/>
          <w:kern w:val="0"/>
          <w:sz w:val="36"/>
          <w:szCs w:val="36"/>
          <w:lang w:val="en-US" w:eastAsia="zh-CN" w:bidi="ar"/>
        </w:rPr>
        <w:t>环境影响报告书的批复</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jc w:val="left"/>
        <w:textAlignment w:val="auto"/>
        <w:rPr>
          <w:rFonts w:hint="eastAsia" w:ascii="仿宋" w:hAnsi="仿宋" w:eastAsia="仿宋" w:cs="仿宋"/>
          <w:bCs/>
          <w:sz w:val="32"/>
          <w:szCs w:val="32"/>
          <w:lang w:val="en-US"/>
        </w:rPr>
      </w:pPr>
      <w:r>
        <w:rPr>
          <w:rStyle w:val="7"/>
          <w:rFonts w:hint="eastAsia" w:ascii="仿宋" w:hAnsi="仿宋" w:eastAsia="仿宋" w:cs="仿宋"/>
          <w:b w:val="0"/>
          <w:bCs/>
          <w:sz w:val="32"/>
          <w:szCs w:val="32"/>
          <w:lang w:val="en-US" w:eastAsia="zh-CN" w:bidi="ar"/>
        </w:rPr>
        <w:t>湖南恒创睿能新能源科技有限公司</w:t>
      </w:r>
      <w:r>
        <w:rPr>
          <w:rFonts w:hint="eastAsia" w:ascii="仿宋" w:hAnsi="仿宋" w:eastAsia="仿宋" w:cs="仿宋"/>
          <w:bCs/>
          <w:kern w:val="2"/>
          <w:sz w:val="32"/>
          <w:szCs w:val="32"/>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640" w:firstLineChars="200"/>
        <w:jc w:val="both"/>
        <w:textAlignment w:val="auto"/>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你公司《关于报批&lt;20kt/a锂电三元材料循环利用生产线建设项目</w:t>
      </w:r>
      <w:r>
        <w:rPr>
          <w:rFonts w:hint="eastAsia" w:ascii="仿宋" w:hAnsi="仿宋" w:eastAsia="仿宋" w:cs="仿宋"/>
          <w:bCs/>
          <w:w w:val="98"/>
          <w:kern w:val="0"/>
          <w:sz w:val="32"/>
          <w:szCs w:val="32"/>
          <w:lang w:val="en-US" w:eastAsia="zh-CN" w:bidi="ar"/>
        </w:rPr>
        <w:t>环境影响报告书</w:t>
      </w:r>
      <w:r>
        <w:rPr>
          <w:rFonts w:hint="eastAsia" w:ascii="仿宋" w:hAnsi="仿宋" w:eastAsia="仿宋" w:cs="仿宋"/>
          <w:bCs/>
          <w:kern w:val="2"/>
          <w:sz w:val="32"/>
          <w:szCs w:val="32"/>
          <w:lang w:val="en-US" w:eastAsia="zh-CN" w:bidi="ar"/>
        </w:rPr>
        <w:t>&gt;的申请》、岳阳市生态环境事务中心《20kt/a锂电三元材料循环利用生产线建设项目</w:t>
      </w:r>
      <w:r>
        <w:rPr>
          <w:rFonts w:hint="eastAsia" w:ascii="仿宋" w:hAnsi="仿宋" w:eastAsia="仿宋" w:cs="仿宋"/>
          <w:bCs/>
          <w:w w:val="98"/>
          <w:kern w:val="0"/>
          <w:sz w:val="32"/>
          <w:szCs w:val="32"/>
          <w:lang w:val="en-US" w:eastAsia="zh-CN" w:bidi="ar"/>
        </w:rPr>
        <w:t>环境影响报告书</w:t>
      </w:r>
      <w:r>
        <w:rPr>
          <w:rFonts w:hint="eastAsia" w:ascii="仿宋" w:hAnsi="仿宋" w:eastAsia="仿宋" w:cs="仿宋"/>
          <w:bCs/>
          <w:kern w:val="2"/>
          <w:sz w:val="32"/>
          <w:szCs w:val="32"/>
          <w:lang w:val="en-US" w:eastAsia="zh-CN" w:bidi="ar"/>
        </w:rPr>
        <w:t>技术评估报告》（岳环事评估〔2023〕31号）、岳阳市生态环境局湘阴分局预审意见及有关附件收悉。经研究，批复如下：</w:t>
      </w:r>
    </w:p>
    <w:p>
      <w:pPr>
        <w:pStyle w:val="9"/>
        <w:keepNext w:val="0"/>
        <w:keepLines w:val="0"/>
        <w:pageBreakBefore w:val="0"/>
        <w:widowControl/>
        <w:kinsoku/>
        <w:wordWrap/>
        <w:overflowPunct/>
        <w:topLinePunct w:val="0"/>
        <w:bidi w:val="0"/>
        <w:spacing w:line="460" w:lineRule="exact"/>
        <w:ind w:left="0" w:firstLine="640"/>
        <w:textAlignment w:val="auto"/>
        <w:rPr>
          <w:rFonts w:hint="eastAsia" w:ascii="仿宋" w:hAnsi="仿宋" w:eastAsia="仿宋" w:cs="仿宋"/>
          <w:sz w:val="32"/>
          <w:szCs w:val="32"/>
          <w:lang w:val="en-US"/>
        </w:rPr>
      </w:pPr>
      <w:r>
        <w:rPr>
          <w:rFonts w:hint="eastAsia" w:ascii="仿宋" w:hAnsi="仿宋" w:eastAsia="仿宋" w:cs="仿宋"/>
          <w:sz w:val="32"/>
          <w:szCs w:val="32"/>
          <w:lang w:eastAsia="zh-CN"/>
        </w:rPr>
        <w:t>一、</w:t>
      </w:r>
      <w:r>
        <w:rPr>
          <w:rStyle w:val="7"/>
          <w:rFonts w:hint="eastAsia" w:ascii="仿宋" w:hAnsi="仿宋" w:eastAsia="仿宋" w:cs="仿宋"/>
          <w:b w:val="0"/>
          <w:bCs/>
          <w:lang w:eastAsia="zh-CN"/>
        </w:rPr>
        <w:t>湖南恒创睿能新能源科技有限公司</w:t>
      </w:r>
      <w:r>
        <w:rPr>
          <w:rFonts w:hint="eastAsia" w:ascii="仿宋" w:hAnsi="仿宋" w:eastAsia="仿宋" w:cs="仿宋"/>
          <w:sz w:val="32"/>
          <w:szCs w:val="32"/>
          <w:lang w:eastAsia="zh-CN"/>
        </w:rPr>
        <w:t>租赁</w:t>
      </w:r>
      <w:r>
        <w:rPr>
          <w:rFonts w:hint="eastAsia" w:ascii="仿宋" w:hAnsi="仿宋" w:eastAsia="仿宋" w:cs="仿宋"/>
          <w:bCs/>
          <w:sz w:val="32"/>
          <w:szCs w:val="32"/>
          <w:lang w:eastAsia="zh-CN"/>
        </w:rPr>
        <w:t>湘阴高新技术产业开发区洋沙湖片区</w:t>
      </w:r>
      <w:r>
        <w:rPr>
          <w:rFonts w:hint="eastAsia" w:ascii="仿宋" w:hAnsi="仿宋" w:eastAsia="仿宋" w:cs="仿宋"/>
          <w:sz w:val="32"/>
          <w:szCs w:val="32"/>
          <w:lang w:eastAsia="zh-CN"/>
        </w:rPr>
        <w:t>湖南定宇新材料科技有限公司厂区现有一号厂房作为生产场地</w:t>
      </w:r>
      <w:r>
        <w:rPr>
          <w:rFonts w:hint="eastAsia" w:ascii="仿宋" w:hAnsi="仿宋" w:eastAsia="仿宋" w:cs="仿宋"/>
          <w:bCs/>
          <w:sz w:val="32"/>
          <w:szCs w:val="32"/>
          <w:lang w:eastAsia="zh-CN"/>
        </w:rPr>
        <w:t>，建设</w:t>
      </w:r>
      <w:r>
        <w:rPr>
          <w:rFonts w:hint="eastAsia" w:ascii="仿宋" w:hAnsi="仿宋" w:eastAsia="仿宋" w:cs="仿宋"/>
          <w:bCs/>
          <w:sz w:val="32"/>
          <w:szCs w:val="32"/>
          <w:lang w:val="en-US"/>
        </w:rPr>
        <w:t>20kt/a</w:t>
      </w:r>
      <w:r>
        <w:rPr>
          <w:rFonts w:hint="eastAsia" w:ascii="仿宋" w:hAnsi="仿宋" w:eastAsia="仿宋" w:cs="仿宋"/>
          <w:bCs/>
          <w:sz w:val="32"/>
          <w:szCs w:val="32"/>
          <w:lang w:eastAsia="zh-CN"/>
        </w:rPr>
        <w:t>锂电三元材料循环利用生产线建设项目，项目总投资</w:t>
      </w:r>
      <w:r>
        <w:rPr>
          <w:rFonts w:hint="eastAsia" w:ascii="仿宋" w:hAnsi="仿宋" w:eastAsia="仿宋" w:cs="仿宋"/>
          <w:bCs/>
          <w:sz w:val="32"/>
          <w:szCs w:val="32"/>
          <w:lang w:val="en-US"/>
        </w:rPr>
        <w:t>20000</w:t>
      </w:r>
      <w:r>
        <w:rPr>
          <w:rFonts w:hint="eastAsia" w:ascii="仿宋" w:hAnsi="仿宋" w:eastAsia="仿宋" w:cs="仿宋"/>
          <w:bCs/>
          <w:sz w:val="32"/>
          <w:szCs w:val="32"/>
          <w:lang w:eastAsia="zh-CN"/>
        </w:rPr>
        <w:t>万元，环保投资</w:t>
      </w:r>
      <w:r>
        <w:rPr>
          <w:rFonts w:hint="eastAsia" w:ascii="仿宋" w:hAnsi="仿宋" w:eastAsia="仿宋" w:cs="仿宋"/>
          <w:bCs/>
          <w:sz w:val="32"/>
          <w:szCs w:val="32"/>
          <w:lang w:val="en-US"/>
        </w:rPr>
        <w:t>300</w:t>
      </w:r>
      <w:r>
        <w:rPr>
          <w:rFonts w:hint="eastAsia" w:ascii="仿宋" w:hAnsi="仿宋" w:eastAsia="仿宋" w:cs="仿宋"/>
          <w:bCs/>
          <w:sz w:val="32"/>
          <w:szCs w:val="32"/>
          <w:lang w:eastAsia="zh-CN"/>
        </w:rPr>
        <w:t>万元。</w:t>
      </w:r>
      <w:r>
        <w:rPr>
          <w:rFonts w:hint="eastAsia" w:ascii="仿宋" w:hAnsi="仿宋" w:eastAsia="仿宋" w:cs="仿宋"/>
          <w:sz w:val="32"/>
          <w:szCs w:val="32"/>
          <w:lang w:eastAsia="zh-CN"/>
        </w:rPr>
        <w:t>主要建设内容为：依托现有厂房新建生产线（包括火法区、湿法区）、储运工程、辅助工程（其中办公室依托湖南定宇新材料科技有限公司现有办公楼）、一台</w:t>
      </w:r>
      <w:r>
        <w:rPr>
          <w:rFonts w:hint="eastAsia" w:ascii="仿宋" w:hAnsi="仿宋" w:eastAsia="仿宋" w:cs="仿宋"/>
          <w:sz w:val="32"/>
          <w:szCs w:val="32"/>
          <w:lang w:val="en-US"/>
        </w:rPr>
        <w:t>6t/h</w:t>
      </w:r>
      <w:r>
        <w:rPr>
          <w:rFonts w:hint="eastAsia" w:ascii="仿宋" w:hAnsi="仿宋" w:eastAsia="仿宋" w:cs="仿宋"/>
          <w:sz w:val="32"/>
          <w:szCs w:val="32"/>
          <w:lang w:eastAsia="zh-CN"/>
        </w:rPr>
        <w:t>天然气锅炉、环保工程，公用工程及生活污水依托现有。项目以外购废旧锂电三元材料（废旧锂电池经拆解破碎后，去除了电池中的隔膜、电解液等有机材料后的电池正极粉，本项目不含拆解等前处理工序）为原料进行预处理工艺</w:t>
      </w:r>
      <w:r>
        <w:rPr>
          <w:rFonts w:hint="eastAsia" w:ascii="仿宋" w:hAnsi="仿宋" w:eastAsia="仿宋" w:cs="仿宋"/>
          <w:sz w:val="32"/>
          <w:szCs w:val="32"/>
          <w:lang w:val="en-US"/>
        </w:rPr>
        <w:t>-</w:t>
      </w:r>
      <w:r>
        <w:rPr>
          <w:rFonts w:hint="eastAsia" w:ascii="仿宋" w:hAnsi="仿宋" w:eastAsia="仿宋" w:cs="仿宋"/>
          <w:sz w:val="32"/>
          <w:szCs w:val="32"/>
          <w:lang w:eastAsia="zh-CN"/>
        </w:rPr>
        <w:t>筛分、</w:t>
      </w:r>
      <w:bookmarkStart w:id="0" w:name="_Hlk132790130"/>
      <w:r>
        <w:rPr>
          <w:rFonts w:hint="eastAsia" w:ascii="仿宋" w:hAnsi="仿宋" w:eastAsia="仿宋" w:cs="仿宋"/>
          <w:sz w:val="32"/>
          <w:szCs w:val="32"/>
          <w:lang w:eastAsia="zh-CN"/>
        </w:rPr>
        <w:t>火法工艺</w:t>
      </w:r>
      <w:bookmarkEnd w:id="0"/>
      <w:r>
        <w:rPr>
          <w:rFonts w:hint="eastAsia" w:ascii="仿宋" w:hAnsi="仿宋" w:eastAsia="仿宋" w:cs="仿宋"/>
          <w:sz w:val="32"/>
          <w:szCs w:val="32"/>
          <w:lang w:val="en-US"/>
        </w:rPr>
        <w:t>-</w:t>
      </w:r>
      <w:r>
        <w:rPr>
          <w:rFonts w:hint="eastAsia" w:ascii="仿宋" w:hAnsi="仿宋" w:eastAsia="仿宋" w:cs="仿宋"/>
          <w:sz w:val="32"/>
          <w:szCs w:val="32"/>
          <w:lang w:eastAsia="zh-CN"/>
        </w:rPr>
        <w:t>还原炉</w:t>
      </w:r>
      <w:bookmarkStart w:id="1" w:name="_Hlk132790138"/>
      <w:r>
        <w:rPr>
          <w:rFonts w:hint="eastAsia" w:ascii="仿宋" w:hAnsi="仿宋" w:eastAsia="仿宋" w:cs="仿宋"/>
          <w:sz w:val="32"/>
          <w:szCs w:val="32"/>
          <w:lang w:eastAsia="zh-CN"/>
        </w:rPr>
        <w:t>及湿法工艺</w:t>
      </w:r>
      <w:bookmarkEnd w:id="1"/>
      <w:r>
        <w:rPr>
          <w:rFonts w:hint="eastAsia" w:ascii="仿宋" w:hAnsi="仿宋" w:eastAsia="仿宋" w:cs="仿宋"/>
          <w:sz w:val="32"/>
          <w:szCs w:val="32"/>
          <w:lang w:val="en-US"/>
        </w:rPr>
        <w:t>-</w:t>
      </w:r>
      <w:r>
        <w:rPr>
          <w:rFonts w:hint="eastAsia" w:ascii="仿宋" w:hAnsi="仿宋" w:eastAsia="仿宋" w:cs="仿宋"/>
          <w:sz w:val="32"/>
          <w:szCs w:val="32"/>
          <w:lang w:eastAsia="zh-CN"/>
        </w:rPr>
        <w:t>水浸碳化、压滤、精密过滤后得到</w:t>
      </w:r>
      <w:r>
        <w:rPr>
          <w:rFonts w:hint="eastAsia" w:ascii="仿宋" w:hAnsi="仿宋" w:eastAsia="仿宋" w:cs="仿宋"/>
          <w:bCs/>
          <w:sz w:val="32"/>
          <w:szCs w:val="32"/>
          <w:lang w:eastAsia="zh-CN"/>
        </w:rPr>
        <w:t>工业级碳酸锂</w:t>
      </w:r>
      <w:r>
        <w:rPr>
          <w:rFonts w:hint="eastAsia" w:ascii="仿宋" w:hAnsi="仿宋" w:eastAsia="仿宋" w:cs="仿宋"/>
          <w:bCs/>
          <w:sz w:val="32"/>
          <w:szCs w:val="32"/>
          <w:lang w:val="en-US"/>
        </w:rPr>
        <w:t>5500t/a</w:t>
      </w:r>
      <w:r>
        <w:rPr>
          <w:rFonts w:hint="eastAsia" w:ascii="仿宋" w:hAnsi="仿宋" w:eastAsia="仿宋" w:cs="仿宋"/>
          <w:bCs/>
          <w:sz w:val="32"/>
          <w:szCs w:val="32"/>
          <w:lang w:eastAsia="zh-CN"/>
        </w:rPr>
        <w:t>，副产镍钴锰氧化物粉末</w:t>
      </w:r>
      <w:r>
        <w:rPr>
          <w:rFonts w:hint="eastAsia" w:ascii="仿宋" w:hAnsi="仿宋" w:eastAsia="仿宋" w:cs="仿宋"/>
          <w:bCs/>
          <w:sz w:val="32"/>
          <w:szCs w:val="32"/>
          <w:lang w:val="en-US"/>
        </w:rPr>
        <w:t>16450.57t/a</w:t>
      </w:r>
      <w:r>
        <w:rPr>
          <w:rFonts w:hint="eastAsia" w:ascii="仿宋" w:hAnsi="仿宋" w:eastAsia="仿宋" w:cs="仿宋"/>
          <w:bCs/>
          <w:sz w:val="32"/>
          <w:szCs w:val="32"/>
          <w:lang w:eastAsia="zh-CN"/>
        </w:rPr>
        <w:t>、</w:t>
      </w:r>
      <w:r>
        <w:rPr>
          <w:rFonts w:hint="eastAsia" w:ascii="仿宋" w:hAnsi="仿宋" w:eastAsia="仿宋" w:cs="仿宋"/>
          <w:sz w:val="32"/>
          <w:szCs w:val="32"/>
          <w:lang w:eastAsia="zh-CN"/>
        </w:rPr>
        <w:t>磷酸锂</w:t>
      </w:r>
      <w:r>
        <w:rPr>
          <w:rFonts w:hint="eastAsia" w:ascii="仿宋" w:hAnsi="仿宋" w:eastAsia="仿宋" w:cs="仿宋"/>
          <w:bCs/>
          <w:sz w:val="32"/>
          <w:szCs w:val="32"/>
          <w:lang w:val="en-US"/>
        </w:rPr>
        <w:t>50t/a</w:t>
      </w:r>
      <w:r>
        <w:rPr>
          <w:rFonts w:hint="eastAsia" w:ascii="仿宋" w:hAnsi="仿宋" w:eastAsia="仿宋" w:cs="仿宋"/>
          <w:sz w:val="32"/>
          <w:szCs w:val="32"/>
          <w:lang w:eastAsia="zh-CN"/>
        </w:rPr>
        <w:t>。根据湖南启源生态环境科技有限公司编制的《</w:t>
      </w:r>
      <w:r>
        <w:rPr>
          <w:rFonts w:hint="eastAsia" w:ascii="仿宋" w:hAnsi="仿宋" w:eastAsia="仿宋" w:cs="仿宋"/>
          <w:bCs/>
          <w:sz w:val="32"/>
          <w:szCs w:val="32"/>
          <w:lang w:val="en-US"/>
        </w:rPr>
        <w:t>20kt/a</w:t>
      </w:r>
      <w:r>
        <w:rPr>
          <w:rFonts w:hint="eastAsia" w:ascii="仿宋" w:hAnsi="仿宋" w:eastAsia="仿宋" w:cs="仿宋"/>
          <w:bCs/>
          <w:sz w:val="32"/>
          <w:szCs w:val="32"/>
          <w:lang w:eastAsia="zh-CN"/>
        </w:rPr>
        <w:t>锂电三元材料循环利用生产线建设项目</w:t>
      </w:r>
      <w:r>
        <w:rPr>
          <w:rFonts w:hint="eastAsia" w:ascii="仿宋" w:hAnsi="仿宋" w:eastAsia="仿宋" w:cs="仿宋"/>
          <w:bCs/>
          <w:w w:val="98"/>
          <w:sz w:val="32"/>
          <w:szCs w:val="32"/>
          <w:lang w:eastAsia="zh-CN"/>
        </w:rPr>
        <w:t>环境影响报告书</w:t>
      </w:r>
      <w:r>
        <w:rPr>
          <w:rFonts w:hint="eastAsia" w:ascii="仿宋" w:hAnsi="仿宋" w:eastAsia="仿宋" w:cs="仿宋"/>
          <w:sz w:val="32"/>
          <w:szCs w:val="32"/>
          <w:lang w:eastAsia="zh-CN"/>
        </w:rPr>
        <w:t>》（报批稿）基本内容、结论和专家评审意见及岳阳市生态环境局湘阴分局预审意见，从环境保护角度考虑，我局原则同意你公司环境影响报告书中所列建设项目的环境影响评价结论和环境保护对策措施。</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二、认真落实专家及环境影响报告书中提出的各项污染防治措施，并应着重注意以下问题：</w:t>
      </w:r>
    </w:p>
    <w:p>
      <w:pPr>
        <w:keepNext w:val="0"/>
        <w:keepLines w:val="0"/>
        <w:pageBreakBefore w:val="0"/>
        <w:widowControl w:val="0"/>
        <w:numPr>
          <w:ilvl w:val="0"/>
          <w:numId w:val="1"/>
        </w:numPr>
        <w:suppressLineNumbers w:val="0"/>
        <w:kinsoku/>
        <w:wordWrap/>
        <w:overflowPunct/>
        <w:topLinePunct w:val="0"/>
        <w:bidi w:val="0"/>
        <w:spacing w:before="0" w:beforeAutospacing="0" w:after="0" w:afterAutospacing="0" w:line="460" w:lineRule="exact"/>
        <w:ind w:left="0" w:right="0" w:firstLine="64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落实施工期污染防治措施。使用污染物排放物符合国家标准的运输车辆和施工设备，加强设备、车辆的维护保养等措施减少燃油废气和车辆尾气。生活污水经进入园区污水管网排入湘阴县第二污水处理厂处理后达标排放。使用低噪声的施工工具，合理安排施工作业时间等措施控制声环境影响。建筑垃圾和生活垃圾及时清运，妥善处理。</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460" w:lineRule="exact"/>
        <w:ind w:left="0"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2、废气污染防治工作。通过优先选用先进密闭的生产工艺，加强无组织废气的收集和有效处理；加强非正常工况污染控制；加强车间通风；加强车间管理和日常监管，定期</w:t>
      </w:r>
      <w:r>
        <w:rPr>
          <w:rFonts w:hint="eastAsia" w:ascii="仿宋" w:hAnsi="仿宋" w:eastAsia="仿宋" w:cs="仿宋"/>
          <w:bCs/>
          <w:kern w:val="2"/>
          <w:sz w:val="32"/>
          <w:szCs w:val="32"/>
          <w:lang w:val="en-US" w:eastAsia="zh-CN" w:bidi="ar"/>
        </w:rPr>
        <w:t>对设备、管道、阀门等进行维护和管理，杜绝生产过程中的跑、冒、滴、漏，最大限度减少生产过程中的废气无组织排放。厂界挥发性有机物（以非甲烷总烃表征）颗粒物、SO</w:t>
      </w:r>
      <w:r>
        <w:rPr>
          <w:rFonts w:hint="eastAsia" w:ascii="仿宋" w:hAnsi="仿宋" w:eastAsia="仿宋" w:cs="仿宋"/>
          <w:bCs/>
          <w:kern w:val="2"/>
          <w:sz w:val="32"/>
          <w:szCs w:val="32"/>
          <w:vertAlign w:val="subscript"/>
          <w:lang w:val="en-US" w:eastAsia="zh-CN" w:bidi="ar"/>
        </w:rPr>
        <w:t>2</w:t>
      </w:r>
      <w:r>
        <w:rPr>
          <w:rFonts w:hint="eastAsia" w:ascii="仿宋" w:hAnsi="仿宋" w:eastAsia="仿宋" w:cs="仿宋"/>
          <w:bCs/>
          <w:kern w:val="2"/>
          <w:sz w:val="32"/>
          <w:szCs w:val="32"/>
          <w:lang w:val="en-US" w:eastAsia="zh-CN" w:bidi="ar"/>
        </w:rPr>
        <w:t>、NOx排放执行《大气污染物综合排放标准》（GB16297-1996）中表2的无组织排放监控浓度限值；厂区内挥发性有机物（以非甲烷总烃表征）排放执行《挥发性有机物无组织排放控制标准》（GB37822-2019）表A.1 规定的排放限值；厂界镍及其化合物、钴及其化合物、锰及其化合物、氟化物参照执行《无机化学工业污染物排放标准》（GB31573-2015）表5企业边界排放限值。项目生产过程中投料筛分、还原工序</w:t>
      </w:r>
      <w:r>
        <w:rPr>
          <w:rFonts w:hint="eastAsia" w:ascii="仿宋" w:hAnsi="仿宋" w:eastAsia="仿宋" w:cs="仿宋"/>
          <w:kern w:val="2"/>
          <w:sz w:val="32"/>
          <w:szCs w:val="32"/>
          <w:lang w:val="en-US" w:eastAsia="zh-CN" w:bidi="ar"/>
        </w:rPr>
        <w:t>产生的SO</w:t>
      </w:r>
      <w:r>
        <w:rPr>
          <w:rFonts w:hint="eastAsia" w:ascii="仿宋" w:hAnsi="仿宋" w:eastAsia="仿宋" w:cs="仿宋"/>
          <w:kern w:val="2"/>
          <w:sz w:val="32"/>
          <w:szCs w:val="32"/>
          <w:vertAlign w:val="subscript"/>
          <w:lang w:val="en-US" w:eastAsia="zh-CN" w:bidi="ar"/>
        </w:rPr>
        <w:t>2</w:t>
      </w:r>
      <w:r>
        <w:rPr>
          <w:rFonts w:hint="eastAsia" w:ascii="仿宋" w:hAnsi="仿宋" w:eastAsia="仿宋" w:cs="仿宋"/>
          <w:kern w:val="2"/>
          <w:sz w:val="32"/>
          <w:szCs w:val="32"/>
          <w:lang w:val="en-US" w:eastAsia="zh-CN" w:bidi="ar"/>
        </w:rPr>
        <w:t>、NO</w:t>
      </w:r>
      <w:r>
        <w:rPr>
          <w:rFonts w:hint="eastAsia" w:ascii="仿宋" w:hAnsi="仿宋" w:eastAsia="仿宋" w:cs="仿宋"/>
          <w:kern w:val="2"/>
          <w:sz w:val="32"/>
          <w:szCs w:val="32"/>
          <w:vertAlign w:val="subscript"/>
          <w:lang w:val="en-US" w:eastAsia="zh-CN" w:bidi="ar"/>
        </w:rPr>
        <w:t>x</w:t>
      </w:r>
      <w:r>
        <w:rPr>
          <w:rFonts w:hint="eastAsia" w:ascii="仿宋" w:hAnsi="仿宋" w:eastAsia="仿宋" w:cs="仿宋"/>
          <w:kern w:val="2"/>
          <w:sz w:val="32"/>
          <w:szCs w:val="32"/>
          <w:lang w:val="en-US" w:eastAsia="zh-CN" w:bidi="ar"/>
        </w:rPr>
        <w:t>、颗粒物、镍及其化合物、钴及其化合物、锰及其化合物、非甲烷总烃、氟化物废气经收集处理后通过30m高（DA001)排气筒排放；锅炉产生的SO</w:t>
      </w:r>
      <w:r>
        <w:rPr>
          <w:rFonts w:hint="eastAsia" w:ascii="仿宋" w:hAnsi="仿宋" w:eastAsia="仿宋" w:cs="仿宋"/>
          <w:kern w:val="2"/>
          <w:sz w:val="32"/>
          <w:szCs w:val="32"/>
          <w:vertAlign w:val="subscript"/>
          <w:lang w:val="en-US" w:eastAsia="zh-CN" w:bidi="ar"/>
        </w:rPr>
        <w:t>2</w:t>
      </w:r>
      <w:r>
        <w:rPr>
          <w:rFonts w:hint="eastAsia" w:ascii="仿宋" w:hAnsi="仿宋" w:eastAsia="仿宋" w:cs="仿宋"/>
          <w:kern w:val="2"/>
          <w:sz w:val="32"/>
          <w:szCs w:val="32"/>
          <w:lang w:val="en-US" w:eastAsia="zh-CN" w:bidi="ar"/>
        </w:rPr>
        <w:t>、NO</w:t>
      </w:r>
      <w:r>
        <w:rPr>
          <w:rFonts w:hint="eastAsia" w:ascii="仿宋" w:hAnsi="仿宋" w:eastAsia="仿宋" w:cs="仿宋"/>
          <w:kern w:val="2"/>
          <w:sz w:val="32"/>
          <w:szCs w:val="32"/>
          <w:vertAlign w:val="subscript"/>
          <w:lang w:val="en-US" w:eastAsia="zh-CN" w:bidi="ar"/>
        </w:rPr>
        <w:t>x</w:t>
      </w:r>
      <w:r>
        <w:rPr>
          <w:rFonts w:hint="eastAsia" w:ascii="仿宋" w:hAnsi="仿宋" w:eastAsia="仿宋" w:cs="仿宋"/>
          <w:kern w:val="2"/>
          <w:sz w:val="32"/>
          <w:szCs w:val="32"/>
          <w:lang w:val="en-US" w:eastAsia="zh-CN" w:bidi="ar"/>
        </w:rPr>
        <w:t>、颗粒物废气经收集处理后通过30m高（DA002)排气筒排放；营运期</w:t>
      </w:r>
      <w:r>
        <w:rPr>
          <w:rFonts w:hint="eastAsia" w:ascii="仿宋" w:hAnsi="仿宋" w:eastAsia="仿宋" w:cs="仿宋"/>
          <w:bCs/>
          <w:kern w:val="2"/>
          <w:sz w:val="32"/>
          <w:szCs w:val="32"/>
          <w:lang w:val="en-US" w:eastAsia="zh-CN" w:bidi="ar"/>
        </w:rPr>
        <w:t>锂电三元材料循环利用生产线</w:t>
      </w:r>
      <w:r>
        <w:rPr>
          <w:rFonts w:hint="eastAsia" w:ascii="仿宋" w:hAnsi="仿宋" w:eastAsia="仿宋" w:cs="仿宋"/>
          <w:kern w:val="2"/>
          <w:sz w:val="32"/>
          <w:szCs w:val="32"/>
          <w:lang w:val="en-US" w:eastAsia="zh-CN" w:bidi="ar"/>
        </w:rPr>
        <w:t>有组织排放的废气中镍及其化合物、钴及其化合物、锰及其化合物、氟化物执行《无机化学工业污染物排放标准》（GB31573-2015）中表3的排放限值；SO</w:t>
      </w:r>
      <w:r>
        <w:rPr>
          <w:rFonts w:hint="eastAsia" w:ascii="仿宋" w:hAnsi="仿宋" w:eastAsia="仿宋" w:cs="仿宋"/>
          <w:kern w:val="2"/>
          <w:sz w:val="32"/>
          <w:szCs w:val="32"/>
          <w:vertAlign w:val="subscript"/>
          <w:lang w:val="en-US" w:eastAsia="zh-CN" w:bidi="ar"/>
        </w:rPr>
        <w:t>2</w:t>
      </w:r>
      <w:r>
        <w:rPr>
          <w:rFonts w:hint="eastAsia" w:ascii="仿宋" w:hAnsi="仿宋" w:eastAsia="仿宋" w:cs="仿宋"/>
          <w:kern w:val="2"/>
          <w:sz w:val="32"/>
          <w:szCs w:val="32"/>
          <w:lang w:val="en-US" w:eastAsia="zh-CN" w:bidi="ar"/>
        </w:rPr>
        <w:t>、NO</w:t>
      </w:r>
      <w:r>
        <w:rPr>
          <w:rFonts w:hint="eastAsia" w:ascii="仿宋" w:hAnsi="仿宋" w:eastAsia="仿宋" w:cs="仿宋"/>
          <w:kern w:val="2"/>
          <w:sz w:val="32"/>
          <w:szCs w:val="32"/>
          <w:vertAlign w:val="subscript"/>
          <w:lang w:val="en-US" w:eastAsia="zh-CN" w:bidi="ar"/>
        </w:rPr>
        <w:t>x</w:t>
      </w:r>
      <w:r>
        <w:rPr>
          <w:rFonts w:hint="eastAsia" w:ascii="仿宋" w:hAnsi="仿宋" w:eastAsia="仿宋" w:cs="仿宋"/>
          <w:kern w:val="2"/>
          <w:sz w:val="32"/>
          <w:szCs w:val="32"/>
          <w:lang w:val="en-US" w:eastAsia="zh-CN" w:bidi="ar"/>
        </w:rPr>
        <w:t>、颗粒物执行《无机化学工业污染物排放标准》（GB31573-2015）表4大气污染物特别排放限值，非甲烷总烃执行《大气污染物综合排放标准》（GB16297-1996）中新污染源二级标准。锅炉天然气燃烧废气SO</w:t>
      </w:r>
      <w:r>
        <w:rPr>
          <w:rFonts w:hint="eastAsia" w:ascii="仿宋" w:hAnsi="仿宋" w:eastAsia="仿宋" w:cs="仿宋"/>
          <w:kern w:val="2"/>
          <w:sz w:val="32"/>
          <w:szCs w:val="32"/>
          <w:vertAlign w:val="subscript"/>
          <w:lang w:val="en-US" w:eastAsia="zh-CN" w:bidi="ar"/>
        </w:rPr>
        <w:t>2</w:t>
      </w:r>
      <w:r>
        <w:rPr>
          <w:rFonts w:hint="eastAsia" w:ascii="仿宋" w:hAnsi="仿宋" w:eastAsia="仿宋" w:cs="仿宋"/>
          <w:kern w:val="2"/>
          <w:sz w:val="32"/>
          <w:szCs w:val="32"/>
          <w:lang w:val="en-US" w:eastAsia="zh-CN" w:bidi="ar"/>
        </w:rPr>
        <w:t>、NO</w:t>
      </w:r>
      <w:r>
        <w:rPr>
          <w:rFonts w:hint="eastAsia" w:ascii="仿宋" w:hAnsi="仿宋" w:eastAsia="仿宋" w:cs="仿宋"/>
          <w:kern w:val="2"/>
          <w:sz w:val="32"/>
          <w:szCs w:val="32"/>
          <w:vertAlign w:val="subscript"/>
          <w:lang w:val="en-US" w:eastAsia="zh-CN" w:bidi="ar"/>
        </w:rPr>
        <w:t>x</w:t>
      </w:r>
      <w:r>
        <w:rPr>
          <w:rFonts w:hint="eastAsia" w:ascii="仿宋" w:hAnsi="仿宋" w:eastAsia="仿宋" w:cs="仿宋"/>
          <w:kern w:val="2"/>
          <w:sz w:val="32"/>
          <w:szCs w:val="32"/>
          <w:lang w:val="en-US" w:eastAsia="zh-CN" w:bidi="ar"/>
        </w:rPr>
        <w:t>、颗粒物执行《锅炉大气污染物排放标准》（GB13271-2014）中表3特别排放限值。</w:t>
      </w:r>
    </w:p>
    <w:p>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3、废水污染防治工作。严格按照“雨污分流、清污分流、污污分流”的原则规范建设厂区雨水及污水收集设施。本项目初期雨水经收集沉淀后处理后回用于喷淋塔循环补充水，不外排；碱液喷淋水循环使用，不外排，定期更换交由有资质单位处理；生活污水依托园区经化粪池处理达到《污水综合排放标准》（GB8978-1996）表4中三级标准要求以及湘阴第二污水处理厂纳管标准两者较严值后同纯水设备产生废水、锅炉排水和循环冷却塔废水一起进入湘阴第二污水处理厂处理进一步处理后达到《城镇污水处理厂污染物排放标准》（GB18918-2002）一级A标准最终排入湘江。</w:t>
      </w:r>
    </w:p>
    <w:p>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64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按照“源头控制、分区防治、污染监控、应急响应”相结合的原则落实报告书提出的地下水污染防治措施。</w:t>
      </w:r>
      <w:r>
        <w:rPr>
          <w:rFonts w:hint="eastAsia" w:ascii="仿宋" w:hAnsi="仿宋" w:eastAsia="仿宋" w:cs="仿宋"/>
          <w:bCs/>
          <w:kern w:val="2"/>
          <w:sz w:val="32"/>
          <w:szCs w:val="32"/>
          <w:lang w:val="en-US" w:eastAsia="zh-CN" w:bidi="ar"/>
        </w:rPr>
        <w:t>做好</w:t>
      </w:r>
      <w:r>
        <w:rPr>
          <w:rFonts w:hint="eastAsia" w:ascii="仿宋" w:hAnsi="仿宋" w:eastAsia="仿宋" w:cs="仿宋"/>
          <w:kern w:val="2"/>
          <w:sz w:val="32"/>
          <w:szCs w:val="32"/>
          <w:lang w:val="en-US" w:eastAsia="zh-CN" w:bidi="ar"/>
        </w:rPr>
        <w:t>原料储存区、生产装置区、回收水池、废气处理系统、危险废物暂存、实验室、一般固废暂存、初期雨水池及厂房内生产线以外生产区域</w:t>
      </w:r>
      <w:r>
        <w:rPr>
          <w:rFonts w:hint="eastAsia" w:ascii="仿宋" w:hAnsi="仿宋" w:eastAsia="仿宋" w:cs="仿宋"/>
          <w:bCs/>
          <w:kern w:val="2"/>
          <w:sz w:val="32"/>
          <w:szCs w:val="32"/>
          <w:lang w:val="en-US" w:eastAsia="zh-CN" w:bidi="ar"/>
        </w:rPr>
        <w:t>的防渗工作，避免由于防渗层破损造成污染物下渗污染地下水；根据《环境影响评价技术导则 地下水环境》(HJ610-2016)要求，跟踪监测地下水质情况，确保地下水环境安全。</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60" w:lineRule="exact"/>
        <w:ind w:left="0"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4、噪声防治工作。采用工艺先进、低噪声设备，合理布局，对主要的声源设备配备消声、隔音、减震设施、定期维护设备等措施，确保东、南、西厂界噪声满足《工业企业厂界环境噪声排放标准》(GB12348-2008)中的3类标准要求；北厂界满足《工业企业厂界环境噪声排放标准》（GB12348-2008）中的4a类标准要求；西侧110m处居民符合《声环境质量标准》（GB3096-2008）2类标准。</w:t>
      </w:r>
    </w:p>
    <w:p>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640" w:firstLineChars="200"/>
        <w:jc w:val="both"/>
        <w:textAlignment w:val="auto"/>
        <w:rPr>
          <w:rFonts w:hint="eastAsia" w:ascii="仿宋" w:hAnsi="仿宋" w:eastAsia="仿宋" w:cs="仿宋"/>
          <w:kern w:val="0"/>
          <w:sz w:val="32"/>
          <w:szCs w:val="32"/>
          <w:lang w:val="en-US"/>
        </w:rPr>
      </w:pPr>
      <w:r>
        <w:rPr>
          <w:rFonts w:hint="eastAsia" w:ascii="仿宋" w:hAnsi="仿宋" w:eastAsia="仿宋" w:cs="仿宋"/>
          <w:kern w:val="2"/>
          <w:sz w:val="32"/>
          <w:szCs w:val="32"/>
          <w:lang w:val="en-US" w:eastAsia="zh-CN" w:bidi="ar"/>
        </w:rPr>
        <w:t>5、固体废物管理工作。按“无害化、减量化、资源化”原则，做好固体分类收集和综合利用，并建立固体废物产生、储存、处置管理台账，落实危险废物转移联单制度。项目生产过程中产生的喷淋废液、废矿物油、废试剂等危险固物严格按《危险废物贮存污染控制标准（GB18597-2001）》及2013年修改单相关要求暂存，定期交有资质的单位处置。筛分废料、废布袋、废包装袋、杂质渣</w:t>
      </w:r>
      <w:r>
        <w:rPr>
          <w:rFonts w:hint="eastAsia" w:ascii="仿宋" w:hAnsi="仿宋" w:eastAsia="仿宋" w:cs="仿宋"/>
          <w:kern w:val="0"/>
          <w:sz w:val="32"/>
          <w:szCs w:val="32"/>
          <w:lang w:val="en-US" w:eastAsia="zh-CN" w:bidi="ar"/>
        </w:rPr>
        <w:t>外售综合利用，</w:t>
      </w:r>
      <w:r>
        <w:rPr>
          <w:rFonts w:hint="eastAsia" w:ascii="仿宋" w:hAnsi="仿宋" w:eastAsia="仿宋" w:cs="仿宋"/>
          <w:kern w:val="2"/>
          <w:sz w:val="32"/>
          <w:szCs w:val="32"/>
          <w:lang w:val="en-US" w:eastAsia="zh-CN" w:bidi="ar"/>
        </w:rPr>
        <w:t>收尘粉尘回用于生产</w:t>
      </w:r>
      <w:r>
        <w:rPr>
          <w:rFonts w:hint="eastAsia" w:ascii="仿宋" w:hAnsi="仿宋" w:eastAsia="仿宋" w:cs="仿宋"/>
          <w:kern w:val="0"/>
          <w:sz w:val="32"/>
          <w:szCs w:val="32"/>
          <w:lang w:val="en-US" w:eastAsia="zh-CN" w:bidi="ar"/>
        </w:rPr>
        <w:t>。反渗透过滤装置产生的废过滤膜由厂家更换回收；喷淋沉渣托专业检测机构进行属性鉴别，若鉴别结果判定为危险废物交由有资质的单位处置，若鉴定为一般固废收集后定期送一般固废填埋场填埋；生活垃圾交由环卫部门处理。</w:t>
      </w:r>
      <w:r>
        <w:rPr>
          <w:rFonts w:hint="eastAsia" w:ascii="仿宋" w:hAnsi="仿宋" w:eastAsia="仿宋" w:cs="仿宋"/>
          <w:kern w:val="2"/>
          <w:sz w:val="32"/>
          <w:szCs w:val="32"/>
          <w:lang w:val="en-US" w:eastAsia="zh-CN" w:bidi="ar"/>
        </w:rPr>
        <w:t>一般工业固体废物贮存执行《一般工业固体废物贮存和填埋污染控制标准》（GB18599-2020）标准要。</w:t>
      </w:r>
    </w:p>
    <w:p>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64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6、加强营运期风险防范。严格落实报告书提出的各项环境风险防范措施，按照《突发环境事件应急管理办法》修订完善突发环境事件应急预案，储备风险救助物资并组织演练，杜绝环境风险事故发生。</w:t>
      </w:r>
    </w:p>
    <w:p>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64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7、加强环境管理。建立健全污染防治设施运行管理台帐，设专门的环保机构及环保人员，确保各项污染防治设施的正常运行，各类污染物稳定达标排放。</w:t>
      </w:r>
    </w:p>
    <w:p>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8、你公司核定的总量指标为：</w:t>
      </w:r>
      <w:r>
        <w:rPr>
          <w:rFonts w:hint="eastAsia" w:ascii="仿宋" w:hAnsi="仿宋" w:eastAsia="仿宋" w:cs="仿宋"/>
          <w:kern w:val="0"/>
          <w:sz w:val="32"/>
          <w:szCs w:val="32"/>
          <w:lang w:val="en-US" w:eastAsia="zh-CN" w:bidi="ar"/>
        </w:rPr>
        <w:t>SO</w:t>
      </w:r>
      <w:r>
        <w:rPr>
          <w:rFonts w:hint="eastAsia" w:ascii="仿宋" w:hAnsi="仿宋" w:eastAsia="仿宋" w:cs="仿宋"/>
          <w:kern w:val="0"/>
          <w:sz w:val="32"/>
          <w:szCs w:val="32"/>
          <w:vertAlign w:val="subscript"/>
          <w:lang w:val="en-US" w:eastAsia="zh-CN" w:bidi="ar"/>
        </w:rPr>
        <w:t>2</w:t>
      </w:r>
      <w:r>
        <w:rPr>
          <w:rFonts w:hint="eastAsia" w:ascii="仿宋" w:hAnsi="仿宋" w:eastAsia="仿宋" w:cs="仿宋"/>
          <w:kern w:val="2"/>
          <w:sz w:val="32"/>
          <w:szCs w:val="32"/>
          <w:lang w:val="en-US" w:eastAsia="zh-CN" w:bidi="ar"/>
        </w:rPr>
        <w:t>≤0.8</w:t>
      </w:r>
      <w:r>
        <w:rPr>
          <w:rFonts w:hint="eastAsia" w:ascii="仿宋" w:hAnsi="仿宋" w:eastAsia="仿宋" w:cs="仿宋"/>
          <w:kern w:val="0"/>
          <w:sz w:val="32"/>
          <w:szCs w:val="32"/>
          <w:lang w:val="en-US" w:eastAsia="zh-CN" w:bidi="ar"/>
        </w:rPr>
        <w:t>t/a、NOx</w:t>
      </w:r>
      <w:r>
        <w:rPr>
          <w:rFonts w:hint="eastAsia" w:ascii="仿宋" w:hAnsi="仿宋" w:eastAsia="仿宋" w:cs="仿宋"/>
          <w:kern w:val="2"/>
          <w:sz w:val="32"/>
          <w:szCs w:val="32"/>
          <w:lang w:val="en-US" w:eastAsia="zh-CN" w:bidi="ar"/>
        </w:rPr>
        <w:t>≤4.7</w:t>
      </w:r>
      <w:r>
        <w:rPr>
          <w:rFonts w:hint="eastAsia" w:ascii="仿宋" w:hAnsi="仿宋" w:eastAsia="仿宋" w:cs="仿宋"/>
          <w:kern w:val="0"/>
          <w:sz w:val="32"/>
          <w:szCs w:val="32"/>
          <w:lang w:val="en-US" w:eastAsia="zh-CN" w:bidi="ar"/>
        </w:rPr>
        <w:t>t/a、VOCS</w:t>
      </w:r>
      <w:r>
        <w:rPr>
          <w:rFonts w:hint="eastAsia" w:ascii="仿宋" w:hAnsi="仿宋" w:eastAsia="仿宋" w:cs="仿宋"/>
          <w:kern w:val="2"/>
          <w:sz w:val="32"/>
          <w:szCs w:val="32"/>
          <w:lang w:val="en-US" w:eastAsia="zh-CN" w:bidi="ar"/>
        </w:rPr>
        <w:t>≤</w:t>
      </w:r>
      <w:r>
        <w:rPr>
          <w:rFonts w:hint="eastAsia" w:ascii="仿宋" w:hAnsi="仿宋" w:eastAsia="仿宋" w:cs="仿宋"/>
          <w:kern w:val="0"/>
          <w:sz w:val="32"/>
          <w:szCs w:val="32"/>
          <w:lang w:val="en-US" w:eastAsia="zh-CN" w:bidi="ar"/>
        </w:rPr>
        <w:t>0.3t/a</w:t>
      </w:r>
      <w:r>
        <w:rPr>
          <w:rFonts w:hint="eastAsia" w:ascii="仿宋" w:hAnsi="仿宋" w:eastAsia="仿宋" w:cs="仿宋"/>
          <w:kern w:val="2"/>
          <w:sz w:val="32"/>
          <w:szCs w:val="32"/>
          <w:lang w:val="en-US" w:eastAsia="zh-CN" w:bidi="ar"/>
        </w:rPr>
        <w:t>、COD≤</w:t>
      </w:r>
      <w:r>
        <w:rPr>
          <w:rFonts w:hint="eastAsia" w:ascii="仿宋" w:hAnsi="仿宋" w:eastAsia="仿宋" w:cs="仿宋"/>
          <w:kern w:val="0"/>
          <w:sz w:val="32"/>
          <w:szCs w:val="32"/>
          <w:lang w:val="en-US" w:eastAsia="zh-CN" w:bidi="ar"/>
        </w:rPr>
        <w:t>0.96t/a、</w:t>
      </w:r>
      <w:r>
        <w:rPr>
          <w:rFonts w:hint="eastAsia" w:ascii="仿宋" w:hAnsi="仿宋" w:eastAsia="仿宋" w:cs="仿宋"/>
          <w:kern w:val="2"/>
          <w:sz w:val="32"/>
          <w:szCs w:val="32"/>
          <w:lang w:val="en-US" w:eastAsia="zh-CN" w:bidi="ar"/>
        </w:rPr>
        <w:t>NH</w:t>
      </w:r>
      <w:r>
        <w:rPr>
          <w:rFonts w:hint="eastAsia" w:ascii="仿宋" w:hAnsi="仿宋" w:eastAsia="仿宋" w:cs="仿宋"/>
          <w:kern w:val="2"/>
          <w:sz w:val="32"/>
          <w:szCs w:val="32"/>
          <w:vertAlign w:val="subscript"/>
          <w:lang w:val="en-US" w:eastAsia="zh-CN" w:bidi="ar"/>
        </w:rPr>
        <w:t>3</w:t>
      </w:r>
      <w:r>
        <w:rPr>
          <w:rFonts w:hint="eastAsia" w:ascii="仿宋" w:hAnsi="仿宋" w:eastAsia="仿宋" w:cs="仿宋"/>
          <w:kern w:val="2"/>
          <w:sz w:val="32"/>
          <w:szCs w:val="32"/>
          <w:lang w:val="en-US" w:eastAsia="zh-CN" w:bidi="ar"/>
        </w:rPr>
        <w:t>-N≤</w:t>
      </w:r>
      <w:r>
        <w:rPr>
          <w:rFonts w:hint="eastAsia" w:ascii="仿宋" w:hAnsi="仿宋" w:eastAsia="仿宋" w:cs="仿宋"/>
          <w:kern w:val="0"/>
          <w:sz w:val="32"/>
          <w:szCs w:val="32"/>
          <w:lang w:val="en-US" w:eastAsia="zh-CN" w:bidi="ar"/>
        </w:rPr>
        <w:t>0.096t/a</w:t>
      </w:r>
      <w:r>
        <w:rPr>
          <w:rFonts w:hint="eastAsia" w:ascii="仿宋" w:hAnsi="仿宋" w:eastAsia="仿宋" w:cs="仿宋"/>
          <w:kern w:val="2"/>
          <w:sz w:val="32"/>
          <w:szCs w:val="32"/>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64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三、你公司应在收到本批复后15个工作日内，将批复及批准的环评报告文本送至岳阳市生态环境局湘阴分局、湖南启源生态环境科技有限公司。</w:t>
      </w:r>
    </w:p>
    <w:p>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四、请岳阳市生态环境局湘阴分局负责项目建设期和运营期的日常环境监管。</w:t>
      </w:r>
    </w:p>
    <w:p>
      <w:pPr>
        <w:pStyle w:val="6"/>
        <w:keepNext w:val="0"/>
        <w:keepLines w:val="0"/>
        <w:pageBreakBefore w:val="0"/>
        <w:widowControl/>
        <w:kinsoku/>
        <w:wordWrap/>
        <w:overflowPunct/>
        <w:topLinePunct w:val="0"/>
        <w:bidi w:val="0"/>
        <w:spacing w:line="460" w:lineRule="exact"/>
        <w:ind w:firstLine="5120" w:firstLineChars="1600"/>
        <w:textAlignment w:val="auto"/>
        <w:rPr>
          <w:rFonts w:hint="eastAsia" w:ascii="仿宋" w:hAnsi="仿宋" w:eastAsia="仿宋" w:cs="仿宋"/>
          <w:kern w:val="2"/>
          <w:sz w:val="32"/>
          <w:szCs w:val="32"/>
          <w:lang w:val="en-US"/>
        </w:rPr>
      </w:pPr>
      <w:r>
        <w:rPr>
          <w:rFonts w:hint="eastAsia" w:ascii="仿宋" w:hAnsi="仿宋" w:eastAsia="仿宋" w:cs="仿宋"/>
          <w:kern w:val="2"/>
          <w:sz w:val="32"/>
          <w:szCs w:val="32"/>
          <w:lang w:eastAsia="zh-CN"/>
        </w:rPr>
        <w:t>岳阳市生态环境局</w:t>
      </w:r>
    </w:p>
    <w:p>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5120" w:firstLineChars="16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2023年4月24日</w:t>
      </w:r>
    </w:p>
    <w:p>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jc w:val="both"/>
        <w:textAlignment w:val="auto"/>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ind w:left="0" w:right="0"/>
        <w:jc w:val="both"/>
        <w:rPr>
          <w:color w:val="000000"/>
          <w:szCs w:val="22"/>
          <w:lang w:val="en-US"/>
        </w:rPr>
      </w:pPr>
    </w:p>
    <w:p/>
    <w:sectPr>
      <w:pgSz w:w="11906" w:h="16838"/>
      <w:pgMar w:top="1304" w:right="1417" w:bottom="1247" w:left="1474"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3FA24"/>
    <w:multiLevelType w:val="multilevel"/>
    <w:tmpl w:val="8153FA2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077275"/>
    <w:rsid w:val="43624978"/>
    <w:rsid w:val="5C747CC1"/>
    <w:rsid w:val="69FF27F5"/>
    <w:rsid w:val="6FC63DE4"/>
    <w:rsid w:val="77DC1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rPr>
  </w:style>
  <w:style w:type="paragraph" w:customStyle="1" w:styleId="6">
    <w:name w:val="0"/>
    <w:basedOn w:val="1"/>
    <w:uiPriority w:val="0"/>
    <w:pPr>
      <w:keepNext w:val="0"/>
      <w:keepLines w:val="0"/>
      <w:widowControl/>
      <w:suppressLineNumbers w:val="0"/>
      <w:snapToGrid w:val="0"/>
      <w:spacing w:before="0" w:beforeAutospacing="0" w:after="0" w:afterAutospacing="0" w:line="365" w:lineRule="atLeast"/>
      <w:ind w:left="1" w:right="0"/>
      <w:jc w:val="both"/>
    </w:pPr>
    <w:rPr>
      <w:rFonts w:hint="default" w:ascii="Times New Roman" w:hAnsi="Times New Roman" w:eastAsia="宋体" w:cs="Times New Roman"/>
      <w:kern w:val="0"/>
      <w:sz w:val="20"/>
      <w:szCs w:val="20"/>
      <w:lang w:val="en-US" w:eastAsia="zh-CN" w:bidi="ar"/>
    </w:rPr>
  </w:style>
  <w:style w:type="character" w:customStyle="1" w:styleId="7">
    <w:name w:val="标题 1 字符"/>
    <w:basedOn w:val="5"/>
    <w:link w:val="2"/>
    <w:qFormat/>
    <w:uiPriority w:val="0"/>
    <w:rPr>
      <w:b/>
      <w:bCs/>
      <w:kern w:val="44"/>
      <w:sz w:val="32"/>
      <w:szCs w:val="32"/>
    </w:rPr>
  </w:style>
  <w:style w:type="paragraph" w:customStyle="1" w:styleId="8">
    <w:name w:val="p0"/>
    <w:basedOn w:val="1"/>
    <w:uiPriority w:val="0"/>
    <w:pPr>
      <w:keepNext w:val="0"/>
      <w:keepLines w:val="0"/>
      <w:widowControl/>
      <w:suppressLineNumbers w:val="0"/>
      <w:spacing w:before="0" w:beforeAutospacing="0" w:after="0" w:afterAutospacing="0"/>
      <w:ind w:left="0" w:right="0"/>
      <w:jc w:val="both"/>
    </w:pPr>
    <w:rPr>
      <w:rFonts w:hint="default" w:ascii="Calibri" w:hAnsi="Calibri" w:eastAsia="宋体" w:cs="Calibri"/>
      <w:kern w:val="0"/>
      <w:sz w:val="21"/>
      <w:szCs w:val="21"/>
      <w:lang w:val="en-US" w:eastAsia="zh-CN" w:bidi="ar"/>
    </w:rPr>
  </w:style>
  <w:style w:type="paragraph" w:customStyle="1" w:styleId="9">
    <w:name w:val="正文1"/>
    <w:basedOn w:val="1"/>
    <w:uiPriority w:val="0"/>
    <w:pPr>
      <w:keepNext w:val="0"/>
      <w:keepLines w:val="0"/>
      <w:widowControl w:val="0"/>
      <w:suppressLineNumbers w:val="0"/>
      <w:spacing w:before="0" w:beforeAutospacing="0" w:after="0" w:afterAutospacing="0" w:line="360" w:lineRule="auto"/>
      <w:ind w:left="0" w:right="0" w:firstLine="723" w:firstLineChars="200"/>
      <w:jc w:val="both"/>
    </w:pPr>
    <w:rPr>
      <w:rFonts w:hint="default" w:ascii="Calibri" w:hAnsi="Calibri" w:eastAsia="宋体" w:cs="Times New Roman"/>
      <w:kern w:val="0"/>
      <w:sz w:val="24"/>
      <w:szCs w:val="20"/>
      <w:lang w:val="en-US" w:eastAsia="zh-CN" w:bidi="ar"/>
    </w:rPr>
  </w:style>
  <w:style w:type="character" w:customStyle="1" w:styleId="10">
    <w:name w:val="页脚 字符"/>
    <w:basedOn w:val="5"/>
    <w:link w:val="3"/>
    <w:qFormat/>
    <w:uiPriority w:val="0"/>
    <w:rPr>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2023-04-24T05:48:00Z</dcterms:created>
  <dc:creator>LENOVO</dc:creator>
  <cp:lastModifiedBy>憧憬</cp:lastModifiedBy>
  <dcterms:modified xsi:type="dcterms:W3CDTF">2023-04-24T07:58:39Z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CF649DFBCC2548C4B4191F29E8A10B3A</vt:lpwstr>
  </property>
</Properties>
</file>