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98F957">
      <w:pPr>
        <w:pageBreakBefore w:val="0"/>
        <w:kinsoku w:val="0"/>
        <w:wordWrap w:val="0"/>
        <w:overflowPunct/>
        <w:topLinePunct/>
        <w:autoSpaceDE/>
        <w:autoSpaceDN/>
        <w:bidi w:val="0"/>
        <w:spacing w:before="156" w:beforeLines="50" w:after="156" w:afterLines="50" w:line="720" w:lineRule="auto"/>
        <w:jc w:val="center"/>
        <w:rPr>
          <w:rFonts w:hint="eastAsia" w:ascii="Times New Roman" w:hAnsi="Times New Roman" w:eastAsia="宋体" w:cs="Times New Roman"/>
          <w:b/>
          <w:caps w:val="0"/>
          <w:smallCaps w:val="0"/>
          <w:color w:val="auto"/>
          <w:spacing w:val="0"/>
          <w:w w:val="100"/>
          <w:position w:val="0"/>
          <w:sz w:val="48"/>
          <w:szCs w:val="32"/>
          <w:u w:val="none" w:color="auto"/>
          <w:lang w:eastAsia="zh-CN"/>
        </w:rPr>
      </w:pPr>
      <w:r>
        <w:rPr>
          <w:rFonts w:hint="eastAsia" w:ascii="Times New Roman" w:hAnsi="Times New Roman" w:eastAsia="宋体" w:cs="Times New Roman"/>
          <w:b/>
          <w:caps w:val="0"/>
          <w:smallCaps w:val="0"/>
          <w:color w:val="auto"/>
          <w:spacing w:val="0"/>
          <w:w w:val="100"/>
          <w:position w:val="0"/>
          <w:sz w:val="48"/>
          <w:szCs w:val="32"/>
          <w:u w:val="none" w:color="auto"/>
          <w:lang w:eastAsia="zh-CN"/>
        </w:rPr>
        <w:drawing>
          <wp:anchor distT="0" distB="0" distL="114300" distR="114300" simplePos="0" relativeHeight="251671552" behindDoc="0" locked="0" layoutInCell="1" allowOverlap="1">
            <wp:simplePos x="0" y="0"/>
            <wp:positionH relativeFrom="column">
              <wp:posOffset>-1003935</wp:posOffset>
            </wp:positionH>
            <wp:positionV relativeFrom="paragraph">
              <wp:posOffset>-832485</wp:posOffset>
            </wp:positionV>
            <wp:extent cx="7097395" cy="10039985"/>
            <wp:effectExtent l="0" t="0" r="4445" b="3175"/>
            <wp:wrapNone/>
            <wp:docPr id="16" name="图片 16" descr="67d496a6b6335cbd2c1277b21b9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d496a6b6335cbd2c1277b21b96999"/>
                    <pic:cNvPicPr>
                      <a:picLocks noChangeAspect="1"/>
                    </pic:cNvPicPr>
                  </pic:nvPicPr>
                  <pic:blipFill>
                    <a:blip r:embed="rId21"/>
                    <a:stretch>
                      <a:fillRect/>
                    </a:stretch>
                  </pic:blipFill>
                  <pic:spPr>
                    <a:xfrm>
                      <a:off x="0" y="0"/>
                      <a:ext cx="7097395" cy="10039985"/>
                    </a:xfrm>
                    <a:prstGeom prst="rect">
                      <a:avLst/>
                    </a:prstGeom>
                  </pic:spPr>
                </pic:pic>
              </a:graphicData>
            </a:graphic>
          </wp:anchor>
        </w:drawing>
      </w:r>
    </w:p>
    <w:p w14:paraId="6C793F3F">
      <w:pPr>
        <w:keepNext w:val="0"/>
        <w:keepLines w:val="0"/>
        <w:pageBreakBefore w:val="0"/>
        <w:widowControl w:val="0"/>
        <w:kinsoku w:val="0"/>
        <w:wordWrap w:val="0"/>
        <w:overflowPunct/>
        <w:topLinePunct/>
        <w:autoSpaceDE/>
        <w:autoSpaceDN/>
        <w:bidi w:val="0"/>
        <w:adjustRightInd/>
        <w:snapToGrid/>
        <w:spacing w:before="313" w:beforeLines="100" w:after="156" w:afterLines="50" w:line="720" w:lineRule="auto"/>
        <w:jc w:val="center"/>
        <w:textAlignment w:val="auto"/>
        <w:rPr>
          <w:rFonts w:hint="default" w:ascii="Times New Roman" w:hAnsi="Times New Roman" w:eastAsia="宋体" w:cs="Times New Roman"/>
          <w:b/>
          <w:caps w:val="0"/>
          <w:smallCaps w:val="0"/>
          <w:color w:val="auto"/>
          <w:spacing w:val="0"/>
          <w:w w:val="100"/>
          <w:position w:val="0"/>
          <w:sz w:val="48"/>
          <w:szCs w:val="32"/>
          <w:u w:val="none" w:color="auto"/>
        </w:rPr>
      </w:pPr>
      <w:r>
        <w:rPr>
          <w:rFonts w:hint="default" w:ascii="Times New Roman" w:hAnsi="Times New Roman" w:eastAsia="宋体" w:cs="Times New Roman"/>
          <w:b/>
          <w:caps w:val="0"/>
          <w:smallCaps w:val="0"/>
          <w:color w:val="auto"/>
          <w:spacing w:val="0"/>
          <w:w w:val="100"/>
          <w:position w:val="0"/>
          <w:sz w:val="52"/>
          <w:szCs w:val="52"/>
          <w:u w:val="none" w:color="auto"/>
          <w:lang w:eastAsia="zh-CN"/>
        </w:rPr>
        <w:t>华容县</w:t>
      </w:r>
      <w:r>
        <w:rPr>
          <w:rFonts w:hint="eastAsia" w:ascii="Times New Roman" w:hAnsi="Times New Roman" w:eastAsia="宋体" w:cs="Times New Roman"/>
          <w:b/>
          <w:caps w:val="0"/>
          <w:smallCaps w:val="0"/>
          <w:color w:val="auto"/>
          <w:spacing w:val="0"/>
          <w:w w:val="100"/>
          <w:position w:val="0"/>
          <w:sz w:val="52"/>
          <w:szCs w:val="52"/>
          <w:u w:val="none" w:color="auto"/>
          <w:lang w:eastAsia="zh-CN"/>
        </w:rPr>
        <w:t>北汊水库</w:t>
      </w:r>
      <w:r>
        <w:rPr>
          <w:rFonts w:hint="default" w:ascii="Times New Roman" w:hAnsi="Times New Roman" w:eastAsia="宋体" w:cs="Times New Roman"/>
          <w:b/>
          <w:caps w:val="0"/>
          <w:smallCaps w:val="0"/>
          <w:color w:val="auto"/>
          <w:spacing w:val="0"/>
          <w:w w:val="100"/>
          <w:position w:val="0"/>
          <w:sz w:val="52"/>
          <w:szCs w:val="52"/>
          <w:u w:val="none" w:color="auto"/>
          <w:lang w:eastAsia="zh-CN"/>
        </w:rPr>
        <w:t>除险加固工程</w:t>
      </w:r>
    </w:p>
    <w:p w14:paraId="7FA4A364">
      <w:pPr>
        <w:keepNext w:val="0"/>
        <w:keepLines w:val="0"/>
        <w:pageBreakBefore w:val="0"/>
        <w:widowControl w:val="0"/>
        <w:kinsoku w:val="0"/>
        <w:wordWrap w:val="0"/>
        <w:overflowPunct/>
        <w:topLinePunct/>
        <w:autoSpaceDE/>
        <w:autoSpaceDN/>
        <w:bidi w:val="0"/>
        <w:adjustRightInd/>
        <w:snapToGrid/>
        <w:spacing w:before="313" w:beforeLines="100" w:after="156" w:afterLines="50" w:line="720" w:lineRule="auto"/>
        <w:jc w:val="center"/>
        <w:textAlignment w:val="auto"/>
        <w:rPr>
          <w:rFonts w:hint="default" w:ascii="Times New Roman" w:hAnsi="Times New Roman" w:eastAsia="宋体" w:cs="Times New Roman"/>
          <w:b/>
          <w:caps w:val="0"/>
          <w:smallCaps w:val="0"/>
          <w:color w:val="auto"/>
          <w:spacing w:val="0"/>
          <w:w w:val="100"/>
          <w:position w:val="0"/>
          <w:sz w:val="72"/>
          <w:szCs w:val="72"/>
          <w:u w:val="none" w:color="auto"/>
        </w:rPr>
      </w:pPr>
      <w:r>
        <w:rPr>
          <w:rFonts w:hint="default" w:ascii="Times New Roman" w:hAnsi="Times New Roman" w:eastAsia="宋体" w:cs="Times New Roman"/>
          <w:b/>
          <w:caps w:val="0"/>
          <w:smallCaps w:val="0"/>
          <w:color w:val="auto"/>
          <w:spacing w:val="0"/>
          <w:w w:val="100"/>
          <w:position w:val="0"/>
          <w:sz w:val="72"/>
          <w:szCs w:val="72"/>
          <w:u w:val="none" w:color="auto"/>
        </w:rPr>
        <w:t>环境影响报告书</w:t>
      </w:r>
    </w:p>
    <w:p w14:paraId="160E848C">
      <w:pPr>
        <w:pageBreakBefore w:val="0"/>
        <w:kinsoku w:val="0"/>
        <w:wordWrap w:val="0"/>
        <w:overflowPunct/>
        <w:topLinePunct/>
        <w:autoSpaceDE/>
        <w:autoSpaceDN/>
        <w:bidi w:val="0"/>
        <w:spacing w:before="156" w:beforeLines="50" w:after="156" w:afterLines="50" w:line="720" w:lineRule="auto"/>
        <w:jc w:val="center"/>
        <w:rPr>
          <w:rFonts w:hint="eastAsia" w:ascii="楷体" w:hAnsi="楷体" w:eastAsia="楷体" w:cs="楷体"/>
          <w:b/>
          <w:caps w:val="0"/>
          <w:smallCaps w:val="0"/>
          <w:color w:val="auto"/>
          <w:spacing w:val="0"/>
          <w:w w:val="100"/>
          <w:position w:val="0"/>
          <w:sz w:val="32"/>
          <w:szCs w:val="32"/>
          <w:u w:val="none" w:color="auto"/>
        </w:rPr>
      </w:pPr>
      <w:r>
        <w:rPr>
          <w:rFonts w:hint="eastAsia" w:ascii="楷体" w:hAnsi="楷体" w:eastAsia="楷体" w:cs="楷体"/>
          <w:b/>
          <w:caps w:val="0"/>
          <w:smallCaps w:val="0"/>
          <w:color w:val="auto"/>
          <w:spacing w:val="0"/>
          <w:w w:val="100"/>
          <w:position w:val="0"/>
          <w:sz w:val="32"/>
          <w:szCs w:val="32"/>
          <w:u w:val="none" w:color="auto"/>
        </w:rPr>
        <w:t>（</w:t>
      </w:r>
      <w:r>
        <w:rPr>
          <w:rFonts w:hint="eastAsia" w:ascii="楷体" w:hAnsi="楷体" w:eastAsia="楷体" w:cs="楷体"/>
          <w:b/>
          <w:caps w:val="0"/>
          <w:smallCaps w:val="0"/>
          <w:color w:val="auto"/>
          <w:spacing w:val="0"/>
          <w:w w:val="100"/>
          <w:position w:val="0"/>
          <w:sz w:val="32"/>
          <w:szCs w:val="32"/>
          <w:u w:val="none" w:color="auto"/>
          <w:lang w:eastAsia="zh-CN"/>
        </w:rPr>
        <w:t>送审稿</w:t>
      </w:r>
      <w:r>
        <w:rPr>
          <w:rFonts w:hint="eastAsia" w:ascii="楷体" w:hAnsi="楷体" w:eastAsia="楷体" w:cs="楷体"/>
          <w:b/>
          <w:caps w:val="0"/>
          <w:smallCaps w:val="0"/>
          <w:color w:val="auto"/>
          <w:spacing w:val="0"/>
          <w:w w:val="100"/>
          <w:position w:val="0"/>
          <w:sz w:val="32"/>
          <w:szCs w:val="32"/>
          <w:u w:val="none" w:color="auto"/>
        </w:rPr>
        <w:t>）</w:t>
      </w:r>
    </w:p>
    <w:p w14:paraId="19919AD8">
      <w:pPr>
        <w:pageBreakBefore w:val="0"/>
        <w:kinsoku w:val="0"/>
        <w:wordWrap w:val="0"/>
        <w:overflowPunct/>
        <w:topLinePunct/>
        <w:autoSpaceDE/>
        <w:autoSpaceDN/>
        <w:bidi w:val="0"/>
        <w:spacing w:before="156" w:beforeLines="50" w:after="156" w:afterLines="50" w:line="720" w:lineRule="auto"/>
        <w:jc w:val="center"/>
        <w:rPr>
          <w:rFonts w:hint="default" w:ascii="Times New Roman" w:hAnsi="Times New Roman" w:eastAsia="宋体" w:cs="Times New Roman"/>
          <w:b/>
          <w:caps w:val="0"/>
          <w:smallCaps w:val="0"/>
          <w:color w:val="auto"/>
          <w:spacing w:val="0"/>
          <w:w w:val="100"/>
          <w:position w:val="0"/>
          <w:sz w:val="32"/>
          <w:szCs w:val="32"/>
          <w:u w:val="none" w:color="auto"/>
        </w:rPr>
      </w:pPr>
    </w:p>
    <w:p w14:paraId="440BE05D">
      <w:pPr>
        <w:pageBreakBefore w:val="0"/>
        <w:kinsoku w:val="0"/>
        <w:wordWrap w:val="0"/>
        <w:overflowPunct/>
        <w:topLinePunct/>
        <w:autoSpaceDE/>
        <w:autoSpaceDN/>
        <w:bidi w:val="0"/>
        <w:spacing w:before="156" w:beforeLines="50" w:after="156" w:afterLines="50" w:line="720" w:lineRule="auto"/>
        <w:jc w:val="center"/>
        <w:rPr>
          <w:rFonts w:hint="default" w:ascii="Times New Roman" w:hAnsi="Times New Roman" w:eastAsia="宋体" w:cs="Times New Roman"/>
          <w:b/>
          <w:caps w:val="0"/>
          <w:smallCaps w:val="0"/>
          <w:color w:val="auto"/>
          <w:spacing w:val="0"/>
          <w:w w:val="100"/>
          <w:position w:val="0"/>
          <w:sz w:val="32"/>
          <w:szCs w:val="32"/>
          <w:u w:val="none" w:color="auto"/>
        </w:rPr>
      </w:pPr>
    </w:p>
    <w:p w14:paraId="626C0003">
      <w:pPr>
        <w:pageBreakBefore w:val="0"/>
        <w:kinsoku w:val="0"/>
        <w:wordWrap w:val="0"/>
        <w:overflowPunct/>
        <w:topLinePunct/>
        <w:autoSpaceDE/>
        <w:autoSpaceDN/>
        <w:bidi w:val="0"/>
        <w:spacing w:before="156" w:beforeLines="50" w:after="156" w:afterLines="50" w:line="720" w:lineRule="auto"/>
        <w:jc w:val="center"/>
        <w:rPr>
          <w:rFonts w:hint="eastAsia" w:ascii="Times New Roman" w:hAnsi="Times New Roman" w:eastAsia="宋体" w:cs="Times New Roman"/>
          <w:b/>
          <w:caps w:val="0"/>
          <w:smallCaps w:val="0"/>
          <w:color w:val="auto"/>
          <w:spacing w:val="0"/>
          <w:w w:val="100"/>
          <w:position w:val="0"/>
          <w:sz w:val="32"/>
          <w:szCs w:val="32"/>
          <w:u w:val="none" w:color="auto"/>
          <w:lang w:val="en-US" w:eastAsia="zh-CN"/>
        </w:rPr>
      </w:pPr>
    </w:p>
    <w:p w14:paraId="73A62680">
      <w:pPr>
        <w:pageBreakBefore w:val="0"/>
        <w:kinsoku w:val="0"/>
        <w:wordWrap w:val="0"/>
        <w:overflowPunct/>
        <w:topLinePunct/>
        <w:autoSpaceDE/>
        <w:autoSpaceDN/>
        <w:bidi w:val="0"/>
        <w:spacing w:before="156" w:beforeLines="50" w:after="156" w:afterLines="50" w:line="720" w:lineRule="auto"/>
        <w:jc w:val="center"/>
        <w:rPr>
          <w:rFonts w:hint="eastAsia" w:ascii="Times New Roman" w:hAnsi="Times New Roman" w:eastAsia="宋体" w:cs="Times New Roman"/>
          <w:b/>
          <w:caps w:val="0"/>
          <w:smallCaps w:val="0"/>
          <w:color w:val="auto"/>
          <w:spacing w:val="0"/>
          <w:w w:val="100"/>
          <w:position w:val="0"/>
          <w:sz w:val="32"/>
          <w:szCs w:val="32"/>
          <w:u w:val="none" w:color="auto"/>
          <w:lang w:val="en-US" w:eastAsia="zh-CN"/>
        </w:rPr>
      </w:pPr>
      <w:r>
        <w:rPr>
          <w:rFonts w:hint="eastAsia" w:ascii="Times New Roman" w:hAnsi="Times New Roman" w:eastAsia="宋体" w:cs="Times New Roman"/>
          <w:b/>
          <w:caps w:val="0"/>
          <w:smallCaps w:val="0"/>
          <w:color w:val="auto"/>
          <w:spacing w:val="0"/>
          <w:w w:val="100"/>
          <w:position w:val="0"/>
          <w:sz w:val="32"/>
          <w:szCs w:val="32"/>
          <w:u w:val="none" w:color="auto"/>
          <w:lang w:val="en-US" w:eastAsia="zh-CN"/>
        </w:rPr>
        <w:t xml:space="preserve"> </w:t>
      </w:r>
    </w:p>
    <w:p w14:paraId="19398AA8">
      <w:pPr>
        <w:pageBreakBefore w:val="0"/>
        <w:kinsoku w:val="0"/>
        <w:wordWrap w:val="0"/>
        <w:overflowPunct/>
        <w:topLinePunct/>
        <w:autoSpaceDE/>
        <w:autoSpaceDN/>
        <w:bidi w:val="0"/>
        <w:spacing w:before="156" w:beforeLines="50" w:after="156" w:afterLines="50" w:line="720" w:lineRule="auto"/>
        <w:jc w:val="center"/>
        <w:rPr>
          <w:rFonts w:hint="default" w:ascii="Times New Roman" w:hAnsi="Times New Roman" w:eastAsia="宋体" w:cs="Times New Roman"/>
          <w:b/>
          <w:caps w:val="0"/>
          <w:smallCaps w:val="0"/>
          <w:color w:val="auto"/>
          <w:spacing w:val="0"/>
          <w:w w:val="100"/>
          <w:position w:val="0"/>
          <w:sz w:val="32"/>
          <w:szCs w:val="32"/>
          <w:u w:val="none" w:color="auto"/>
        </w:rPr>
      </w:pPr>
    </w:p>
    <w:p w14:paraId="5930DC46">
      <w:pPr>
        <w:pageBreakBefore w:val="0"/>
        <w:kinsoku w:val="0"/>
        <w:wordWrap w:val="0"/>
        <w:overflowPunct/>
        <w:topLinePunct/>
        <w:autoSpaceDE/>
        <w:autoSpaceDN/>
        <w:bidi w:val="0"/>
        <w:spacing w:before="156" w:beforeLines="50" w:after="156" w:afterLines="50" w:line="720" w:lineRule="auto"/>
        <w:jc w:val="center"/>
        <w:rPr>
          <w:rFonts w:hint="default" w:ascii="Times New Roman" w:hAnsi="Times New Roman" w:eastAsia="宋体" w:cs="Times New Roman"/>
          <w:b/>
          <w:caps w:val="0"/>
          <w:smallCaps w:val="0"/>
          <w:color w:val="auto"/>
          <w:spacing w:val="0"/>
          <w:w w:val="100"/>
          <w:position w:val="0"/>
          <w:sz w:val="32"/>
          <w:szCs w:val="32"/>
          <w:u w:val="none" w:color="auto"/>
        </w:rPr>
      </w:pPr>
    </w:p>
    <w:p w14:paraId="246AE7AE">
      <w:pPr>
        <w:keepNext w:val="0"/>
        <w:keepLines w:val="0"/>
        <w:pageBreakBefore w:val="0"/>
        <w:widowControl w:val="0"/>
        <w:kinsoku w:val="0"/>
        <w:wordWrap w:val="0"/>
        <w:overflowPunct/>
        <w:topLinePunct/>
        <w:autoSpaceDE/>
        <w:autoSpaceDN/>
        <w:bidi w:val="0"/>
        <w:adjustRightInd/>
        <w:snapToGrid/>
        <w:spacing w:line="480" w:lineRule="auto"/>
        <w:ind w:firstLine="0" w:firstLineChars="0"/>
        <w:jc w:val="center"/>
        <w:textAlignment w:val="auto"/>
        <w:rPr>
          <w:rFonts w:hint="default" w:ascii="Times New Roman" w:hAnsi="Times New Roman" w:eastAsia="宋体" w:cs="Times New Roman"/>
          <w:b/>
          <w:caps w:val="0"/>
          <w:smallCaps w:val="0"/>
          <w:color w:val="auto"/>
          <w:spacing w:val="0"/>
          <w:w w:val="100"/>
          <w:position w:val="0"/>
          <w:sz w:val="32"/>
          <w:szCs w:val="32"/>
          <w:u w:val="none" w:color="auto"/>
          <w:lang w:eastAsia="zh-CN"/>
        </w:rPr>
      </w:pPr>
      <w:r>
        <w:rPr>
          <w:rFonts w:hint="default" w:ascii="Times New Roman" w:hAnsi="Times New Roman" w:eastAsia="宋体" w:cs="Times New Roman"/>
          <w:b/>
          <w:caps w:val="0"/>
          <w:smallCaps w:val="0"/>
          <w:color w:val="auto"/>
          <w:spacing w:val="0"/>
          <w:w w:val="100"/>
          <w:position w:val="0"/>
          <w:sz w:val="32"/>
          <w:szCs w:val="32"/>
          <w:u w:val="none" w:color="auto"/>
        </w:rPr>
        <w:t>建设单位：</w:t>
      </w:r>
      <w:r>
        <w:rPr>
          <w:rFonts w:hint="default" w:ascii="Times New Roman" w:hAnsi="Times New Roman" w:eastAsia="宋体" w:cs="Times New Roman"/>
          <w:b/>
          <w:caps w:val="0"/>
          <w:smallCaps w:val="0"/>
          <w:color w:val="auto"/>
          <w:spacing w:val="0"/>
          <w:w w:val="100"/>
          <w:position w:val="0"/>
          <w:sz w:val="32"/>
          <w:szCs w:val="32"/>
          <w:u w:val="none" w:color="auto"/>
          <w:lang w:eastAsia="zh-CN"/>
        </w:rPr>
        <w:t>华容县</w:t>
      </w:r>
      <w:r>
        <w:rPr>
          <w:rFonts w:hint="eastAsia" w:ascii="Times New Roman" w:hAnsi="Times New Roman" w:eastAsia="宋体" w:cs="Times New Roman"/>
          <w:b/>
          <w:caps w:val="0"/>
          <w:smallCaps w:val="0"/>
          <w:color w:val="auto"/>
          <w:spacing w:val="0"/>
          <w:w w:val="100"/>
          <w:position w:val="0"/>
          <w:sz w:val="32"/>
          <w:szCs w:val="32"/>
          <w:u w:val="none" w:color="auto"/>
          <w:lang w:eastAsia="zh-CN"/>
        </w:rPr>
        <w:t>北汊水库</w:t>
      </w:r>
      <w:r>
        <w:rPr>
          <w:rFonts w:hint="default" w:ascii="Times New Roman" w:hAnsi="Times New Roman" w:eastAsia="宋体" w:cs="Times New Roman"/>
          <w:b/>
          <w:caps w:val="0"/>
          <w:smallCaps w:val="0"/>
          <w:color w:val="auto"/>
          <w:spacing w:val="0"/>
          <w:w w:val="100"/>
          <w:position w:val="0"/>
          <w:sz w:val="32"/>
          <w:szCs w:val="32"/>
          <w:u w:val="none" w:color="auto"/>
          <w:lang w:eastAsia="zh-CN"/>
        </w:rPr>
        <w:t>管理所</w:t>
      </w:r>
    </w:p>
    <w:p w14:paraId="30244D60">
      <w:pPr>
        <w:keepNext w:val="0"/>
        <w:keepLines w:val="0"/>
        <w:pageBreakBefore w:val="0"/>
        <w:widowControl w:val="0"/>
        <w:kinsoku w:val="0"/>
        <w:wordWrap w:val="0"/>
        <w:overflowPunct/>
        <w:topLinePunct/>
        <w:autoSpaceDE/>
        <w:autoSpaceDN/>
        <w:bidi w:val="0"/>
        <w:adjustRightInd/>
        <w:snapToGrid/>
        <w:spacing w:line="480" w:lineRule="auto"/>
        <w:ind w:firstLine="0" w:firstLineChars="0"/>
        <w:jc w:val="center"/>
        <w:textAlignment w:val="auto"/>
        <w:rPr>
          <w:rFonts w:hint="default" w:ascii="Times New Roman" w:hAnsi="Times New Roman" w:eastAsia="宋体" w:cs="Times New Roman"/>
          <w:b/>
          <w:caps w:val="0"/>
          <w:smallCaps w:val="0"/>
          <w:color w:val="auto"/>
          <w:spacing w:val="0"/>
          <w:w w:val="100"/>
          <w:position w:val="0"/>
          <w:sz w:val="32"/>
          <w:szCs w:val="32"/>
          <w:u w:val="none" w:color="auto"/>
          <w:lang w:eastAsia="zh-CN"/>
        </w:rPr>
      </w:pPr>
      <w:r>
        <w:rPr>
          <w:rFonts w:hint="default" w:ascii="Times New Roman" w:hAnsi="Times New Roman" w:eastAsia="宋体" w:cs="Times New Roman"/>
          <w:b/>
          <w:caps w:val="0"/>
          <w:smallCaps w:val="0"/>
          <w:color w:val="auto"/>
          <w:spacing w:val="0"/>
          <w:w w:val="100"/>
          <w:position w:val="0"/>
          <w:sz w:val="32"/>
          <w:szCs w:val="32"/>
          <w:u w:val="none" w:color="auto"/>
        </w:rPr>
        <w:t>编制单位：</w:t>
      </w:r>
      <w:r>
        <w:rPr>
          <w:rFonts w:hint="default" w:ascii="Times New Roman" w:hAnsi="Times New Roman" w:eastAsia="宋体" w:cs="Times New Roman"/>
          <w:b/>
          <w:caps w:val="0"/>
          <w:smallCaps w:val="0"/>
          <w:color w:val="auto"/>
          <w:spacing w:val="0"/>
          <w:w w:val="100"/>
          <w:position w:val="0"/>
          <w:sz w:val="32"/>
          <w:szCs w:val="32"/>
          <w:u w:val="none" w:color="auto"/>
          <w:lang w:eastAsia="zh-CN"/>
        </w:rPr>
        <w:t>岳阳凯丰环保有限公司</w:t>
      </w:r>
    </w:p>
    <w:p w14:paraId="06B53F5C">
      <w:pPr>
        <w:keepNext w:val="0"/>
        <w:keepLines w:val="0"/>
        <w:pageBreakBefore w:val="0"/>
        <w:widowControl w:val="0"/>
        <w:kinsoku w:val="0"/>
        <w:wordWrap w:val="0"/>
        <w:overflowPunct/>
        <w:topLinePunct/>
        <w:autoSpaceDE/>
        <w:autoSpaceDN/>
        <w:bidi w:val="0"/>
        <w:adjustRightInd/>
        <w:snapToGrid/>
        <w:spacing w:line="480" w:lineRule="auto"/>
        <w:ind w:firstLine="0" w:firstLineChars="0"/>
        <w:jc w:val="center"/>
        <w:textAlignment w:val="auto"/>
        <w:rPr>
          <w:rFonts w:hint="default" w:ascii="Times New Roman" w:hAnsi="Times New Roman" w:eastAsia="宋体" w:cs="Times New Roman"/>
          <w:b/>
          <w:caps w:val="0"/>
          <w:smallCaps w:val="0"/>
          <w:color w:val="auto"/>
          <w:spacing w:val="0"/>
          <w:w w:val="100"/>
          <w:position w:val="0"/>
          <w:sz w:val="32"/>
          <w:szCs w:val="32"/>
          <w:u w:val="none" w:color="auto"/>
        </w:rPr>
      </w:pPr>
      <w:r>
        <w:rPr>
          <w:rFonts w:hint="eastAsia" w:ascii="Times New Roman" w:hAnsi="Times New Roman" w:eastAsia="宋体" w:cs="Times New Roman"/>
          <w:b/>
          <w:caps w:val="0"/>
          <w:smallCaps w:val="0"/>
          <w:color w:val="auto"/>
          <w:spacing w:val="0"/>
          <w:w w:val="100"/>
          <w:position w:val="0"/>
          <w:sz w:val="32"/>
          <w:szCs w:val="32"/>
          <w:u w:val="none" w:color="auto"/>
          <w:lang w:val="en-US" w:eastAsia="zh-CN"/>
        </w:rPr>
        <w:t xml:space="preserve"> </w:t>
      </w:r>
      <w:r>
        <w:rPr>
          <w:rFonts w:hint="default" w:ascii="Times New Roman" w:hAnsi="Times New Roman" w:eastAsia="宋体" w:cs="Times New Roman"/>
          <w:b/>
          <w:caps w:val="0"/>
          <w:smallCaps w:val="0"/>
          <w:color w:val="auto"/>
          <w:spacing w:val="0"/>
          <w:w w:val="100"/>
          <w:position w:val="0"/>
          <w:sz w:val="32"/>
          <w:szCs w:val="32"/>
          <w:u w:val="none" w:color="auto"/>
        </w:rPr>
        <w:t>二零二</w:t>
      </w:r>
      <w:r>
        <w:rPr>
          <w:rFonts w:hint="default" w:ascii="Times New Roman" w:hAnsi="Times New Roman" w:eastAsia="宋体" w:cs="Times New Roman"/>
          <w:b/>
          <w:caps w:val="0"/>
          <w:smallCaps w:val="0"/>
          <w:color w:val="auto"/>
          <w:spacing w:val="0"/>
          <w:w w:val="100"/>
          <w:position w:val="0"/>
          <w:sz w:val="32"/>
          <w:szCs w:val="32"/>
          <w:u w:val="none" w:color="auto"/>
          <w:lang w:eastAsia="zh-CN"/>
        </w:rPr>
        <w:t>四</w:t>
      </w:r>
      <w:r>
        <w:rPr>
          <w:rFonts w:hint="default" w:ascii="Times New Roman" w:hAnsi="Times New Roman" w:eastAsia="宋体" w:cs="Times New Roman"/>
          <w:b/>
          <w:caps w:val="0"/>
          <w:smallCaps w:val="0"/>
          <w:color w:val="auto"/>
          <w:spacing w:val="0"/>
          <w:w w:val="100"/>
          <w:position w:val="0"/>
          <w:sz w:val="32"/>
          <w:szCs w:val="32"/>
          <w:u w:val="none" w:color="auto"/>
        </w:rPr>
        <w:t>年</w:t>
      </w:r>
      <w:r>
        <w:rPr>
          <w:rFonts w:hint="eastAsia" w:ascii="Times New Roman" w:hAnsi="Times New Roman" w:eastAsia="宋体" w:cs="Times New Roman"/>
          <w:b/>
          <w:caps w:val="0"/>
          <w:smallCaps w:val="0"/>
          <w:color w:val="auto"/>
          <w:spacing w:val="0"/>
          <w:w w:val="100"/>
          <w:position w:val="0"/>
          <w:sz w:val="32"/>
          <w:szCs w:val="32"/>
          <w:u w:val="none" w:color="auto"/>
          <w:lang w:eastAsia="zh-CN"/>
        </w:rPr>
        <w:t>九</w:t>
      </w:r>
      <w:r>
        <w:rPr>
          <w:rFonts w:hint="default" w:ascii="Times New Roman" w:hAnsi="Times New Roman" w:eastAsia="宋体" w:cs="Times New Roman"/>
          <w:b/>
          <w:caps w:val="0"/>
          <w:smallCaps w:val="0"/>
          <w:color w:val="auto"/>
          <w:spacing w:val="0"/>
          <w:w w:val="100"/>
          <w:position w:val="0"/>
          <w:sz w:val="32"/>
          <w:szCs w:val="32"/>
          <w:u w:val="none" w:color="auto"/>
        </w:rPr>
        <w:t>月</w:t>
      </w:r>
    </w:p>
    <w:p w14:paraId="7837116B">
      <w:pPr>
        <w:pageBreakBefore w:val="0"/>
        <w:kinsoku w:val="0"/>
        <w:wordWrap w:val="0"/>
        <w:overflowPunct/>
        <w:topLinePunct/>
        <w:autoSpaceDE/>
        <w:autoSpaceDN/>
        <w:bidi w:val="0"/>
        <w:spacing w:before="156" w:beforeLines="50" w:after="156" w:afterLines="50"/>
        <w:jc w:val="center"/>
        <w:outlineLvl w:val="0"/>
        <w:rPr>
          <w:rFonts w:hint="default" w:ascii="Times New Roman" w:hAnsi="Times New Roman" w:eastAsia="宋体" w:cs="Times New Roman"/>
          <w:b/>
          <w:caps w:val="0"/>
          <w:smallCaps w:val="0"/>
          <w:color w:val="auto"/>
          <w:spacing w:val="0"/>
          <w:w w:val="100"/>
          <w:position w:val="0"/>
          <w:sz w:val="32"/>
          <w:szCs w:val="32"/>
          <w:u w:val="none" w:color="auto"/>
        </w:rPr>
        <w:sectPr>
          <w:footerReference r:id="rId4" w:type="first"/>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12425A66">
      <w:pPr>
        <w:bidi w:val="0"/>
        <w:jc w:val="center"/>
        <w:rPr>
          <w:rFonts w:hint="default" w:ascii="Times New Roman" w:hAnsi="Times New Roman" w:cs="Times New Roman"/>
          <w:spacing w:val="0"/>
          <w:w w:val="100"/>
          <w:position w:val="0"/>
          <w:sz w:val="24"/>
          <w:szCs w:val="24"/>
          <w:u w:val="none" w:color="auto"/>
        </w:rPr>
      </w:pPr>
      <w:bookmarkStart w:id="0" w:name="_Toc19484"/>
      <w:r>
        <w:rPr>
          <w:rFonts w:hint="default" w:ascii="Times New Roman" w:hAnsi="Times New Roman" w:cs="Times New Roman"/>
          <w:spacing w:val="0"/>
          <w:w w:val="100"/>
          <w:position w:val="0"/>
          <w:sz w:val="24"/>
          <w:szCs w:val="24"/>
          <w:u w:val="none" w:color="auto"/>
        </w:rPr>
        <w:drawing>
          <wp:anchor distT="0" distB="0" distL="114300" distR="114300" simplePos="0" relativeHeight="251672576" behindDoc="0" locked="0" layoutInCell="1" allowOverlap="1">
            <wp:simplePos x="0" y="0"/>
            <wp:positionH relativeFrom="column">
              <wp:posOffset>-1167130</wp:posOffset>
            </wp:positionH>
            <wp:positionV relativeFrom="paragraph">
              <wp:posOffset>-913130</wp:posOffset>
            </wp:positionV>
            <wp:extent cx="7573010" cy="10724515"/>
            <wp:effectExtent l="0" t="0" r="1270" b="4445"/>
            <wp:wrapNone/>
            <wp:docPr id="17" name="图片 17" descr="26db0c831fb87b2a1c6c8b13e54f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6db0c831fb87b2a1c6c8b13e54f949"/>
                    <pic:cNvPicPr>
                      <a:picLocks noChangeAspect="1"/>
                    </pic:cNvPicPr>
                  </pic:nvPicPr>
                  <pic:blipFill>
                    <a:blip r:embed="rId22"/>
                    <a:stretch>
                      <a:fillRect/>
                    </a:stretch>
                  </pic:blipFill>
                  <pic:spPr>
                    <a:xfrm>
                      <a:off x="0" y="0"/>
                      <a:ext cx="7573010" cy="10724515"/>
                    </a:xfrm>
                    <a:prstGeom prst="rect">
                      <a:avLst/>
                    </a:prstGeom>
                  </pic:spPr>
                </pic:pic>
              </a:graphicData>
            </a:graphic>
          </wp:anchor>
        </w:drawing>
      </w:r>
      <w:r>
        <w:rPr>
          <w:rFonts w:hint="default" w:ascii="Times New Roman" w:hAnsi="Times New Roman" w:cs="Times New Roman"/>
          <w:spacing w:val="0"/>
          <w:w w:val="100"/>
          <w:position w:val="0"/>
          <w:sz w:val="24"/>
          <w:szCs w:val="24"/>
          <w:u w:val="none" w:color="auto"/>
        </w:rPr>
        <w:t>编制单位和编制人员情况表</w:t>
      </w:r>
      <w:bookmarkEnd w:id="0"/>
    </w:p>
    <w:tbl>
      <w:tblPr>
        <w:tblStyle w:val="3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829"/>
        <w:gridCol w:w="2117"/>
        <w:gridCol w:w="1982"/>
      </w:tblGrid>
      <w:tr w14:paraId="27FC2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7FE31A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项目编号</w:t>
            </w:r>
          </w:p>
        </w:tc>
        <w:tc>
          <w:tcPr>
            <w:tcW w:w="2407" w:type="pct"/>
            <w:gridSpan w:val="2"/>
            <w:noWrap w:val="0"/>
            <w:vAlign w:val="center"/>
          </w:tcPr>
          <w:p w14:paraId="5F40EE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w:t>
            </w:r>
          </w:p>
        </w:tc>
      </w:tr>
      <w:tr w14:paraId="22AE9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173CDB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建设项目名称</w:t>
            </w:r>
          </w:p>
        </w:tc>
        <w:tc>
          <w:tcPr>
            <w:tcW w:w="2407" w:type="pct"/>
            <w:gridSpan w:val="2"/>
            <w:noWrap w:val="0"/>
            <w:vAlign w:val="center"/>
          </w:tcPr>
          <w:p w14:paraId="5A0FB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华容县</w:t>
            </w:r>
            <w:r>
              <w:rPr>
                <w:rFonts w:hint="eastAsia" w:ascii="Times New Roman" w:hAnsi="Times New Roman" w:eastAsia="宋体" w:cs="Times New Roman"/>
                <w:color w:val="auto"/>
                <w:spacing w:val="0"/>
                <w:w w:val="100"/>
                <w:kern w:val="21"/>
                <w:position w:val="0"/>
                <w:sz w:val="21"/>
                <w:szCs w:val="21"/>
                <w:u w:val="none" w:color="auto"/>
                <w:lang w:val="en-US" w:eastAsia="zh-CN" w:bidi="ar-SA"/>
              </w:rPr>
              <w:t>北汊水库</w:t>
            </w:r>
            <w:r>
              <w:rPr>
                <w:rFonts w:hint="default" w:ascii="Times New Roman" w:hAnsi="Times New Roman" w:eastAsia="宋体" w:cs="Times New Roman"/>
                <w:color w:val="auto"/>
                <w:spacing w:val="0"/>
                <w:w w:val="100"/>
                <w:kern w:val="21"/>
                <w:position w:val="0"/>
                <w:sz w:val="21"/>
                <w:szCs w:val="21"/>
                <w:u w:val="none" w:color="auto"/>
                <w:lang w:val="en-US" w:eastAsia="zh-CN" w:bidi="ar-SA"/>
              </w:rPr>
              <w:t>除险加固工程</w:t>
            </w:r>
          </w:p>
        </w:tc>
      </w:tr>
      <w:tr w14:paraId="4EB44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12E25D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建设项目类别</w:t>
            </w:r>
          </w:p>
        </w:tc>
        <w:tc>
          <w:tcPr>
            <w:tcW w:w="2407" w:type="pct"/>
            <w:gridSpan w:val="2"/>
            <w:noWrap w:val="0"/>
            <w:vAlign w:val="center"/>
          </w:tcPr>
          <w:p w14:paraId="40FD61C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pacing w:val="0"/>
                <w:w w:val="100"/>
                <w:kern w:val="21"/>
                <w:position w:val="0"/>
                <w:sz w:val="21"/>
                <w:szCs w:val="21"/>
                <w:u w:val="none" w:color="auto"/>
                <w:lang w:val="en-US" w:eastAsia="zh-CN"/>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51-124水库</w:t>
            </w:r>
          </w:p>
        </w:tc>
      </w:tr>
      <w:tr w14:paraId="14A51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349D95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环境影响评价文件类型</w:t>
            </w:r>
          </w:p>
        </w:tc>
        <w:tc>
          <w:tcPr>
            <w:tcW w:w="2407" w:type="pct"/>
            <w:gridSpan w:val="2"/>
            <w:noWrap w:val="0"/>
            <w:vAlign w:val="center"/>
          </w:tcPr>
          <w:p w14:paraId="430582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报告书</w:t>
            </w:r>
          </w:p>
        </w:tc>
      </w:tr>
      <w:tr w14:paraId="430F8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noWrap w:val="0"/>
            <w:vAlign w:val="center"/>
          </w:tcPr>
          <w:p w14:paraId="04892B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一、建设单位情况</w:t>
            </w:r>
          </w:p>
        </w:tc>
      </w:tr>
      <w:tr w14:paraId="294436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428AF8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单位名称（盖章）</w:t>
            </w:r>
          </w:p>
        </w:tc>
        <w:tc>
          <w:tcPr>
            <w:tcW w:w="2407" w:type="pct"/>
            <w:gridSpan w:val="2"/>
            <w:noWrap w:val="0"/>
            <w:vAlign w:val="center"/>
          </w:tcPr>
          <w:p w14:paraId="5170B3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华容县</w:t>
            </w:r>
            <w:r>
              <w:rPr>
                <w:rFonts w:hint="eastAsia" w:ascii="Times New Roman" w:hAnsi="Times New Roman" w:eastAsia="宋体" w:cs="Times New Roman"/>
                <w:color w:val="auto"/>
                <w:spacing w:val="0"/>
                <w:w w:val="100"/>
                <w:kern w:val="21"/>
                <w:position w:val="0"/>
                <w:sz w:val="21"/>
                <w:szCs w:val="21"/>
                <w:u w:val="none" w:color="auto"/>
                <w:lang w:val="en-US" w:eastAsia="zh-CN" w:bidi="ar-SA"/>
              </w:rPr>
              <w:t>北汊水库</w:t>
            </w:r>
            <w:r>
              <w:rPr>
                <w:rFonts w:hint="default" w:ascii="Times New Roman" w:hAnsi="Times New Roman" w:eastAsia="宋体" w:cs="Times New Roman"/>
                <w:color w:val="auto"/>
                <w:spacing w:val="0"/>
                <w:w w:val="100"/>
                <w:kern w:val="21"/>
                <w:position w:val="0"/>
                <w:sz w:val="21"/>
                <w:szCs w:val="21"/>
                <w:u w:val="none" w:color="auto"/>
                <w:lang w:val="en-US" w:eastAsia="zh-CN" w:bidi="ar-SA"/>
              </w:rPr>
              <w:t>管理所</w:t>
            </w:r>
          </w:p>
        </w:tc>
      </w:tr>
      <w:tr w14:paraId="3FDC5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7549CA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统一社会信用代码</w:t>
            </w:r>
          </w:p>
        </w:tc>
        <w:tc>
          <w:tcPr>
            <w:tcW w:w="2407" w:type="pct"/>
            <w:gridSpan w:val="2"/>
            <w:noWrap w:val="0"/>
            <w:vAlign w:val="center"/>
          </w:tcPr>
          <w:p w14:paraId="084D4F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eastAsia" w:ascii="Times New Roman" w:hAnsi="Times New Roman" w:eastAsia="宋体" w:cs="Times New Roman"/>
                <w:color w:val="auto"/>
                <w:spacing w:val="0"/>
                <w:w w:val="100"/>
                <w:kern w:val="21"/>
                <w:position w:val="0"/>
                <w:sz w:val="21"/>
                <w:szCs w:val="21"/>
                <w:u w:val="none" w:color="auto"/>
                <w:lang w:val="en-US" w:eastAsia="zh-CN" w:bidi="ar-SA"/>
              </w:rPr>
              <w:t>12430623446279827M</w:t>
            </w:r>
          </w:p>
        </w:tc>
      </w:tr>
      <w:tr w14:paraId="1B15F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197671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法定代表人（签章）</w:t>
            </w:r>
          </w:p>
        </w:tc>
        <w:tc>
          <w:tcPr>
            <w:tcW w:w="2407" w:type="pct"/>
            <w:gridSpan w:val="2"/>
            <w:noWrap w:val="0"/>
            <w:vAlign w:val="center"/>
          </w:tcPr>
          <w:p w14:paraId="188E22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eastAsia" w:ascii="Times New Roman" w:hAnsi="Times New Roman" w:eastAsia="宋体" w:cs="Times New Roman"/>
                <w:color w:val="auto"/>
                <w:spacing w:val="0"/>
                <w:w w:val="100"/>
                <w:kern w:val="21"/>
                <w:position w:val="0"/>
                <w:sz w:val="21"/>
                <w:szCs w:val="21"/>
                <w:u w:val="none" w:color="auto"/>
                <w:lang w:val="en-US" w:eastAsia="zh-CN" w:bidi="ar-SA"/>
              </w:rPr>
              <w:t>李宁波</w:t>
            </w:r>
          </w:p>
        </w:tc>
      </w:tr>
      <w:tr w14:paraId="5BEA5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387CF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主要负责人（签字）</w:t>
            </w:r>
          </w:p>
        </w:tc>
        <w:tc>
          <w:tcPr>
            <w:tcW w:w="2407" w:type="pct"/>
            <w:gridSpan w:val="2"/>
            <w:noWrap w:val="0"/>
            <w:vAlign w:val="center"/>
          </w:tcPr>
          <w:p w14:paraId="7E71E9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eastAsia" w:ascii="Times New Roman" w:hAnsi="Times New Roman" w:eastAsia="宋体" w:cs="Times New Roman"/>
                <w:color w:val="auto"/>
                <w:spacing w:val="0"/>
                <w:w w:val="100"/>
                <w:kern w:val="21"/>
                <w:position w:val="0"/>
                <w:sz w:val="21"/>
                <w:szCs w:val="21"/>
                <w:u w:val="none" w:color="auto"/>
                <w:lang w:val="en-US" w:eastAsia="zh-CN" w:bidi="ar-SA"/>
              </w:rPr>
              <w:t>李宁波</w:t>
            </w:r>
          </w:p>
        </w:tc>
      </w:tr>
      <w:tr w14:paraId="60CEA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45E6FD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直接负责的主管人员（签字）</w:t>
            </w:r>
          </w:p>
        </w:tc>
        <w:tc>
          <w:tcPr>
            <w:tcW w:w="2407" w:type="pct"/>
            <w:gridSpan w:val="2"/>
            <w:noWrap w:val="0"/>
            <w:vAlign w:val="center"/>
          </w:tcPr>
          <w:p w14:paraId="61CF1F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eastAsia" w:ascii="Times New Roman" w:hAnsi="Times New Roman" w:eastAsia="宋体" w:cs="Times New Roman"/>
                <w:color w:val="auto"/>
                <w:spacing w:val="0"/>
                <w:w w:val="100"/>
                <w:kern w:val="21"/>
                <w:position w:val="0"/>
                <w:sz w:val="21"/>
                <w:szCs w:val="21"/>
                <w:u w:val="none" w:color="auto"/>
                <w:lang w:val="en-US" w:eastAsia="zh-CN" w:bidi="ar-SA"/>
              </w:rPr>
              <w:t>李宁波</w:t>
            </w:r>
          </w:p>
        </w:tc>
      </w:tr>
      <w:tr w14:paraId="1647C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noWrap w:val="0"/>
            <w:vAlign w:val="center"/>
          </w:tcPr>
          <w:p w14:paraId="4A37DA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二、编制单位情况</w:t>
            </w:r>
          </w:p>
        </w:tc>
      </w:tr>
      <w:tr w14:paraId="410CB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19184A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单位名称（盖章）</w:t>
            </w:r>
          </w:p>
        </w:tc>
        <w:tc>
          <w:tcPr>
            <w:tcW w:w="2407" w:type="pct"/>
            <w:gridSpan w:val="2"/>
            <w:noWrap w:val="0"/>
            <w:vAlign w:val="center"/>
          </w:tcPr>
          <w:p w14:paraId="323E69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岳阳凯丰环保有限公司</w:t>
            </w:r>
          </w:p>
        </w:tc>
      </w:tr>
      <w:tr w14:paraId="6419B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92" w:type="pct"/>
            <w:gridSpan w:val="2"/>
            <w:noWrap w:val="0"/>
            <w:vAlign w:val="center"/>
          </w:tcPr>
          <w:p w14:paraId="6EE030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统一社会信用代码</w:t>
            </w:r>
          </w:p>
        </w:tc>
        <w:tc>
          <w:tcPr>
            <w:tcW w:w="2407" w:type="pct"/>
            <w:gridSpan w:val="2"/>
            <w:noWrap w:val="0"/>
            <w:vAlign w:val="center"/>
          </w:tcPr>
          <w:p w14:paraId="541563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91430602060138255N</w:t>
            </w:r>
          </w:p>
        </w:tc>
      </w:tr>
      <w:tr w14:paraId="1451B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noWrap w:val="0"/>
            <w:vAlign w:val="center"/>
          </w:tcPr>
          <w:p w14:paraId="3A0F49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三、编制人员情况</w:t>
            </w:r>
          </w:p>
        </w:tc>
      </w:tr>
      <w:tr w14:paraId="7FC85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noWrap w:val="0"/>
            <w:vAlign w:val="center"/>
          </w:tcPr>
          <w:p w14:paraId="10BA24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1.编制主持人</w:t>
            </w:r>
          </w:p>
        </w:tc>
      </w:tr>
      <w:tr w14:paraId="40FD2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pct"/>
            <w:noWrap w:val="0"/>
            <w:vAlign w:val="center"/>
          </w:tcPr>
          <w:p w14:paraId="583ABA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姓名</w:t>
            </w:r>
          </w:p>
        </w:tc>
        <w:tc>
          <w:tcPr>
            <w:tcW w:w="1660" w:type="pct"/>
            <w:noWrap w:val="0"/>
            <w:vAlign w:val="center"/>
          </w:tcPr>
          <w:p w14:paraId="10A128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职业资格证书管理号</w:t>
            </w:r>
          </w:p>
        </w:tc>
        <w:tc>
          <w:tcPr>
            <w:tcW w:w="1243" w:type="pct"/>
            <w:noWrap w:val="0"/>
            <w:vAlign w:val="center"/>
          </w:tcPr>
          <w:p w14:paraId="611AD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信用编号</w:t>
            </w:r>
          </w:p>
        </w:tc>
        <w:tc>
          <w:tcPr>
            <w:tcW w:w="1163" w:type="pct"/>
            <w:noWrap w:val="0"/>
            <w:vAlign w:val="center"/>
          </w:tcPr>
          <w:p w14:paraId="3C311A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签字</w:t>
            </w:r>
          </w:p>
        </w:tc>
      </w:tr>
      <w:tr w14:paraId="40072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44" w:type="dxa"/>
            <w:noWrap w:val="0"/>
            <w:vAlign w:val="center"/>
          </w:tcPr>
          <w:p w14:paraId="2176B8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highlight w:val="none"/>
                <w:u w:val="none" w:color="auto"/>
                <w:lang w:val="en-US" w:eastAsia="zh-CN" w:bidi="ar-SA"/>
              </w:rPr>
              <w:t>闵志华</w:t>
            </w:r>
          </w:p>
        </w:tc>
        <w:tc>
          <w:tcPr>
            <w:tcW w:w="3108" w:type="dxa"/>
            <w:noWrap w:val="0"/>
            <w:vAlign w:val="center"/>
          </w:tcPr>
          <w:p w14:paraId="4C9F15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highlight w:val="none"/>
                <w:u w:val="none" w:color="auto"/>
                <w:lang w:val="en-US" w:eastAsia="zh-CN" w:bidi="ar-SA"/>
              </w:rPr>
              <w:t>20230503543000000049</w:t>
            </w:r>
          </w:p>
        </w:tc>
        <w:tc>
          <w:tcPr>
            <w:tcW w:w="2326" w:type="dxa"/>
            <w:noWrap w:val="0"/>
            <w:vAlign w:val="center"/>
          </w:tcPr>
          <w:p w14:paraId="5002D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highlight w:val="none"/>
                <w:u w:val="none" w:color="auto"/>
                <w:lang w:val="en-US" w:eastAsia="zh-CN" w:bidi="ar-SA"/>
              </w:rPr>
              <w:t>BH027656</w:t>
            </w:r>
          </w:p>
        </w:tc>
        <w:tc>
          <w:tcPr>
            <w:tcW w:w="2178" w:type="dxa"/>
            <w:noWrap w:val="0"/>
            <w:vAlign w:val="center"/>
          </w:tcPr>
          <w:p w14:paraId="1C4FE6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p>
        </w:tc>
      </w:tr>
      <w:tr w14:paraId="2476A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noWrap w:val="0"/>
            <w:vAlign w:val="center"/>
          </w:tcPr>
          <w:p w14:paraId="3ACE90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2.主要编制人员</w:t>
            </w:r>
          </w:p>
        </w:tc>
      </w:tr>
      <w:tr w14:paraId="421AC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pct"/>
            <w:noWrap w:val="0"/>
            <w:vAlign w:val="center"/>
          </w:tcPr>
          <w:p w14:paraId="14897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姓名</w:t>
            </w:r>
          </w:p>
        </w:tc>
        <w:tc>
          <w:tcPr>
            <w:tcW w:w="1660" w:type="pct"/>
            <w:noWrap w:val="0"/>
            <w:vAlign w:val="center"/>
          </w:tcPr>
          <w:p w14:paraId="7F5E53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主要编写内容</w:t>
            </w:r>
          </w:p>
        </w:tc>
        <w:tc>
          <w:tcPr>
            <w:tcW w:w="1243" w:type="pct"/>
            <w:noWrap w:val="0"/>
            <w:vAlign w:val="center"/>
          </w:tcPr>
          <w:p w14:paraId="7726FE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信用编号</w:t>
            </w:r>
          </w:p>
        </w:tc>
        <w:tc>
          <w:tcPr>
            <w:tcW w:w="1163" w:type="pct"/>
            <w:noWrap w:val="0"/>
            <w:vAlign w:val="center"/>
          </w:tcPr>
          <w:p w14:paraId="735C1A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bidi="ar-SA"/>
              </w:rPr>
              <w:t>签字</w:t>
            </w:r>
          </w:p>
        </w:tc>
      </w:tr>
      <w:tr w14:paraId="5D0A1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44" w:type="dxa"/>
            <w:noWrap w:val="0"/>
            <w:vAlign w:val="center"/>
          </w:tcPr>
          <w:p w14:paraId="431329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highlight w:val="none"/>
                <w:u w:val="none" w:color="auto"/>
                <w:lang w:val="en-US" w:eastAsia="zh-CN" w:bidi="ar-SA"/>
              </w:rPr>
              <w:t>闵志华</w:t>
            </w:r>
          </w:p>
        </w:tc>
        <w:tc>
          <w:tcPr>
            <w:tcW w:w="3108" w:type="dxa"/>
            <w:noWrap w:val="0"/>
            <w:vAlign w:val="center"/>
          </w:tcPr>
          <w:p w14:paraId="281218BA">
            <w:pPr>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u w:val="none" w:color="auto"/>
                <w:lang w:val="en-US" w:eastAsia="zh-CN"/>
              </w:rPr>
              <w:t>概述、总则、工程概况与工程分析、环境现状调查与评价、环境影响预测与评价、环境保护措施及其可行性分析、环境影响经济损益分析、环境管理与监测计划、环境影响评价结论</w:t>
            </w:r>
          </w:p>
        </w:tc>
        <w:tc>
          <w:tcPr>
            <w:tcW w:w="2326" w:type="dxa"/>
            <w:noWrap w:val="0"/>
            <w:vAlign w:val="center"/>
          </w:tcPr>
          <w:p w14:paraId="76DD8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r>
              <w:rPr>
                <w:rFonts w:hint="default" w:ascii="Times New Roman" w:hAnsi="Times New Roman" w:eastAsia="宋体" w:cs="Times New Roman"/>
                <w:color w:val="auto"/>
                <w:spacing w:val="0"/>
                <w:w w:val="100"/>
                <w:kern w:val="21"/>
                <w:position w:val="0"/>
                <w:sz w:val="21"/>
                <w:szCs w:val="21"/>
                <w:highlight w:val="none"/>
                <w:u w:val="none" w:color="auto"/>
                <w:lang w:val="en-US" w:eastAsia="zh-CN" w:bidi="ar-SA"/>
              </w:rPr>
              <w:t>BH027656</w:t>
            </w:r>
          </w:p>
        </w:tc>
        <w:tc>
          <w:tcPr>
            <w:tcW w:w="1163" w:type="pct"/>
            <w:noWrap w:val="0"/>
            <w:vAlign w:val="center"/>
          </w:tcPr>
          <w:p w14:paraId="29FE9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21"/>
                <w:position w:val="0"/>
                <w:sz w:val="21"/>
                <w:szCs w:val="21"/>
                <w:u w:val="none" w:color="auto"/>
                <w:lang w:val="en-US" w:eastAsia="zh-CN" w:bidi="ar-SA"/>
              </w:rPr>
            </w:pPr>
          </w:p>
        </w:tc>
      </w:tr>
    </w:tbl>
    <w:p w14:paraId="30B9F881">
      <w:pPr>
        <w:adjustRightInd w:val="0"/>
        <w:spacing w:line="240" w:lineRule="auto"/>
        <w:ind w:firstLine="0"/>
        <w:jc w:val="center"/>
        <w:rPr>
          <w:rFonts w:hint="default" w:ascii="Times New Roman" w:hAnsi="Times New Roman" w:eastAsia="宋体" w:cs="Times New Roman"/>
          <w:b/>
          <w:color w:val="auto"/>
          <w:spacing w:val="0"/>
          <w:w w:val="100"/>
          <w:position w:val="0"/>
          <w:sz w:val="38"/>
          <w:szCs w:val="38"/>
          <w:u w:val="none" w:color="auto"/>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upperRoman"/>
          <w:cols w:space="425" w:num="1"/>
          <w:docGrid w:type="lines" w:linePitch="312" w:charSpace="0"/>
        </w:sectPr>
      </w:pPr>
    </w:p>
    <w:p w14:paraId="6CAA3B48">
      <w:pPr>
        <w:pageBreakBefore w:val="0"/>
        <w:kinsoku w:val="0"/>
        <w:wordWrap w:val="0"/>
        <w:overflowPunct/>
        <w:topLinePunct/>
        <w:autoSpaceDE/>
        <w:autoSpaceDN/>
        <w:bidi w:val="0"/>
        <w:adjustRightInd w:val="0"/>
        <w:spacing w:line="500" w:lineRule="exact"/>
        <w:jc w:val="center"/>
        <w:rPr>
          <w:rFonts w:hint="default" w:ascii="Times New Roman" w:hAnsi="Times New Roman" w:eastAsia="宋体" w:cs="Times New Roman"/>
          <w:b/>
          <w:caps w:val="0"/>
          <w:smallCaps w:val="0"/>
          <w:color w:val="auto"/>
          <w:spacing w:val="0"/>
          <w:w w:val="100"/>
          <w:kern w:val="0"/>
          <w:position w:val="0"/>
          <w:sz w:val="32"/>
          <w:szCs w:val="28"/>
          <w:u w:val="none" w:color="auto"/>
        </w:rPr>
      </w:pPr>
      <w:r>
        <w:rPr>
          <w:rFonts w:hint="default" w:ascii="Times New Roman" w:hAnsi="Times New Roman" w:eastAsia="宋体" w:cs="Times New Roman"/>
          <w:b/>
          <w:caps w:val="0"/>
          <w:smallCaps w:val="0"/>
          <w:color w:val="auto"/>
          <w:spacing w:val="0"/>
          <w:w w:val="100"/>
          <w:kern w:val="0"/>
          <w:position w:val="0"/>
          <w:sz w:val="32"/>
          <w:szCs w:val="28"/>
          <w:u w:val="none" w:color="auto"/>
        </w:rPr>
        <w:t>目 录</w:t>
      </w:r>
    </w:p>
    <w:p w14:paraId="14214C91">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 w:val="24"/>
          <w:szCs w:val="24"/>
          <w:u w:val="none" w:color="auto"/>
        </w:rPr>
        <w:fldChar w:fldCharType="begin"/>
      </w:r>
      <w:r>
        <w:rPr>
          <w:rFonts w:hint="default" w:ascii="Times New Roman" w:hAnsi="Times New Roman" w:eastAsia="宋体" w:cs="Times New Roman"/>
          <w:caps w:val="0"/>
          <w:smallCaps w:val="0"/>
          <w:color w:val="auto"/>
          <w:spacing w:val="0"/>
          <w:w w:val="100"/>
          <w:kern w:val="0"/>
          <w:position w:val="0"/>
          <w:sz w:val="24"/>
          <w:szCs w:val="24"/>
          <w:u w:val="none" w:color="auto"/>
        </w:rPr>
        <w:instrText xml:space="preserve"> TOC \o "1-3" \h \z \u </w:instrText>
      </w:r>
      <w:r>
        <w:rPr>
          <w:rFonts w:hint="default" w:ascii="Times New Roman" w:hAnsi="Times New Roman" w:eastAsia="宋体" w:cs="Times New Roman"/>
          <w:caps w:val="0"/>
          <w:smallCaps w:val="0"/>
          <w:color w:val="auto"/>
          <w:spacing w:val="0"/>
          <w:w w:val="100"/>
          <w:kern w:val="0"/>
          <w:position w:val="0"/>
          <w:sz w:val="24"/>
          <w:szCs w:val="24"/>
          <w:u w:val="none" w:color="auto"/>
        </w:rPr>
        <w:fldChar w:fldCharType="separate"/>
      </w: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_Toc9054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lang w:eastAsia="zh-CN"/>
        </w:rPr>
        <w:t>概</w:t>
      </w:r>
      <w:r>
        <w:rPr>
          <w:rFonts w:hint="default" w:ascii="Times New Roman" w:hAnsi="Times New Roman" w:cs="Times New Roman"/>
          <w:lang w:val="en-US" w:eastAsia="zh-CN"/>
        </w:rPr>
        <w:t xml:space="preserve"> </w:t>
      </w:r>
      <w:r>
        <w:rPr>
          <w:rFonts w:hint="default" w:ascii="Times New Roman" w:hAnsi="Times New Roman" w:cs="Times New Roman"/>
          <w:lang w:eastAsia="zh-CN"/>
        </w:rPr>
        <w:t>述</w:t>
      </w:r>
      <w:r>
        <w:tab/>
      </w:r>
      <w:r>
        <w:fldChar w:fldCharType="begin"/>
      </w:r>
      <w:r>
        <w:instrText xml:space="preserve"> PAGEREF _Toc9054 \h </w:instrText>
      </w:r>
      <w:r>
        <w:fldChar w:fldCharType="separate"/>
      </w:r>
      <w:r>
        <w:t>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34F5006">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_Toc12766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1项目背景</w:t>
      </w:r>
      <w:r>
        <w:tab/>
      </w:r>
      <w:r>
        <w:fldChar w:fldCharType="begin"/>
      </w:r>
      <w:r>
        <w:instrText xml:space="preserve"> PAGEREF _Toc12766 \h </w:instrText>
      </w:r>
      <w:r>
        <w:fldChar w:fldCharType="separate"/>
      </w:r>
      <w:r>
        <w:t>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2250C37">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_Toc13432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2项目特点</w:t>
      </w:r>
      <w:r>
        <w:tab/>
      </w:r>
      <w:r>
        <w:fldChar w:fldCharType="begin"/>
      </w:r>
      <w:r>
        <w:instrText xml:space="preserve"> PAGEREF _Toc13432 \h </w:instrText>
      </w:r>
      <w:r>
        <w:fldChar w:fldCharType="separate"/>
      </w:r>
      <w:r>
        <w:t>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3F5BA35">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_Toc20687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3环境影响评价工作过程</w:t>
      </w:r>
      <w:r>
        <w:tab/>
      </w:r>
      <w:r>
        <w:fldChar w:fldCharType="begin"/>
      </w:r>
      <w:r>
        <w:instrText xml:space="preserve"> PAGEREF _Toc20687 \h </w:instrText>
      </w:r>
      <w:r>
        <w:fldChar w:fldCharType="separate"/>
      </w:r>
      <w:r>
        <w:t>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385F4E8">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_Toc17417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4分析判定相关情况</w:t>
      </w:r>
      <w:r>
        <w:tab/>
      </w:r>
      <w:r>
        <w:fldChar w:fldCharType="begin"/>
      </w:r>
      <w:r>
        <w:instrText xml:space="preserve"> PAGEREF _Toc17417 \h </w:instrText>
      </w:r>
      <w:r>
        <w:fldChar w:fldCharType="separate"/>
      </w:r>
      <w:r>
        <w:t>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3C3999C">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_Toc13195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5关注的主要环境问题及环境影响</w:t>
      </w:r>
      <w:r>
        <w:tab/>
      </w:r>
      <w:r>
        <w:fldChar w:fldCharType="begin"/>
      </w:r>
      <w:r>
        <w:instrText xml:space="preserve"> PAGEREF _Toc13195 \h </w:instrText>
      </w:r>
      <w:r>
        <w:fldChar w:fldCharType="separate"/>
      </w:r>
      <w:r>
        <w:t>24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AC76920">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_Toc25506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6环境影响报告书主要结论</w:t>
      </w:r>
      <w:r>
        <w:tab/>
      </w:r>
      <w:r>
        <w:fldChar w:fldCharType="begin"/>
      </w:r>
      <w:r>
        <w:instrText xml:space="preserve"> PAGEREF _Toc25506 \h </w:instrText>
      </w:r>
      <w:r>
        <w:fldChar w:fldCharType="separate"/>
      </w:r>
      <w:r>
        <w:t>25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28AD664">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_Toc2294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 总则</w:t>
      </w:r>
      <w:r>
        <w:tab/>
      </w:r>
      <w:r>
        <w:fldChar w:fldCharType="begin"/>
      </w:r>
      <w:r>
        <w:instrText xml:space="preserve"> PAGEREF _Toc2294 \h </w:instrText>
      </w:r>
      <w:r>
        <w:fldChar w:fldCharType="separate"/>
      </w:r>
      <w:r>
        <w:t>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E8C740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_Toc9187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1.1. 编制依据</w:t>
      </w:r>
      <w:r>
        <w:tab/>
      </w:r>
      <w:r>
        <w:fldChar w:fldCharType="begin"/>
      </w:r>
      <w:r>
        <w:instrText xml:space="preserve"> PAGEREF _Toc9187 \h </w:instrText>
      </w:r>
      <w:r>
        <w:fldChar w:fldCharType="separate"/>
      </w:r>
      <w:r>
        <w:t>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18793E4">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_Toc28492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1.1.1. </w:t>
      </w:r>
      <w:r>
        <w:rPr>
          <w:rFonts w:hint="default" w:ascii="Times New Roman" w:hAnsi="Times New Roman" w:cs="Times New Roman"/>
        </w:rPr>
        <w:t>法律法规</w:t>
      </w:r>
      <w:r>
        <w:rPr>
          <w:rFonts w:hint="default" w:ascii="Times New Roman" w:hAnsi="Times New Roman" w:cs="Times New Roman"/>
          <w:lang w:eastAsia="zh-CN"/>
        </w:rPr>
        <w:t>、部门规章</w:t>
      </w:r>
      <w:r>
        <w:tab/>
      </w:r>
      <w:r>
        <w:fldChar w:fldCharType="begin"/>
      </w:r>
      <w:r>
        <w:instrText xml:space="preserve"> PAGEREF _Toc28492 \h </w:instrText>
      </w:r>
      <w:r>
        <w:fldChar w:fldCharType="separate"/>
      </w:r>
      <w:r>
        <w:t>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846A24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_Toc16817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1.1.2. </w:t>
      </w:r>
      <w:r>
        <w:rPr>
          <w:rFonts w:hint="default" w:ascii="Times New Roman" w:hAnsi="Times New Roman" w:cs="Times New Roman"/>
        </w:rPr>
        <w:t>地方法规规章</w:t>
      </w:r>
      <w:r>
        <w:tab/>
      </w:r>
      <w:r>
        <w:fldChar w:fldCharType="begin"/>
      </w:r>
      <w:r>
        <w:instrText xml:space="preserve"> PAGEREF _Toc16817 \h </w:instrText>
      </w:r>
      <w:r>
        <w:fldChar w:fldCharType="separate"/>
      </w:r>
      <w:r>
        <w:t>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F0CA31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_Toc20759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1.1.3. </w:t>
      </w:r>
      <w:r>
        <w:rPr>
          <w:rFonts w:hint="default" w:ascii="Times New Roman" w:hAnsi="Times New Roman" w:cs="Times New Roman"/>
          <w:lang w:eastAsia="zh-CN"/>
        </w:rPr>
        <w:t>规划区划</w:t>
      </w:r>
      <w:r>
        <w:tab/>
      </w:r>
      <w:r>
        <w:fldChar w:fldCharType="begin"/>
      </w:r>
      <w:r>
        <w:instrText xml:space="preserve"> PAGEREF _Toc20759 \h </w:instrText>
      </w:r>
      <w:r>
        <w:fldChar w:fldCharType="separate"/>
      </w:r>
      <w:r>
        <w:t>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09D113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_Toc25046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caps w:val="0"/>
          <w:smallCaps w:val="0"/>
          <w:spacing w:val="0"/>
          <w:w w:val="100"/>
          <w:position w:val="0"/>
          <w:szCs w:val="28"/>
        </w:rPr>
        <w:t xml:space="preserve">1.1.4. </w:t>
      </w:r>
      <w:r>
        <w:rPr>
          <w:rFonts w:hint="default" w:ascii="Times New Roman" w:hAnsi="Times New Roman" w:eastAsia="宋体" w:cs="Times New Roman"/>
          <w:caps w:val="0"/>
          <w:smallCaps w:val="0"/>
          <w:spacing w:val="0"/>
          <w:w w:val="100"/>
          <w:position w:val="0"/>
          <w:szCs w:val="28"/>
          <w:lang w:val="zh-CN"/>
        </w:rPr>
        <w:t>技术规范及标准</w:t>
      </w:r>
      <w:r>
        <w:tab/>
      </w:r>
      <w:r>
        <w:fldChar w:fldCharType="begin"/>
      </w:r>
      <w:r>
        <w:instrText xml:space="preserve"> PAGEREF _Toc25046 \h </w:instrText>
      </w:r>
      <w:r>
        <w:fldChar w:fldCharType="separate"/>
      </w:r>
      <w:r>
        <w:t>29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8186DA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_Toc15030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1.1.5. </w:t>
      </w:r>
      <w:r>
        <w:rPr>
          <w:rFonts w:hint="eastAsia" w:ascii="Times New Roman" w:hAnsi="Times New Roman" w:cs="Times New Roman"/>
          <w:lang w:eastAsia="zh-CN"/>
        </w:rPr>
        <w:t>参考资料</w:t>
      </w:r>
      <w:r>
        <w:tab/>
      </w:r>
      <w:r>
        <w:fldChar w:fldCharType="begin"/>
      </w:r>
      <w:r>
        <w:instrText xml:space="preserve"> PAGEREF _Toc15030 \h </w:instrText>
      </w:r>
      <w:r>
        <w:fldChar w:fldCharType="separate"/>
      </w:r>
      <w:r>
        <w:t>30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26EEFE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_Toc30448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szCs w:val="28"/>
          <w:lang w:eastAsia="zh-CN"/>
        </w:rPr>
        <w:t xml:space="preserve">1.1.6. </w:t>
      </w:r>
      <w:r>
        <w:rPr>
          <w:rFonts w:hint="default" w:ascii="Times New Roman" w:hAnsi="Times New Roman" w:eastAsia="宋体" w:cs="Times New Roman"/>
          <w:lang w:eastAsia="zh-CN"/>
        </w:rPr>
        <w:t>项目有关报告和文件</w:t>
      </w:r>
      <w:r>
        <w:tab/>
      </w:r>
      <w:r>
        <w:fldChar w:fldCharType="begin"/>
      </w:r>
      <w:r>
        <w:instrText xml:space="preserve"> PAGEREF _Toc30448 \h </w:instrText>
      </w:r>
      <w:r>
        <w:fldChar w:fldCharType="separate"/>
      </w:r>
      <w:r>
        <w:t>31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2BD5257">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_Toc29985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1.2. 评价目的及重点</w:t>
      </w:r>
      <w:r>
        <w:tab/>
      </w:r>
      <w:r>
        <w:fldChar w:fldCharType="begin"/>
      </w:r>
      <w:r>
        <w:instrText xml:space="preserve"> PAGEREF _Toc29985 \h </w:instrText>
      </w:r>
      <w:r>
        <w:fldChar w:fldCharType="separate"/>
      </w:r>
      <w:r>
        <w:t>32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2F5642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_Toc2978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1.2.1. </w:t>
      </w:r>
      <w:r>
        <w:rPr>
          <w:rFonts w:hint="default" w:ascii="Times New Roman" w:hAnsi="Times New Roman" w:cs="Times New Roman"/>
        </w:rPr>
        <w:t>评价目的</w:t>
      </w:r>
      <w:r>
        <w:tab/>
      </w:r>
      <w:r>
        <w:fldChar w:fldCharType="begin"/>
      </w:r>
      <w:r>
        <w:instrText xml:space="preserve"> PAGEREF _Toc2978 \h </w:instrText>
      </w:r>
      <w:r>
        <w:fldChar w:fldCharType="separate"/>
      </w:r>
      <w:r>
        <w:t>32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C84FB9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_Toc22482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1.2.2. </w:t>
      </w:r>
      <w:r>
        <w:rPr>
          <w:rFonts w:hint="default" w:ascii="Times New Roman" w:hAnsi="Times New Roman" w:cs="Times New Roman"/>
        </w:rPr>
        <w:t>评价重点</w:t>
      </w:r>
      <w:r>
        <w:tab/>
      </w:r>
      <w:r>
        <w:fldChar w:fldCharType="begin"/>
      </w:r>
      <w:r>
        <w:instrText xml:space="preserve"> PAGEREF _Toc22482 \h </w:instrText>
      </w:r>
      <w:r>
        <w:fldChar w:fldCharType="separate"/>
      </w:r>
      <w:r>
        <w:t>32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AC6B4A5">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_Toc15190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1.3. 环境影响识别与评价因子</w:t>
      </w:r>
      <w:r>
        <w:tab/>
      </w:r>
      <w:r>
        <w:fldChar w:fldCharType="begin"/>
      </w:r>
      <w:r>
        <w:instrText xml:space="preserve"> PAGEREF _Toc15190 \h </w:instrText>
      </w:r>
      <w:r>
        <w:fldChar w:fldCharType="separate"/>
      </w:r>
      <w:r>
        <w:t>33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8F3930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_Toc4862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1.3.1. </w:t>
      </w:r>
      <w:r>
        <w:rPr>
          <w:rFonts w:hint="default" w:ascii="Times New Roman" w:hAnsi="Times New Roman" w:cs="Times New Roman"/>
        </w:rPr>
        <w:t>环境影响因素识别</w:t>
      </w:r>
      <w:r>
        <w:tab/>
      </w:r>
      <w:r>
        <w:fldChar w:fldCharType="begin"/>
      </w:r>
      <w:r>
        <w:instrText xml:space="preserve"> PAGEREF _Toc4862 \h </w:instrText>
      </w:r>
      <w:r>
        <w:fldChar w:fldCharType="separate"/>
      </w:r>
      <w:r>
        <w:t>33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2145AF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_Toc13850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1.3.2. </w:t>
      </w:r>
      <w:r>
        <w:rPr>
          <w:rFonts w:hint="default" w:ascii="Times New Roman" w:hAnsi="Times New Roman" w:cs="Times New Roman"/>
        </w:rPr>
        <w:t>评价因子确定</w:t>
      </w:r>
      <w:r>
        <w:tab/>
      </w:r>
      <w:r>
        <w:fldChar w:fldCharType="begin"/>
      </w:r>
      <w:r>
        <w:instrText xml:space="preserve"> PAGEREF _Toc13850 \h </w:instrText>
      </w:r>
      <w:r>
        <w:fldChar w:fldCharType="separate"/>
      </w:r>
      <w:r>
        <w:t>34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20878E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_Toc31870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1.4. 环境功能区划</w:t>
      </w:r>
      <w:r>
        <w:tab/>
      </w:r>
      <w:r>
        <w:fldChar w:fldCharType="begin"/>
      </w:r>
      <w:r>
        <w:instrText xml:space="preserve"> PAGEREF _Toc31870 \h </w:instrText>
      </w:r>
      <w:r>
        <w:fldChar w:fldCharType="separate"/>
      </w:r>
      <w:r>
        <w:t>34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9AB749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_Toc20571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1.4.1. </w:t>
      </w:r>
      <w:r>
        <w:rPr>
          <w:rFonts w:hint="default" w:ascii="Times New Roman" w:hAnsi="Times New Roman" w:cs="Times New Roman"/>
        </w:rPr>
        <w:t>大气环境功能区划</w:t>
      </w:r>
      <w:r>
        <w:tab/>
      </w:r>
      <w:r>
        <w:fldChar w:fldCharType="begin"/>
      </w:r>
      <w:r>
        <w:instrText xml:space="preserve"> PAGEREF _Toc20571 \h </w:instrText>
      </w:r>
      <w:r>
        <w:fldChar w:fldCharType="separate"/>
      </w:r>
      <w:r>
        <w:t>35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F05E9C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_Toc32024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1.4.2. </w:t>
      </w:r>
      <w:r>
        <w:rPr>
          <w:rFonts w:hint="default" w:ascii="Times New Roman" w:hAnsi="Times New Roman" w:cs="Times New Roman"/>
        </w:rPr>
        <w:t>水环境功能区划</w:t>
      </w:r>
      <w:r>
        <w:tab/>
      </w:r>
      <w:r>
        <w:fldChar w:fldCharType="begin"/>
      </w:r>
      <w:r>
        <w:instrText xml:space="preserve"> PAGEREF _Toc32024 \h </w:instrText>
      </w:r>
      <w:r>
        <w:fldChar w:fldCharType="separate"/>
      </w:r>
      <w:r>
        <w:t>35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DC1844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_Toc26000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1.4.3. </w:t>
      </w:r>
      <w:r>
        <w:rPr>
          <w:rFonts w:hint="default" w:ascii="Times New Roman" w:hAnsi="Times New Roman" w:cs="Times New Roman"/>
        </w:rPr>
        <w:t>声环境功能区划</w:t>
      </w:r>
      <w:r>
        <w:tab/>
      </w:r>
      <w:r>
        <w:fldChar w:fldCharType="begin"/>
      </w:r>
      <w:r>
        <w:instrText xml:space="preserve"> PAGEREF _Toc26000 \h </w:instrText>
      </w:r>
      <w:r>
        <w:fldChar w:fldCharType="separate"/>
      </w:r>
      <w:r>
        <w:t>35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7E7FD3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_Toc26895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1.4.4. </w:t>
      </w:r>
      <w:r>
        <w:rPr>
          <w:rFonts w:hint="default" w:ascii="Times New Roman" w:hAnsi="Times New Roman" w:cs="Times New Roman"/>
          <w:lang w:val="en-US" w:eastAsia="zh-CN"/>
        </w:rPr>
        <w:t>生</w:t>
      </w:r>
      <w:r>
        <w:rPr>
          <w:rFonts w:hint="default" w:ascii="Times New Roman" w:hAnsi="Times New Roman" w:cs="Times New Roman"/>
        </w:rPr>
        <w:t>环境功能区划</w:t>
      </w:r>
      <w:r>
        <w:tab/>
      </w:r>
      <w:r>
        <w:fldChar w:fldCharType="begin"/>
      </w:r>
      <w:r>
        <w:instrText xml:space="preserve"> PAGEREF _Toc26895 \h </w:instrText>
      </w:r>
      <w:r>
        <w:fldChar w:fldCharType="separate"/>
      </w:r>
      <w:r>
        <w:t>35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3E1719F">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_Toc19723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1.5. 评价标准</w:t>
      </w:r>
      <w:r>
        <w:tab/>
      </w:r>
      <w:r>
        <w:fldChar w:fldCharType="begin"/>
      </w:r>
      <w:r>
        <w:instrText xml:space="preserve"> PAGEREF _Toc19723 \h </w:instrText>
      </w:r>
      <w:r>
        <w:fldChar w:fldCharType="separate"/>
      </w:r>
      <w:r>
        <w:t>36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B81465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_Toc9756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1.5.1. </w:t>
      </w:r>
      <w:r>
        <w:rPr>
          <w:rFonts w:hint="default" w:ascii="Times New Roman" w:hAnsi="Times New Roman" w:cs="Times New Roman"/>
        </w:rPr>
        <w:t>环境质量标准</w:t>
      </w:r>
      <w:r>
        <w:tab/>
      </w:r>
      <w:r>
        <w:fldChar w:fldCharType="begin"/>
      </w:r>
      <w:r>
        <w:instrText xml:space="preserve"> PAGEREF _Toc9756 \h </w:instrText>
      </w:r>
      <w:r>
        <w:fldChar w:fldCharType="separate"/>
      </w:r>
      <w:r>
        <w:t>37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D8C441D">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_Toc23182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1.5.2. </w:t>
      </w:r>
      <w:r>
        <w:rPr>
          <w:rFonts w:hint="default" w:ascii="Times New Roman" w:hAnsi="Times New Roman" w:cs="Times New Roman"/>
        </w:rPr>
        <w:t>污染物排放标准</w:t>
      </w:r>
      <w:r>
        <w:tab/>
      </w:r>
      <w:r>
        <w:fldChar w:fldCharType="begin"/>
      </w:r>
      <w:r>
        <w:instrText xml:space="preserve"> PAGEREF _Toc23182 \h </w:instrText>
      </w:r>
      <w:r>
        <w:fldChar w:fldCharType="separate"/>
      </w:r>
      <w:r>
        <w:t>41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FAD4EE2">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_Toc21051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1.6. 评价等级及评价范围</w:t>
      </w:r>
      <w:r>
        <w:tab/>
      </w:r>
      <w:r>
        <w:fldChar w:fldCharType="begin"/>
      </w:r>
      <w:r>
        <w:instrText xml:space="preserve"> PAGEREF _Toc21051 \h </w:instrText>
      </w:r>
      <w:r>
        <w:fldChar w:fldCharType="separate"/>
      </w:r>
      <w:r>
        <w:t>42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3EDD72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_Toc28761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1.6.1. </w:t>
      </w:r>
      <w:r>
        <w:rPr>
          <w:rFonts w:hint="default" w:ascii="Times New Roman" w:hAnsi="Times New Roman" w:cs="Times New Roman"/>
        </w:rPr>
        <w:t>评价等级</w:t>
      </w:r>
      <w:r>
        <w:tab/>
      </w:r>
      <w:r>
        <w:fldChar w:fldCharType="begin"/>
      </w:r>
      <w:r>
        <w:instrText xml:space="preserve"> PAGEREF _Toc28761 \h </w:instrText>
      </w:r>
      <w:r>
        <w:fldChar w:fldCharType="separate"/>
      </w:r>
      <w:r>
        <w:t>42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4E7D4A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_Toc31230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1.6.2. </w:t>
      </w:r>
      <w:r>
        <w:rPr>
          <w:rFonts w:hint="default" w:ascii="Times New Roman" w:hAnsi="Times New Roman" w:cs="Times New Roman"/>
        </w:rPr>
        <w:t>评价范围</w:t>
      </w:r>
      <w:r>
        <w:tab/>
      </w:r>
      <w:r>
        <w:fldChar w:fldCharType="begin"/>
      </w:r>
      <w:r>
        <w:instrText xml:space="preserve"> PAGEREF _Toc31230 \h </w:instrText>
      </w:r>
      <w:r>
        <w:fldChar w:fldCharType="separate"/>
      </w:r>
      <w:r>
        <w:t>48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5242D27">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_Toc5831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1.7. 评价时段</w:t>
      </w:r>
      <w:r>
        <w:tab/>
      </w:r>
      <w:r>
        <w:fldChar w:fldCharType="begin"/>
      </w:r>
      <w:r>
        <w:instrText xml:space="preserve"> PAGEREF _Toc5831 \h </w:instrText>
      </w:r>
      <w:r>
        <w:fldChar w:fldCharType="separate"/>
      </w:r>
      <w:r>
        <w:t>48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99A64EA">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_Toc8759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1.8. 环境敏感区域和保护目标</w:t>
      </w:r>
      <w:r>
        <w:tab/>
      </w:r>
      <w:r>
        <w:fldChar w:fldCharType="begin"/>
      </w:r>
      <w:r>
        <w:instrText xml:space="preserve"> PAGEREF _Toc8759 \h </w:instrText>
      </w:r>
      <w:r>
        <w:fldChar w:fldCharType="separate"/>
      </w:r>
      <w:r>
        <w:t>48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F141362">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_Toc28085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2. 工程概况与工程分析</w:t>
      </w:r>
      <w:r>
        <w:tab/>
      </w:r>
      <w:r>
        <w:fldChar w:fldCharType="begin"/>
      </w:r>
      <w:r>
        <w:instrText xml:space="preserve"> PAGEREF _Toc28085 \h </w:instrText>
      </w:r>
      <w:r>
        <w:fldChar w:fldCharType="separate"/>
      </w:r>
      <w:r>
        <w:t>52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262381B">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_Toc18493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 xml:space="preserve">2.1. </w:t>
      </w:r>
      <w:r>
        <w:rPr>
          <w:rFonts w:hint="default" w:ascii="Times New Roman" w:hAnsi="Times New Roman" w:cs="Times New Roman"/>
          <w:lang w:eastAsia="zh-CN"/>
        </w:rPr>
        <w:t>现有</w:t>
      </w:r>
      <w:r>
        <w:rPr>
          <w:rFonts w:hint="default" w:ascii="Times New Roman" w:hAnsi="Times New Roman" w:cs="Times New Roman"/>
        </w:rPr>
        <w:t>工程概况</w:t>
      </w:r>
      <w:r>
        <w:tab/>
      </w:r>
      <w:r>
        <w:fldChar w:fldCharType="begin"/>
      </w:r>
      <w:r>
        <w:instrText xml:space="preserve"> PAGEREF _Toc18493 \h </w:instrText>
      </w:r>
      <w:r>
        <w:fldChar w:fldCharType="separate"/>
      </w:r>
      <w:r>
        <w:t>52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FC362C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_Toc11852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2.1.1. </w:t>
      </w:r>
      <w:r>
        <w:rPr>
          <w:rFonts w:hint="eastAsia" w:ascii="Times New Roman" w:hAnsi="Times New Roman" w:cs="Times New Roman"/>
          <w:lang w:eastAsia="zh-CN"/>
        </w:rPr>
        <w:t>北汊水库基本</w:t>
      </w:r>
      <w:r>
        <w:rPr>
          <w:rFonts w:hint="default" w:ascii="Times New Roman" w:hAnsi="Times New Roman" w:cs="Times New Roman"/>
          <w:lang w:eastAsia="zh-CN"/>
        </w:rPr>
        <w:t>情况</w:t>
      </w:r>
      <w:r>
        <w:tab/>
      </w:r>
      <w:r>
        <w:fldChar w:fldCharType="begin"/>
      </w:r>
      <w:r>
        <w:instrText xml:space="preserve"> PAGEREF _Toc11852 \h </w:instrText>
      </w:r>
      <w:r>
        <w:fldChar w:fldCharType="separate"/>
      </w:r>
      <w:r>
        <w:t>52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A7F13C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_Toc21788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2.1.2. </w:t>
      </w:r>
      <w:r>
        <w:rPr>
          <w:rFonts w:hint="eastAsia" w:ascii="Times New Roman" w:hAnsi="Times New Roman" w:cs="Times New Roman"/>
          <w:lang w:eastAsia="zh-CN"/>
        </w:rPr>
        <w:t>北汊水库</w:t>
      </w:r>
      <w:r>
        <w:rPr>
          <w:rFonts w:hint="eastAsia" w:ascii="Times New Roman" w:hAnsi="Times New Roman" w:cs="Times New Roman"/>
          <w:lang w:val="en-US" w:eastAsia="zh-CN"/>
        </w:rPr>
        <w:t>工程特性</w:t>
      </w:r>
      <w:r>
        <w:tab/>
      </w:r>
      <w:r>
        <w:fldChar w:fldCharType="begin"/>
      </w:r>
      <w:r>
        <w:instrText xml:space="preserve"> PAGEREF _Toc21788 \h </w:instrText>
      </w:r>
      <w:r>
        <w:fldChar w:fldCharType="separate"/>
      </w:r>
      <w:r>
        <w:t>54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CA9389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_Toc26593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2.1.3. </w:t>
      </w:r>
      <w:r>
        <w:rPr>
          <w:rFonts w:hint="eastAsia" w:ascii="Times New Roman" w:hAnsi="Times New Roman" w:cs="Times New Roman"/>
          <w:lang w:eastAsia="zh-CN"/>
        </w:rPr>
        <w:t>北汊水库</w:t>
      </w:r>
      <w:r>
        <w:rPr>
          <w:rFonts w:hint="default" w:ascii="Times New Roman" w:hAnsi="Times New Roman" w:cs="Times New Roman"/>
          <w:lang w:eastAsia="zh-CN"/>
        </w:rPr>
        <w:t>历年除险加固情况</w:t>
      </w:r>
      <w:r>
        <w:rPr>
          <w:rFonts w:hint="eastAsia" w:ascii="Times New Roman" w:hAnsi="Times New Roman" w:cs="Times New Roman"/>
          <w:lang w:eastAsia="zh-CN"/>
        </w:rPr>
        <w:t>及遗留问题</w:t>
      </w:r>
      <w:r>
        <w:tab/>
      </w:r>
      <w:r>
        <w:fldChar w:fldCharType="begin"/>
      </w:r>
      <w:r>
        <w:instrText xml:space="preserve"> PAGEREF _Toc26593 \h </w:instrText>
      </w:r>
      <w:r>
        <w:fldChar w:fldCharType="separate"/>
      </w:r>
      <w:r>
        <w:t>58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00752F6">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_Toc9064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2.1.4. </w:t>
      </w:r>
      <w:r>
        <w:rPr>
          <w:rFonts w:hint="default" w:ascii="Times New Roman" w:hAnsi="Times New Roman" w:cs="Times New Roman"/>
          <w:lang w:eastAsia="zh-CN"/>
        </w:rPr>
        <w:t>除险加固的必要性</w:t>
      </w:r>
      <w:r>
        <w:tab/>
      </w:r>
      <w:r>
        <w:fldChar w:fldCharType="begin"/>
      </w:r>
      <w:r>
        <w:instrText xml:space="preserve"> PAGEREF _Toc9064 \h </w:instrText>
      </w:r>
      <w:r>
        <w:fldChar w:fldCharType="separate"/>
      </w:r>
      <w:r>
        <w:t>59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99A5896">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_Toc14595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 xml:space="preserve">2.2. </w:t>
      </w:r>
      <w:r>
        <w:rPr>
          <w:rFonts w:hint="default" w:ascii="Times New Roman" w:hAnsi="Times New Roman" w:cs="Times New Roman"/>
          <w:lang w:val="en-US" w:eastAsia="zh-CN"/>
        </w:rPr>
        <w:t>除险加固工程概况</w:t>
      </w:r>
      <w:r>
        <w:tab/>
      </w:r>
      <w:r>
        <w:fldChar w:fldCharType="begin"/>
      </w:r>
      <w:r>
        <w:instrText xml:space="preserve"> PAGEREF _Toc14595 \h </w:instrText>
      </w:r>
      <w:r>
        <w:fldChar w:fldCharType="separate"/>
      </w:r>
      <w:r>
        <w:t>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D2F0D5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_Toc29839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2.2.1. </w:t>
      </w:r>
      <w:r>
        <w:rPr>
          <w:rFonts w:hint="default" w:ascii="Times New Roman" w:hAnsi="Times New Roman" w:cs="Times New Roman"/>
          <w:lang w:val="en-US" w:eastAsia="zh-CN"/>
        </w:rPr>
        <w:t>工程概况</w:t>
      </w:r>
      <w:r>
        <w:tab/>
      </w:r>
      <w:r>
        <w:fldChar w:fldCharType="begin"/>
      </w:r>
      <w:r>
        <w:instrText xml:space="preserve"> PAGEREF _Toc29839 \h </w:instrText>
      </w:r>
      <w:r>
        <w:fldChar w:fldCharType="separate"/>
      </w:r>
      <w:r>
        <w:t>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AB7DAB4">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_Toc3584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2.2.2. </w:t>
      </w:r>
      <w:r>
        <w:rPr>
          <w:rFonts w:hint="eastAsia"/>
          <w:lang w:val="en-US" w:eastAsia="zh-CN"/>
        </w:rPr>
        <w:t>工程任务及主要建设内容</w:t>
      </w:r>
      <w:r>
        <w:tab/>
      </w:r>
      <w:r>
        <w:fldChar w:fldCharType="begin"/>
      </w:r>
      <w:r>
        <w:instrText xml:space="preserve"> PAGEREF _Toc3584 \h </w:instrText>
      </w:r>
      <w:r>
        <w:fldChar w:fldCharType="separate"/>
      </w:r>
      <w:r>
        <w:t>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076680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_Toc23009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2.2.3. </w:t>
      </w:r>
      <w:r>
        <w:rPr>
          <w:rFonts w:hint="eastAsia"/>
          <w:lang w:val="en-US" w:eastAsia="zh-CN"/>
        </w:rPr>
        <w:t>工程总体布置</w:t>
      </w:r>
      <w:r>
        <w:tab/>
      </w:r>
      <w:r>
        <w:fldChar w:fldCharType="begin"/>
      </w:r>
      <w:r>
        <w:instrText xml:space="preserve"> PAGEREF _Toc23009 \h </w:instrText>
      </w:r>
      <w:r>
        <w:fldChar w:fldCharType="separate"/>
      </w:r>
      <w:r>
        <w:t>67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EFF1D6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_Toc30806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2.2.4. </w:t>
      </w:r>
      <w:r>
        <w:rPr>
          <w:rFonts w:hint="eastAsia"/>
          <w:lang w:val="en-US" w:eastAsia="zh-CN"/>
        </w:rPr>
        <w:t>工程设计</w:t>
      </w:r>
      <w:r>
        <w:tab/>
      </w:r>
      <w:r>
        <w:fldChar w:fldCharType="begin"/>
      </w:r>
      <w:r>
        <w:instrText xml:space="preserve"> PAGEREF _Toc30806 \h </w:instrText>
      </w:r>
      <w:r>
        <w:fldChar w:fldCharType="separate"/>
      </w:r>
      <w:r>
        <w:t>68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611E05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_Toc30369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2.2.5. </w:t>
      </w:r>
      <w:r>
        <w:rPr>
          <w:rFonts w:hint="default"/>
          <w:lang w:val="en-US" w:eastAsia="zh-CN"/>
        </w:rPr>
        <w:t>主要工程量</w:t>
      </w:r>
      <w:r>
        <w:tab/>
      </w:r>
      <w:r>
        <w:fldChar w:fldCharType="begin"/>
      </w:r>
      <w:r>
        <w:instrText xml:space="preserve"> PAGEREF _Toc30369 \h </w:instrText>
      </w:r>
      <w:r>
        <w:fldChar w:fldCharType="separate"/>
      </w:r>
      <w:r>
        <w:t>91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D5DB28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_Toc3824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2.2.6. </w:t>
      </w:r>
      <w:r>
        <w:rPr>
          <w:rFonts w:hint="default" w:ascii="Times New Roman" w:hAnsi="Times New Roman" w:cs="Times New Roman"/>
        </w:rPr>
        <w:t>施工组织设计</w:t>
      </w:r>
      <w:r>
        <w:tab/>
      </w:r>
      <w:r>
        <w:fldChar w:fldCharType="begin"/>
      </w:r>
      <w:r>
        <w:instrText xml:space="preserve"> PAGEREF _Toc3824 \h </w:instrText>
      </w:r>
      <w:r>
        <w:fldChar w:fldCharType="separate"/>
      </w:r>
      <w:r>
        <w:t>104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1417AA0">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_Toc27617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2.2.7. </w:t>
      </w:r>
      <w:r>
        <w:rPr>
          <w:rFonts w:hint="default" w:ascii="Times New Roman" w:hAnsi="Times New Roman" w:cs="Times New Roman"/>
        </w:rPr>
        <w:t>施工总布置</w:t>
      </w:r>
      <w:r>
        <w:tab/>
      </w:r>
      <w:r>
        <w:fldChar w:fldCharType="begin"/>
      </w:r>
      <w:r>
        <w:instrText xml:space="preserve"> PAGEREF _Toc27617 \h </w:instrText>
      </w:r>
      <w:r>
        <w:fldChar w:fldCharType="separate"/>
      </w:r>
      <w:r>
        <w:t>108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096114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_Toc1320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2.2.8. </w:t>
      </w:r>
      <w:r>
        <w:rPr>
          <w:rFonts w:hint="default"/>
          <w:lang w:val="en-US" w:eastAsia="zh-CN"/>
        </w:rPr>
        <w:t>施工总进度</w:t>
      </w:r>
      <w:r>
        <w:tab/>
      </w:r>
      <w:r>
        <w:fldChar w:fldCharType="begin"/>
      </w:r>
      <w:r>
        <w:instrText xml:space="preserve"> PAGEREF _Toc1320 \h </w:instrText>
      </w:r>
      <w:r>
        <w:fldChar w:fldCharType="separate"/>
      </w:r>
      <w:r>
        <w:t>111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7E0641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_Toc1012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2.2.9. </w:t>
      </w:r>
      <w:r>
        <w:rPr>
          <w:rFonts w:hint="default"/>
          <w:lang w:val="en-US" w:eastAsia="zh-CN"/>
        </w:rPr>
        <w:t>主要技术供应</w:t>
      </w:r>
      <w:r>
        <w:tab/>
      </w:r>
      <w:r>
        <w:fldChar w:fldCharType="begin"/>
      </w:r>
      <w:r>
        <w:instrText xml:space="preserve"> PAGEREF _Toc1012 \h </w:instrText>
      </w:r>
      <w:r>
        <w:fldChar w:fldCharType="separate"/>
      </w:r>
      <w:r>
        <w:t>112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801C35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_Toc22233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2.3. 建设征地与移民安置</w:t>
      </w:r>
      <w:r>
        <w:tab/>
      </w:r>
      <w:r>
        <w:fldChar w:fldCharType="begin"/>
      </w:r>
      <w:r>
        <w:instrText xml:space="preserve"> PAGEREF _Toc22233 \h </w:instrText>
      </w:r>
      <w:r>
        <w:fldChar w:fldCharType="separate"/>
      </w:r>
      <w:r>
        <w:t>112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80C891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_Toc8892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2.3.1. </w:t>
      </w:r>
      <w:r>
        <w:rPr>
          <w:rFonts w:hint="default" w:ascii="Times New Roman" w:hAnsi="Times New Roman" w:cs="Times New Roman"/>
          <w:lang w:val="en-US" w:eastAsia="zh-CN"/>
        </w:rPr>
        <w:t>建设征地</w:t>
      </w:r>
      <w:r>
        <w:tab/>
      </w:r>
      <w:r>
        <w:fldChar w:fldCharType="begin"/>
      </w:r>
      <w:r>
        <w:instrText xml:space="preserve"> PAGEREF _Toc8892 \h </w:instrText>
      </w:r>
      <w:r>
        <w:fldChar w:fldCharType="separate"/>
      </w:r>
      <w:r>
        <w:t>112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A753C66">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_Toc6669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2.3.2. </w:t>
      </w:r>
      <w:r>
        <w:rPr>
          <w:rFonts w:hint="default" w:ascii="Times New Roman" w:hAnsi="Times New Roman" w:cs="Times New Roman"/>
          <w:lang w:val="en-US" w:eastAsia="zh-CN"/>
        </w:rPr>
        <w:t>移民安置</w:t>
      </w:r>
      <w:r>
        <w:tab/>
      </w:r>
      <w:r>
        <w:fldChar w:fldCharType="begin"/>
      </w:r>
      <w:r>
        <w:instrText xml:space="preserve"> PAGEREF _Toc6669 \h </w:instrText>
      </w:r>
      <w:r>
        <w:fldChar w:fldCharType="separate"/>
      </w:r>
      <w:r>
        <w:t>113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D973715">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_Toc26912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lang w:val="en-US" w:eastAsia="zh-CN"/>
        </w:rPr>
        <w:t>2.4. 工程分析</w:t>
      </w:r>
      <w:r>
        <w:tab/>
      </w:r>
      <w:r>
        <w:fldChar w:fldCharType="begin"/>
      </w:r>
      <w:r>
        <w:instrText xml:space="preserve"> PAGEREF _Toc26912 \h </w:instrText>
      </w:r>
      <w:r>
        <w:fldChar w:fldCharType="separate"/>
      </w:r>
      <w:r>
        <w:t>113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6B53E0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_Toc19206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2.4.1. </w:t>
      </w:r>
      <w:r>
        <w:rPr>
          <w:rFonts w:hint="default" w:ascii="Times New Roman" w:hAnsi="Times New Roman" w:cs="Times New Roman"/>
          <w:lang w:val="en-US" w:eastAsia="zh-CN"/>
        </w:rPr>
        <w:t>施工工艺</w:t>
      </w:r>
      <w:r>
        <w:rPr>
          <w:rFonts w:hint="eastAsia" w:ascii="Times New Roman" w:hAnsi="Times New Roman" w:cs="Times New Roman"/>
          <w:lang w:val="en-US" w:eastAsia="zh-CN"/>
        </w:rPr>
        <w:t>流程及产污节点分析</w:t>
      </w:r>
      <w:r>
        <w:tab/>
      </w:r>
      <w:r>
        <w:fldChar w:fldCharType="begin"/>
      </w:r>
      <w:r>
        <w:instrText xml:space="preserve"> PAGEREF _Toc19206 \h </w:instrText>
      </w:r>
      <w:r>
        <w:fldChar w:fldCharType="separate"/>
      </w:r>
      <w:r>
        <w:t>113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B75A2F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_Toc11622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2.4.2. </w:t>
      </w:r>
      <w:r>
        <w:rPr>
          <w:rFonts w:hint="default" w:ascii="Times New Roman" w:hAnsi="Times New Roman" w:cs="Times New Roman"/>
        </w:rPr>
        <w:t>施工期污染源分析</w:t>
      </w:r>
      <w:r>
        <w:tab/>
      </w:r>
      <w:r>
        <w:fldChar w:fldCharType="begin"/>
      </w:r>
      <w:r>
        <w:instrText xml:space="preserve"> PAGEREF _Toc11622 \h </w:instrText>
      </w:r>
      <w:r>
        <w:fldChar w:fldCharType="separate"/>
      </w:r>
      <w:r>
        <w:t>120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8385ED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_Toc19898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2.4.3. </w:t>
      </w:r>
      <w:r>
        <w:rPr>
          <w:rFonts w:hint="default" w:ascii="Times New Roman" w:hAnsi="Times New Roman" w:cs="Times New Roman"/>
        </w:rPr>
        <w:t>营运期污染源分析</w:t>
      </w:r>
      <w:r>
        <w:tab/>
      </w:r>
      <w:r>
        <w:fldChar w:fldCharType="begin"/>
      </w:r>
      <w:r>
        <w:instrText xml:space="preserve"> PAGEREF _Toc19898 \h </w:instrText>
      </w:r>
      <w:r>
        <w:fldChar w:fldCharType="separate"/>
      </w:r>
      <w:r>
        <w:t>125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2A02511">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_Toc14164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3. 环境现状调查与评价</w:t>
      </w:r>
      <w:r>
        <w:tab/>
      </w:r>
      <w:r>
        <w:fldChar w:fldCharType="begin"/>
      </w:r>
      <w:r>
        <w:instrText xml:space="preserve"> PAGEREF _Toc14164 \h </w:instrText>
      </w:r>
      <w:r>
        <w:fldChar w:fldCharType="separate"/>
      </w:r>
      <w:r>
        <w:t>126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8AA4FA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_Toc30708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3.1. 自然环境概况</w:t>
      </w:r>
      <w:r>
        <w:tab/>
      </w:r>
      <w:r>
        <w:fldChar w:fldCharType="begin"/>
      </w:r>
      <w:r>
        <w:instrText xml:space="preserve"> PAGEREF _Toc30708 \h </w:instrText>
      </w:r>
      <w:r>
        <w:fldChar w:fldCharType="separate"/>
      </w:r>
      <w:r>
        <w:t>126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3960940">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_Toc26166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3.1.1. </w:t>
      </w:r>
      <w:r>
        <w:rPr>
          <w:rFonts w:hint="default" w:ascii="Times New Roman" w:hAnsi="Times New Roman" w:cs="Times New Roman"/>
          <w:lang w:eastAsia="zh-CN"/>
        </w:rPr>
        <w:t>流域概况</w:t>
      </w:r>
      <w:r>
        <w:tab/>
      </w:r>
      <w:r>
        <w:fldChar w:fldCharType="begin"/>
      </w:r>
      <w:r>
        <w:instrText xml:space="preserve"> PAGEREF _Toc26166 \h </w:instrText>
      </w:r>
      <w:r>
        <w:fldChar w:fldCharType="separate"/>
      </w:r>
      <w:r>
        <w:t>126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6AA5B9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_Toc20922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3.1.2. </w:t>
      </w:r>
      <w:r>
        <w:rPr>
          <w:rFonts w:hint="default" w:ascii="Times New Roman" w:hAnsi="Times New Roman" w:cs="Times New Roman"/>
          <w:lang w:eastAsia="zh-CN"/>
        </w:rPr>
        <w:t>地理位置</w:t>
      </w:r>
      <w:r>
        <w:tab/>
      </w:r>
      <w:r>
        <w:fldChar w:fldCharType="begin"/>
      </w:r>
      <w:r>
        <w:instrText xml:space="preserve"> PAGEREF _Toc20922 \h </w:instrText>
      </w:r>
      <w:r>
        <w:fldChar w:fldCharType="separate"/>
      </w:r>
      <w:r>
        <w:t>127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985C41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_Toc22593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3.1.3. </w:t>
      </w:r>
      <w:r>
        <w:rPr>
          <w:rFonts w:hint="default" w:ascii="Times New Roman" w:hAnsi="Times New Roman" w:cs="Times New Roman"/>
        </w:rPr>
        <w:t>气象</w:t>
      </w:r>
      <w:r>
        <w:tab/>
      </w:r>
      <w:r>
        <w:fldChar w:fldCharType="begin"/>
      </w:r>
      <w:r>
        <w:instrText xml:space="preserve"> PAGEREF _Toc22593 \h </w:instrText>
      </w:r>
      <w:r>
        <w:fldChar w:fldCharType="separate"/>
      </w:r>
      <w:r>
        <w:t>127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64EC8D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_Toc26025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3.1.4. </w:t>
      </w:r>
      <w:r>
        <w:rPr>
          <w:rFonts w:hint="eastAsia"/>
          <w:lang w:val="en-US" w:eastAsia="zh-CN"/>
        </w:rPr>
        <w:t>径流</w:t>
      </w:r>
      <w:r>
        <w:tab/>
      </w:r>
      <w:r>
        <w:fldChar w:fldCharType="begin"/>
      </w:r>
      <w:r>
        <w:instrText xml:space="preserve"> PAGEREF _Toc26025 \h </w:instrText>
      </w:r>
      <w:r>
        <w:fldChar w:fldCharType="separate"/>
      </w:r>
      <w:r>
        <w:t>128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CD93420">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_Toc9707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3.1.5. </w:t>
      </w:r>
      <w:r>
        <w:rPr>
          <w:rFonts w:hint="eastAsia"/>
          <w:lang w:eastAsia="zh-CN"/>
        </w:rPr>
        <w:t>水位库容关系</w:t>
      </w:r>
      <w:r>
        <w:tab/>
      </w:r>
      <w:r>
        <w:fldChar w:fldCharType="begin"/>
      </w:r>
      <w:r>
        <w:instrText xml:space="preserve"> PAGEREF _Toc9707 \h </w:instrText>
      </w:r>
      <w:r>
        <w:fldChar w:fldCharType="separate"/>
      </w:r>
      <w:r>
        <w:t>128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B24FD3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_Toc2403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caps w:val="0"/>
          <w:smallCaps w:val="0"/>
          <w:spacing w:val="0"/>
          <w:w w:val="100"/>
          <w:position w:val="0"/>
          <w:szCs w:val="28"/>
        </w:rPr>
        <w:t xml:space="preserve">3.1.6. </w:t>
      </w:r>
      <w:r>
        <w:rPr>
          <w:rFonts w:hint="default" w:ascii="Times New Roman" w:hAnsi="Times New Roman" w:eastAsia="SimSun,Bold" w:cs="Times New Roman"/>
          <w:spacing w:val="0"/>
          <w:w w:val="100"/>
          <w:position w:val="0"/>
          <w:szCs w:val="28"/>
        </w:rPr>
        <w:t>区域地质概况</w:t>
      </w:r>
      <w:r>
        <w:tab/>
      </w:r>
      <w:r>
        <w:fldChar w:fldCharType="begin"/>
      </w:r>
      <w:r>
        <w:instrText xml:space="preserve"> PAGEREF _Toc2403 \h </w:instrText>
      </w:r>
      <w:r>
        <w:fldChar w:fldCharType="separate"/>
      </w:r>
      <w:r>
        <w:t>128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35E693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_Toc6451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3.1.7. </w:t>
      </w:r>
      <w:r>
        <w:rPr>
          <w:rFonts w:hint="default" w:ascii="Times New Roman" w:hAnsi="Times New Roman" w:cs="Times New Roman"/>
        </w:rPr>
        <w:t>水库区工程地质</w:t>
      </w:r>
      <w:r>
        <w:tab/>
      </w:r>
      <w:r>
        <w:fldChar w:fldCharType="begin"/>
      </w:r>
      <w:r>
        <w:instrText xml:space="preserve"> PAGEREF _Toc6451 \h </w:instrText>
      </w:r>
      <w:r>
        <w:fldChar w:fldCharType="separate"/>
      </w:r>
      <w:r>
        <w:t>129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3BFBCD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_Toc1607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3.1.8. </w:t>
      </w:r>
      <w:r>
        <w:rPr>
          <w:rFonts w:hint="default"/>
          <w:szCs w:val="28"/>
        </w:rPr>
        <w:t>坝</w:t>
      </w:r>
      <w:r>
        <w:rPr>
          <w:rFonts w:hint="eastAsia"/>
          <w:szCs w:val="28"/>
          <w:lang w:eastAsia="zh-CN"/>
        </w:rPr>
        <w:t>址</w:t>
      </w:r>
      <w:r>
        <w:rPr>
          <w:rFonts w:hint="default"/>
          <w:szCs w:val="28"/>
        </w:rPr>
        <w:t>区工程地质条件</w:t>
      </w:r>
      <w:r>
        <w:tab/>
      </w:r>
      <w:r>
        <w:fldChar w:fldCharType="begin"/>
      </w:r>
      <w:r>
        <w:instrText xml:space="preserve"> PAGEREF _Toc1607 \h </w:instrText>
      </w:r>
      <w:r>
        <w:fldChar w:fldCharType="separate"/>
      </w:r>
      <w:r>
        <w:t>129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E8ABC38">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_Toc18413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 xml:space="preserve">3.2. </w:t>
      </w:r>
      <w:r>
        <w:rPr>
          <w:rFonts w:hint="default" w:ascii="Times New Roman" w:hAnsi="Times New Roman" w:cs="Times New Roman"/>
          <w:lang w:val="en-US" w:eastAsia="zh-CN"/>
        </w:rPr>
        <w:t>环境质量</w:t>
      </w:r>
      <w:r>
        <w:rPr>
          <w:rFonts w:hint="default" w:ascii="Times New Roman" w:hAnsi="Times New Roman" w:cs="Times New Roman"/>
        </w:rPr>
        <w:t>现状调查与评价</w:t>
      </w:r>
      <w:r>
        <w:tab/>
      </w:r>
      <w:r>
        <w:fldChar w:fldCharType="begin"/>
      </w:r>
      <w:r>
        <w:instrText xml:space="preserve"> PAGEREF _Toc18413 \h </w:instrText>
      </w:r>
      <w:r>
        <w:fldChar w:fldCharType="separate"/>
      </w:r>
      <w:r>
        <w:t>131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0C550C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_Toc3337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3.2.1. </w:t>
      </w:r>
      <w:r>
        <w:rPr>
          <w:rFonts w:hint="default" w:ascii="Times New Roman" w:hAnsi="Times New Roman" w:cs="Times New Roman"/>
        </w:rPr>
        <w:t>环境空气现状调查与评价</w:t>
      </w:r>
      <w:r>
        <w:tab/>
      </w:r>
      <w:r>
        <w:fldChar w:fldCharType="begin"/>
      </w:r>
      <w:r>
        <w:instrText xml:space="preserve"> PAGEREF _Toc3337 \h </w:instrText>
      </w:r>
      <w:r>
        <w:fldChar w:fldCharType="separate"/>
      </w:r>
      <w:r>
        <w:t>131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F83FA2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_Toc29057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3.2.2. </w:t>
      </w:r>
      <w:r>
        <w:rPr>
          <w:rFonts w:hint="default" w:ascii="Times New Roman" w:hAnsi="Times New Roman" w:cs="Times New Roman"/>
        </w:rPr>
        <w:t>地表水环境现状调查与评价</w:t>
      </w:r>
      <w:r>
        <w:tab/>
      </w:r>
      <w:r>
        <w:fldChar w:fldCharType="begin"/>
      </w:r>
      <w:r>
        <w:instrText xml:space="preserve"> PAGEREF _Toc29057 \h </w:instrText>
      </w:r>
      <w:r>
        <w:fldChar w:fldCharType="separate"/>
      </w:r>
      <w:r>
        <w:t>133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6E4159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_Toc17365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3.2.3. </w:t>
      </w:r>
      <w:r>
        <w:rPr>
          <w:rFonts w:hint="default" w:ascii="Times New Roman" w:hAnsi="Times New Roman" w:cs="Times New Roman"/>
        </w:rPr>
        <w:t>地下水环境现状调查与评价</w:t>
      </w:r>
      <w:r>
        <w:tab/>
      </w:r>
      <w:r>
        <w:fldChar w:fldCharType="begin"/>
      </w:r>
      <w:r>
        <w:instrText xml:space="preserve"> PAGEREF _Toc17365 \h </w:instrText>
      </w:r>
      <w:r>
        <w:fldChar w:fldCharType="separate"/>
      </w:r>
      <w:r>
        <w:t>137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6D7940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_Toc28017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3.2.4. </w:t>
      </w:r>
      <w:r>
        <w:rPr>
          <w:rFonts w:hint="default" w:ascii="Times New Roman" w:hAnsi="Times New Roman" w:cs="Times New Roman"/>
          <w:lang w:val="en-US" w:eastAsia="zh-CN"/>
        </w:rPr>
        <w:t>声环境现状调查与评价</w:t>
      </w:r>
      <w:r>
        <w:tab/>
      </w:r>
      <w:r>
        <w:fldChar w:fldCharType="begin"/>
      </w:r>
      <w:r>
        <w:instrText xml:space="preserve"> PAGEREF _Toc28017 \h </w:instrText>
      </w:r>
      <w:r>
        <w:fldChar w:fldCharType="separate"/>
      </w:r>
      <w:r>
        <w:t>142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4A6D61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_Toc2088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3.2.5. </w:t>
      </w:r>
      <w:r>
        <w:rPr>
          <w:rFonts w:hint="default" w:ascii="Times New Roman" w:hAnsi="Times New Roman" w:cs="Times New Roman"/>
        </w:rPr>
        <w:t>土壤环境现状调查与评价</w:t>
      </w:r>
      <w:r>
        <w:tab/>
      </w:r>
      <w:r>
        <w:fldChar w:fldCharType="begin"/>
      </w:r>
      <w:r>
        <w:instrText xml:space="preserve"> PAGEREF _Toc2088 \h </w:instrText>
      </w:r>
      <w:r>
        <w:fldChar w:fldCharType="separate"/>
      </w:r>
      <w:r>
        <w:t>143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4D3F12B">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_Toc27277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lang w:val="en-US" w:eastAsia="zh-CN"/>
        </w:rPr>
        <w:t>3.3. 生态环境现状调查与评价</w:t>
      </w:r>
      <w:r>
        <w:tab/>
      </w:r>
      <w:r>
        <w:fldChar w:fldCharType="begin"/>
      </w:r>
      <w:r>
        <w:instrText xml:space="preserve"> PAGEREF _Toc27277 \h </w:instrText>
      </w:r>
      <w:r>
        <w:fldChar w:fldCharType="separate"/>
      </w:r>
      <w:r>
        <w:t>149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E8A655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_Toc46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3.3.1. </w:t>
      </w:r>
      <w:r>
        <w:rPr>
          <w:rFonts w:hint="default" w:ascii="Times New Roman" w:hAnsi="Times New Roman" w:cs="Times New Roman"/>
          <w:lang w:val="en-US" w:eastAsia="zh-CN"/>
        </w:rPr>
        <w:t>主要调查内容和评价方法</w:t>
      </w:r>
      <w:r>
        <w:tab/>
      </w:r>
      <w:r>
        <w:fldChar w:fldCharType="begin"/>
      </w:r>
      <w:r>
        <w:instrText xml:space="preserve"> PAGEREF _Toc46 \h </w:instrText>
      </w:r>
      <w:r>
        <w:fldChar w:fldCharType="separate"/>
      </w:r>
      <w:r>
        <w:t>149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F26009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_Toc19336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3.3.2. </w:t>
      </w:r>
      <w:r>
        <w:rPr>
          <w:rFonts w:hint="default" w:ascii="Times New Roman" w:hAnsi="Times New Roman" w:cs="Times New Roman"/>
          <w:lang w:val="en-US" w:eastAsia="zh-CN"/>
        </w:rPr>
        <w:t>生态功能区划及主要生态问题</w:t>
      </w:r>
      <w:r>
        <w:tab/>
      </w:r>
      <w:r>
        <w:fldChar w:fldCharType="begin"/>
      </w:r>
      <w:r>
        <w:instrText xml:space="preserve"> PAGEREF _Toc19336 \h </w:instrText>
      </w:r>
      <w:r>
        <w:fldChar w:fldCharType="separate"/>
      </w:r>
      <w:r>
        <w:t>151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86504D4">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_Toc15539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3.3.3. </w:t>
      </w:r>
      <w:r>
        <w:rPr>
          <w:rFonts w:hint="default" w:ascii="Times New Roman" w:hAnsi="Times New Roman" w:cs="Times New Roman"/>
          <w:lang w:val="en-US" w:eastAsia="zh-CN"/>
        </w:rPr>
        <w:t>非生物因子现状</w:t>
      </w:r>
      <w:r>
        <w:tab/>
      </w:r>
      <w:r>
        <w:fldChar w:fldCharType="begin"/>
      </w:r>
      <w:r>
        <w:instrText xml:space="preserve"> PAGEREF _Toc15539 \h </w:instrText>
      </w:r>
      <w:r>
        <w:fldChar w:fldCharType="separate"/>
      </w:r>
      <w:r>
        <w:t>152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0CB952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_Toc18363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3.3.4. </w:t>
      </w:r>
      <w:r>
        <w:rPr>
          <w:rFonts w:hint="default" w:ascii="Times New Roman" w:hAnsi="Times New Roman" w:cs="Times New Roman"/>
          <w:lang w:val="en-US" w:eastAsia="zh-CN"/>
        </w:rPr>
        <w:t>土地利用现状</w:t>
      </w:r>
      <w:r>
        <w:tab/>
      </w:r>
      <w:r>
        <w:fldChar w:fldCharType="begin"/>
      </w:r>
      <w:r>
        <w:instrText xml:space="preserve"> PAGEREF _Toc18363 \h </w:instrText>
      </w:r>
      <w:r>
        <w:fldChar w:fldCharType="separate"/>
      </w:r>
      <w:r>
        <w:t>152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4FFE08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_Toc17021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3.3.5. </w:t>
      </w:r>
      <w:r>
        <w:rPr>
          <w:rFonts w:hint="default" w:ascii="Times New Roman" w:hAnsi="Times New Roman" w:cs="Times New Roman"/>
          <w:lang w:val="en-US" w:eastAsia="zh-CN"/>
        </w:rPr>
        <w:t>生态系统现状</w:t>
      </w:r>
      <w:r>
        <w:tab/>
      </w:r>
      <w:r>
        <w:fldChar w:fldCharType="begin"/>
      </w:r>
      <w:r>
        <w:instrText xml:space="preserve"> PAGEREF _Toc17021 \h </w:instrText>
      </w:r>
      <w:r>
        <w:fldChar w:fldCharType="separate"/>
      </w:r>
      <w:r>
        <w:t>153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7D83430">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_Toc6229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3.3.6. </w:t>
      </w:r>
      <w:r>
        <w:rPr>
          <w:rFonts w:hint="default" w:ascii="Times New Roman" w:hAnsi="Times New Roman" w:cs="Times New Roman"/>
          <w:lang w:val="en-US" w:eastAsia="zh-CN"/>
        </w:rPr>
        <w:t>陆生植物现状</w:t>
      </w:r>
      <w:r>
        <w:tab/>
      </w:r>
      <w:r>
        <w:fldChar w:fldCharType="begin"/>
      </w:r>
      <w:r>
        <w:instrText xml:space="preserve"> PAGEREF _Toc6229 \h </w:instrText>
      </w:r>
      <w:r>
        <w:fldChar w:fldCharType="separate"/>
      </w:r>
      <w:r>
        <w:t>159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9B83EE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_Toc14174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3.3.7. </w:t>
      </w:r>
      <w:r>
        <w:rPr>
          <w:rFonts w:hint="default" w:ascii="Times New Roman" w:hAnsi="Times New Roman" w:cs="Times New Roman"/>
          <w:lang w:val="en-US" w:eastAsia="zh-CN"/>
        </w:rPr>
        <w:t>陆生动物现状</w:t>
      </w:r>
      <w:r>
        <w:tab/>
      </w:r>
      <w:r>
        <w:fldChar w:fldCharType="begin"/>
      </w:r>
      <w:r>
        <w:instrText xml:space="preserve"> PAGEREF _Toc14174 \h </w:instrText>
      </w:r>
      <w:r>
        <w:fldChar w:fldCharType="separate"/>
      </w:r>
      <w:r>
        <w:t>164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9A7C4E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_Toc24517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3.3.8. </w:t>
      </w:r>
      <w:r>
        <w:rPr>
          <w:rFonts w:hint="default" w:ascii="Times New Roman" w:hAnsi="Times New Roman" w:cs="Times New Roman"/>
          <w:lang w:val="en-US" w:eastAsia="zh-CN"/>
        </w:rPr>
        <w:t>水生生态现状</w:t>
      </w:r>
      <w:r>
        <w:tab/>
      </w:r>
      <w:r>
        <w:fldChar w:fldCharType="begin"/>
      </w:r>
      <w:r>
        <w:instrText xml:space="preserve"> PAGEREF _Toc24517 \h </w:instrText>
      </w:r>
      <w:r>
        <w:fldChar w:fldCharType="separate"/>
      </w:r>
      <w:r>
        <w:t>177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5EB076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_Toc24704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3.3.9. </w:t>
      </w:r>
      <w:r>
        <w:rPr>
          <w:rFonts w:hint="default" w:ascii="Times New Roman" w:hAnsi="Times New Roman" w:cs="Times New Roman"/>
          <w:lang w:val="en-US" w:eastAsia="zh-CN"/>
        </w:rPr>
        <w:t>生物多样性</w:t>
      </w:r>
      <w:r>
        <w:tab/>
      </w:r>
      <w:r>
        <w:fldChar w:fldCharType="begin"/>
      </w:r>
      <w:r>
        <w:instrText xml:space="preserve"> PAGEREF _Toc24704 \h </w:instrText>
      </w:r>
      <w:r>
        <w:fldChar w:fldCharType="separate"/>
      </w:r>
      <w:r>
        <w:t>180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CAFEDF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_Toc4397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3.3.10. </w:t>
      </w:r>
      <w:r>
        <w:rPr>
          <w:rFonts w:hint="default" w:ascii="Times New Roman" w:hAnsi="Times New Roman" w:cs="Times New Roman"/>
          <w:lang w:val="en-US" w:eastAsia="zh-CN"/>
        </w:rPr>
        <w:t>生态敏感区</w:t>
      </w:r>
      <w:r>
        <w:tab/>
      </w:r>
      <w:r>
        <w:fldChar w:fldCharType="begin"/>
      </w:r>
      <w:r>
        <w:instrText xml:space="preserve"> PAGEREF _Toc4397 \h </w:instrText>
      </w:r>
      <w:r>
        <w:fldChar w:fldCharType="separate"/>
      </w:r>
      <w:r>
        <w:t>181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675CA85">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_Toc17530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4. 环境影响预测与评价</w:t>
      </w:r>
      <w:r>
        <w:tab/>
      </w:r>
      <w:r>
        <w:fldChar w:fldCharType="begin"/>
      </w:r>
      <w:r>
        <w:instrText xml:space="preserve"> PAGEREF _Toc17530 \h </w:instrText>
      </w:r>
      <w:r>
        <w:fldChar w:fldCharType="separate"/>
      </w:r>
      <w:r>
        <w:t>188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64F5FAA">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caps w:val="0"/>
          <w:smallCaps w:val="0"/>
          <w:spacing w:val="0"/>
          <w:w w:val="100"/>
          <w:position w:val="0"/>
          <w:szCs w:val="28"/>
          <w:lang w:val="en-US" w:eastAsia="zh-CN"/>
        </w:rPr>
        <w:t xml:space="preserve">4.1. </w:t>
      </w:r>
      <w:r>
        <w:rPr>
          <w:rFonts w:hint="default" w:ascii="Times New Roman" w:hAnsi="Times New Roman" w:eastAsia="宋体" w:cs="Times New Roman"/>
          <w:caps w:val="0"/>
          <w:smallCaps w:val="0"/>
          <w:spacing w:val="0"/>
          <w:w w:val="100"/>
          <w:position w:val="0"/>
          <w:szCs w:val="30"/>
          <w:lang w:eastAsia="zh-CN"/>
        </w:rPr>
        <w:t>现有</w:t>
      </w:r>
      <w:r>
        <w:rPr>
          <w:rFonts w:hint="default" w:ascii="Times New Roman" w:hAnsi="Times New Roman" w:eastAsia="宋体" w:cs="Times New Roman"/>
          <w:caps w:val="0"/>
          <w:smallCaps w:val="0"/>
          <w:spacing w:val="0"/>
          <w:w w:val="100"/>
          <w:position w:val="0"/>
          <w:szCs w:val="28"/>
          <w:lang w:val="en-US" w:eastAsia="zh-CN"/>
        </w:rPr>
        <w:t>工程环境影响回顾性评价</w:t>
      </w:r>
      <w:r>
        <w:tab/>
      </w:r>
      <w:r>
        <w:fldChar w:fldCharType="begin"/>
      </w:r>
      <w:r>
        <w:instrText xml:space="preserve"> PAGEREF _Toc199 \h </w:instrText>
      </w:r>
      <w:r>
        <w:fldChar w:fldCharType="separate"/>
      </w:r>
      <w:r>
        <w:t>188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10C9F9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_Toc5812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4.1.1. </w:t>
      </w:r>
      <w:r>
        <w:rPr>
          <w:rFonts w:hint="default" w:ascii="Times New Roman" w:hAnsi="Times New Roman" w:cs="Times New Roman"/>
          <w:lang w:val="en-US" w:eastAsia="zh-CN"/>
        </w:rPr>
        <w:t>水环境影响回顾性分析</w:t>
      </w:r>
      <w:r>
        <w:tab/>
      </w:r>
      <w:r>
        <w:fldChar w:fldCharType="begin"/>
      </w:r>
      <w:r>
        <w:instrText xml:space="preserve"> PAGEREF _Toc5812 \h </w:instrText>
      </w:r>
      <w:r>
        <w:fldChar w:fldCharType="separate"/>
      </w:r>
      <w:r>
        <w:t>188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B8AFEC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_Toc19494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4.1.2. </w:t>
      </w:r>
      <w:r>
        <w:rPr>
          <w:rFonts w:hint="default" w:ascii="Times New Roman" w:hAnsi="Times New Roman" w:cs="Times New Roman"/>
          <w:lang w:val="en-US" w:eastAsia="zh-CN"/>
        </w:rPr>
        <w:t>大气环境影响回顾性分析</w:t>
      </w:r>
      <w:r>
        <w:tab/>
      </w:r>
      <w:r>
        <w:fldChar w:fldCharType="begin"/>
      </w:r>
      <w:r>
        <w:instrText xml:space="preserve"> PAGEREF _Toc19494 \h </w:instrText>
      </w:r>
      <w:r>
        <w:fldChar w:fldCharType="separate"/>
      </w:r>
      <w:r>
        <w:t>192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B22B50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_Toc32531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4.1.3. </w:t>
      </w:r>
      <w:r>
        <w:rPr>
          <w:rFonts w:hint="default" w:ascii="Times New Roman" w:hAnsi="Times New Roman" w:cs="Times New Roman"/>
          <w:lang w:val="en-US" w:eastAsia="zh-CN"/>
        </w:rPr>
        <w:t>声环境影响回顾性分析</w:t>
      </w:r>
      <w:r>
        <w:tab/>
      </w:r>
      <w:r>
        <w:fldChar w:fldCharType="begin"/>
      </w:r>
      <w:r>
        <w:instrText xml:space="preserve"> PAGEREF _Toc32531 \h </w:instrText>
      </w:r>
      <w:r>
        <w:fldChar w:fldCharType="separate"/>
      </w:r>
      <w:r>
        <w:t>192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FD6493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_Toc432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4.1.4. </w:t>
      </w:r>
      <w:r>
        <w:rPr>
          <w:rFonts w:hint="default" w:ascii="Times New Roman" w:hAnsi="Times New Roman" w:cs="Times New Roman"/>
          <w:lang w:val="en-US" w:eastAsia="zh-CN"/>
        </w:rPr>
        <w:t>固体废物影响回顾性分析</w:t>
      </w:r>
      <w:r>
        <w:tab/>
      </w:r>
      <w:r>
        <w:fldChar w:fldCharType="begin"/>
      </w:r>
      <w:r>
        <w:instrText xml:space="preserve"> PAGEREF _Toc432 \h </w:instrText>
      </w:r>
      <w:r>
        <w:fldChar w:fldCharType="separate"/>
      </w:r>
      <w:r>
        <w:t>192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2B2B3D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_Toc10265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4.1.5. </w:t>
      </w:r>
      <w:r>
        <w:rPr>
          <w:rFonts w:hint="default" w:ascii="Times New Roman" w:hAnsi="Times New Roman" w:cs="Times New Roman"/>
          <w:lang w:val="en-US" w:eastAsia="zh-CN"/>
        </w:rPr>
        <w:t>生态环境影响回顾性分析</w:t>
      </w:r>
      <w:r>
        <w:tab/>
      </w:r>
      <w:r>
        <w:fldChar w:fldCharType="begin"/>
      </w:r>
      <w:r>
        <w:instrText xml:space="preserve"> PAGEREF _Toc10265 \h </w:instrText>
      </w:r>
      <w:r>
        <w:fldChar w:fldCharType="separate"/>
      </w:r>
      <w:r>
        <w:t>192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C1531A8">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_Toc26830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4.2. 施工期环境影响分析</w:t>
      </w:r>
      <w:r>
        <w:tab/>
      </w:r>
      <w:r>
        <w:fldChar w:fldCharType="begin"/>
      </w:r>
      <w:r>
        <w:instrText xml:space="preserve"> PAGEREF _Toc26830 \h </w:instrText>
      </w:r>
      <w:r>
        <w:fldChar w:fldCharType="separate"/>
      </w:r>
      <w:r>
        <w:t>194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FAD6D2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_Toc3793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4.2.1. </w:t>
      </w:r>
      <w:r>
        <w:rPr>
          <w:rFonts w:hint="default" w:ascii="Times New Roman" w:hAnsi="Times New Roman" w:cs="Times New Roman"/>
          <w:lang w:eastAsia="zh-CN"/>
        </w:rPr>
        <w:t>施工期大气环境影响分析</w:t>
      </w:r>
      <w:r>
        <w:tab/>
      </w:r>
      <w:r>
        <w:fldChar w:fldCharType="begin"/>
      </w:r>
      <w:r>
        <w:instrText xml:space="preserve"> PAGEREF _Toc3793 \h </w:instrText>
      </w:r>
      <w:r>
        <w:fldChar w:fldCharType="separate"/>
      </w:r>
      <w:r>
        <w:t>194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E6CD41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_Toc6297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4.2.2. </w:t>
      </w:r>
      <w:r>
        <w:rPr>
          <w:rFonts w:hint="default" w:ascii="Times New Roman" w:hAnsi="Times New Roman" w:cs="Times New Roman"/>
          <w:lang w:val="en-US" w:eastAsia="zh-CN"/>
        </w:rPr>
        <w:t>施工期</w:t>
      </w:r>
      <w:r>
        <w:rPr>
          <w:rFonts w:hint="default" w:ascii="Times New Roman" w:hAnsi="Times New Roman" w:cs="Times New Roman"/>
        </w:rPr>
        <w:t>地表水环境影响分析</w:t>
      </w:r>
      <w:r>
        <w:tab/>
      </w:r>
      <w:r>
        <w:fldChar w:fldCharType="begin"/>
      </w:r>
      <w:r>
        <w:instrText xml:space="preserve"> PAGEREF _Toc6297 \h </w:instrText>
      </w:r>
      <w:r>
        <w:fldChar w:fldCharType="separate"/>
      </w:r>
      <w:r>
        <w:t>197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56AE69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_Toc11065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4.2.3. </w:t>
      </w:r>
      <w:r>
        <w:rPr>
          <w:rFonts w:hint="default" w:ascii="Times New Roman" w:hAnsi="Times New Roman" w:cs="Times New Roman"/>
          <w:lang w:val="en-US" w:eastAsia="zh-CN"/>
        </w:rPr>
        <w:t>施工期</w:t>
      </w:r>
      <w:r>
        <w:rPr>
          <w:rFonts w:hint="default" w:ascii="Times New Roman" w:hAnsi="Times New Roman" w:cs="Times New Roman"/>
        </w:rPr>
        <w:t>地下水环境影响分析</w:t>
      </w:r>
      <w:r>
        <w:tab/>
      </w:r>
      <w:r>
        <w:fldChar w:fldCharType="begin"/>
      </w:r>
      <w:r>
        <w:instrText xml:space="preserve"> PAGEREF _Toc11065 \h </w:instrText>
      </w:r>
      <w:r>
        <w:fldChar w:fldCharType="separate"/>
      </w:r>
      <w:r>
        <w:t>198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012AAF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_Toc14620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4.2.4. </w:t>
      </w:r>
      <w:r>
        <w:rPr>
          <w:rFonts w:hint="default" w:ascii="Times New Roman" w:hAnsi="Times New Roman" w:cs="Times New Roman"/>
          <w:lang w:val="en-US" w:eastAsia="zh-CN"/>
        </w:rPr>
        <w:t>施工期</w:t>
      </w:r>
      <w:r>
        <w:rPr>
          <w:rFonts w:hint="default" w:ascii="Times New Roman" w:hAnsi="Times New Roman" w:cs="Times New Roman"/>
        </w:rPr>
        <w:t>声环境影响分析</w:t>
      </w:r>
      <w:r>
        <w:tab/>
      </w:r>
      <w:r>
        <w:fldChar w:fldCharType="begin"/>
      </w:r>
      <w:r>
        <w:instrText xml:space="preserve"> PAGEREF _Toc14620 \h </w:instrText>
      </w:r>
      <w:r>
        <w:fldChar w:fldCharType="separate"/>
      </w:r>
      <w:r>
        <w:t>199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DF34BB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_Toc32028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4.2.5. </w:t>
      </w:r>
      <w:r>
        <w:rPr>
          <w:rFonts w:hint="default" w:ascii="Times New Roman" w:hAnsi="Times New Roman" w:cs="Times New Roman"/>
          <w:lang w:val="en-US" w:eastAsia="zh-CN"/>
        </w:rPr>
        <w:t>施工期</w:t>
      </w:r>
      <w:r>
        <w:rPr>
          <w:rFonts w:hint="default" w:ascii="Times New Roman" w:hAnsi="Times New Roman" w:cs="Times New Roman"/>
        </w:rPr>
        <w:t>固体废物影响分析</w:t>
      </w:r>
      <w:r>
        <w:tab/>
      </w:r>
      <w:r>
        <w:fldChar w:fldCharType="begin"/>
      </w:r>
      <w:r>
        <w:instrText xml:space="preserve"> PAGEREF _Toc32028 \h </w:instrText>
      </w:r>
      <w:r>
        <w:fldChar w:fldCharType="separate"/>
      </w:r>
      <w:r>
        <w:t>203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A06364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_Toc27478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4.2.6. </w:t>
      </w:r>
      <w:r>
        <w:rPr>
          <w:rFonts w:hint="default" w:ascii="Times New Roman" w:hAnsi="Times New Roman" w:cs="Times New Roman"/>
        </w:rPr>
        <w:t>生态环境影响分析</w:t>
      </w:r>
      <w:r>
        <w:tab/>
      </w:r>
      <w:r>
        <w:fldChar w:fldCharType="begin"/>
      </w:r>
      <w:r>
        <w:instrText xml:space="preserve"> PAGEREF _Toc27478 \h </w:instrText>
      </w:r>
      <w:r>
        <w:fldChar w:fldCharType="separate"/>
      </w:r>
      <w:r>
        <w:t>204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4CD392F">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_Toc10343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4.3. 营运期环境影响分析</w:t>
      </w:r>
      <w:r>
        <w:tab/>
      </w:r>
      <w:r>
        <w:fldChar w:fldCharType="begin"/>
      </w:r>
      <w:r>
        <w:instrText xml:space="preserve"> PAGEREF _Toc10343 \h </w:instrText>
      </w:r>
      <w:r>
        <w:fldChar w:fldCharType="separate"/>
      </w:r>
      <w:r>
        <w:t>217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7ADC88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_Toc30374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4.3.1. </w:t>
      </w:r>
      <w:r>
        <w:rPr>
          <w:rFonts w:hint="default" w:ascii="Times New Roman" w:hAnsi="Times New Roman" w:cs="Times New Roman"/>
          <w:lang w:val="en-US" w:eastAsia="zh-CN"/>
        </w:rPr>
        <w:t>营运期</w:t>
      </w:r>
      <w:r>
        <w:rPr>
          <w:rFonts w:hint="default" w:ascii="Times New Roman" w:hAnsi="Times New Roman" w:cs="Times New Roman"/>
        </w:rPr>
        <w:t>环境空气影响分析</w:t>
      </w:r>
      <w:r>
        <w:tab/>
      </w:r>
      <w:r>
        <w:fldChar w:fldCharType="begin"/>
      </w:r>
      <w:r>
        <w:instrText xml:space="preserve"> PAGEREF _Toc30374 \h </w:instrText>
      </w:r>
      <w:r>
        <w:fldChar w:fldCharType="separate"/>
      </w:r>
      <w:r>
        <w:t>217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FA2C148">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_Toc25987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4.3.2. </w:t>
      </w:r>
      <w:r>
        <w:rPr>
          <w:rFonts w:hint="default" w:ascii="Times New Roman" w:hAnsi="Times New Roman" w:cs="Times New Roman"/>
          <w:lang w:val="en-US" w:eastAsia="zh-CN"/>
        </w:rPr>
        <w:t>营运期</w:t>
      </w:r>
      <w:r>
        <w:rPr>
          <w:rFonts w:hint="default" w:ascii="Times New Roman" w:hAnsi="Times New Roman" w:cs="Times New Roman"/>
        </w:rPr>
        <w:t>地表水环境影响分析</w:t>
      </w:r>
      <w:r>
        <w:tab/>
      </w:r>
      <w:r>
        <w:fldChar w:fldCharType="begin"/>
      </w:r>
      <w:r>
        <w:instrText xml:space="preserve"> PAGEREF _Toc25987 \h </w:instrText>
      </w:r>
      <w:r>
        <w:fldChar w:fldCharType="separate"/>
      </w:r>
      <w:r>
        <w:t>217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59815C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_Toc3659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4.3.3. </w:t>
      </w:r>
      <w:r>
        <w:rPr>
          <w:rFonts w:hint="default" w:ascii="Times New Roman" w:hAnsi="Times New Roman" w:cs="Times New Roman"/>
          <w:lang w:val="en-US" w:eastAsia="zh-CN"/>
        </w:rPr>
        <w:t>营运期</w:t>
      </w:r>
      <w:r>
        <w:rPr>
          <w:rFonts w:hint="default" w:ascii="Times New Roman" w:hAnsi="Times New Roman" w:cs="Times New Roman"/>
        </w:rPr>
        <w:t>地下水环境影响评价</w:t>
      </w:r>
      <w:r>
        <w:tab/>
      </w:r>
      <w:r>
        <w:fldChar w:fldCharType="begin"/>
      </w:r>
      <w:r>
        <w:instrText xml:space="preserve"> PAGEREF _Toc3659 \h </w:instrText>
      </w:r>
      <w:r>
        <w:fldChar w:fldCharType="separate"/>
      </w:r>
      <w:r>
        <w:t>218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891908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_Toc27973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4.3.4. </w:t>
      </w:r>
      <w:r>
        <w:rPr>
          <w:rFonts w:hint="default" w:ascii="Times New Roman" w:hAnsi="Times New Roman" w:cs="Times New Roman"/>
          <w:lang w:val="en-US" w:eastAsia="zh-CN"/>
        </w:rPr>
        <w:t>营运期</w:t>
      </w:r>
      <w:r>
        <w:rPr>
          <w:rFonts w:hint="default" w:ascii="Times New Roman" w:hAnsi="Times New Roman" w:cs="Times New Roman"/>
        </w:rPr>
        <w:t>声环境影响分析</w:t>
      </w:r>
      <w:r>
        <w:tab/>
      </w:r>
      <w:r>
        <w:fldChar w:fldCharType="begin"/>
      </w:r>
      <w:r>
        <w:instrText xml:space="preserve"> PAGEREF _Toc27973 \h </w:instrText>
      </w:r>
      <w:r>
        <w:fldChar w:fldCharType="separate"/>
      </w:r>
      <w:r>
        <w:t>218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CDEC6A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_Toc22549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4.3.5. </w:t>
      </w:r>
      <w:r>
        <w:rPr>
          <w:rFonts w:hint="default" w:ascii="Times New Roman" w:hAnsi="Times New Roman" w:cs="Times New Roman"/>
          <w:lang w:val="en-US" w:eastAsia="zh-CN"/>
        </w:rPr>
        <w:t>营运期</w:t>
      </w:r>
      <w:r>
        <w:rPr>
          <w:rFonts w:hint="default" w:ascii="Times New Roman" w:hAnsi="Times New Roman" w:cs="Times New Roman"/>
        </w:rPr>
        <w:t>固体废物影响分析</w:t>
      </w:r>
      <w:r>
        <w:tab/>
      </w:r>
      <w:r>
        <w:fldChar w:fldCharType="begin"/>
      </w:r>
      <w:r>
        <w:instrText xml:space="preserve"> PAGEREF _Toc22549 \h </w:instrText>
      </w:r>
      <w:r>
        <w:fldChar w:fldCharType="separate"/>
      </w:r>
      <w:r>
        <w:t>219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6494AF4">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_Toc1375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4.3.6. </w:t>
      </w:r>
      <w:r>
        <w:rPr>
          <w:rFonts w:hint="default" w:ascii="Times New Roman" w:hAnsi="Times New Roman" w:cs="Times New Roman"/>
          <w:lang w:val="en-US" w:eastAsia="zh-CN"/>
        </w:rPr>
        <w:t>营运期</w:t>
      </w:r>
      <w:r>
        <w:rPr>
          <w:rFonts w:hint="default" w:ascii="Times New Roman" w:hAnsi="Times New Roman" w:cs="Times New Roman"/>
        </w:rPr>
        <w:t>土壤环境影响分析</w:t>
      </w:r>
      <w:r>
        <w:tab/>
      </w:r>
      <w:r>
        <w:fldChar w:fldCharType="begin"/>
      </w:r>
      <w:r>
        <w:instrText xml:space="preserve"> PAGEREF _Toc1375 \h </w:instrText>
      </w:r>
      <w:r>
        <w:fldChar w:fldCharType="separate"/>
      </w:r>
      <w:r>
        <w:t>219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FF451E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_Toc25985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caps w:val="0"/>
          <w:smallCaps w:val="0"/>
          <w:spacing w:val="0"/>
          <w:w w:val="100"/>
          <w:position w:val="0"/>
          <w:szCs w:val="28"/>
        </w:rPr>
        <w:t xml:space="preserve">4.3.7. </w:t>
      </w:r>
      <w:r>
        <w:rPr>
          <w:rFonts w:hint="default" w:ascii="Times New Roman" w:hAnsi="Times New Roman" w:eastAsia="宋体" w:cs="Times New Roman"/>
          <w:caps w:val="0"/>
          <w:smallCaps w:val="0"/>
          <w:spacing w:val="0"/>
          <w:w w:val="100"/>
          <w:position w:val="0"/>
          <w:szCs w:val="28"/>
          <w:lang w:val="en-US" w:eastAsia="zh-CN"/>
        </w:rPr>
        <w:t>营运期</w:t>
      </w:r>
      <w:r>
        <w:rPr>
          <w:rFonts w:hint="default" w:ascii="Times New Roman" w:hAnsi="Times New Roman" w:cs="Times New Roman"/>
          <w:bCs/>
        </w:rPr>
        <w:t>生</w:t>
      </w:r>
      <w:r>
        <w:rPr>
          <w:rFonts w:hint="default" w:ascii="Times New Roman" w:hAnsi="Times New Roman" w:eastAsia="宋体" w:cs="Times New Roman"/>
          <w:caps w:val="0"/>
          <w:smallCaps w:val="0"/>
          <w:spacing w:val="0"/>
          <w:w w:val="100"/>
          <w:position w:val="0"/>
          <w:szCs w:val="28"/>
        </w:rPr>
        <w:t>态环境影响评价</w:t>
      </w:r>
      <w:r>
        <w:tab/>
      </w:r>
      <w:r>
        <w:fldChar w:fldCharType="begin"/>
      </w:r>
      <w:r>
        <w:instrText xml:space="preserve"> PAGEREF _Toc25985 \h </w:instrText>
      </w:r>
      <w:r>
        <w:fldChar w:fldCharType="separate"/>
      </w:r>
      <w:r>
        <w:t>219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D8ED3D0">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_Toc14729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4.4. 环境风险分析</w:t>
      </w:r>
      <w:r>
        <w:tab/>
      </w:r>
      <w:r>
        <w:fldChar w:fldCharType="begin"/>
      </w:r>
      <w:r>
        <w:instrText xml:space="preserve"> PAGEREF _Toc14729 \h </w:instrText>
      </w:r>
      <w:r>
        <w:fldChar w:fldCharType="separate"/>
      </w:r>
      <w:r>
        <w:t>220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9700E6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_Toc6870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4.4.1. </w:t>
      </w:r>
      <w:r>
        <w:rPr>
          <w:rFonts w:hint="eastAsia" w:ascii="Times New Roman" w:hAnsi="Times New Roman" w:cs="Times New Roman"/>
          <w:lang w:eastAsia="zh-CN"/>
        </w:rPr>
        <w:t>风险调查</w:t>
      </w:r>
      <w:r>
        <w:tab/>
      </w:r>
      <w:r>
        <w:fldChar w:fldCharType="begin"/>
      </w:r>
      <w:r>
        <w:instrText xml:space="preserve"> PAGEREF _Toc6870 \h </w:instrText>
      </w:r>
      <w:r>
        <w:fldChar w:fldCharType="separate"/>
      </w:r>
      <w:r>
        <w:t>220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79CAF6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_Toc28339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4.4.2. </w:t>
      </w:r>
      <w:r>
        <w:rPr>
          <w:rFonts w:hint="eastAsia" w:ascii="Times New Roman" w:hAnsi="Times New Roman" w:cs="Times New Roman"/>
          <w:lang w:eastAsia="zh-CN"/>
        </w:rPr>
        <w:t>环境风险潜势初判</w:t>
      </w:r>
      <w:r>
        <w:tab/>
      </w:r>
      <w:r>
        <w:fldChar w:fldCharType="begin"/>
      </w:r>
      <w:r>
        <w:instrText xml:space="preserve"> PAGEREF _Toc28339 \h </w:instrText>
      </w:r>
      <w:r>
        <w:fldChar w:fldCharType="separate"/>
      </w:r>
      <w:r>
        <w:t>221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6D8ADC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_Toc7162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4.4.3. </w:t>
      </w:r>
      <w:r>
        <w:rPr>
          <w:rFonts w:hint="eastAsia" w:ascii="Times New Roman" w:hAnsi="Times New Roman" w:cs="Times New Roman"/>
          <w:lang w:eastAsia="zh-CN"/>
        </w:rPr>
        <w:t>评价等级</w:t>
      </w:r>
      <w:r>
        <w:tab/>
      </w:r>
      <w:r>
        <w:fldChar w:fldCharType="begin"/>
      </w:r>
      <w:r>
        <w:instrText xml:space="preserve"> PAGEREF _Toc7162 \h </w:instrText>
      </w:r>
      <w:r>
        <w:fldChar w:fldCharType="separate"/>
      </w:r>
      <w:r>
        <w:t>221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628788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_Toc10496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4.4.4. </w:t>
      </w:r>
      <w:r>
        <w:rPr>
          <w:rFonts w:hint="default" w:ascii="Times New Roman" w:hAnsi="Times New Roman" w:cs="Times New Roman"/>
        </w:rPr>
        <w:t>环境风险识别</w:t>
      </w:r>
      <w:r>
        <w:tab/>
      </w:r>
      <w:r>
        <w:fldChar w:fldCharType="begin"/>
      </w:r>
      <w:r>
        <w:instrText xml:space="preserve"> PAGEREF _Toc10496 \h </w:instrText>
      </w:r>
      <w:r>
        <w:fldChar w:fldCharType="separate"/>
      </w:r>
      <w:r>
        <w:t>221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453365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_Toc21779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4.4.5. </w:t>
      </w:r>
      <w:r>
        <w:rPr>
          <w:rFonts w:hint="default" w:ascii="Times New Roman" w:hAnsi="Times New Roman" w:cs="Times New Roman"/>
        </w:rPr>
        <w:t>环境风险分析</w:t>
      </w:r>
      <w:r>
        <w:tab/>
      </w:r>
      <w:r>
        <w:fldChar w:fldCharType="begin"/>
      </w:r>
      <w:r>
        <w:instrText xml:space="preserve"> PAGEREF _Toc21779 \h </w:instrText>
      </w:r>
      <w:r>
        <w:fldChar w:fldCharType="separate"/>
      </w:r>
      <w:r>
        <w:t>222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A2B4753">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_Toc25175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4.4.6. </w:t>
      </w:r>
      <w:r>
        <w:rPr>
          <w:rFonts w:hint="default" w:ascii="Times New Roman" w:hAnsi="Times New Roman" w:cs="Times New Roman"/>
        </w:rPr>
        <w:t>风险防范措施</w:t>
      </w:r>
      <w:r>
        <w:tab/>
      </w:r>
      <w:r>
        <w:fldChar w:fldCharType="begin"/>
      </w:r>
      <w:r>
        <w:instrText xml:space="preserve"> PAGEREF _Toc25175 \h </w:instrText>
      </w:r>
      <w:r>
        <w:fldChar w:fldCharType="separate"/>
      </w:r>
      <w:r>
        <w:t>224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40DEC70">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_Toc9537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4.4.7. </w:t>
      </w:r>
      <w:r>
        <w:rPr>
          <w:rFonts w:hint="default" w:ascii="Times New Roman" w:hAnsi="Times New Roman" w:cs="Times New Roman"/>
        </w:rPr>
        <w:t>环境风险应急预案</w:t>
      </w:r>
      <w:r>
        <w:tab/>
      </w:r>
      <w:r>
        <w:fldChar w:fldCharType="begin"/>
      </w:r>
      <w:r>
        <w:instrText xml:space="preserve"> PAGEREF _Toc9537 \h </w:instrText>
      </w:r>
      <w:r>
        <w:fldChar w:fldCharType="separate"/>
      </w:r>
      <w:r>
        <w:t>225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0A26119">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_Toc32467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4.4.8. </w:t>
      </w:r>
      <w:r>
        <w:rPr>
          <w:rFonts w:hint="default" w:ascii="Times New Roman" w:hAnsi="Times New Roman" w:cs="Times New Roman"/>
        </w:rPr>
        <w:t>小结</w:t>
      </w:r>
      <w:r>
        <w:tab/>
      </w:r>
      <w:r>
        <w:fldChar w:fldCharType="begin"/>
      </w:r>
      <w:r>
        <w:instrText xml:space="preserve"> PAGEREF _Toc32467 \h </w:instrText>
      </w:r>
      <w:r>
        <w:fldChar w:fldCharType="separate"/>
      </w:r>
      <w:r>
        <w:t>226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1B1203C">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_Toc9186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5. 环境保护措施及其可行性论证</w:t>
      </w:r>
      <w:r>
        <w:tab/>
      </w:r>
      <w:r>
        <w:fldChar w:fldCharType="begin"/>
      </w:r>
      <w:r>
        <w:instrText xml:space="preserve"> PAGEREF _Toc9186 \h </w:instrText>
      </w:r>
      <w:r>
        <w:fldChar w:fldCharType="separate"/>
      </w:r>
      <w:r>
        <w:t>227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4260B51">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_Toc5462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lang w:val="en-US" w:eastAsia="zh-CN"/>
        </w:rPr>
        <w:t>5.1. 施工期环境保护措施</w:t>
      </w:r>
      <w:r>
        <w:tab/>
      </w:r>
      <w:r>
        <w:fldChar w:fldCharType="begin"/>
      </w:r>
      <w:r>
        <w:instrText xml:space="preserve"> PAGEREF _Toc5462 \h </w:instrText>
      </w:r>
      <w:r>
        <w:fldChar w:fldCharType="separate"/>
      </w:r>
      <w:r>
        <w:t>227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B96DBC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_Toc32068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5.1.1. </w:t>
      </w:r>
      <w:r>
        <w:rPr>
          <w:rFonts w:hint="default" w:ascii="Times New Roman" w:hAnsi="Times New Roman" w:cs="Times New Roman"/>
          <w:lang w:val="en-US" w:eastAsia="zh-CN"/>
        </w:rPr>
        <w:t>施工期大气环境保护措施</w:t>
      </w:r>
      <w:r>
        <w:tab/>
      </w:r>
      <w:r>
        <w:fldChar w:fldCharType="begin"/>
      </w:r>
      <w:r>
        <w:instrText xml:space="preserve"> PAGEREF _Toc32068 \h </w:instrText>
      </w:r>
      <w:r>
        <w:fldChar w:fldCharType="separate"/>
      </w:r>
      <w:r>
        <w:t>227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56AA73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_Toc13833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5.1.2. </w:t>
      </w:r>
      <w:r>
        <w:rPr>
          <w:rFonts w:hint="default" w:ascii="Times New Roman" w:hAnsi="Times New Roman" w:cs="Times New Roman"/>
          <w:lang w:val="en-US" w:eastAsia="zh-CN"/>
        </w:rPr>
        <w:t>施工期地表水环境保护措施</w:t>
      </w:r>
      <w:r>
        <w:tab/>
      </w:r>
      <w:r>
        <w:fldChar w:fldCharType="begin"/>
      </w:r>
      <w:r>
        <w:instrText xml:space="preserve"> PAGEREF _Toc13833 \h </w:instrText>
      </w:r>
      <w:r>
        <w:fldChar w:fldCharType="separate"/>
      </w:r>
      <w:r>
        <w:t>228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4E97018">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_Toc2492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eastAsia="宋体" w:cs="Times New Roman"/>
          <w:caps w:val="0"/>
          <w:smallCaps w:val="0"/>
          <w:spacing w:val="0"/>
          <w:w w:val="100"/>
          <w:position w:val="0"/>
          <w:szCs w:val="28"/>
        </w:rPr>
        <w:t xml:space="preserve">5.1.3. </w:t>
      </w:r>
      <w:r>
        <w:rPr>
          <w:rFonts w:hint="default" w:ascii="Times New Roman" w:hAnsi="Times New Roman" w:eastAsia="宋体" w:cs="Times New Roman"/>
          <w:caps w:val="0"/>
          <w:smallCaps w:val="0"/>
          <w:spacing w:val="0"/>
          <w:w w:val="100"/>
          <w:position w:val="0"/>
          <w:szCs w:val="24"/>
          <w:lang w:val="en-US" w:eastAsia="zh-CN"/>
        </w:rPr>
        <w:t>施工期</w:t>
      </w:r>
      <w:r>
        <w:rPr>
          <w:rFonts w:hint="default" w:ascii="Times New Roman" w:hAnsi="Times New Roman" w:eastAsia="宋体" w:cs="Times New Roman"/>
          <w:caps w:val="0"/>
          <w:smallCaps w:val="0"/>
          <w:spacing w:val="0"/>
          <w:w w:val="100"/>
          <w:position w:val="0"/>
          <w:szCs w:val="24"/>
        </w:rPr>
        <w:t>地下水环境保护措施</w:t>
      </w:r>
      <w:r>
        <w:tab/>
      </w:r>
      <w:r>
        <w:fldChar w:fldCharType="begin"/>
      </w:r>
      <w:r>
        <w:instrText xml:space="preserve"> PAGEREF _Toc2492 \h </w:instrText>
      </w:r>
      <w:r>
        <w:fldChar w:fldCharType="separate"/>
      </w:r>
      <w:r>
        <w:t>231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27D7A4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_Toc26004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5.1.4. </w:t>
      </w:r>
      <w:r>
        <w:rPr>
          <w:rFonts w:hint="default" w:ascii="Times New Roman" w:hAnsi="Times New Roman" w:cs="Times New Roman"/>
          <w:lang w:eastAsia="zh-CN"/>
        </w:rPr>
        <w:t>施工期</w:t>
      </w:r>
      <w:r>
        <w:rPr>
          <w:rFonts w:hint="default" w:ascii="Times New Roman" w:hAnsi="Times New Roman" w:cs="Times New Roman"/>
        </w:rPr>
        <w:t>声环境保护措施</w:t>
      </w:r>
      <w:r>
        <w:tab/>
      </w:r>
      <w:r>
        <w:fldChar w:fldCharType="begin"/>
      </w:r>
      <w:r>
        <w:instrText xml:space="preserve"> PAGEREF _Toc26004 \h </w:instrText>
      </w:r>
      <w:r>
        <w:fldChar w:fldCharType="separate"/>
      </w:r>
      <w:r>
        <w:t>231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779BE88">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_Toc6758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5.1.5. </w:t>
      </w:r>
      <w:r>
        <w:rPr>
          <w:rFonts w:hint="default" w:ascii="Times New Roman" w:hAnsi="Times New Roman" w:cs="Times New Roman"/>
        </w:rPr>
        <w:t>固体废物保护措施</w:t>
      </w:r>
      <w:r>
        <w:tab/>
      </w:r>
      <w:r>
        <w:fldChar w:fldCharType="begin"/>
      </w:r>
      <w:r>
        <w:instrText xml:space="preserve"> PAGEREF _Toc6758 \h </w:instrText>
      </w:r>
      <w:r>
        <w:fldChar w:fldCharType="separate"/>
      </w:r>
      <w:r>
        <w:t>233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D854F7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_Toc31565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5.1.6. </w:t>
      </w:r>
      <w:r>
        <w:rPr>
          <w:rFonts w:hint="default" w:ascii="Times New Roman" w:hAnsi="Times New Roman" w:cs="Times New Roman"/>
          <w:lang w:val="en-US" w:eastAsia="zh-CN"/>
        </w:rPr>
        <w:t>生</w:t>
      </w:r>
      <w:r>
        <w:rPr>
          <w:rFonts w:hint="default" w:ascii="Times New Roman" w:hAnsi="Times New Roman" w:cs="Times New Roman"/>
        </w:rPr>
        <w:t>态保护措施</w:t>
      </w:r>
      <w:r>
        <w:tab/>
      </w:r>
      <w:r>
        <w:fldChar w:fldCharType="begin"/>
      </w:r>
      <w:r>
        <w:instrText xml:space="preserve"> PAGEREF _Toc31565 \h </w:instrText>
      </w:r>
      <w:r>
        <w:fldChar w:fldCharType="separate"/>
      </w:r>
      <w:r>
        <w:t>233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115659D">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_Toc2008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5.2. 营运期环境保护措施</w:t>
      </w:r>
      <w:r>
        <w:tab/>
      </w:r>
      <w:r>
        <w:fldChar w:fldCharType="begin"/>
      </w:r>
      <w:r>
        <w:instrText xml:space="preserve"> PAGEREF _Toc2008 \h </w:instrText>
      </w:r>
      <w:r>
        <w:fldChar w:fldCharType="separate"/>
      </w:r>
      <w:r>
        <w:t>239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609A5BA">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_Toc18488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5.2.1. </w:t>
      </w:r>
      <w:r>
        <w:rPr>
          <w:rFonts w:hint="default" w:ascii="Times New Roman" w:hAnsi="Times New Roman" w:cs="Times New Roman"/>
        </w:rPr>
        <w:t>环境空气保护措施</w:t>
      </w:r>
      <w:r>
        <w:tab/>
      </w:r>
      <w:r>
        <w:fldChar w:fldCharType="begin"/>
      </w:r>
      <w:r>
        <w:instrText xml:space="preserve"> PAGEREF _Toc18488 \h </w:instrText>
      </w:r>
      <w:r>
        <w:fldChar w:fldCharType="separate"/>
      </w:r>
      <w:r>
        <w:t>239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ADB525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_Toc19977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5.2.2. </w:t>
      </w:r>
      <w:r>
        <w:rPr>
          <w:rFonts w:hint="default" w:ascii="Times New Roman" w:hAnsi="Times New Roman" w:cs="Times New Roman"/>
        </w:rPr>
        <w:t>地表水环境保护措施</w:t>
      </w:r>
      <w:r>
        <w:tab/>
      </w:r>
      <w:r>
        <w:fldChar w:fldCharType="begin"/>
      </w:r>
      <w:r>
        <w:instrText xml:space="preserve"> PAGEREF _Toc19977 \h </w:instrText>
      </w:r>
      <w:r>
        <w:fldChar w:fldCharType="separate"/>
      </w:r>
      <w:r>
        <w:t>239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4F8A0E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_Toc30260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5.2.3. </w:t>
      </w:r>
      <w:r>
        <w:rPr>
          <w:rFonts w:hint="default" w:ascii="Times New Roman" w:hAnsi="Times New Roman" w:cs="Times New Roman"/>
        </w:rPr>
        <w:t>声环境保护措施</w:t>
      </w:r>
      <w:r>
        <w:tab/>
      </w:r>
      <w:r>
        <w:fldChar w:fldCharType="begin"/>
      </w:r>
      <w:r>
        <w:instrText xml:space="preserve"> PAGEREF _Toc30260 \h </w:instrText>
      </w:r>
      <w:r>
        <w:fldChar w:fldCharType="separate"/>
      </w:r>
      <w:r>
        <w:t>239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53A79F5">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_Toc25997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5.2.4. </w:t>
      </w:r>
      <w:r>
        <w:rPr>
          <w:rFonts w:hint="default" w:ascii="Times New Roman" w:hAnsi="Times New Roman" w:cs="Times New Roman"/>
        </w:rPr>
        <w:t>固体废物环境保护措施</w:t>
      </w:r>
      <w:r>
        <w:tab/>
      </w:r>
      <w:r>
        <w:fldChar w:fldCharType="begin"/>
      </w:r>
      <w:r>
        <w:instrText xml:space="preserve"> PAGEREF _Toc25997 \h </w:instrText>
      </w:r>
      <w:r>
        <w:fldChar w:fldCharType="separate"/>
      </w:r>
      <w:r>
        <w:t>240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5643BD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_Toc25066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5.2.5. </w:t>
      </w:r>
      <w:r>
        <w:rPr>
          <w:rFonts w:hint="default" w:ascii="Times New Roman" w:hAnsi="Times New Roman" w:cs="Times New Roman"/>
        </w:rPr>
        <w:t>地下水、土壤环境保护措施</w:t>
      </w:r>
      <w:r>
        <w:tab/>
      </w:r>
      <w:r>
        <w:fldChar w:fldCharType="begin"/>
      </w:r>
      <w:r>
        <w:instrText xml:space="preserve"> PAGEREF _Toc25066 \h </w:instrText>
      </w:r>
      <w:r>
        <w:fldChar w:fldCharType="separate"/>
      </w:r>
      <w:r>
        <w:t>240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81591FF">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_Toc18375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5.2.6. </w:t>
      </w:r>
      <w:r>
        <w:rPr>
          <w:rFonts w:hint="default" w:ascii="Times New Roman" w:hAnsi="Times New Roman" w:cs="Times New Roman"/>
        </w:rPr>
        <w:t>生态环境保护措施</w:t>
      </w:r>
      <w:r>
        <w:tab/>
      </w:r>
      <w:r>
        <w:fldChar w:fldCharType="begin"/>
      </w:r>
      <w:r>
        <w:instrText xml:space="preserve"> PAGEREF _Toc18375 \h </w:instrText>
      </w:r>
      <w:r>
        <w:fldChar w:fldCharType="separate"/>
      </w:r>
      <w:r>
        <w:t>240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DFEC3D5">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_Toc5824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6. 环境</w:t>
      </w:r>
      <w:r>
        <w:rPr>
          <w:rFonts w:hint="default" w:ascii="Times New Roman" w:hAnsi="Times New Roman" w:cs="Times New Roman"/>
          <w:lang w:val="en-US" w:eastAsia="zh-CN"/>
        </w:rPr>
        <w:t>影响</w:t>
      </w:r>
      <w:r>
        <w:rPr>
          <w:rFonts w:hint="default" w:ascii="Times New Roman" w:hAnsi="Times New Roman" w:cs="Times New Roman"/>
        </w:rPr>
        <w:t>经济损益分析</w:t>
      </w:r>
      <w:r>
        <w:tab/>
      </w:r>
      <w:r>
        <w:fldChar w:fldCharType="begin"/>
      </w:r>
      <w:r>
        <w:instrText xml:space="preserve"> PAGEREF _Toc5824 \h </w:instrText>
      </w:r>
      <w:r>
        <w:fldChar w:fldCharType="separate"/>
      </w:r>
      <w:r>
        <w:t>241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388FEAD">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_Toc13271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6.1. 环境保护投资估算</w:t>
      </w:r>
      <w:r>
        <w:tab/>
      </w:r>
      <w:r>
        <w:fldChar w:fldCharType="begin"/>
      </w:r>
      <w:r>
        <w:instrText xml:space="preserve"> PAGEREF _Toc13271 \h </w:instrText>
      </w:r>
      <w:r>
        <w:fldChar w:fldCharType="separate"/>
      </w:r>
      <w:r>
        <w:t>241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90E5987">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_Toc23419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6.1.1. </w:t>
      </w:r>
      <w:r>
        <w:rPr>
          <w:rFonts w:hint="default" w:ascii="Times New Roman" w:hAnsi="Times New Roman" w:cs="Times New Roman"/>
          <w:lang w:eastAsia="zh-CN"/>
        </w:rPr>
        <w:t>估算</w:t>
      </w:r>
      <w:r>
        <w:rPr>
          <w:rFonts w:hint="default" w:ascii="Times New Roman" w:hAnsi="Times New Roman" w:cs="Times New Roman"/>
        </w:rPr>
        <w:t>原则</w:t>
      </w:r>
      <w:r>
        <w:tab/>
      </w:r>
      <w:r>
        <w:fldChar w:fldCharType="begin"/>
      </w:r>
      <w:r>
        <w:instrText xml:space="preserve"> PAGEREF _Toc23419 \h </w:instrText>
      </w:r>
      <w:r>
        <w:fldChar w:fldCharType="separate"/>
      </w:r>
      <w:r>
        <w:t>241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4BEDD6B">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_Toc20740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6.1.2. </w:t>
      </w:r>
      <w:r>
        <w:rPr>
          <w:rFonts w:hint="default" w:ascii="Times New Roman" w:hAnsi="Times New Roman" w:cs="Times New Roman"/>
          <w:lang w:val="en-US" w:eastAsia="zh-CN"/>
        </w:rPr>
        <w:t>估算依据</w:t>
      </w:r>
      <w:r>
        <w:tab/>
      </w:r>
      <w:r>
        <w:fldChar w:fldCharType="begin"/>
      </w:r>
      <w:r>
        <w:instrText xml:space="preserve"> PAGEREF _Toc20740 \h </w:instrText>
      </w:r>
      <w:r>
        <w:fldChar w:fldCharType="separate"/>
      </w:r>
      <w:r>
        <w:t>241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A4DD1C1">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_Toc12151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6.1.3. </w:t>
      </w:r>
      <w:r>
        <w:rPr>
          <w:rFonts w:hint="default" w:ascii="Times New Roman" w:hAnsi="Times New Roman" w:cs="Times New Roman"/>
          <w:lang w:val="en-US" w:eastAsia="zh-CN"/>
        </w:rPr>
        <w:t>费用构成</w:t>
      </w:r>
      <w:r>
        <w:tab/>
      </w:r>
      <w:r>
        <w:fldChar w:fldCharType="begin"/>
      </w:r>
      <w:r>
        <w:instrText xml:space="preserve"> PAGEREF _Toc12151 \h </w:instrText>
      </w:r>
      <w:r>
        <w:fldChar w:fldCharType="separate"/>
      </w:r>
      <w:r>
        <w:t>242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65FB592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_Toc2471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6.1.4. </w:t>
      </w:r>
      <w:r>
        <w:rPr>
          <w:rFonts w:hint="default" w:ascii="Times New Roman" w:hAnsi="Times New Roman" w:cs="Times New Roman"/>
          <w:lang w:val="en-US" w:eastAsia="zh-CN"/>
        </w:rPr>
        <w:t>环境保护投资主要指标</w:t>
      </w:r>
      <w:r>
        <w:tab/>
      </w:r>
      <w:r>
        <w:fldChar w:fldCharType="begin"/>
      </w:r>
      <w:r>
        <w:instrText xml:space="preserve"> PAGEREF _Toc2471 \h </w:instrText>
      </w:r>
      <w:r>
        <w:fldChar w:fldCharType="separate"/>
      </w:r>
      <w:r>
        <w:t>242</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D5EC28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_Toc17003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 xml:space="preserve">6.2. </w:t>
      </w:r>
      <w:r>
        <w:rPr>
          <w:rFonts w:hint="default" w:ascii="Times New Roman" w:hAnsi="Times New Roman" w:cs="Times New Roman"/>
          <w:lang w:val="en-US" w:eastAsia="zh-CN"/>
        </w:rPr>
        <w:t>环境影响经济效益</w:t>
      </w:r>
      <w:r>
        <w:tab/>
      </w:r>
      <w:r>
        <w:fldChar w:fldCharType="begin"/>
      </w:r>
      <w:r>
        <w:instrText xml:space="preserve"> PAGEREF _Toc17003 \h </w:instrText>
      </w:r>
      <w:r>
        <w:fldChar w:fldCharType="separate"/>
      </w:r>
      <w:r>
        <w:t>243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BA4B3D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_Toc2644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6.2.1. </w:t>
      </w:r>
      <w:r>
        <w:rPr>
          <w:rFonts w:hint="default" w:ascii="Times New Roman" w:hAnsi="Times New Roman" w:cs="Times New Roman"/>
        </w:rPr>
        <w:t>经济效益分析</w:t>
      </w:r>
      <w:r>
        <w:tab/>
      </w:r>
      <w:r>
        <w:fldChar w:fldCharType="begin"/>
      </w:r>
      <w:r>
        <w:instrText xml:space="preserve"> PAGEREF _Toc2644 \h </w:instrText>
      </w:r>
      <w:r>
        <w:fldChar w:fldCharType="separate"/>
      </w:r>
      <w:r>
        <w:t>243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39CE6E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_Toc17263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6.2.2. </w:t>
      </w:r>
      <w:r>
        <w:rPr>
          <w:rFonts w:hint="default" w:ascii="Times New Roman" w:hAnsi="Times New Roman" w:cs="Times New Roman"/>
          <w:lang w:val="en-US" w:eastAsia="zh-CN"/>
        </w:rPr>
        <w:t>社会效益分析</w:t>
      </w:r>
      <w:r>
        <w:tab/>
      </w:r>
      <w:r>
        <w:fldChar w:fldCharType="begin"/>
      </w:r>
      <w:r>
        <w:instrText xml:space="preserve"> PAGEREF _Toc17263 \h </w:instrText>
      </w:r>
      <w:r>
        <w:fldChar w:fldCharType="separate"/>
      </w:r>
      <w:r>
        <w:t>244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165831D">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_Toc28489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val="en-US" w:eastAsia="zh-CN"/>
        </w:rPr>
        <w:t xml:space="preserve">6.2.3. </w:t>
      </w:r>
      <w:r>
        <w:rPr>
          <w:rFonts w:hint="default" w:ascii="Times New Roman" w:hAnsi="Times New Roman" w:cs="Times New Roman"/>
          <w:lang w:val="en-US" w:eastAsia="zh-CN"/>
        </w:rPr>
        <w:t>生态环境效益</w:t>
      </w:r>
      <w:r>
        <w:tab/>
      </w:r>
      <w:r>
        <w:fldChar w:fldCharType="begin"/>
      </w:r>
      <w:r>
        <w:instrText xml:space="preserve"> PAGEREF _Toc28489 \h </w:instrText>
      </w:r>
      <w:r>
        <w:fldChar w:fldCharType="separate"/>
      </w:r>
      <w:r>
        <w:t>244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35C0D9D3">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_Toc2344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6.3. 环境</w:t>
      </w:r>
      <w:r>
        <w:rPr>
          <w:rFonts w:hint="eastAsia" w:ascii="Times New Roman" w:hAnsi="Times New Roman" w:cs="Times New Roman"/>
          <w:lang w:eastAsia="zh-CN"/>
        </w:rPr>
        <w:t>损失</w:t>
      </w:r>
      <w:r>
        <w:rPr>
          <w:rFonts w:hint="default" w:ascii="Times New Roman" w:hAnsi="Times New Roman" w:cs="Times New Roman"/>
        </w:rPr>
        <w:t>分析</w:t>
      </w:r>
      <w:r>
        <w:tab/>
      </w:r>
      <w:r>
        <w:fldChar w:fldCharType="begin"/>
      </w:r>
      <w:r>
        <w:instrText xml:space="preserve"> PAGEREF _Toc2344 \h </w:instrText>
      </w:r>
      <w:r>
        <w:fldChar w:fldCharType="separate"/>
      </w:r>
      <w:r>
        <w:t>244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4637376">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_Toc14965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eastAsia="zh-CN"/>
        </w:rPr>
        <w:t xml:space="preserve">6.4. </w:t>
      </w:r>
      <w:r>
        <w:rPr>
          <w:rFonts w:hint="default"/>
        </w:rPr>
        <w:t>环境</w:t>
      </w:r>
      <w:r>
        <w:rPr>
          <w:rFonts w:hint="default"/>
          <w:lang w:val="en-US" w:eastAsia="zh-CN"/>
        </w:rPr>
        <w:t>损</w:t>
      </w:r>
      <w:r>
        <w:rPr>
          <w:rFonts w:hint="eastAsia"/>
          <w:lang w:val="en-US" w:eastAsia="zh-CN"/>
        </w:rPr>
        <w:t>益分析结论</w:t>
      </w:r>
      <w:r>
        <w:tab/>
      </w:r>
      <w:r>
        <w:fldChar w:fldCharType="begin"/>
      </w:r>
      <w:r>
        <w:instrText xml:space="preserve"> PAGEREF _Toc14965 \h </w:instrText>
      </w:r>
      <w:r>
        <w:fldChar w:fldCharType="separate"/>
      </w:r>
      <w:r>
        <w:t>245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5054AEC">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_Toc25659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rPr>
        <w:t>7. 环境管理与监测计划</w:t>
      </w:r>
      <w:r>
        <w:tab/>
      </w:r>
      <w:r>
        <w:fldChar w:fldCharType="begin"/>
      </w:r>
      <w:r>
        <w:instrText xml:space="preserve"> PAGEREF _Toc25659 \h </w:instrText>
      </w:r>
      <w:r>
        <w:fldChar w:fldCharType="separate"/>
      </w:r>
      <w:r>
        <w:t>246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823EAF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_Toc16020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7.1. 环境管理</w:t>
      </w:r>
      <w:r>
        <w:tab/>
      </w:r>
      <w:r>
        <w:fldChar w:fldCharType="begin"/>
      </w:r>
      <w:r>
        <w:instrText xml:space="preserve"> PAGEREF _Toc16020 \h </w:instrText>
      </w:r>
      <w:r>
        <w:fldChar w:fldCharType="separate"/>
      </w:r>
      <w:r>
        <w:t>246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EE9D80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_Toc13946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lang w:eastAsia="zh-CN"/>
        </w:rPr>
        <w:t xml:space="preserve">7.1.1. </w:t>
      </w:r>
      <w:r>
        <w:rPr>
          <w:rFonts w:hint="eastAsia" w:ascii="Times New Roman" w:hAnsi="Times New Roman" w:cs="Times New Roman"/>
          <w:lang w:val="en-US" w:eastAsia="zh-CN"/>
        </w:rPr>
        <w:t>环境管理体系</w:t>
      </w:r>
      <w:r>
        <w:tab/>
      </w:r>
      <w:r>
        <w:fldChar w:fldCharType="begin"/>
      </w:r>
      <w:r>
        <w:instrText xml:space="preserve"> PAGEREF _Toc13946 \h </w:instrText>
      </w:r>
      <w:r>
        <w:fldChar w:fldCharType="separate"/>
      </w:r>
      <w:r>
        <w:t>246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7B71D8C">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_Toc20520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7.1.2. </w:t>
      </w:r>
      <w:r>
        <w:rPr>
          <w:rFonts w:hint="eastAsia" w:ascii="Times New Roman" w:hAnsi="Times New Roman" w:cs="Times New Roman"/>
          <w:lang w:val="en-US" w:eastAsia="zh-CN"/>
        </w:rPr>
        <w:t>环境</w:t>
      </w:r>
      <w:r>
        <w:rPr>
          <w:lang w:val="en-US" w:eastAsia="zh-CN"/>
        </w:rPr>
        <w:t>管理职责</w:t>
      </w:r>
      <w:r>
        <w:tab/>
      </w:r>
      <w:r>
        <w:fldChar w:fldCharType="begin"/>
      </w:r>
      <w:r>
        <w:instrText xml:space="preserve"> PAGEREF _Toc20520 \h </w:instrText>
      </w:r>
      <w:r>
        <w:fldChar w:fldCharType="separate"/>
      </w:r>
      <w:r>
        <w:t>246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A046E41">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_Toc31853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7.2. 环境监测</w:t>
      </w:r>
      <w:r>
        <w:tab/>
      </w:r>
      <w:r>
        <w:fldChar w:fldCharType="begin"/>
      </w:r>
      <w:r>
        <w:instrText xml:space="preserve"> PAGEREF _Toc31853 \h </w:instrText>
      </w:r>
      <w:r>
        <w:fldChar w:fldCharType="separate"/>
      </w:r>
      <w:r>
        <w:t>248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114BB3D">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_Toc21348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7.2.1. </w:t>
      </w:r>
      <w:r>
        <w:rPr>
          <w:rFonts w:hint="default" w:ascii="Times New Roman" w:hAnsi="Times New Roman" w:cs="Times New Roman"/>
        </w:rPr>
        <w:t>监测目的</w:t>
      </w:r>
      <w:r>
        <w:tab/>
      </w:r>
      <w:r>
        <w:fldChar w:fldCharType="begin"/>
      </w:r>
      <w:r>
        <w:instrText xml:space="preserve"> PAGEREF _Toc21348 \h </w:instrText>
      </w:r>
      <w:r>
        <w:fldChar w:fldCharType="separate"/>
      </w:r>
      <w:r>
        <w:t>248</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EC23632">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_Toc9246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7.2.2. </w:t>
      </w:r>
      <w:r>
        <w:rPr>
          <w:rFonts w:hint="default" w:ascii="Times New Roman" w:hAnsi="Times New Roman" w:cs="Times New Roman"/>
        </w:rPr>
        <w:t>施工期环境监测</w:t>
      </w:r>
      <w:r>
        <w:tab/>
      </w:r>
      <w:r>
        <w:fldChar w:fldCharType="begin"/>
      </w:r>
      <w:r>
        <w:instrText xml:space="preserve"> PAGEREF _Toc9246 \h </w:instrText>
      </w:r>
      <w:r>
        <w:fldChar w:fldCharType="separate"/>
      </w:r>
      <w:r>
        <w:t>249</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0FD520E">
      <w:pPr>
        <w:pStyle w:val="23"/>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_Toc13887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szCs w:val="28"/>
        </w:rPr>
        <w:t xml:space="preserve">7.2.3. </w:t>
      </w:r>
      <w:r>
        <w:rPr>
          <w:rFonts w:hint="default" w:ascii="Times New Roman" w:hAnsi="Times New Roman" w:cs="Times New Roman"/>
        </w:rPr>
        <w:t>营运期环境监测</w:t>
      </w:r>
      <w:r>
        <w:tab/>
      </w:r>
      <w:r>
        <w:fldChar w:fldCharType="begin"/>
      </w:r>
      <w:r>
        <w:instrText xml:space="preserve"> PAGEREF _Toc13887 \h </w:instrText>
      </w:r>
      <w:r>
        <w:fldChar w:fldCharType="separate"/>
      </w:r>
      <w:r>
        <w:t>250</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D6D1492">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_Toc9048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rPr>
        <w:t>7.3. 环境保护竣工验收</w:t>
      </w:r>
      <w:r>
        <w:tab/>
      </w:r>
      <w:r>
        <w:fldChar w:fldCharType="begin"/>
      </w:r>
      <w:r>
        <w:instrText xml:space="preserve"> PAGEREF _Toc9048 \h </w:instrText>
      </w:r>
      <w:r>
        <w:fldChar w:fldCharType="separate"/>
      </w:r>
      <w:r>
        <w:t>251</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1A7EEC3E">
      <w:pPr>
        <w:pStyle w:val="29"/>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_Toc8266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8. 环境影响评价结论</w:t>
      </w:r>
      <w:r>
        <w:tab/>
      </w:r>
      <w:r>
        <w:fldChar w:fldCharType="begin"/>
      </w:r>
      <w:r>
        <w:instrText xml:space="preserve"> PAGEREF _Toc8266 \h </w:instrText>
      </w:r>
      <w:r>
        <w:fldChar w:fldCharType="separate"/>
      </w:r>
      <w:r>
        <w:t>253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165F004">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_Toc4274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rPr>
        <w:t>8.1. 项目概况</w:t>
      </w:r>
      <w:r>
        <w:tab/>
      </w:r>
      <w:r>
        <w:fldChar w:fldCharType="begin"/>
      </w:r>
      <w:r>
        <w:instrText xml:space="preserve"> PAGEREF _Toc4274 \h </w:instrText>
      </w:r>
      <w:r>
        <w:fldChar w:fldCharType="separate"/>
      </w:r>
      <w:r>
        <w:t>253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F4BB259">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_Toc11768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ascii="Times New Roman" w:hAnsi="Times New Roman" w:cs="Times New Roman"/>
          <w:lang w:eastAsia="zh-CN"/>
        </w:rPr>
        <w:t xml:space="preserve">8.2. </w:t>
      </w:r>
      <w:r>
        <w:rPr>
          <w:rFonts w:hint="eastAsia" w:ascii="Times New Roman" w:hAnsi="Times New Roman" w:cs="Times New Roman"/>
          <w:lang w:eastAsia="zh-CN"/>
        </w:rPr>
        <w:t>建设项目环境</w:t>
      </w:r>
      <w:r>
        <w:rPr>
          <w:rFonts w:hint="default" w:ascii="Times New Roman" w:hAnsi="Times New Roman" w:cs="Times New Roman"/>
          <w:lang w:eastAsia="zh-CN"/>
        </w:rPr>
        <w:t>合</w:t>
      </w:r>
      <w:r>
        <w:rPr>
          <w:rFonts w:hint="eastAsia" w:ascii="Times New Roman" w:hAnsi="Times New Roman" w:cs="Times New Roman"/>
          <w:lang w:eastAsia="zh-CN"/>
        </w:rPr>
        <w:t>理</w:t>
      </w:r>
      <w:r>
        <w:rPr>
          <w:rFonts w:hint="default" w:ascii="Times New Roman" w:hAnsi="Times New Roman" w:cs="Times New Roman"/>
          <w:lang w:eastAsia="zh-CN"/>
        </w:rPr>
        <w:t>性分析</w:t>
      </w:r>
      <w:r>
        <w:tab/>
      </w:r>
      <w:r>
        <w:fldChar w:fldCharType="begin"/>
      </w:r>
      <w:r>
        <w:instrText xml:space="preserve"> PAGEREF _Toc11768 \h </w:instrText>
      </w:r>
      <w:r>
        <w:fldChar w:fldCharType="separate"/>
      </w:r>
      <w:r>
        <w:t>254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9C7C930">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_Toc24091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8.3. 选址合理性分析</w:t>
      </w:r>
      <w:r>
        <w:tab/>
      </w:r>
      <w:r>
        <w:fldChar w:fldCharType="begin"/>
      </w:r>
      <w:r>
        <w:instrText xml:space="preserve"> PAGEREF _Toc24091 \h </w:instrText>
      </w:r>
      <w:r>
        <w:fldChar w:fldCharType="separate"/>
      </w:r>
      <w:r>
        <w:t>255</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0F2D202">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_Toc31617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8.4. 环境质量现状</w:t>
      </w:r>
      <w:r>
        <w:tab/>
      </w:r>
      <w:r>
        <w:fldChar w:fldCharType="begin"/>
      </w:r>
      <w:r>
        <w:instrText xml:space="preserve"> PAGEREF _Toc31617 \h </w:instrText>
      </w:r>
      <w:r>
        <w:fldChar w:fldCharType="separate"/>
      </w:r>
      <w:r>
        <w:t>256</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ECDD863">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_Toc2257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8.5. 环境影响及保护措施</w:t>
      </w:r>
      <w:r>
        <w:tab/>
      </w:r>
      <w:r>
        <w:fldChar w:fldCharType="begin"/>
      </w:r>
      <w:r>
        <w:instrText xml:space="preserve"> PAGEREF _Toc2257 \h </w:instrText>
      </w:r>
      <w:r>
        <w:fldChar w:fldCharType="separate"/>
      </w:r>
      <w:r>
        <w:t>257</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A445E9E">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_Toc9097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8.6. 环境影响经济损益</w:t>
      </w:r>
      <w:r>
        <w:tab/>
      </w:r>
      <w:r>
        <w:fldChar w:fldCharType="begin"/>
      </w:r>
      <w:r>
        <w:instrText xml:space="preserve"> PAGEREF _Toc9097 \h </w:instrText>
      </w:r>
      <w:r>
        <w:fldChar w:fldCharType="separate"/>
      </w:r>
      <w:r>
        <w:t>263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59BE854C">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_Toc29147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8.7. 环境管理与监测</w:t>
      </w:r>
      <w:r>
        <w:tab/>
      </w:r>
      <w:r>
        <w:fldChar w:fldCharType="begin"/>
      </w:r>
      <w:r>
        <w:instrText xml:space="preserve"> PAGEREF _Toc29147 \h </w:instrText>
      </w:r>
      <w:r>
        <w:fldChar w:fldCharType="separate"/>
      </w:r>
      <w:r>
        <w:t>263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0A7A4000">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_Toc14372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 xml:space="preserve">8.8. </w:t>
      </w:r>
      <w:r>
        <w:rPr>
          <w:lang w:val="en-US" w:eastAsia="zh-CN"/>
        </w:rPr>
        <w:t>公众参与</w:t>
      </w:r>
      <w:r>
        <w:tab/>
      </w:r>
      <w:r>
        <w:fldChar w:fldCharType="begin"/>
      </w:r>
      <w:r>
        <w:instrText xml:space="preserve"> PAGEREF _Toc14372 \h </w:instrText>
      </w:r>
      <w:r>
        <w:fldChar w:fldCharType="separate"/>
      </w:r>
      <w:r>
        <w:t>263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26390555">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_Toc27518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 xml:space="preserve">8.9. </w:t>
      </w:r>
      <w:r>
        <w:rPr>
          <w:rFonts w:hint="default"/>
          <w:lang w:val="zh-CN" w:eastAsia="zh-CN"/>
        </w:rPr>
        <w:t>综合评价结论</w:t>
      </w:r>
      <w:r>
        <w:tab/>
      </w:r>
      <w:r>
        <w:fldChar w:fldCharType="begin"/>
      </w:r>
      <w:r>
        <w:instrText xml:space="preserve"> PAGEREF _Toc27518 \h </w:instrText>
      </w:r>
      <w:r>
        <w:fldChar w:fldCharType="separate"/>
      </w:r>
      <w:r>
        <w:t>263</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4E4B7E7C">
      <w:pPr>
        <w:pStyle w:val="34"/>
        <w:tabs>
          <w:tab w:val="right" w:leader="dot" w:pos="8300"/>
        </w:tabs>
      </w:pPr>
      <w:r>
        <w:rPr>
          <w:rFonts w:hint="default" w:ascii="Times New Roman" w:hAnsi="Times New Roman" w:eastAsia="宋体" w:cs="Times New Roman"/>
          <w:caps w:val="0"/>
          <w:smallCaps w:val="0"/>
          <w:color w:val="auto"/>
          <w:spacing w:val="0"/>
          <w:w w:val="100"/>
          <w:kern w:val="0"/>
          <w:position w:val="0"/>
          <w:szCs w:val="24"/>
          <w:u w:val="none" w:color="auto"/>
        </w:rPr>
        <w:fldChar w:fldCharType="begin"/>
      </w:r>
      <w:r>
        <w:rPr>
          <w:rFonts w:hint="default" w:ascii="Times New Roman" w:hAnsi="Times New Roman" w:eastAsia="宋体" w:cs="Times New Roman"/>
          <w:caps w:val="0"/>
          <w:smallCaps w:val="0"/>
          <w:spacing w:val="0"/>
          <w:w w:val="100"/>
          <w:kern w:val="0"/>
          <w:position w:val="0"/>
          <w:szCs w:val="24"/>
        </w:rPr>
        <w:instrText xml:space="preserve"> HYPERLINK \l _Toc12540 </w:instrText>
      </w:r>
      <w:r>
        <w:rPr>
          <w:rFonts w:hint="default" w:ascii="Times New Roman" w:hAnsi="Times New Roman" w:eastAsia="宋体" w:cs="Times New Roman"/>
          <w:caps w:val="0"/>
          <w:smallCaps w:val="0"/>
          <w:spacing w:val="0"/>
          <w:w w:val="100"/>
          <w:kern w:val="0"/>
          <w:position w:val="0"/>
          <w:szCs w:val="24"/>
        </w:rPr>
        <w:fldChar w:fldCharType="separate"/>
      </w:r>
      <w:r>
        <w:rPr>
          <w:rFonts w:hint="default"/>
          <w:lang w:val="en-US" w:eastAsia="zh-CN"/>
        </w:rPr>
        <w:t xml:space="preserve">8.10. </w:t>
      </w:r>
      <w:r>
        <w:rPr>
          <w:rFonts w:hint="default"/>
          <w:lang w:val="zh-CN" w:eastAsia="zh-CN"/>
        </w:rPr>
        <w:t>建议</w:t>
      </w:r>
      <w:r>
        <w:tab/>
      </w:r>
      <w:r>
        <w:fldChar w:fldCharType="begin"/>
      </w:r>
      <w:r>
        <w:instrText xml:space="preserve"> PAGEREF _Toc12540 \h </w:instrText>
      </w:r>
      <w:r>
        <w:fldChar w:fldCharType="separate"/>
      </w:r>
      <w:r>
        <w:t>264</w:t>
      </w:r>
      <w:r>
        <w:fldChar w:fldCharType="end"/>
      </w:r>
      <w:r>
        <w:rPr>
          <w:rFonts w:hint="default" w:ascii="Times New Roman" w:hAnsi="Times New Roman" w:eastAsia="宋体" w:cs="Times New Roman"/>
          <w:caps w:val="0"/>
          <w:smallCaps w:val="0"/>
          <w:color w:val="auto"/>
          <w:spacing w:val="0"/>
          <w:w w:val="100"/>
          <w:kern w:val="0"/>
          <w:position w:val="0"/>
          <w:szCs w:val="24"/>
          <w:u w:val="none" w:color="auto"/>
        </w:rPr>
        <w:fldChar w:fldCharType="end"/>
      </w:r>
    </w:p>
    <w:p w14:paraId="7E92EFF7">
      <w:pPr>
        <w:pageBreakBefore w:val="0"/>
        <w:kinsoku w:val="0"/>
        <w:wordWrap w:val="0"/>
        <w:overflowPunct/>
        <w:topLinePunct/>
        <w:autoSpaceDE/>
        <w:autoSpaceDN/>
        <w:bidi w:val="0"/>
        <w:adjustRightInd w:val="0"/>
        <w:spacing w:line="240" w:lineRule="auto"/>
        <w:rPr>
          <w:rFonts w:hint="default" w:ascii="Times New Roman" w:hAnsi="Times New Roman" w:eastAsia="宋体" w:cs="Times New Roman"/>
          <w:caps w:val="0"/>
          <w:smallCaps w:val="0"/>
          <w:color w:val="auto"/>
          <w:spacing w:val="0"/>
          <w:w w:val="100"/>
          <w:kern w:val="0"/>
          <w:position w:val="0"/>
          <w:szCs w:val="24"/>
          <w:u w:val="none" w:color="auto"/>
        </w:rPr>
      </w:pPr>
      <w:r>
        <w:rPr>
          <w:rFonts w:hint="default" w:ascii="Times New Roman" w:hAnsi="Times New Roman" w:eastAsia="宋体" w:cs="Times New Roman"/>
          <w:caps w:val="0"/>
          <w:smallCaps w:val="0"/>
          <w:color w:val="auto"/>
          <w:spacing w:val="0"/>
          <w:w w:val="100"/>
          <w:kern w:val="0"/>
          <w:position w:val="0"/>
          <w:szCs w:val="24"/>
          <w:u w:val="none" w:color="auto"/>
        </w:rPr>
        <w:fldChar w:fldCharType="end"/>
      </w:r>
      <w:bookmarkStart w:id="1" w:name="bookmark25"/>
      <w:bookmarkStart w:id="2" w:name="bookmark24"/>
    </w:p>
    <w:p w14:paraId="4844990F">
      <w:pPr>
        <w:pageBreakBefore w:val="0"/>
        <w:kinsoku w:val="0"/>
        <w:wordWrap w:val="0"/>
        <w:overflowPunct/>
        <w:topLinePunct/>
        <w:autoSpaceDE/>
        <w:autoSpaceDN/>
        <w:bidi w:val="0"/>
        <w:adjustRightInd w:val="0"/>
        <w:spacing w:line="500" w:lineRule="exac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附件</w:t>
      </w:r>
    </w:p>
    <w:p w14:paraId="37C0B2A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附件1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环评委托书</w:t>
      </w:r>
    </w:p>
    <w:p w14:paraId="4471D624">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附件2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建设单位法人证书</w:t>
      </w:r>
    </w:p>
    <w:p w14:paraId="72D540E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附件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3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大坝安全鉴定成果</w:t>
      </w:r>
    </w:p>
    <w:p w14:paraId="19F6FEF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附件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4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可行性研究报告批复</w:t>
      </w:r>
    </w:p>
    <w:p w14:paraId="74F5895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附件5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初步设计批复</w:t>
      </w:r>
    </w:p>
    <w:p w14:paraId="4CDA442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b w:val="0"/>
          <w:bCs w:val="0"/>
          <w:color w:val="auto"/>
          <w:spacing w:val="0"/>
          <w:w w:val="10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附件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b w:val="0"/>
          <w:bCs w:val="0"/>
          <w:color w:val="auto"/>
          <w:spacing w:val="0"/>
          <w:w w:val="100"/>
          <w:position w:val="0"/>
          <w:sz w:val="24"/>
          <w:szCs w:val="24"/>
          <w:u w:val="none" w:color="auto"/>
          <w:lang w:val="en-US" w:eastAsia="zh-CN"/>
        </w:rPr>
        <w:t>华容县林业局关于项目实施的意见</w:t>
      </w:r>
    </w:p>
    <w:p w14:paraId="2B6DBDE6">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b w:val="0"/>
          <w:bCs w:val="0"/>
          <w:color w:val="auto"/>
          <w:spacing w:val="0"/>
          <w:w w:val="10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附件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7  </w:t>
      </w:r>
      <w:r>
        <w:rPr>
          <w:rFonts w:hint="default" w:ascii="Times New Roman" w:hAnsi="Times New Roman" w:eastAsia="宋体" w:cs="Times New Roman"/>
          <w:b w:val="0"/>
          <w:bCs w:val="0"/>
          <w:color w:val="auto"/>
          <w:spacing w:val="0"/>
          <w:w w:val="100"/>
          <w:position w:val="0"/>
          <w:sz w:val="24"/>
          <w:szCs w:val="24"/>
          <w:u w:val="none" w:color="auto"/>
          <w:lang w:val="en-US" w:eastAsia="zh-CN"/>
        </w:rPr>
        <w:t>湖南华容</w:t>
      </w:r>
      <w:r>
        <w:rPr>
          <w:rFonts w:hint="eastAsia" w:ascii="Times New Roman" w:hAnsi="Times New Roman" w:eastAsia="宋体" w:cs="Times New Roman"/>
          <w:b w:val="0"/>
          <w:bCs w:val="0"/>
          <w:color w:val="auto"/>
          <w:spacing w:val="0"/>
          <w:w w:val="100"/>
          <w:position w:val="0"/>
          <w:sz w:val="24"/>
          <w:szCs w:val="24"/>
          <w:u w:val="none" w:color="auto"/>
          <w:lang w:val="en-US" w:eastAsia="zh-CN"/>
        </w:rPr>
        <w:t>东湖国家湿地</w:t>
      </w:r>
      <w:r>
        <w:rPr>
          <w:rFonts w:hint="default" w:ascii="Times New Roman" w:hAnsi="Times New Roman" w:eastAsia="宋体" w:cs="Times New Roman"/>
          <w:b w:val="0"/>
          <w:bCs w:val="0"/>
          <w:color w:val="auto"/>
          <w:spacing w:val="0"/>
          <w:w w:val="100"/>
          <w:position w:val="0"/>
          <w:sz w:val="24"/>
          <w:szCs w:val="24"/>
          <w:u w:val="none" w:color="auto"/>
          <w:lang w:val="en-US" w:eastAsia="zh-CN"/>
        </w:rPr>
        <w:t>公园管理</w:t>
      </w:r>
      <w:r>
        <w:rPr>
          <w:rFonts w:hint="eastAsia" w:ascii="Times New Roman" w:hAnsi="Times New Roman" w:eastAsia="宋体" w:cs="Times New Roman"/>
          <w:b w:val="0"/>
          <w:bCs w:val="0"/>
          <w:color w:val="auto"/>
          <w:spacing w:val="0"/>
          <w:w w:val="100"/>
          <w:position w:val="0"/>
          <w:sz w:val="24"/>
          <w:szCs w:val="24"/>
          <w:u w:val="none" w:color="auto"/>
          <w:lang w:val="en-US" w:eastAsia="zh-CN"/>
        </w:rPr>
        <w:t>所</w:t>
      </w:r>
      <w:r>
        <w:rPr>
          <w:rFonts w:hint="default" w:ascii="Times New Roman" w:hAnsi="Times New Roman" w:eastAsia="宋体" w:cs="Times New Roman"/>
          <w:b w:val="0"/>
          <w:bCs w:val="0"/>
          <w:color w:val="auto"/>
          <w:spacing w:val="0"/>
          <w:w w:val="100"/>
          <w:position w:val="0"/>
          <w:sz w:val="24"/>
          <w:szCs w:val="24"/>
          <w:u w:val="none" w:color="auto"/>
          <w:lang w:val="en-US" w:eastAsia="zh-CN"/>
        </w:rPr>
        <w:t>关于项目施工的意见</w:t>
      </w:r>
    </w:p>
    <w:p w14:paraId="3DFD995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b w:val="0"/>
          <w:bCs w:val="0"/>
          <w:color w:val="FF0000"/>
          <w:spacing w:val="0"/>
          <w:w w:val="100"/>
          <w:position w:val="0"/>
          <w:sz w:val="24"/>
          <w:szCs w:val="24"/>
          <w:u w:val="none" w:color="auto"/>
          <w:lang w:val="en-US" w:eastAsia="zh-CN"/>
        </w:rPr>
      </w:pPr>
      <w:r>
        <w:rPr>
          <w:rFonts w:hint="default" w:ascii="Times New Roman" w:hAnsi="Times New Roman" w:eastAsia="宋体" w:cs="Times New Roman"/>
          <w:b w:val="0"/>
          <w:bCs w:val="0"/>
          <w:color w:val="auto"/>
          <w:spacing w:val="0"/>
          <w:w w:val="100"/>
          <w:position w:val="0"/>
          <w:sz w:val="24"/>
          <w:szCs w:val="24"/>
          <w:u w:val="none" w:color="auto"/>
          <w:lang w:val="en-US" w:eastAsia="zh-CN"/>
        </w:rPr>
        <w:t>附件</w:t>
      </w:r>
      <w:r>
        <w:rPr>
          <w:rFonts w:hint="eastAsia" w:ascii="Times New Roman" w:hAnsi="Times New Roman" w:eastAsia="宋体" w:cs="Times New Roman"/>
          <w:b w:val="0"/>
          <w:bCs w:val="0"/>
          <w:color w:val="auto"/>
          <w:spacing w:val="0"/>
          <w:w w:val="100"/>
          <w:position w:val="0"/>
          <w:sz w:val="24"/>
          <w:szCs w:val="24"/>
          <w:u w:val="none" w:color="auto"/>
          <w:lang w:val="en-US" w:eastAsia="zh-CN"/>
        </w:rPr>
        <w:t>8</w:t>
      </w:r>
      <w:r>
        <w:rPr>
          <w:rFonts w:hint="default" w:ascii="Times New Roman" w:hAnsi="Times New Roman" w:eastAsia="宋体" w:cs="Times New Roman"/>
          <w:b w:val="0"/>
          <w:bC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b w:val="0"/>
          <w:bCs w:val="0"/>
          <w:color w:val="FF0000"/>
          <w:spacing w:val="0"/>
          <w:w w:val="100"/>
          <w:position w:val="0"/>
          <w:sz w:val="24"/>
          <w:szCs w:val="24"/>
          <w:u w:val="none" w:color="auto"/>
          <w:lang w:val="en-US" w:eastAsia="zh-CN"/>
        </w:rPr>
        <w:t xml:space="preserve"> </w:t>
      </w:r>
      <w:r>
        <w:rPr>
          <w:rFonts w:hint="eastAsia" w:ascii="Times New Roman" w:hAnsi="Times New Roman" w:eastAsia="宋体" w:cs="Times New Roman"/>
          <w:b w:val="0"/>
          <w:bCs w:val="0"/>
          <w:color w:val="auto"/>
          <w:spacing w:val="0"/>
          <w:w w:val="100"/>
          <w:position w:val="0"/>
          <w:sz w:val="24"/>
          <w:szCs w:val="24"/>
          <w:u w:val="none" w:color="auto"/>
          <w:lang w:val="en-US" w:eastAsia="zh-CN"/>
        </w:rPr>
        <w:t>华容县自然资源局关于项目土料场、弃渣场不涉及永久基本农田和生态红线的说明</w:t>
      </w:r>
    </w:p>
    <w:p w14:paraId="26EF983B">
      <w:pPr>
        <w:pageBreakBefore w:val="0"/>
        <w:kinsoku w:val="0"/>
        <w:wordWrap w:val="0"/>
        <w:overflowPunct/>
        <w:topLinePunct/>
        <w:autoSpaceDE/>
        <w:autoSpaceDN/>
        <w:bidi w:val="0"/>
        <w:adjustRightInd w:val="0"/>
        <w:spacing w:line="360" w:lineRule="auto"/>
        <w:ind w:firstLine="480" w:firstLineChars="200"/>
        <w:rPr>
          <w:rFonts w:hint="eastAsia" w:ascii="Times New Roman" w:hAnsi="Times New Roman" w:eastAsia="宋体" w:cs="Times New Roman"/>
          <w:b w:val="0"/>
          <w:bCs w:val="0"/>
          <w:color w:val="auto"/>
          <w:spacing w:val="0"/>
          <w:w w:val="100"/>
          <w:position w:val="0"/>
          <w:sz w:val="24"/>
          <w:szCs w:val="24"/>
          <w:u w:val="none" w:color="auto"/>
          <w:lang w:val="en-US" w:eastAsia="zh-CN"/>
        </w:rPr>
      </w:pPr>
      <w:r>
        <w:rPr>
          <w:rFonts w:hint="eastAsia" w:ascii="Times New Roman" w:hAnsi="Times New Roman" w:eastAsia="宋体" w:cs="Times New Roman"/>
          <w:b w:val="0"/>
          <w:bCs w:val="0"/>
          <w:color w:val="auto"/>
          <w:spacing w:val="0"/>
          <w:w w:val="100"/>
          <w:position w:val="0"/>
          <w:sz w:val="24"/>
          <w:szCs w:val="24"/>
          <w:u w:val="none" w:color="auto"/>
          <w:lang w:val="en-US" w:eastAsia="zh-CN"/>
        </w:rPr>
        <w:t>附件9  华容县自然资源局关于华容县北汊水库除险加固工程项目套合“三区三线”的情况说明</w:t>
      </w:r>
    </w:p>
    <w:p w14:paraId="5B651AA8">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b w:val="0"/>
          <w:bCs w:val="0"/>
          <w:color w:val="auto"/>
          <w:spacing w:val="0"/>
          <w:w w:val="100"/>
          <w:position w:val="0"/>
          <w:sz w:val="24"/>
          <w:szCs w:val="24"/>
          <w:u w:val="none" w:color="auto"/>
          <w:lang w:val="en-US" w:eastAsia="zh-CN"/>
        </w:rPr>
      </w:pPr>
      <w:r>
        <w:rPr>
          <w:rFonts w:hint="eastAsia" w:ascii="Times New Roman" w:hAnsi="Times New Roman" w:eastAsia="宋体" w:cs="Times New Roman"/>
          <w:b w:val="0"/>
          <w:bCs w:val="0"/>
          <w:color w:val="auto"/>
          <w:spacing w:val="0"/>
          <w:w w:val="100"/>
          <w:position w:val="0"/>
          <w:sz w:val="24"/>
          <w:szCs w:val="24"/>
          <w:u w:val="none" w:color="auto"/>
          <w:lang w:val="en-US" w:eastAsia="zh-CN"/>
        </w:rPr>
        <w:t xml:space="preserve">附件10  </w:t>
      </w:r>
      <w:r>
        <w:rPr>
          <w:rFonts w:hint="default" w:ascii="Times New Roman" w:hAnsi="Times New Roman" w:eastAsia="宋体" w:cs="Times New Roman"/>
          <w:b w:val="0"/>
          <w:bCs w:val="0"/>
          <w:color w:val="auto"/>
          <w:spacing w:val="0"/>
          <w:w w:val="100"/>
          <w:position w:val="0"/>
          <w:sz w:val="24"/>
          <w:szCs w:val="24"/>
          <w:u w:val="none" w:color="auto"/>
          <w:lang w:val="en-US" w:eastAsia="zh-CN"/>
        </w:rPr>
        <w:t>华容县水利局关于对华容县</w:t>
      </w:r>
      <w:r>
        <w:rPr>
          <w:rFonts w:hint="eastAsia" w:ascii="Times New Roman" w:hAnsi="Times New Roman" w:eastAsia="宋体" w:cs="Times New Roman"/>
          <w:b w:val="0"/>
          <w:bCs w:val="0"/>
          <w:color w:val="auto"/>
          <w:spacing w:val="0"/>
          <w:w w:val="100"/>
          <w:position w:val="0"/>
          <w:sz w:val="24"/>
          <w:szCs w:val="24"/>
          <w:u w:val="none" w:color="auto"/>
          <w:lang w:val="en-US" w:eastAsia="zh-CN"/>
        </w:rPr>
        <w:t>北汊水库</w:t>
      </w:r>
      <w:r>
        <w:rPr>
          <w:rFonts w:hint="default" w:ascii="Times New Roman" w:hAnsi="Times New Roman" w:eastAsia="宋体" w:cs="Times New Roman"/>
          <w:b w:val="0"/>
          <w:bCs w:val="0"/>
          <w:color w:val="auto"/>
          <w:spacing w:val="0"/>
          <w:w w:val="100"/>
          <w:position w:val="0"/>
          <w:sz w:val="24"/>
          <w:szCs w:val="24"/>
          <w:u w:val="none" w:color="auto"/>
          <w:lang w:val="en-US" w:eastAsia="zh-CN"/>
        </w:rPr>
        <w:t>除险加固工程水土保持方案报告书的批复</w:t>
      </w:r>
    </w:p>
    <w:p w14:paraId="1B3A227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b w:val="0"/>
          <w:bCs w:val="0"/>
          <w:color w:val="auto"/>
          <w:spacing w:val="0"/>
          <w:w w:val="100"/>
          <w:position w:val="0"/>
          <w:sz w:val="24"/>
          <w:szCs w:val="24"/>
          <w:u w:val="none" w:color="auto"/>
          <w:lang w:val="en-US" w:eastAsia="zh-CN"/>
        </w:rPr>
        <w:t>附件</w:t>
      </w:r>
      <w:r>
        <w:rPr>
          <w:rFonts w:hint="eastAsia" w:ascii="Times New Roman" w:hAnsi="Times New Roman" w:eastAsia="宋体" w:cs="Times New Roman"/>
          <w:b w:val="0"/>
          <w:bCs w:val="0"/>
          <w:color w:val="auto"/>
          <w:spacing w:val="0"/>
          <w:w w:val="100"/>
          <w:position w:val="0"/>
          <w:sz w:val="24"/>
          <w:szCs w:val="24"/>
          <w:u w:val="none" w:color="auto"/>
          <w:lang w:val="en-US" w:eastAsia="zh-CN"/>
        </w:rPr>
        <w:t>11</w:t>
      </w:r>
      <w:r>
        <w:rPr>
          <w:rFonts w:hint="default" w:ascii="Times New Roman" w:hAnsi="Times New Roman" w:eastAsia="宋体" w:cs="Times New Roman"/>
          <w:b w:val="0"/>
          <w:bC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岳阳市生态环境局华容分局关于本项目执行标准回函</w:t>
      </w:r>
    </w:p>
    <w:p w14:paraId="005BC1AA">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b w:val="0"/>
          <w:bCs w:val="0"/>
          <w:color w:val="auto"/>
          <w:spacing w:val="0"/>
          <w:w w:val="100"/>
          <w:position w:val="0"/>
          <w:sz w:val="24"/>
          <w:szCs w:val="24"/>
          <w:u w:val="none" w:color="auto"/>
          <w:lang w:val="en-US" w:eastAsia="zh-CN"/>
        </w:rPr>
      </w:pPr>
      <w:r>
        <w:rPr>
          <w:rFonts w:hint="default" w:ascii="Times New Roman" w:hAnsi="Times New Roman" w:eastAsia="宋体" w:cs="Times New Roman"/>
          <w:b w:val="0"/>
          <w:bCs w:val="0"/>
          <w:color w:val="auto"/>
          <w:spacing w:val="0"/>
          <w:w w:val="100"/>
          <w:position w:val="0"/>
          <w:sz w:val="24"/>
          <w:szCs w:val="24"/>
          <w:u w:val="none" w:color="auto"/>
          <w:lang w:val="en-US" w:eastAsia="zh-CN"/>
        </w:rPr>
        <w:t>附件1</w:t>
      </w:r>
      <w:r>
        <w:rPr>
          <w:rFonts w:hint="eastAsia" w:ascii="Times New Roman" w:hAnsi="Times New Roman" w:eastAsia="宋体" w:cs="Times New Roman"/>
          <w:b w:val="0"/>
          <w:bCs w:val="0"/>
          <w:color w:val="auto"/>
          <w:spacing w:val="0"/>
          <w:w w:val="100"/>
          <w:position w:val="0"/>
          <w:sz w:val="24"/>
          <w:szCs w:val="24"/>
          <w:u w:val="none" w:color="auto"/>
          <w:lang w:val="en-US" w:eastAsia="zh-CN"/>
        </w:rPr>
        <w:t>2</w:t>
      </w:r>
      <w:r>
        <w:rPr>
          <w:rFonts w:hint="default" w:ascii="Times New Roman" w:hAnsi="Times New Roman" w:eastAsia="宋体" w:cs="Times New Roman"/>
          <w:b w:val="0"/>
          <w:bCs w:val="0"/>
          <w:color w:val="auto"/>
          <w:spacing w:val="0"/>
          <w:w w:val="100"/>
          <w:position w:val="0"/>
          <w:sz w:val="24"/>
          <w:szCs w:val="24"/>
          <w:u w:val="none" w:color="auto"/>
          <w:lang w:val="en-US" w:eastAsia="zh-CN"/>
        </w:rPr>
        <w:t xml:space="preserve">  </w:t>
      </w:r>
      <w:r>
        <w:rPr>
          <w:rFonts w:hint="eastAsia" w:ascii="Times New Roman" w:hAnsi="Times New Roman" w:eastAsia="宋体" w:cs="Times New Roman"/>
          <w:b w:val="0"/>
          <w:bCs w:val="0"/>
          <w:color w:val="auto"/>
          <w:spacing w:val="0"/>
          <w:w w:val="100"/>
          <w:position w:val="0"/>
          <w:sz w:val="24"/>
          <w:szCs w:val="24"/>
          <w:u w:val="none" w:color="auto"/>
          <w:lang w:val="en-US" w:eastAsia="zh-CN"/>
        </w:rPr>
        <w:t>环境质量现状监测报告及质保单</w:t>
      </w:r>
    </w:p>
    <w:p w14:paraId="5EA629A8">
      <w:pPr>
        <w:pageBreakBefore w:val="0"/>
        <w:kinsoku w:val="0"/>
        <w:wordWrap w:val="0"/>
        <w:overflowPunct/>
        <w:topLinePunct/>
        <w:autoSpaceDE/>
        <w:autoSpaceDN/>
        <w:bidi w:val="0"/>
        <w:adjustRightInd w:val="0"/>
        <w:spacing w:line="500" w:lineRule="exac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附图</w:t>
      </w:r>
    </w:p>
    <w:p w14:paraId="422CD216">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附图 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地理位置示意图</w:t>
      </w:r>
    </w:p>
    <w:p w14:paraId="672B57D6">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附图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1-2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地理位置</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卫星</w:t>
      </w:r>
      <w:r>
        <w:rPr>
          <w:rFonts w:hint="default" w:ascii="Times New Roman" w:hAnsi="Times New Roman" w:eastAsia="宋体" w:cs="Times New Roman"/>
          <w:caps w:val="0"/>
          <w:smallCaps w:val="0"/>
          <w:color w:val="auto"/>
          <w:spacing w:val="0"/>
          <w:w w:val="100"/>
          <w:kern w:val="0"/>
          <w:position w:val="0"/>
          <w:sz w:val="24"/>
          <w:szCs w:val="24"/>
          <w:u w:val="none" w:color="auto"/>
        </w:rPr>
        <w:t>图</w:t>
      </w:r>
    </w:p>
    <w:p w14:paraId="56501D91">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2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管理与保护范围划界成果示意图</w:t>
      </w:r>
    </w:p>
    <w:p w14:paraId="67DC4ED5">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附图 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工程总平面布置图</w:t>
      </w:r>
    </w:p>
    <w:p w14:paraId="21D9DAC5">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4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工程</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施工总平面布置图 </w:t>
      </w:r>
      <w:bookmarkStart w:id="382" w:name="_GoBack"/>
      <w:bookmarkEnd w:id="382"/>
    </w:p>
    <w:p w14:paraId="53BFDAF3">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5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default" w:ascii="Times New Roman" w:hAnsi="Times New Roman" w:eastAsia="宋体" w:cs="Times New Roman"/>
          <w:caps w:val="0"/>
          <w:smallCaps w:val="0"/>
          <w:color w:val="auto"/>
          <w:spacing w:val="0"/>
          <w:w w:val="100"/>
          <w:kern w:val="0"/>
          <w:position w:val="0"/>
          <w:sz w:val="24"/>
          <w:szCs w:val="24"/>
          <w:u w:val="none" w:color="auto"/>
        </w:rPr>
        <w:t>水系图</w:t>
      </w:r>
    </w:p>
    <w:p w14:paraId="3F5653EF">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6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水功能区划示意图</w:t>
      </w:r>
    </w:p>
    <w:p w14:paraId="63D12790">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7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地表水、声、大气</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评价范围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及敏感目标示意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图</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p>
    <w:p w14:paraId="50CF1B7C">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8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生态</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评价范围及生态</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保护目标</w:t>
      </w:r>
      <w:r>
        <w:rPr>
          <w:rFonts w:hint="default" w:ascii="Times New Roman" w:hAnsi="Times New Roman" w:eastAsia="宋体" w:cs="Times New Roman"/>
          <w:caps w:val="0"/>
          <w:smallCaps w:val="0"/>
          <w:color w:val="auto"/>
          <w:spacing w:val="0"/>
          <w:w w:val="100"/>
          <w:kern w:val="0"/>
          <w:position w:val="0"/>
          <w:sz w:val="24"/>
          <w:szCs w:val="24"/>
          <w:u w:val="none" w:color="auto"/>
        </w:rPr>
        <w:t>分布图</w:t>
      </w:r>
    </w:p>
    <w:p w14:paraId="583E635F">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附图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项目与湖南华容东湖国家湿地公园位置关系图</w:t>
      </w:r>
    </w:p>
    <w:p w14:paraId="0EEECDD5">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附图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10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环境现状监测断面（点位）位置示意图</w:t>
      </w:r>
    </w:p>
    <w:p w14:paraId="789DBD48">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附图 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调查样方</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样线布设</w:t>
      </w:r>
      <w:r>
        <w:rPr>
          <w:rFonts w:hint="default" w:ascii="Times New Roman" w:hAnsi="Times New Roman" w:eastAsia="宋体" w:cs="Times New Roman"/>
          <w:caps w:val="0"/>
          <w:smallCaps w:val="0"/>
          <w:color w:val="auto"/>
          <w:spacing w:val="0"/>
          <w:w w:val="100"/>
          <w:kern w:val="0"/>
          <w:position w:val="0"/>
          <w:sz w:val="24"/>
          <w:szCs w:val="24"/>
          <w:u w:val="none" w:color="auto"/>
        </w:rPr>
        <w:t>图</w:t>
      </w:r>
    </w:p>
    <w:p w14:paraId="6742EC2B">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附图 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评价区土地利用现状图</w:t>
      </w:r>
    </w:p>
    <w:p w14:paraId="74A81E92">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评价区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生态系统类型</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图 </w:t>
      </w:r>
    </w:p>
    <w:p w14:paraId="2C0EF565">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评价区植被</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覆盖度空间分布</w:t>
      </w:r>
      <w:r>
        <w:rPr>
          <w:rFonts w:hint="default" w:ascii="Times New Roman" w:hAnsi="Times New Roman" w:eastAsia="宋体" w:cs="Times New Roman"/>
          <w:caps w:val="0"/>
          <w:smallCaps w:val="0"/>
          <w:color w:val="auto"/>
          <w:spacing w:val="0"/>
          <w:w w:val="100"/>
          <w:kern w:val="0"/>
          <w:position w:val="0"/>
          <w:sz w:val="24"/>
          <w:szCs w:val="24"/>
          <w:u w:val="none" w:color="auto"/>
        </w:rPr>
        <w:t>图</w:t>
      </w:r>
    </w:p>
    <w:p w14:paraId="30E76B66">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15</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评价区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植被类型</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图 </w:t>
      </w:r>
    </w:p>
    <w:p w14:paraId="05C18FBF">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附图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16</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生态保护措施平面布置</w:t>
      </w:r>
      <w:r>
        <w:rPr>
          <w:rFonts w:hint="default" w:ascii="Times New Roman" w:hAnsi="Times New Roman" w:eastAsia="宋体" w:cs="Times New Roman"/>
          <w:caps w:val="0"/>
          <w:smallCaps w:val="0"/>
          <w:color w:val="auto"/>
          <w:spacing w:val="0"/>
          <w:w w:val="100"/>
          <w:kern w:val="0"/>
          <w:position w:val="0"/>
          <w:sz w:val="24"/>
          <w:szCs w:val="24"/>
          <w:u w:val="none" w:color="auto"/>
        </w:rPr>
        <w:t>图</w:t>
      </w:r>
    </w:p>
    <w:p w14:paraId="19516058">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附图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17</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典型保护措施设计图</w:t>
      </w:r>
    </w:p>
    <w:p w14:paraId="58392C64">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附图 18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生态监测布点</w:t>
      </w:r>
      <w:r>
        <w:rPr>
          <w:rFonts w:hint="default" w:ascii="Times New Roman" w:hAnsi="Times New Roman" w:eastAsia="宋体" w:cs="Times New Roman"/>
          <w:caps w:val="0"/>
          <w:smallCaps w:val="0"/>
          <w:color w:val="auto"/>
          <w:spacing w:val="0"/>
          <w:w w:val="100"/>
          <w:kern w:val="0"/>
          <w:position w:val="0"/>
          <w:sz w:val="24"/>
          <w:szCs w:val="24"/>
          <w:u w:val="none" w:color="auto"/>
        </w:rPr>
        <w:t>图</w:t>
      </w:r>
    </w:p>
    <w:p w14:paraId="4DD42740">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附图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19  现场照片及工程师踏勘照片</w:t>
      </w:r>
    </w:p>
    <w:p w14:paraId="2C440328">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p>
    <w:p w14:paraId="4C8CA10A">
      <w:pPr>
        <w:pageBreakBefore w:val="0"/>
        <w:kinsoku w:val="0"/>
        <w:wordWrap w:val="0"/>
        <w:overflowPunct/>
        <w:topLinePunct/>
        <w:autoSpaceDE/>
        <w:autoSpaceDN/>
        <w:bidi w:val="0"/>
        <w:adjustRightInd w:val="0"/>
        <w:spacing w:line="500" w:lineRule="exac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附表</w:t>
      </w:r>
    </w:p>
    <w:p w14:paraId="61EF6846">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1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工程植物样方调查表 </w:t>
      </w:r>
    </w:p>
    <w:p w14:paraId="2331F11F">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附表</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2</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大气环境影响评价自查表</w:t>
      </w:r>
    </w:p>
    <w:p w14:paraId="289AEC16">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地表水环境影响评价自查表</w:t>
      </w:r>
    </w:p>
    <w:p w14:paraId="693FBF9D">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声环境影响评价自查表</w:t>
      </w:r>
    </w:p>
    <w:p w14:paraId="7804ABE9">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5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生态环境影响评价自查表</w:t>
      </w:r>
    </w:p>
    <w:p w14:paraId="4734C81B">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环境风险影响评价自查表</w:t>
      </w:r>
    </w:p>
    <w:p w14:paraId="75C3A72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7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土壤环境影响评价自查表</w:t>
      </w:r>
    </w:p>
    <w:p w14:paraId="7554944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附表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8 </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建设项目环境影响报告书审批基础信息表</w:t>
      </w:r>
    </w:p>
    <w:p w14:paraId="780294BC">
      <w:pPr>
        <w:bidi w:val="0"/>
        <w:jc w:val="center"/>
        <w:rPr>
          <w:rFonts w:hint="eastAsia"/>
          <w:b/>
          <w:bCs/>
          <w:color w:val="000000"/>
          <w:sz w:val="30"/>
          <w:szCs w:val="30"/>
          <w:u w:val="none" w:color="auto"/>
          <w:lang w:val="en-US" w:eastAsia="zh-CN"/>
        </w:rPr>
      </w:pPr>
    </w:p>
    <w:p w14:paraId="04AAE524">
      <w:pPr>
        <w:bidi w:val="0"/>
        <w:jc w:val="center"/>
        <w:rPr>
          <w:rFonts w:hint="eastAsia"/>
          <w:b/>
          <w:bCs/>
          <w:color w:val="000000"/>
          <w:sz w:val="30"/>
          <w:szCs w:val="30"/>
          <w:u w:val="none" w:color="auto"/>
          <w:lang w:val="en-US" w:eastAsia="zh-CN"/>
        </w:rPr>
      </w:pPr>
    </w:p>
    <w:p w14:paraId="7C9531E6">
      <w:pPr>
        <w:bidi w:val="0"/>
        <w:jc w:val="center"/>
        <w:rPr>
          <w:rFonts w:hint="eastAsia"/>
          <w:b/>
          <w:bCs/>
          <w:color w:val="000000"/>
          <w:sz w:val="30"/>
          <w:szCs w:val="30"/>
          <w:u w:val="none" w:color="auto"/>
          <w:lang w:val="en-US" w:eastAsia="zh-CN"/>
        </w:rPr>
      </w:pPr>
    </w:p>
    <w:p w14:paraId="354C27F8">
      <w:pPr>
        <w:bidi w:val="0"/>
        <w:jc w:val="center"/>
        <w:rPr>
          <w:rFonts w:hint="eastAsia"/>
          <w:b/>
          <w:bCs/>
          <w:color w:val="000000"/>
          <w:sz w:val="30"/>
          <w:szCs w:val="30"/>
          <w:u w:val="none" w:color="auto"/>
          <w:lang w:val="en-US" w:eastAsia="zh-CN"/>
        </w:rPr>
      </w:pPr>
    </w:p>
    <w:p w14:paraId="536F9711">
      <w:pPr>
        <w:bidi w:val="0"/>
        <w:jc w:val="center"/>
        <w:rPr>
          <w:rFonts w:hint="eastAsia"/>
          <w:b/>
          <w:bCs/>
          <w:color w:val="000000"/>
          <w:sz w:val="30"/>
          <w:szCs w:val="30"/>
          <w:u w:val="none" w:color="auto"/>
          <w:lang w:val="en-US" w:eastAsia="zh-CN"/>
        </w:rPr>
      </w:pPr>
    </w:p>
    <w:p w14:paraId="7D36D82C">
      <w:pPr>
        <w:bidi w:val="0"/>
        <w:jc w:val="center"/>
        <w:rPr>
          <w:rFonts w:hint="eastAsia"/>
          <w:b/>
          <w:bCs/>
          <w:color w:val="000000"/>
          <w:sz w:val="30"/>
          <w:szCs w:val="30"/>
          <w:u w:val="none" w:color="auto"/>
          <w:lang w:val="en-US" w:eastAsia="zh-CN"/>
        </w:rPr>
      </w:pPr>
    </w:p>
    <w:p w14:paraId="44C2D762">
      <w:pPr>
        <w:bidi w:val="0"/>
        <w:jc w:val="center"/>
        <w:rPr>
          <w:rFonts w:hint="eastAsia"/>
          <w:b/>
          <w:bCs/>
          <w:color w:val="000000"/>
          <w:sz w:val="30"/>
          <w:szCs w:val="30"/>
          <w:u w:val="none" w:color="auto"/>
          <w:lang w:val="en-US" w:eastAsia="zh-CN"/>
        </w:rPr>
      </w:pPr>
    </w:p>
    <w:p w14:paraId="05738320">
      <w:pPr>
        <w:bidi w:val="0"/>
        <w:jc w:val="center"/>
        <w:rPr>
          <w:rFonts w:hint="eastAsia"/>
          <w:b/>
          <w:bCs/>
          <w:color w:val="000000"/>
          <w:sz w:val="30"/>
          <w:szCs w:val="30"/>
          <w:u w:val="none" w:color="auto"/>
          <w:lang w:val="en-US" w:eastAsia="zh-CN"/>
        </w:rPr>
      </w:pPr>
    </w:p>
    <w:p w14:paraId="338EC443">
      <w:pPr>
        <w:bidi w:val="0"/>
        <w:jc w:val="center"/>
        <w:rPr>
          <w:rFonts w:hint="eastAsia"/>
          <w:b/>
          <w:bCs/>
          <w:color w:val="000000"/>
          <w:sz w:val="30"/>
          <w:szCs w:val="30"/>
          <w:u w:val="none" w:color="auto"/>
          <w:lang w:val="en-US" w:eastAsia="zh-CN"/>
        </w:rPr>
      </w:pPr>
    </w:p>
    <w:p w14:paraId="22C3A4A4">
      <w:pPr>
        <w:bidi w:val="0"/>
        <w:jc w:val="center"/>
        <w:rPr>
          <w:rFonts w:hint="eastAsia"/>
          <w:b/>
          <w:bCs/>
          <w:color w:val="000000"/>
          <w:sz w:val="30"/>
          <w:szCs w:val="30"/>
          <w:u w:val="none" w:color="auto"/>
          <w:lang w:val="en-US" w:eastAsia="zh-CN"/>
        </w:rPr>
      </w:pPr>
    </w:p>
    <w:p w14:paraId="176A9F71">
      <w:pPr>
        <w:bidi w:val="0"/>
        <w:jc w:val="center"/>
        <w:rPr>
          <w:rFonts w:hint="eastAsia"/>
          <w:b/>
          <w:bCs/>
          <w:color w:val="000000"/>
          <w:sz w:val="30"/>
          <w:szCs w:val="30"/>
          <w:u w:val="none" w:color="auto"/>
          <w:lang w:val="en-US" w:eastAsia="zh-CN"/>
        </w:rPr>
      </w:pPr>
    </w:p>
    <w:p w14:paraId="60B7978E">
      <w:pPr>
        <w:bidi w:val="0"/>
        <w:jc w:val="center"/>
        <w:rPr>
          <w:rFonts w:hint="eastAsia"/>
          <w:b/>
          <w:bCs/>
          <w:color w:val="000000"/>
          <w:sz w:val="30"/>
          <w:szCs w:val="30"/>
          <w:u w:val="none" w:color="auto"/>
          <w:lang w:val="en-US" w:eastAsia="zh-CN"/>
        </w:rPr>
      </w:pPr>
    </w:p>
    <w:p w14:paraId="077D26C2">
      <w:pPr>
        <w:pStyle w:val="2"/>
        <w:numPr>
          <w:ilvl w:val="0"/>
          <w:numId w:val="0"/>
        </w:numPr>
        <w:bidi w:val="0"/>
        <w:ind w:leftChars="0"/>
        <w:jc w:val="center"/>
        <w:rPr>
          <w:rFonts w:hint="default" w:ascii="Times New Roman" w:hAnsi="Times New Roman" w:cs="Times New Roman"/>
          <w:u w:val="none" w:color="auto"/>
          <w:lang w:eastAsia="zh-CN"/>
        </w:rPr>
        <w:sectPr>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733E61FE">
      <w:pPr>
        <w:pStyle w:val="2"/>
        <w:numPr>
          <w:ilvl w:val="0"/>
          <w:numId w:val="0"/>
        </w:numPr>
        <w:bidi w:val="0"/>
        <w:ind w:leftChars="0"/>
        <w:jc w:val="center"/>
        <w:rPr>
          <w:rFonts w:hint="default" w:ascii="Times New Roman" w:hAnsi="Times New Roman" w:cs="Times New Roman"/>
          <w:u w:val="none" w:color="auto"/>
          <w:lang w:eastAsia="zh-CN"/>
        </w:rPr>
      </w:pPr>
      <w:bookmarkStart w:id="3" w:name="_Toc9054"/>
      <w:r>
        <w:rPr>
          <w:rFonts w:hint="default" w:ascii="Times New Roman" w:hAnsi="Times New Roman" w:cs="Times New Roman"/>
          <w:u w:val="none" w:color="auto"/>
          <w:lang w:eastAsia="zh-CN"/>
        </w:rPr>
        <w:t>概</w:t>
      </w:r>
      <w:r>
        <w:rPr>
          <w:rFonts w:hint="default" w:ascii="Times New Roman" w:hAnsi="Times New Roman" w:cs="Times New Roman"/>
          <w:u w:val="none" w:color="auto"/>
          <w:lang w:val="en-US" w:eastAsia="zh-CN"/>
        </w:rPr>
        <w:t xml:space="preserve"> </w:t>
      </w:r>
      <w:r>
        <w:rPr>
          <w:rFonts w:hint="default" w:ascii="Times New Roman" w:hAnsi="Times New Roman" w:cs="Times New Roman"/>
          <w:u w:val="none" w:color="auto"/>
          <w:lang w:eastAsia="zh-CN"/>
        </w:rPr>
        <w:t>述</w:t>
      </w:r>
      <w:bookmarkEnd w:id="3"/>
    </w:p>
    <w:p w14:paraId="3F1E0CD4">
      <w:pPr>
        <w:pStyle w:val="3"/>
        <w:numPr>
          <w:ilvl w:val="1"/>
          <w:numId w:val="0"/>
        </w:numPr>
        <w:bidi w:val="0"/>
        <w:ind w:leftChars="0"/>
        <w:rPr>
          <w:rFonts w:hint="default" w:ascii="Times New Roman" w:hAnsi="Times New Roman" w:cs="Times New Roman"/>
          <w:u w:val="none" w:color="auto"/>
        </w:rPr>
      </w:pPr>
      <w:bookmarkStart w:id="4" w:name="_Toc12766"/>
      <w:r>
        <w:rPr>
          <w:rFonts w:hint="default" w:ascii="Times New Roman" w:hAnsi="Times New Roman" w:cs="Times New Roman"/>
          <w:u w:val="none" w:color="auto"/>
        </w:rPr>
        <w:t>1项目背景</w:t>
      </w:r>
      <w:bookmarkEnd w:id="4"/>
    </w:p>
    <w:p w14:paraId="722C3FD0">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位于湖南省岳阳市华容县禹山镇境内，藕池河东支下游北侧，上西湖北部湖汊上，主坝坝址位于华容县禹山镇老河口村，距华容县城23km。北汊水库是一座低土坝、大库容的平原型水库，控制流域面积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，主河道长度 3.25km，干流平均坡降3.3‰，水库正常蓄水位为30.50m，校核洪水位31.38m，总库容1423万m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，是一座以灌溉、防洪为主，兼有养殖等综合效益的中型水库。</w:t>
      </w:r>
    </w:p>
    <w:p w14:paraId="010B5D6B">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枢纽主要建筑物为主坝、6座副坝、泄洪闸、2座输水涵闸和2座进水涵等。该工程等别为III等，主要建筑物为3级，次要建筑物为4级。设计洪水标准为50年一遇，校核洪水标准为300年一遇，永久性泄水建筑物消能防冲设计洪水标准为50年一遇。</w:t>
      </w:r>
    </w:p>
    <w:p w14:paraId="6D8C191B">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主坝和6座副坝均为均质土坝，其中主坝坝顶轴线长1455m，坝顶宽4.5m，最大坝高11.0m；一副坝坝顶轴线长200m，坝顶宽4m，最大坝高9.57m；二副坝坝顶轴线长290m，坝顶宽3.3m，最大坝高8.5m；三副坝坝顶轴线长250m，坝顶宽3.5m，最大坝高9.0m；四副坝坝顶轴线长260m，坝顶宽4.3m，最大坝高8.0m；五副坝坝顶轴线长300m，坝顶宽4m，最大坝高8.5m；六副坝坝顶轴线长220m，坝顶宽4m，最大坝高9.05m。泄洪闸位于一副坝左侧，为两孔钢筋砼箱涵，闸孔尺寸为3.5m</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4.0m(宽</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高)，长18m，进口底板高程27m，钢质平板闸门，2台15t螺杆手电两用启闭机启闭。二副坝输水涵闸(桩号0+055)，结构为钢筋砼箱涵，闸孔尺寸为1.2m</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1.8m (宽</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高)，长28.5m，底板高程27.5m，钢质平板闸门，1台8t螺杆手摇启闭机启闭，设计流量1m</w:t>
      </w:r>
      <w:r>
        <w:rPr>
          <w:rFonts w:hint="eastAsia"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/s。五副坝输水涵闸(桩号0+289)，结构为钢筋砼箱涵，闸孔尺寸为1.2m</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1.8m (宽</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高)，长23m，底板高程27.5m，钢质平板闸门，1台8t螺杆手摇启闭机启闭，设计流量1m</w:t>
      </w:r>
      <w:r>
        <w:rPr>
          <w:rFonts w:hint="eastAsia"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/s。四副坝进水涵(桩号0+202)，结构为钢筋砼箱涵，闸孔尺寸为1.2m</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l.8m (宽</w:t>
      </w:r>
      <w:r>
        <w:rPr>
          <w:rFonts w:hint="default" w:ascii="Arial" w:hAnsi="Arial" w:eastAsia="宋体" w:cs="Arial"/>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高)双孔，长22m，底板高程27.5m，无启闭设施。五副坝进水涵位于五副坝(桩号0+198)，结构为预制砼圆涵管，内径为1.5m双孔，长22m，底板高程27.5m，无启闭设施。</w:t>
      </w:r>
    </w:p>
    <w:p w14:paraId="1A20A57E">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北汊水库工程始建于1975年，1978 年建成，系典型的“三边”工程，并受当时技术水平和特殊年代的限制，该水库施工质量差，基础清基不彻底，运行过程中出现了诸多安全隐患。2008~2009年水库开展了第一次系统除险加固。受多方面因素影响，经2021年大坝安全鉴定，工程仍存在坝体坝顶欠高、坝顶宽度不足、坝体渗漏、坝坡局部变形，泄洪涵金属结构锈蚀严重、启闭设施无法满足运行需求，进、输水涵闸金属结构严重锈蚀、启闭机无法使用、部分涵闸淤堵，库岸冲刷淘蚀严重，管理设施不完善等病险问题，严重影响水库的正常运行和效益发挥。</w:t>
      </w:r>
    </w:p>
    <w:p w14:paraId="47390739">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2020</w:t>
      </w:r>
      <w:r>
        <w:rPr>
          <w:rFonts w:hint="eastAsia" w:ascii="Times New Roman" w:hAnsi="Times New Roman" w:eastAsia="宋体" w:cs="Times New Roman"/>
          <w:color w:val="auto"/>
          <w:spacing w:val="0"/>
          <w:w w:val="100"/>
          <w:position w:val="0"/>
          <w:sz w:val="24"/>
          <w:szCs w:val="24"/>
          <w:highlight w:val="none"/>
          <w:u w:val="none" w:color="auto"/>
          <w:lang w:val="en-US" w:eastAsia="zh-CN"/>
        </w:rPr>
        <w:t>年，广西南宁水利电力设计院承担了北汊水库安全鉴定工作；</w:t>
      </w:r>
      <w:r>
        <w:rPr>
          <w:rFonts w:hint="default" w:ascii="Times New Roman" w:hAnsi="Times New Roman" w:eastAsia="宋体" w:cs="Times New Roman"/>
          <w:color w:val="auto"/>
          <w:spacing w:val="0"/>
          <w:w w:val="100"/>
          <w:position w:val="0"/>
          <w:sz w:val="24"/>
          <w:szCs w:val="24"/>
          <w:highlight w:val="none"/>
          <w:u w:val="none" w:color="auto"/>
          <w:lang w:val="en-US" w:eastAsia="zh-CN"/>
        </w:rPr>
        <w:t>2021</w:t>
      </w:r>
      <w:r>
        <w:rPr>
          <w:rFonts w:hint="eastAsia" w:ascii="Times New Roman" w:hAnsi="Times New Roman" w:eastAsia="宋体" w:cs="Times New Roman"/>
          <w:color w:val="auto"/>
          <w:spacing w:val="0"/>
          <w:w w:val="100"/>
          <w:position w:val="0"/>
          <w:sz w:val="24"/>
          <w:szCs w:val="24"/>
          <w:highlight w:val="none"/>
          <w:u w:val="none" w:color="auto"/>
          <w:lang w:val="en-US" w:eastAsia="zh-CN"/>
        </w:rPr>
        <w:t>年</w:t>
      </w:r>
      <w:r>
        <w:rPr>
          <w:rFonts w:hint="default" w:ascii="Times New Roman" w:hAnsi="Times New Roman" w:eastAsia="宋体" w:cs="Times New Roman"/>
          <w:color w:val="auto"/>
          <w:spacing w:val="0"/>
          <w:w w:val="100"/>
          <w:position w:val="0"/>
          <w:sz w:val="24"/>
          <w:szCs w:val="24"/>
          <w:highlight w:val="none"/>
          <w:u w:val="none" w:color="auto"/>
          <w:lang w:val="en-US" w:eastAsia="zh-CN"/>
        </w:rPr>
        <w:t>2</w:t>
      </w:r>
      <w:r>
        <w:rPr>
          <w:rFonts w:hint="eastAsia" w:ascii="Times New Roman" w:hAnsi="Times New Roman" w:eastAsia="宋体" w:cs="Times New Roman"/>
          <w:color w:val="auto"/>
          <w:spacing w:val="0"/>
          <w:w w:val="100"/>
          <w:position w:val="0"/>
          <w:sz w:val="24"/>
          <w:szCs w:val="24"/>
          <w:highlight w:val="none"/>
          <w:u w:val="none" w:color="auto"/>
          <w:lang w:val="en-US" w:eastAsia="zh-CN"/>
        </w:rPr>
        <w:t>月，广西南宁水利电力设计院完成并提交了《湖南省岳阳市华容县北汊水库大坝安全评价报告》（审定稿）；同年</w:t>
      </w:r>
      <w:r>
        <w:rPr>
          <w:rFonts w:hint="default" w:ascii="Times New Roman" w:hAnsi="Times New Roman" w:eastAsia="宋体" w:cs="Times New Roman"/>
          <w:color w:val="auto"/>
          <w:spacing w:val="0"/>
          <w:w w:val="100"/>
          <w:position w:val="0"/>
          <w:sz w:val="24"/>
          <w:szCs w:val="24"/>
          <w:highlight w:val="none"/>
          <w:u w:val="none" w:color="auto"/>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月，岳阳市水利局印发了《关于印发华容县北汊水库大坝安全鉴定成果的通知》（岳市水利函〔2021〕28号，附件3），评定北汊水库的大坝安全类别为“三类坝”。</w:t>
      </w:r>
    </w:p>
    <w:p w14:paraId="382FF03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北汊水库具有灌溉、防洪等综合效益，设计灌溉面积9万亩，下游涉及北景港镇、禹山镇、新河乡、章华镇等4个乡镇，以及G234国道等的防洪安全。为确保水库的安全运行，保证下游人民生命财产安全和重要设施防洪安全，对水库大坝进行除险加固是必要的。</w:t>
      </w:r>
    </w:p>
    <w:p w14:paraId="1E04ADC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2023年9月5日，华容县发展和改革局出具了《关于华容县北汊水库除险加固工程项目可行性研究报告的批复》（华发改投审〔2023〕70号，附件4），同意实施华容县北汊水库除险加固工程项目，项目代码： 2309-430623-04-05-290952。同时于2024年1月22日以《华容县发展和改革局关于同意变更华容县北汊水库除险加固工程项目建设单位与投资额的批复》（华发改投审〔2024〕13号，附件4），同意变更华容县北汊水库除险加固工程项目建设单位为华容县北汊水库管理所。</w:t>
      </w:r>
    </w:p>
    <w:p w14:paraId="22C83EB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FF0000"/>
          <w:spacing w:val="0"/>
          <w:w w:val="100"/>
          <w:position w:val="0"/>
          <w:sz w:val="24"/>
          <w:szCs w:val="24"/>
          <w:u w:val="none" w:color="auto"/>
          <w:lang w:eastAsia="zh-CN"/>
        </w:rPr>
      </w:pPr>
      <w:r>
        <w:rPr>
          <w:rFonts w:hint="eastAsia" w:ascii="Times New Roman" w:hAnsi="Times New Roman" w:eastAsia="宋体" w:cs="Times New Roman"/>
          <w:color w:val="auto"/>
          <w:spacing w:val="0"/>
          <w:w w:val="100"/>
          <w:position w:val="0"/>
          <w:sz w:val="24"/>
          <w:szCs w:val="24"/>
          <w:u w:val="none" w:color="auto"/>
          <w:lang w:val="en-US" w:eastAsia="zh-CN"/>
        </w:rPr>
        <w:t>2023年12月</w:t>
      </w:r>
      <w:r>
        <w:rPr>
          <w:rFonts w:hint="default" w:ascii="Times New Roman" w:hAnsi="Times New Roman" w:eastAsia="宋体" w:cs="Times New Roman"/>
          <w:color w:val="auto"/>
          <w:spacing w:val="0"/>
          <w:w w:val="100"/>
          <w:position w:val="0"/>
          <w:sz w:val="24"/>
          <w:szCs w:val="24"/>
          <w:u w:val="none" w:color="auto"/>
          <w:lang w:eastAsia="zh-CN"/>
        </w:rPr>
        <w:t>，长江勘测规划设计研究有限责任公司</w:t>
      </w:r>
      <w:r>
        <w:rPr>
          <w:rFonts w:hint="eastAsia" w:ascii="Times New Roman" w:hAnsi="Times New Roman" w:eastAsia="宋体" w:cs="Times New Roman"/>
          <w:color w:val="auto"/>
          <w:spacing w:val="0"/>
          <w:w w:val="100"/>
          <w:position w:val="0"/>
          <w:sz w:val="24"/>
          <w:szCs w:val="24"/>
          <w:u w:val="none" w:color="auto"/>
          <w:lang w:eastAsia="zh-CN"/>
        </w:rPr>
        <w:t>受</w:t>
      </w:r>
      <w:r>
        <w:rPr>
          <w:rFonts w:hint="eastAsia" w:ascii="Times New Roman" w:hAnsi="Times New Roman" w:eastAsia="宋体" w:cs="Times New Roman"/>
          <w:color w:val="auto"/>
          <w:spacing w:val="0"/>
          <w:w w:val="100"/>
          <w:position w:val="0"/>
          <w:sz w:val="24"/>
          <w:szCs w:val="24"/>
          <w:u w:val="none" w:color="auto"/>
          <w:lang w:val="en-US" w:eastAsia="zh-CN"/>
        </w:rPr>
        <w:t>华容县北汊水库管理所委托，</w:t>
      </w:r>
      <w:r>
        <w:rPr>
          <w:rFonts w:hint="eastAsia" w:ascii="Times New Roman" w:hAnsi="Times New Roman" w:eastAsia="宋体" w:cs="Times New Roman"/>
          <w:color w:val="auto"/>
          <w:spacing w:val="0"/>
          <w:w w:val="100"/>
          <w:position w:val="0"/>
          <w:sz w:val="24"/>
          <w:szCs w:val="24"/>
          <w:u w:val="none" w:color="auto"/>
          <w:lang w:eastAsia="zh-CN"/>
        </w:rPr>
        <w:t>编制完成了</w:t>
      </w:r>
      <w:r>
        <w:rPr>
          <w:rFonts w:hint="default" w:ascii="Times New Roman" w:hAnsi="Times New Roman" w:eastAsia="宋体" w:cs="Times New Roman"/>
          <w:color w:val="auto"/>
          <w:spacing w:val="0"/>
          <w:w w:val="100"/>
          <w:position w:val="0"/>
          <w:sz w:val="24"/>
          <w:szCs w:val="24"/>
          <w:u w:val="none" w:color="auto"/>
          <w:lang w:eastAsia="zh-CN"/>
        </w:rPr>
        <w:t>《湖南省华容县北汊水库除险加固工程初步设计报告》</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以下简称《初设报告》</w:t>
      </w:r>
      <w:r>
        <w:rPr>
          <w:rFonts w:hint="eastAsia" w:ascii="Times New Roman" w:hAnsi="Times New Roman" w:eastAsia="宋体" w:cs="Times New Roman"/>
          <w:color w:val="auto"/>
          <w:spacing w:val="0"/>
          <w:w w:val="100"/>
          <w:position w:val="0"/>
          <w:sz w:val="24"/>
          <w:szCs w:val="24"/>
          <w:u w:val="none" w:color="auto"/>
          <w:lang w:eastAsia="zh-CN"/>
        </w:rPr>
        <w:t>）。并于</w:t>
      </w:r>
      <w:r>
        <w:rPr>
          <w:rFonts w:hint="eastAsia" w:ascii="Times New Roman" w:hAnsi="Times New Roman" w:eastAsia="宋体" w:cs="Times New Roman"/>
          <w:color w:val="auto"/>
          <w:spacing w:val="0"/>
          <w:w w:val="100"/>
          <w:position w:val="0"/>
          <w:sz w:val="24"/>
          <w:szCs w:val="24"/>
          <w:u w:val="none" w:color="auto"/>
          <w:lang w:val="en-US" w:eastAsia="zh-CN"/>
        </w:rPr>
        <w:t>2024年1月9日取得</w:t>
      </w:r>
      <w:r>
        <w:rPr>
          <w:rFonts w:hint="default" w:ascii="Times New Roman" w:hAnsi="Times New Roman" w:eastAsia="宋体" w:cs="Times New Roman"/>
          <w:color w:val="auto"/>
          <w:spacing w:val="0"/>
          <w:w w:val="100"/>
          <w:position w:val="0"/>
          <w:sz w:val="24"/>
          <w:szCs w:val="24"/>
          <w:u w:val="none" w:color="auto"/>
          <w:lang w:eastAsia="zh-CN"/>
        </w:rPr>
        <w:t>了</w:t>
      </w:r>
      <w:r>
        <w:rPr>
          <w:rFonts w:hint="eastAsia" w:ascii="Times New Roman" w:hAnsi="Times New Roman" w:eastAsia="宋体" w:cs="Times New Roman"/>
          <w:color w:val="auto"/>
          <w:spacing w:val="0"/>
          <w:w w:val="100"/>
          <w:position w:val="0"/>
          <w:sz w:val="24"/>
          <w:szCs w:val="24"/>
          <w:u w:val="none" w:color="auto"/>
          <w:lang w:eastAsia="zh-CN"/>
        </w:rPr>
        <w:t>湖南省水利厅《湖南省水利厅关于湖南省华容县北汊水库除险加固工程初步设计的批复》</w:t>
      </w:r>
      <w:r>
        <w:rPr>
          <w:rFonts w:hint="default" w:ascii="Times New Roman" w:hAnsi="Times New Roman" w:eastAsia="宋体" w:cs="Times New Roman"/>
          <w:color w:val="auto"/>
          <w:spacing w:val="0"/>
          <w:w w:val="100"/>
          <w:position w:val="0"/>
          <w:sz w:val="24"/>
          <w:szCs w:val="24"/>
          <w:u w:val="none" w:color="auto"/>
          <w:lang w:eastAsia="zh-CN"/>
        </w:rPr>
        <w:t>（湘水函</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202</w:t>
      </w:r>
      <w:r>
        <w:rPr>
          <w:rFonts w:hint="eastAsia" w:ascii="Times New Roman" w:hAnsi="Times New Roman" w:eastAsia="宋体" w:cs="Times New Roman"/>
          <w:color w:val="auto"/>
          <w:spacing w:val="0"/>
          <w:w w:val="100"/>
          <w:position w:val="0"/>
          <w:sz w:val="24"/>
          <w:szCs w:val="24"/>
          <w:u w:val="none" w:color="auto"/>
          <w:lang w:val="en-US" w:eastAsia="zh-CN"/>
        </w:rPr>
        <w:t>4</w:t>
      </w:r>
      <w:r>
        <w:rPr>
          <w:rFonts w:hint="eastAsia" w:ascii="Times New Roman" w:hAnsi="Times New Roman" w:eastAsia="宋体" w:cs="Times New Roman"/>
          <w:color w:val="auto"/>
          <w:spacing w:val="0"/>
          <w:w w:val="10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eastAsia="zh-CN"/>
        </w:rPr>
        <w:t>1号</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附件</w:t>
      </w:r>
      <w:r>
        <w:rPr>
          <w:rFonts w:hint="default"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lang w:eastAsia="zh-CN"/>
        </w:rPr>
        <w:t>）。</w:t>
      </w:r>
    </w:p>
    <w:p w14:paraId="20DC756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eastAsia="zh-CN"/>
        </w:rPr>
        <w:t>根据初步设计批复，</w:t>
      </w:r>
      <w:r>
        <w:rPr>
          <w:rFonts w:hint="default" w:ascii="Times New Roman" w:hAnsi="Times New Roman" w:eastAsia="宋体" w:cs="Times New Roman"/>
          <w:i w:val="0"/>
          <w:caps w:val="0"/>
          <w:color w:val="000000"/>
          <w:spacing w:val="0"/>
          <w:w w:val="100"/>
          <w:position w:val="0"/>
          <w:sz w:val="24"/>
          <w:szCs w:val="24"/>
          <w:u w:val="none" w:color="auto"/>
          <w:shd w:val="clear" w:fill="FFFFFF"/>
          <w:lang w:eastAsia="zh-CN"/>
        </w:rPr>
        <w:t>华容县</w:t>
      </w:r>
      <w:r>
        <w:rPr>
          <w:rFonts w:hint="eastAsia" w:ascii="Times New Roman" w:hAnsi="Times New Roman" w:eastAsia="宋体" w:cs="Times New Roman"/>
          <w:i w:val="0"/>
          <w:caps w:val="0"/>
          <w:color w:val="000000"/>
          <w:spacing w:val="0"/>
          <w:w w:val="100"/>
          <w:position w:val="0"/>
          <w:sz w:val="24"/>
          <w:szCs w:val="24"/>
          <w:u w:val="none" w:color="auto"/>
          <w:shd w:val="clear" w:fill="FFFFFF"/>
          <w:lang w:eastAsia="zh-CN"/>
        </w:rPr>
        <w:t>北汊水库</w:t>
      </w:r>
      <w:r>
        <w:rPr>
          <w:rFonts w:hint="default" w:ascii="Times New Roman" w:hAnsi="Times New Roman" w:eastAsia="宋体" w:cs="Times New Roman"/>
          <w:i w:val="0"/>
          <w:caps w:val="0"/>
          <w:color w:val="000000"/>
          <w:spacing w:val="0"/>
          <w:w w:val="100"/>
          <w:position w:val="0"/>
          <w:sz w:val="24"/>
          <w:szCs w:val="24"/>
          <w:u w:val="none" w:color="auto"/>
          <w:shd w:val="clear" w:fill="FFFFFF"/>
          <w:lang w:eastAsia="zh-CN"/>
        </w:rPr>
        <w:t>除险加固工程</w:t>
      </w:r>
      <w:r>
        <w:rPr>
          <w:rFonts w:hint="eastAsia" w:ascii="Times New Roman" w:hAnsi="Times New Roman" w:eastAsia="宋体" w:cs="Times New Roman"/>
          <w:i w:val="0"/>
          <w:caps w:val="0"/>
          <w:color w:val="000000"/>
          <w:spacing w:val="0"/>
          <w:w w:val="100"/>
          <w:position w:val="0"/>
          <w:sz w:val="24"/>
          <w:szCs w:val="24"/>
          <w:u w:val="none" w:color="auto"/>
          <w:shd w:val="clear" w:fill="FFFFFF"/>
          <w:lang w:eastAsia="zh-CN"/>
        </w:rPr>
        <w:t>初步设计概算</w:t>
      </w:r>
      <w:r>
        <w:rPr>
          <w:rFonts w:hint="default" w:ascii="Times New Roman" w:hAnsi="Times New Roman" w:eastAsia="宋体" w:cs="Times New Roman"/>
          <w:color w:val="auto"/>
          <w:spacing w:val="0"/>
          <w:w w:val="100"/>
          <w:position w:val="0"/>
          <w:sz w:val="24"/>
          <w:szCs w:val="24"/>
          <w:u w:val="none" w:color="auto"/>
          <w:lang w:eastAsia="zh-CN"/>
        </w:rPr>
        <w:t>总</w:t>
      </w:r>
      <w:r>
        <w:rPr>
          <w:rFonts w:hint="default" w:ascii="Times New Roman" w:hAnsi="Times New Roman" w:eastAsia="宋体" w:cs="Times New Roman"/>
          <w:color w:val="auto"/>
          <w:spacing w:val="0"/>
          <w:w w:val="100"/>
          <w:position w:val="0"/>
          <w:sz w:val="24"/>
          <w:szCs w:val="24"/>
          <w:highlight w:val="none"/>
          <w:u w:val="none" w:color="auto"/>
          <w:lang w:eastAsia="zh-CN"/>
        </w:rPr>
        <w:t>投资</w:t>
      </w:r>
      <w:r>
        <w:rPr>
          <w:rFonts w:hint="eastAsia" w:ascii="Times New Roman" w:hAnsi="Times New Roman" w:cs="Times New Roman"/>
          <w:color w:val="auto"/>
          <w:spacing w:val="0"/>
          <w:w w:val="100"/>
          <w:position w:val="0"/>
          <w:sz w:val="24"/>
          <w:szCs w:val="24"/>
          <w:highlight w:val="none"/>
          <w:u w:val="none" w:color="auto"/>
          <w:lang w:val="en-US" w:eastAsia="zh-CN"/>
        </w:rPr>
        <w:t>9733.03</w:t>
      </w:r>
      <w:r>
        <w:rPr>
          <w:rFonts w:hint="default" w:ascii="Times New Roman" w:hAnsi="Times New Roman" w:eastAsia="宋体" w:cs="Times New Roman"/>
          <w:color w:val="auto"/>
          <w:spacing w:val="0"/>
          <w:w w:val="100"/>
          <w:position w:val="0"/>
          <w:sz w:val="24"/>
          <w:szCs w:val="24"/>
          <w:highlight w:val="none"/>
          <w:u w:val="none" w:color="auto"/>
          <w:lang w:val="en-US" w:eastAsia="zh-CN"/>
        </w:rPr>
        <w:t>万元，工程主要建设内容包括：(一)主坝左坝肩防渗</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坝顶加高加宽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新建防浪墙</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坝顶路面改造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上游坝坡采用水泥土搅拌桩加固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现有预制块护坡整修</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下游坝坡培厚并采用水泥土搅拌桩加固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现有贴坡排水改造。(二)一至六副坝坝顶加高加宽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新建防浪墙</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坝顶路面改造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上游坝坡现有预制块护坡整修</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一至六副坝下游坝坡培厚</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一副坝、五副坝下游现有坝坡贴坡排水改造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其他副坝下游坝坡采用格宾石笼挡墙加固。(三)泄洪闸闸室段防渗</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启闭机房加固改造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更换拦污栅、工作闸门及启闭设备。(四)二副坝输水涵进口清淤</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更换拦污栅、工作闸门及启闭设备</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五副坝输水涵控制闸拆除重建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新建工作桥</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更换拦污栅、检修闸门、工作闸门及启闭设备</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四副坝、五副坝进水涵拆除重建。(五)防汛公路改造，近坝库岸防护</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管理用房改造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新建防汛仓库</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完善工程安全监测设施、标准化及信息化建设</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主坝及6座副坝白蚁防治。</w:t>
      </w:r>
    </w:p>
    <w:p w14:paraId="500121E8">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根据《中华人民共和国环境保护法》、《中华人民共和国环境影响评价法》、《</w:t>
      </w:r>
      <w:r>
        <w:rPr>
          <w:rFonts w:hint="default" w:ascii="Times New Roman" w:hAnsi="Times New Roman" w:eastAsia="宋体" w:cs="Times New Roman"/>
          <w:caps w:val="0"/>
          <w:smallCaps w:val="0"/>
          <w:color w:val="auto"/>
          <w:spacing w:val="0"/>
          <w:w w:val="100"/>
          <w:kern w:val="0"/>
          <w:position w:val="0"/>
          <w:sz w:val="24"/>
          <w:szCs w:val="24"/>
          <w:u w:val="none" w:color="auto"/>
        </w:rPr>
        <w:t>建设项目环境保护管理条例》等相关法律、法规的规定</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除险加固工程需进行环境影响评价工作。</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根据</w:t>
      </w:r>
      <w:r>
        <w:rPr>
          <w:rFonts w:hint="default" w:ascii="Times New Roman" w:hAnsi="Times New Roman" w:eastAsia="宋体" w:cs="Times New Roman"/>
          <w:caps w:val="0"/>
          <w:smallCaps w:val="0"/>
          <w:color w:val="auto"/>
          <w:spacing w:val="0"/>
          <w:w w:val="100"/>
          <w:kern w:val="0"/>
          <w:position w:val="0"/>
          <w:sz w:val="24"/>
          <w:szCs w:val="24"/>
          <w:u w:val="none" w:color="auto"/>
        </w:rPr>
        <w:t>《建设项目环境影响评价分类管理名录》（2021版）“五十一、水利124水库”中“库容1000万立方米及以上</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；涉及环境敏感区的</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应编制环境影响报告书</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该类别中</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环境敏感区指“</w:t>
      </w:r>
      <w:r>
        <w:rPr>
          <w:rFonts w:hint="default" w:ascii="Times New Roman" w:hAnsi="Times New Roman" w:eastAsia="宋体" w:cs="Times New Roman"/>
          <w:caps w:val="0"/>
          <w:smallCaps w:val="0"/>
          <w:color w:val="auto"/>
          <w:spacing w:val="0"/>
          <w:w w:val="100"/>
          <w:kern w:val="0"/>
          <w:position w:val="0"/>
          <w:sz w:val="24"/>
          <w:szCs w:val="24"/>
          <w:u w:val="none" w:color="auto"/>
        </w:rPr>
        <w:t>第三条（一）中的全部区域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国家公园、自然保护区、风景名胜区、世界文化和自然遗产地、海洋特别保护区、饮用水水源保护区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；第三条（二）中的除（一）外的生态保护红线管控范围，重要水生生物的自然产卵场、索饵场、越冬场和洄游通道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总</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库容1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423</w:t>
      </w:r>
      <w:r>
        <w:rPr>
          <w:rFonts w:hint="default" w:ascii="Times New Roman" w:hAnsi="Times New Roman" w:eastAsia="宋体" w:cs="Times New Roman"/>
          <w:color w:val="auto"/>
          <w:spacing w:val="0"/>
          <w:w w:val="100"/>
          <w:position w:val="0"/>
          <w:sz w:val="24"/>
          <w:szCs w:val="24"/>
          <w:highlight w:val="none"/>
          <w:u w:val="none" w:color="auto"/>
          <w:lang w:val="en-US" w:eastAsia="zh-CN"/>
        </w:rPr>
        <w:t>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，同时项目涉及</w:t>
      </w:r>
      <w:r>
        <w:rPr>
          <w:rFonts w:hint="eastAsia" w:ascii="Times New Roman" w:hAnsi="Times New Roman" w:eastAsia="宋体" w:cs="Times New Roman"/>
          <w:color w:val="auto"/>
          <w:spacing w:val="0"/>
          <w:w w:val="100"/>
          <w:position w:val="0"/>
          <w:sz w:val="24"/>
          <w:szCs w:val="24"/>
          <w:highlight w:val="none"/>
          <w:u w:val="none" w:color="auto"/>
          <w:lang w:val="en-US" w:eastAsia="zh-CN"/>
        </w:rPr>
        <w:t>华容县</w:t>
      </w:r>
      <w:r>
        <w:rPr>
          <w:rFonts w:hint="default" w:ascii="Times New Roman" w:hAnsi="Times New Roman" w:eastAsia="宋体" w:cs="Times New Roman"/>
          <w:color w:val="auto"/>
          <w:spacing w:val="0"/>
          <w:w w:val="100"/>
          <w:position w:val="0"/>
          <w:sz w:val="24"/>
          <w:szCs w:val="24"/>
          <w:highlight w:val="none"/>
          <w:u w:val="none" w:color="auto"/>
          <w:lang w:val="en-US" w:eastAsia="zh-CN"/>
        </w:rPr>
        <w:t>生态保护红线、湖南华容</w:t>
      </w:r>
      <w:r>
        <w:rPr>
          <w:rFonts w:hint="eastAsia" w:ascii="Times New Roman" w:hAnsi="Times New Roman" w:eastAsia="宋体" w:cs="Times New Roman"/>
          <w:color w:val="auto"/>
          <w:spacing w:val="0"/>
          <w:w w:val="100"/>
          <w:position w:val="0"/>
          <w:sz w:val="24"/>
          <w:szCs w:val="24"/>
          <w:highlight w:val="none"/>
          <w:u w:val="none" w:color="auto"/>
          <w:lang w:val="en-US" w:eastAsia="zh-CN"/>
        </w:rPr>
        <w:t>东湖国家湿地</w:t>
      </w:r>
      <w:r>
        <w:rPr>
          <w:rFonts w:hint="default" w:ascii="Times New Roman" w:hAnsi="Times New Roman" w:eastAsia="宋体" w:cs="Times New Roman"/>
          <w:color w:val="auto"/>
          <w:spacing w:val="0"/>
          <w:w w:val="100"/>
          <w:position w:val="0"/>
          <w:sz w:val="24"/>
          <w:szCs w:val="24"/>
          <w:highlight w:val="none"/>
          <w:u w:val="none" w:color="auto"/>
          <w:lang w:val="en-US" w:eastAsia="zh-CN"/>
        </w:rPr>
        <w:t>公园等敏感区，应编制环境影响报告书。</w:t>
      </w:r>
    </w:p>
    <w:p w14:paraId="603C3D08">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水库管理所</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于2024年8月</w:t>
      </w:r>
      <w:r>
        <w:rPr>
          <w:rFonts w:hint="default" w:ascii="Times New Roman" w:hAnsi="Times New Roman" w:eastAsia="宋体" w:cs="Times New Roman"/>
          <w:caps w:val="0"/>
          <w:smallCaps w:val="0"/>
          <w:color w:val="auto"/>
          <w:spacing w:val="0"/>
          <w:w w:val="100"/>
          <w:kern w:val="0"/>
          <w:position w:val="0"/>
          <w:sz w:val="24"/>
          <w:szCs w:val="24"/>
          <w:u w:val="none" w:color="auto"/>
        </w:rPr>
        <w:t>委托</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岳阳凯丰环保有限公司</w:t>
      </w:r>
      <w:r>
        <w:rPr>
          <w:rFonts w:hint="default" w:ascii="Times New Roman" w:hAnsi="Times New Roman" w:eastAsia="宋体" w:cs="Times New Roman"/>
          <w:caps w:val="0"/>
          <w:smallCaps w:val="0"/>
          <w:color w:val="auto"/>
          <w:spacing w:val="0"/>
          <w:w w:val="100"/>
          <w:kern w:val="0"/>
          <w:position w:val="0"/>
          <w:sz w:val="24"/>
          <w:szCs w:val="24"/>
          <w:u w:val="none" w:color="auto"/>
        </w:rPr>
        <w:t>开展项目的环境影响评价工作。接受委托后，</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环评</w:t>
      </w:r>
      <w:r>
        <w:rPr>
          <w:rFonts w:hint="default" w:ascii="Times New Roman" w:hAnsi="Times New Roman" w:eastAsia="宋体" w:cs="Times New Roman"/>
          <w:caps w:val="0"/>
          <w:smallCaps w:val="0"/>
          <w:color w:val="auto"/>
          <w:spacing w:val="0"/>
          <w:w w:val="100"/>
          <w:kern w:val="0"/>
          <w:position w:val="0"/>
          <w:sz w:val="24"/>
          <w:szCs w:val="24"/>
          <w:u w:val="none" w:color="auto"/>
        </w:rPr>
        <w:t>单位组织技术人员于对本项目的现场进行了踏勘，并收集了相关的基础资料。在接受委托后，在实地踏勘、收集资料、工程分析、环境现状监测和类比调查基础，对该项目建设及营运过程中产生的环境问题进行分析和评价，并依据环境影响评价技术导则的要求，</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开展</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水库除险加固工程</w:t>
      </w:r>
      <w:r>
        <w:rPr>
          <w:rFonts w:hint="default" w:ascii="Times New Roman" w:hAnsi="Times New Roman" w:eastAsia="宋体" w:cs="Times New Roman"/>
          <w:caps w:val="0"/>
          <w:smallCaps w:val="0"/>
          <w:color w:val="auto"/>
          <w:spacing w:val="0"/>
          <w:w w:val="100"/>
          <w:kern w:val="0"/>
          <w:position w:val="0"/>
          <w:sz w:val="24"/>
          <w:szCs w:val="24"/>
          <w:u w:val="none" w:color="auto"/>
        </w:rPr>
        <w:t>环境影响报告书》</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编制工作</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4594BD98">
      <w:pPr>
        <w:pStyle w:val="3"/>
        <w:numPr>
          <w:ilvl w:val="1"/>
          <w:numId w:val="0"/>
        </w:numPr>
        <w:bidi w:val="0"/>
        <w:ind w:leftChars="0"/>
        <w:rPr>
          <w:rFonts w:hint="default" w:ascii="Times New Roman" w:hAnsi="Times New Roman" w:cs="Times New Roman"/>
          <w:u w:val="none" w:color="auto"/>
        </w:rPr>
      </w:pPr>
      <w:bookmarkStart w:id="5" w:name="_Toc13432"/>
      <w:bookmarkStart w:id="6" w:name="_Toc18604"/>
      <w:r>
        <w:rPr>
          <w:rFonts w:hint="default" w:ascii="Times New Roman" w:hAnsi="Times New Roman" w:cs="Times New Roman"/>
          <w:u w:val="none" w:color="auto"/>
        </w:rPr>
        <w:t>2项目特点</w:t>
      </w:r>
      <w:bookmarkEnd w:id="5"/>
      <w:bookmarkEnd w:id="6"/>
    </w:p>
    <w:p w14:paraId="6434C71F">
      <w:pPr>
        <w:keepNext w:val="0"/>
        <w:keepLines w:val="0"/>
        <w:pageBreakBefore w:val="0"/>
        <w:widowControl w:val="0"/>
        <w:numPr>
          <w:ilvl w:val="0"/>
          <w:numId w:val="3"/>
        </w:numPr>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瀹嬩綋" w:cs="Times New Roman"/>
          <w:color w:val="auto"/>
          <w:spacing w:val="0"/>
          <w:w w:val="100"/>
          <w:kern w:val="0"/>
          <w:position w:val="0"/>
          <w:sz w:val="24"/>
          <w:szCs w:val="24"/>
          <w:u w:val="none" w:color="auto"/>
          <w:lang w:val="en-US" w:eastAsia="zh-CN" w:bidi="ar"/>
        </w:rPr>
        <w:t>本工程属于以生态影响为主要特征的水利项目，</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大部分建设内容位于水库管理范围现有水利工程用地内，</w:t>
      </w:r>
      <w:r>
        <w:rPr>
          <w:rFonts w:hint="default" w:ascii="Times New Roman" w:hAnsi="Times New Roman" w:eastAsia="宋体" w:cs="Times New Roman"/>
          <w:caps w:val="0"/>
          <w:smallCaps w:val="0"/>
          <w:color w:val="auto"/>
          <w:spacing w:val="0"/>
          <w:w w:val="100"/>
          <w:kern w:val="0"/>
          <w:position w:val="0"/>
          <w:sz w:val="24"/>
          <w:szCs w:val="24"/>
          <w:u w:val="none" w:color="auto"/>
        </w:rPr>
        <w:t>本次除险加固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已有安全隐患</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进行</w:t>
      </w:r>
      <w:r>
        <w:rPr>
          <w:rFonts w:hint="default" w:ascii="Times New Roman" w:hAnsi="Times New Roman" w:eastAsia="宋体" w:cs="Times New Roman"/>
          <w:caps w:val="0"/>
          <w:smallCaps w:val="0"/>
          <w:color w:val="auto"/>
          <w:spacing w:val="0"/>
          <w:w w:val="100"/>
          <w:kern w:val="0"/>
          <w:position w:val="0"/>
          <w:sz w:val="24"/>
          <w:szCs w:val="24"/>
          <w:u w:val="none" w:color="auto"/>
        </w:rPr>
        <w:t>排除，工程目的是保障水库安全、确保工程安全可靠运行，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本次</w:t>
      </w:r>
      <w:r>
        <w:rPr>
          <w:rFonts w:hint="default" w:ascii="Times New Roman" w:hAnsi="Times New Roman" w:eastAsia="宋体" w:cs="Times New Roman"/>
          <w:caps w:val="0"/>
          <w:smallCaps w:val="0"/>
          <w:color w:val="auto"/>
          <w:spacing w:val="0"/>
          <w:w w:val="100"/>
          <w:kern w:val="0"/>
          <w:position w:val="0"/>
          <w:sz w:val="24"/>
          <w:szCs w:val="24"/>
          <w:u w:val="none" w:color="auto"/>
        </w:rPr>
        <w:t>除险加固工程不改变</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的特征水位、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库容等工程特性。</w:t>
      </w:r>
    </w:p>
    <w:p w14:paraId="2B22D995">
      <w:pPr>
        <w:keepNext w:val="0"/>
        <w:keepLines w:val="0"/>
        <w:pageBreakBefore w:val="0"/>
        <w:widowControl w:val="0"/>
        <w:numPr>
          <w:ilvl w:val="0"/>
          <w:numId w:val="3"/>
        </w:numPr>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本工程所在区域涉及多个环境敏感区，工程所在区域位于华容县</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生态保护红线、</w:t>
      </w:r>
      <w:r>
        <w:rPr>
          <w:rFonts w:hint="default" w:ascii="Times New Roman" w:hAnsi="Times New Roman" w:eastAsia="宋体" w:cs="Times New Roman"/>
          <w:color w:val="auto"/>
          <w:spacing w:val="0"/>
          <w:w w:val="100"/>
          <w:position w:val="0"/>
          <w:sz w:val="24"/>
          <w:szCs w:val="24"/>
          <w:highlight w:val="none"/>
          <w:u w:val="none" w:color="auto"/>
          <w:lang w:val="en-US" w:eastAsia="zh-CN"/>
        </w:rPr>
        <w:t>湖南华容</w:t>
      </w:r>
      <w:r>
        <w:rPr>
          <w:rFonts w:hint="eastAsia" w:ascii="Times New Roman" w:hAnsi="Times New Roman" w:eastAsia="宋体" w:cs="Times New Roman"/>
          <w:color w:val="auto"/>
          <w:spacing w:val="0"/>
          <w:w w:val="100"/>
          <w:position w:val="0"/>
          <w:sz w:val="24"/>
          <w:szCs w:val="24"/>
          <w:highlight w:val="none"/>
          <w:u w:val="none" w:color="auto"/>
          <w:lang w:val="en-US" w:eastAsia="zh-CN"/>
        </w:rPr>
        <w:t>东湖国家</w:t>
      </w:r>
      <w:r>
        <w:rPr>
          <w:rFonts w:hint="default" w:ascii="Times New Roman" w:hAnsi="Times New Roman" w:eastAsia="宋体" w:cs="Times New Roman"/>
          <w:color w:val="auto"/>
          <w:spacing w:val="0"/>
          <w:w w:val="100"/>
          <w:position w:val="0"/>
          <w:sz w:val="24"/>
          <w:szCs w:val="24"/>
          <w:highlight w:val="none"/>
          <w:u w:val="none" w:color="auto"/>
          <w:lang w:val="en-US" w:eastAsia="zh-CN"/>
        </w:rPr>
        <w:t>公园范围内。</w:t>
      </w:r>
    </w:p>
    <w:p w14:paraId="26091777">
      <w:pPr>
        <w:keepNext w:val="0"/>
        <w:keepLines w:val="0"/>
        <w:pageBreakBefore w:val="0"/>
        <w:widowControl w:val="0"/>
        <w:numPr>
          <w:ilvl w:val="0"/>
          <w:numId w:val="3"/>
        </w:numPr>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本工程是对水库进行维护工程施工，不涉及大范围的土建工程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w:t>
      </w:r>
      <w:r>
        <w:rPr>
          <w:rFonts w:hint="default" w:ascii="Times New Roman" w:hAnsi="Times New Roman" w:eastAsia="宋体" w:cs="Times New Roman"/>
          <w:caps w:val="0"/>
          <w:smallCaps w:val="0"/>
          <w:color w:val="auto"/>
          <w:spacing w:val="0"/>
          <w:w w:val="100"/>
          <w:kern w:val="0"/>
          <w:position w:val="0"/>
          <w:sz w:val="24"/>
          <w:szCs w:val="24"/>
          <w:u w:val="none" w:color="auto"/>
        </w:rPr>
        <w:t>环境影响主要集中在施工期。施工期环境影响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主要为</w:t>
      </w:r>
      <w:r>
        <w:rPr>
          <w:rFonts w:hint="default" w:ascii="Times New Roman" w:hAnsi="Times New Roman" w:eastAsia="宋体" w:cs="Times New Roman"/>
          <w:caps w:val="0"/>
          <w:smallCaps w:val="0"/>
          <w:color w:val="auto"/>
          <w:spacing w:val="0"/>
          <w:w w:val="100"/>
          <w:kern w:val="0"/>
          <w:position w:val="0"/>
          <w:sz w:val="24"/>
          <w:szCs w:val="24"/>
          <w:u w:val="none" w:color="auto"/>
        </w:rPr>
        <w:t>生态环境影响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大气环境影响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声环境影响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和</w:t>
      </w:r>
      <w:r>
        <w:rPr>
          <w:rFonts w:hint="default" w:ascii="Times New Roman" w:hAnsi="Times New Roman" w:eastAsia="宋体" w:cs="Times New Roman"/>
          <w:caps w:val="0"/>
          <w:smallCaps w:val="0"/>
          <w:color w:val="auto"/>
          <w:spacing w:val="0"/>
          <w:w w:val="100"/>
          <w:kern w:val="0"/>
          <w:position w:val="0"/>
          <w:sz w:val="24"/>
          <w:szCs w:val="24"/>
          <w:u w:val="none" w:color="auto"/>
        </w:rPr>
        <w:t>固体废弃物</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影响</w:t>
      </w:r>
      <w:r>
        <w:rPr>
          <w:rFonts w:hint="default" w:ascii="Times New Roman" w:hAnsi="Times New Roman" w:eastAsia="宋体" w:cs="Times New Roman"/>
          <w:caps w:val="0"/>
          <w:smallCaps w:val="0"/>
          <w:color w:val="auto"/>
          <w:spacing w:val="0"/>
          <w:w w:val="100"/>
          <w:kern w:val="0"/>
          <w:position w:val="0"/>
          <w:sz w:val="24"/>
          <w:szCs w:val="24"/>
          <w:u w:val="none" w:color="auto"/>
        </w:rPr>
        <w:t>。本工程实施具有不可避让性，应重点加强施工期环境管理和污染防治。</w:t>
      </w:r>
    </w:p>
    <w:p w14:paraId="7F26F31A">
      <w:pPr>
        <w:pStyle w:val="3"/>
        <w:numPr>
          <w:ilvl w:val="1"/>
          <w:numId w:val="0"/>
        </w:numPr>
        <w:bidi w:val="0"/>
        <w:ind w:leftChars="0"/>
        <w:rPr>
          <w:rFonts w:hint="default" w:ascii="Times New Roman" w:hAnsi="Times New Roman" w:cs="Times New Roman"/>
          <w:u w:val="none" w:color="auto"/>
        </w:rPr>
      </w:pPr>
      <w:bookmarkStart w:id="7" w:name="_Toc20687"/>
      <w:bookmarkStart w:id="8" w:name="_Toc24565"/>
      <w:r>
        <w:rPr>
          <w:rFonts w:hint="default" w:ascii="Times New Roman" w:hAnsi="Times New Roman" w:cs="Times New Roman"/>
          <w:u w:val="none" w:color="auto"/>
        </w:rPr>
        <w:t>3环境影响评价工作过程</w:t>
      </w:r>
      <w:bookmarkEnd w:id="7"/>
      <w:bookmarkEnd w:id="8"/>
    </w:p>
    <w:p w14:paraId="1F4DB1F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根据《环境影响评价技术导则 总纲》（HJ2.1-2016）等相关技术规范的要求，环境影响评价工作分为三个阶段，即调查分析和工作方案制定阶段、分析论证和预测评价阶段、环境影响报告书编制阶段。</w:t>
      </w:r>
    </w:p>
    <w:p w14:paraId="1B64660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（1）第一阶段为调查分析和工作方案制定阶段</w:t>
      </w:r>
    </w:p>
    <w:p w14:paraId="6B6B542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接受委托后，收集及研究相关工程相关资料，进行初步工程分析，开展环境状况调查，进行环境影响因素识别、评价因子筛选、明确评价重点和环境保护目标，确定工作等级、评价范围及评价标准，制定工作方案。</w:t>
      </w:r>
    </w:p>
    <w:p w14:paraId="18541BB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（2）第二阶段为分析论证和预测评价阶段</w:t>
      </w:r>
    </w:p>
    <w:p w14:paraId="1076AF4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对项目进行工程分析，并同时对评价范围内的环境状况进行调查、监测和评价，各环境要素进行环境影响预测与评价。</w:t>
      </w:r>
    </w:p>
    <w:p w14:paraId="6F9C9822">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（3）第三阶段为环境影响报告书编制阶段</w:t>
      </w:r>
    </w:p>
    <w:p w14:paraId="604C2CF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根据建设项目对环境的影响程度和范围，提出切实可行的环保措施，并进行技术经济论证，给出建设项目环境可行性的评价结论，编制环境影响评价文件。</w:t>
      </w:r>
    </w:p>
    <w:p w14:paraId="2B2F2E7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具体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工作</w:t>
      </w:r>
      <w:r>
        <w:rPr>
          <w:rFonts w:hint="default" w:ascii="Times New Roman" w:hAnsi="Times New Roman" w:eastAsia="宋体" w:cs="Times New Roman"/>
          <w:caps w:val="0"/>
          <w:smallCaps w:val="0"/>
          <w:color w:val="auto"/>
          <w:spacing w:val="0"/>
          <w:w w:val="100"/>
          <w:kern w:val="0"/>
          <w:position w:val="0"/>
          <w:sz w:val="24"/>
          <w:szCs w:val="24"/>
          <w:u w:val="none" w:color="auto"/>
        </w:rPr>
        <w:t>流程见图1。</w:t>
      </w:r>
    </w:p>
    <w:p w14:paraId="0D388282">
      <w:pPr>
        <w:widowControl/>
        <w:jc w:val="cente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cs="Times New Roman"/>
          <w:color w:val="auto"/>
          <w:spacing w:val="0"/>
          <w:w w:val="100"/>
          <w:position w:val="0"/>
          <w:highlight w:val="none"/>
          <w:u w:val="none" w:color="auto"/>
        </w:rPr>
        <w:object>
          <v:shape id="_x0000_i1025" o:spt="75" type="#_x0000_t75" style="height:503.65pt;width:428.95pt;" o:ole="t" filled="f" o:preferrelative="t" stroked="f" coordsize="21600,21600">
            <v:path/>
            <v:fill on="f" alignshape="1" focussize="0,0"/>
            <v:stroke on="f"/>
            <v:imagedata r:id="rId24" o:title=""/>
            <o:lock v:ext="edit" aspectratio="t"/>
            <w10:wrap type="none"/>
            <w10:anchorlock/>
          </v:shape>
          <o:OLEObject Type="Embed" ProgID="Visio.Drawing.11" ShapeID="_x0000_i1025" DrawAspect="Content" ObjectID="_1468075725" r:id="rId23">
            <o:LockedField>false</o:LockedField>
          </o:OLEObject>
        </w:object>
      </w:r>
      <w:r>
        <w:rPr>
          <w:rFonts w:hint="default" w:ascii="Times New Roman" w:hAnsi="Times New Roman" w:eastAsia="宋体" w:cs="Times New Roman"/>
          <w:b/>
          <w:bCs w:val="0"/>
          <w:caps w:val="0"/>
          <w:smallCaps w:val="0"/>
          <w:color w:val="auto"/>
          <w:spacing w:val="0"/>
          <w:w w:val="100"/>
          <w:position w:val="0"/>
          <w:sz w:val="24"/>
          <w:szCs w:val="24"/>
          <w:highlight w:val="none"/>
          <w:u w:val="none" w:color="auto"/>
          <w:lang w:eastAsia="zh-CN"/>
        </w:rPr>
        <w:t>图</w:t>
      </w:r>
      <w:r>
        <w:rPr>
          <w:rFonts w:hint="default" w:ascii="Times New Roman" w:hAnsi="Times New Roman" w:eastAsia="宋体" w:cs="Times New Roman"/>
          <w:b/>
          <w:bCs w:val="0"/>
          <w:caps w:val="0"/>
          <w:smallCaps w:val="0"/>
          <w:color w:val="auto"/>
          <w:spacing w:val="0"/>
          <w:w w:val="100"/>
          <w:position w:val="0"/>
          <w:sz w:val="24"/>
          <w:szCs w:val="24"/>
          <w:highlight w:val="none"/>
          <w:u w:val="none" w:color="auto"/>
          <w:lang w:val="en-US" w:eastAsia="zh-CN"/>
        </w:rPr>
        <w:t xml:space="preserve">1 </w:t>
      </w:r>
      <w:r>
        <w:rPr>
          <w:rFonts w:hint="default" w:ascii="Times New Roman" w:hAnsi="Times New Roman" w:cs="Times New Roman"/>
          <w:color w:val="auto"/>
          <w:spacing w:val="0"/>
          <w:w w:val="100"/>
          <w:position w:val="0"/>
          <w:sz w:val="24"/>
          <w:szCs w:val="24"/>
          <w:highlight w:val="none"/>
          <w:u w:val="none" w:color="auto"/>
          <w:lang w:val="en-US" w:eastAsia="zh-CN"/>
        </w:rPr>
        <w:t xml:space="preserve"> </w:t>
      </w:r>
      <w:r>
        <w:rPr>
          <w:rFonts w:hint="default" w:ascii="Times New Roman" w:hAnsi="Times New Roman" w:eastAsia="宋体" w:cs="Times New Roman"/>
          <w:b/>
          <w:bCs w:val="0"/>
          <w:caps w:val="0"/>
          <w:smallCaps w:val="0"/>
          <w:color w:val="auto"/>
          <w:spacing w:val="0"/>
          <w:w w:val="100"/>
          <w:position w:val="0"/>
          <w:sz w:val="24"/>
          <w:szCs w:val="24"/>
          <w:highlight w:val="none"/>
          <w:u w:val="none" w:color="auto"/>
        </w:rPr>
        <w:t>环境影响评价工作流程图</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p>
    <w:p w14:paraId="1156AFF5">
      <w:pPr>
        <w:pStyle w:val="3"/>
        <w:numPr>
          <w:ilvl w:val="1"/>
          <w:numId w:val="0"/>
        </w:numPr>
        <w:bidi w:val="0"/>
        <w:spacing w:line="360" w:lineRule="auto"/>
        <w:ind w:leftChars="0"/>
        <w:rPr>
          <w:rFonts w:hint="default" w:ascii="Times New Roman" w:hAnsi="Times New Roman" w:cs="Times New Roman"/>
          <w:u w:val="none" w:color="auto"/>
        </w:rPr>
      </w:pPr>
      <w:bookmarkStart w:id="9" w:name="_Toc21860"/>
      <w:bookmarkStart w:id="10" w:name="_Toc17417"/>
      <w:r>
        <w:rPr>
          <w:rFonts w:hint="default" w:ascii="Times New Roman" w:hAnsi="Times New Roman" w:cs="Times New Roman"/>
          <w:u w:val="none" w:color="auto"/>
        </w:rPr>
        <w:t>4分析判定相关情况</w:t>
      </w:r>
      <w:bookmarkEnd w:id="9"/>
      <w:bookmarkEnd w:id="10"/>
    </w:p>
    <w:p w14:paraId="01BEBCBC">
      <w:pPr>
        <w:keepNext w:val="0"/>
        <w:keepLines w:val="0"/>
        <w:pageBreakBefore w:val="0"/>
        <w:widowControl w:val="0"/>
        <w:numPr>
          <w:ilvl w:val="0"/>
          <w:numId w:val="0"/>
        </w:numPr>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rPr>
        <w:t>与产业政策符合性分析</w:t>
      </w:r>
    </w:p>
    <w:p w14:paraId="01D64787">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根据《产业结构调整指导目录》（20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24</w:t>
      </w:r>
      <w:r>
        <w:rPr>
          <w:rFonts w:hint="default" w:ascii="Times New Roman" w:hAnsi="Times New Roman" w:eastAsia="宋体" w:cs="Times New Roman"/>
          <w:caps w:val="0"/>
          <w:smallCaps w:val="0"/>
          <w:color w:val="auto"/>
          <w:spacing w:val="0"/>
          <w:w w:val="100"/>
          <w:kern w:val="0"/>
          <w:position w:val="0"/>
          <w:sz w:val="24"/>
          <w:szCs w:val="24"/>
          <w:u w:val="none" w:color="auto"/>
        </w:rPr>
        <w:t>年本），</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w:t>
      </w:r>
      <w:r>
        <w:rPr>
          <w:rFonts w:hint="default" w:ascii="Times New Roman" w:hAnsi="Times New Roman" w:eastAsia="宋体" w:cs="Times New Roman"/>
          <w:caps w:val="0"/>
          <w:smallCaps w:val="0"/>
          <w:color w:val="auto"/>
          <w:spacing w:val="0"/>
          <w:w w:val="100"/>
          <w:kern w:val="0"/>
          <w:position w:val="0"/>
          <w:sz w:val="24"/>
          <w:szCs w:val="24"/>
          <w:u w:val="none" w:color="auto"/>
        </w:rPr>
        <w:t>项目属于鼓励类“二、水利</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-3防洪提升工程：</w:t>
      </w:r>
      <w:r>
        <w:rPr>
          <w:rFonts w:hint="default" w:ascii="Times New Roman" w:hAnsi="Times New Roman" w:eastAsia="宋体" w:cs="Times New Roman"/>
          <w:caps w:val="0"/>
          <w:smallCaps w:val="0"/>
          <w:color w:val="auto"/>
          <w:spacing w:val="0"/>
          <w:w w:val="100"/>
          <w:kern w:val="0"/>
          <w:position w:val="0"/>
          <w:sz w:val="24"/>
          <w:szCs w:val="24"/>
          <w:u w:val="none" w:color="auto"/>
        </w:rPr>
        <w:t>病险水库、水闸除险加固工程”</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同时本</w:t>
      </w:r>
      <w:r>
        <w:rPr>
          <w:rFonts w:hint="default" w:ascii="Times New Roman" w:hAnsi="Times New Roman" w:eastAsia="宋体" w:cs="Times New Roman"/>
          <w:caps w:val="0"/>
          <w:smallCaps w:val="0"/>
          <w:color w:val="auto"/>
          <w:spacing w:val="0"/>
          <w:w w:val="100"/>
          <w:kern w:val="0"/>
          <w:position w:val="0"/>
          <w:sz w:val="24"/>
          <w:szCs w:val="24"/>
          <w:u w:val="none" w:color="auto"/>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于</w:t>
      </w:r>
      <w:r>
        <w:rPr>
          <w:rFonts w:hint="eastAsia" w:ascii="Times New Roman" w:hAnsi="Times New Roman" w:eastAsia="宋体" w:cs="Times New Roman"/>
          <w:color w:val="auto"/>
          <w:spacing w:val="0"/>
          <w:w w:val="100"/>
          <w:position w:val="0"/>
          <w:sz w:val="24"/>
          <w:szCs w:val="24"/>
          <w:u w:val="none" w:color="auto"/>
          <w:lang w:val="en-US" w:eastAsia="zh-CN"/>
        </w:rPr>
        <w:t>2023年9月5日，取得了华容县发展和改革局《关于华容县北汊水库除险加固工程项目可行性研究报告的批复》（华发改投审〔2023〕70号，附件4），同意实施华容县北汊水库除险加固工程项目，项目代码： 2309-430623-04-05-290952</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因此，本项目</w:t>
      </w:r>
      <w:r>
        <w:rPr>
          <w:rFonts w:hint="default" w:ascii="Times New Roman" w:hAnsi="Times New Roman" w:eastAsia="宋体" w:cs="Times New Roman"/>
          <w:caps w:val="0"/>
          <w:smallCaps w:val="0"/>
          <w:color w:val="auto"/>
          <w:spacing w:val="0"/>
          <w:w w:val="100"/>
          <w:kern w:val="0"/>
          <w:position w:val="0"/>
          <w:sz w:val="24"/>
          <w:szCs w:val="24"/>
          <w:u w:val="none" w:color="auto"/>
        </w:rPr>
        <w:t>符合国家产业政策的要求。</w:t>
      </w:r>
    </w:p>
    <w:p w14:paraId="086DAA6D">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bookmarkStart w:id="11" w:name="bookmark16"/>
      <w:bookmarkStart w:id="12" w:name="bookmark17"/>
      <w:r>
        <w:rPr>
          <w:rFonts w:hint="default" w:ascii="Times New Roman" w:hAnsi="Times New Roman" w:eastAsia="宋体" w:cs="Times New Roman"/>
          <w:b/>
          <w:bCs/>
          <w:color w:val="auto"/>
          <w:spacing w:val="0"/>
          <w:w w:val="100"/>
          <w:kern w:val="0"/>
          <w:position w:val="0"/>
          <w:sz w:val="24"/>
          <w:highlight w:val="none"/>
          <w:u w:val="none" w:color="auto"/>
          <w:lang w:val="en-US" w:eastAsia="zh-CN"/>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2</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w:t>
      </w:r>
      <w:bookmarkEnd w:id="11"/>
      <w:bookmarkEnd w:id="12"/>
      <w:r>
        <w:rPr>
          <w:rFonts w:hint="default" w:ascii="Times New Roman" w:hAnsi="Times New Roman" w:eastAsia="宋体" w:cs="Times New Roman"/>
          <w:b/>
          <w:bCs/>
          <w:color w:val="auto"/>
          <w:spacing w:val="0"/>
          <w:w w:val="100"/>
          <w:kern w:val="0"/>
          <w:position w:val="0"/>
          <w:sz w:val="24"/>
          <w:highlight w:val="none"/>
          <w:u w:val="none" w:color="auto"/>
        </w:rPr>
        <w:t>与《中华人民共和国长江保护法》的符合性</w:t>
      </w:r>
      <w:r>
        <w:rPr>
          <w:rFonts w:hint="default" w:ascii="Times New Roman" w:hAnsi="Times New Roman" w:eastAsia="宋体" w:cs="Times New Roman"/>
          <w:b/>
          <w:bCs/>
          <w:color w:val="auto"/>
          <w:spacing w:val="0"/>
          <w:w w:val="100"/>
          <w:kern w:val="0"/>
          <w:position w:val="0"/>
          <w:sz w:val="24"/>
          <w:highlight w:val="none"/>
          <w:u w:val="none" w:color="auto"/>
          <w:lang w:eastAsia="zh-CN"/>
        </w:rPr>
        <w:t>分析</w:t>
      </w:r>
    </w:p>
    <w:p w14:paraId="3A070245">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根据《中华人民共和国长江保护法》第三十二条，国务院有关部门和长江流域地方各级人民政府应当采取措施，加快病险水库除险加固，推进堤防和蓄滞洪区建设，提高防御水旱灾害的整体能力。</w:t>
      </w:r>
    </w:p>
    <w:p w14:paraId="472DFEEC">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eastAsia="zh-CN"/>
        </w:rPr>
      </w:pP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通过采取工程措施对大坝维修加固，旨在消除大坝安全隐患，保障水库和流域防洪安全，确保枢纽工程安全可靠运行，充分发挥水库的综合利用效益，工程建设过程中生产生活污水均不外排，采取污染防治、生态修复等措施，将对周围环境影响降至最低</w:t>
      </w:r>
      <w:r>
        <w:rPr>
          <w:rFonts w:hint="default" w:ascii="Times New Roman" w:hAnsi="Times New Roman" w:eastAsia="宋体" w:cs="Times New Roman"/>
          <w:color w:val="auto"/>
          <w:spacing w:val="0"/>
          <w:w w:val="100"/>
          <w:kern w:val="0"/>
          <w:position w:val="0"/>
          <w:sz w:val="24"/>
          <w:highlight w:val="none"/>
          <w:u w:val="none" w:color="auto"/>
          <w:lang w:eastAsia="zh-CN"/>
        </w:rPr>
        <w:t>。</w:t>
      </w:r>
    </w:p>
    <w:p w14:paraId="642FA6AA">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综上，</w:t>
      </w: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除险加固工程符合《中华人民共和国长江保护法》相关要求。</w:t>
      </w:r>
    </w:p>
    <w:p w14:paraId="764F6386">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r>
        <w:rPr>
          <w:rFonts w:hint="default" w:ascii="Times New Roman" w:hAnsi="Times New Roman" w:eastAsia="宋体" w:cs="Times New Roman"/>
          <w:b/>
          <w:bCs/>
          <w:color w:val="auto"/>
          <w:spacing w:val="0"/>
          <w:w w:val="100"/>
          <w:kern w:val="0"/>
          <w:position w:val="0"/>
          <w:sz w:val="24"/>
          <w:highlight w:val="none"/>
          <w:u w:val="none" w:color="auto"/>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3</w:t>
      </w:r>
      <w:r>
        <w:rPr>
          <w:rFonts w:hint="default" w:ascii="Times New Roman" w:hAnsi="Times New Roman" w:eastAsia="宋体" w:cs="Times New Roman"/>
          <w:b/>
          <w:bCs/>
          <w:color w:val="auto"/>
          <w:spacing w:val="0"/>
          <w:w w:val="100"/>
          <w:kern w:val="0"/>
          <w:position w:val="0"/>
          <w:sz w:val="24"/>
          <w:highlight w:val="none"/>
          <w:u w:val="none" w:color="auto"/>
        </w:rPr>
        <w:t>）与</w:t>
      </w: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rPr>
        <w:t>中华人民共和</w:t>
      </w:r>
      <w:r>
        <w:rPr>
          <w:rFonts w:hint="eastAsia" w:ascii="Times New Roman" w:hAnsi="Times New Roman" w:eastAsia="宋体" w:cs="Times New Roman"/>
          <w:b/>
          <w:bCs/>
          <w:color w:val="auto"/>
          <w:spacing w:val="0"/>
          <w:w w:val="100"/>
          <w:kern w:val="0"/>
          <w:position w:val="0"/>
          <w:sz w:val="24"/>
          <w:highlight w:val="none"/>
          <w:u w:val="none" w:color="auto"/>
          <w:lang w:eastAsia="zh-CN"/>
        </w:rPr>
        <w:t>湿地保护</w:t>
      </w:r>
      <w:r>
        <w:rPr>
          <w:rFonts w:hint="default" w:ascii="Times New Roman" w:hAnsi="Times New Roman" w:eastAsia="宋体" w:cs="Times New Roman"/>
          <w:b/>
          <w:bCs/>
          <w:color w:val="auto"/>
          <w:spacing w:val="0"/>
          <w:w w:val="100"/>
          <w:kern w:val="0"/>
          <w:position w:val="0"/>
          <w:sz w:val="24"/>
          <w:highlight w:val="none"/>
          <w:u w:val="none" w:color="auto"/>
        </w:rPr>
        <w:t>法</w:t>
      </w: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rPr>
        <w:t>的符合性</w:t>
      </w:r>
      <w:r>
        <w:rPr>
          <w:rFonts w:hint="default" w:ascii="Times New Roman" w:hAnsi="Times New Roman" w:eastAsia="宋体" w:cs="Times New Roman"/>
          <w:b/>
          <w:bCs/>
          <w:color w:val="auto"/>
          <w:spacing w:val="0"/>
          <w:w w:val="100"/>
          <w:kern w:val="0"/>
          <w:position w:val="0"/>
          <w:sz w:val="24"/>
          <w:highlight w:val="none"/>
          <w:u w:val="none" w:color="auto"/>
          <w:lang w:eastAsia="zh-CN"/>
        </w:rPr>
        <w:t>分析</w:t>
      </w:r>
    </w:p>
    <w:p w14:paraId="4EB8F391">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微软雅黑" w:cs="Times New Roman"/>
          <w:color w:val="auto"/>
          <w:spacing w:val="0"/>
          <w:w w:val="100"/>
          <w:kern w:val="0"/>
          <w:position w:val="0"/>
          <w:sz w:val="24"/>
          <w:highlight w:val="none"/>
          <w:u w:val="none" w:color="auto"/>
          <w:lang w:val="en-US" w:eastAsia="zh-CN"/>
        </w:rPr>
        <w:t>①</w:t>
      </w:r>
      <w:r>
        <w:rPr>
          <w:rFonts w:hint="default" w:ascii="Times New Roman" w:hAnsi="Times New Roman" w:eastAsia="宋体" w:cs="Times New Roman"/>
          <w:color w:val="auto"/>
          <w:spacing w:val="0"/>
          <w:w w:val="100"/>
          <w:kern w:val="0"/>
          <w:position w:val="0"/>
          <w:sz w:val="24"/>
          <w:highlight w:val="none"/>
          <w:u w:val="none" w:color="auto"/>
          <w:lang w:val="en-US" w:eastAsia="zh-CN"/>
        </w:rPr>
        <w:t>根据2022年6月1日起施行的湿地保护法的要求</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第十九条 国家严格控制占用湿地。禁止占用国家重要湿地，国家重大项目、防灾减灾项目、重要水利及保护设施项目、湿地保护项目等除外。建设项目选址、选线应当避让湿地，无法避让的应当尽量减少占用，并采取必要措施减轻对湿地生态功能的不利影响。建设项目规划选址、选线审批或者核准时，涉及国家重要湿地的，应当征求国务院林业草原主管部门的意见</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涉及省级重要湿地或者</w:t>
      </w:r>
      <w:r>
        <w:rPr>
          <w:rFonts w:hint="eastAsia" w:ascii="Times New Roman" w:hAnsi="Times New Roman" w:eastAsia="宋体" w:cs="Times New Roman"/>
          <w:color w:val="auto"/>
          <w:spacing w:val="0"/>
          <w:w w:val="100"/>
          <w:kern w:val="0"/>
          <w:position w:val="0"/>
          <w:sz w:val="24"/>
          <w:highlight w:val="none"/>
          <w:u w:val="none" w:color="auto"/>
          <w:lang w:val="en-US" w:eastAsia="zh-CN"/>
        </w:rPr>
        <w:t>一</w:t>
      </w:r>
      <w:r>
        <w:rPr>
          <w:rFonts w:hint="default" w:ascii="Times New Roman" w:hAnsi="Times New Roman" w:eastAsia="宋体" w:cs="Times New Roman"/>
          <w:color w:val="auto"/>
          <w:spacing w:val="0"/>
          <w:w w:val="100"/>
          <w:kern w:val="0"/>
          <w:position w:val="0"/>
          <w:sz w:val="24"/>
          <w:highlight w:val="none"/>
          <w:u w:val="none" w:color="auto"/>
          <w:lang w:val="en-US" w:eastAsia="zh-CN"/>
        </w:rPr>
        <w:t>般湿地的，应当按照管理权限，征求县级以上地方人民政府授权的部门的意见。</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p>
    <w:p w14:paraId="5AEB8C4D">
      <w:p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eastAsia="zh-CN"/>
        </w:rPr>
        <w:t>符合性：</w:t>
      </w:r>
      <w:r>
        <w:rPr>
          <w:rFonts w:hint="eastAsia" w:ascii="Times New Roman" w:hAnsi="Times New Roman" w:eastAsia="宋体" w:cs="Times New Roman"/>
          <w:color w:val="auto"/>
          <w:spacing w:val="0"/>
          <w:w w:val="100"/>
          <w:kern w:val="0"/>
          <w:position w:val="0"/>
          <w:sz w:val="24"/>
          <w:highlight w:val="none"/>
          <w:u w:val="none" w:color="auto"/>
          <w:lang w:eastAsia="zh-CN"/>
        </w:rPr>
        <w:t>本项目是国家新增国债重点水利项目，</w:t>
      </w:r>
      <w:r>
        <w:rPr>
          <w:rFonts w:hint="default" w:ascii="Times New Roman" w:hAnsi="Times New Roman" w:eastAsia="宋体" w:cs="Times New Roman"/>
          <w:color w:val="auto"/>
          <w:spacing w:val="0"/>
          <w:w w:val="100"/>
          <w:kern w:val="0"/>
          <w:position w:val="0"/>
          <w:sz w:val="24"/>
          <w:highlight w:val="none"/>
          <w:u w:val="none" w:color="auto"/>
          <w:lang w:val="en-US" w:eastAsia="zh-CN"/>
        </w:rPr>
        <w:t>属于重要水利及保护设施项目，不在禁止范围内。根据《湖南省人民政府办公厅关于发布湖南省</w:t>
      </w:r>
      <w:r>
        <w:rPr>
          <w:rFonts w:hint="eastAsia" w:ascii="Times New Roman" w:hAnsi="Times New Roman" w:eastAsia="宋体" w:cs="Times New Roman"/>
          <w:color w:val="auto"/>
          <w:spacing w:val="0"/>
          <w:w w:val="100"/>
          <w:kern w:val="0"/>
          <w:position w:val="0"/>
          <w:sz w:val="24"/>
          <w:highlight w:val="none"/>
          <w:u w:val="none" w:color="auto"/>
          <w:lang w:val="en-US" w:eastAsia="zh-CN"/>
        </w:rPr>
        <w:t>第二批省级</w:t>
      </w:r>
      <w:r>
        <w:rPr>
          <w:rFonts w:hint="default" w:ascii="Times New Roman" w:hAnsi="Times New Roman" w:eastAsia="宋体" w:cs="Times New Roman"/>
          <w:color w:val="auto"/>
          <w:spacing w:val="0"/>
          <w:w w:val="100"/>
          <w:kern w:val="0"/>
          <w:position w:val="0"/>
          <w:sz w:val="24"/>
          <w:highlight w:val="none"/>
          <w:u w:val="none" w:color="auto"/>
          <w:lang w:val="en-US" w:eastAsia="zh-CN"/>
        </w:rPr>
        <w:t>重要湿地名录的通知》(湘政办函</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20</w:t>
      </w:r>
      <w:r>
        <w:rPr>
          <w:rFonts w:hint="eastAsia" w:ascii="Times New Roman" w:hAnsi="Times New Roman" w:eastAsia="宋体" w:cs="Times New Roman"/>
          <w:color w:val="auto"/>
          <w:spacing w:val="0"/>
          <w:w w:val="100"/>
          <w:kern w:val="0"/>
          <w:position w:val="0"/>
          <w:sz w:val="24"/>
          <w:highlight w:val="none"/>
          <w:u w:val="none" w:color="auto"/>
          <w:lang w:val="en-US" w:eastAsia="zh-CN"/>
        </w:rPr>
        <w:t>21〕95</w:t>
      </w: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 号)</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项目涉及</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湖南省华容县东</w:t>
      </w:r>
      <w:r>
        <w:rPr>
          <w:rFonts w:hint="default" w:ascii="Times New Roman" w:hAnsi="Times New Roman" w:eastAsia="宋体" w:cs="Times New Roman"/>
          <w:color w:val="auto"/>
          <w:spacing w:val="0"/>
          <w:w w:val="100"/>
          <w:kern w:val="0"/>
          <w:position w:val="0"/>
          <w:sz w:val="24"/>
          <w:highlight w:val="none"/>
          <w:u w:val="none" w:color="auto"/>
          <w:lang w:val="en-US" w:eastAsia="zh-CN"/>
        </w:rPr>
        <w:t>湖</w:t>
      </w:r>
      <w:r>
        <w:rPr>
          <w:rFonts w:hint="eastAsia" w:ascii="Times New Roman" w:hAnsi="Times New Roman" w:eastAsia="宋体" w:cs="Times New Roman"/>
          <w:color w:val="auto"/>
          <w:spacing w:val="0"/>
          <w:w w:val="100"/>
          <w:kern w:val="0"/>
          <w:position w:val="0"/>
          <w:sz w:val="24"/>
          <w:highlight w:val="none"/>
          <w:u w:val="none" w:color="auto"/>
          <w:lang w:val="en-US" w:eastAsia="zh-CN"/>
        </w:rPr>
        <w:t>省级重要</w:t>
      </w:r>
      <w:r>
        <w:rPr>
          <w:rFonts w:hint="default" w:ascii="Times New Roman" w:hAnsi="Times New Roman" w:eastAsia="宋体" w:cs="Times New Roman"/>
          <w:color w:val="auto"/>
          <w:spacing w:val="0"/>
          <w:w w:val="100"/>
          <w:kern w:val="0"/>
          <w:position w:val="0"/>
          <w:sz w:val="24"/>
          <w:highlight w:val="none"/>
          <w:u w:val="none" w:color="auto"/>
          <w:lang w:val="en-US" w:eastAsia="zh-CN"/>
        </w:rPr>
        <w:t>湿地，应征求县级以上地方人民政府授权的部门的意见。</w:t>
      </w:r>
      <w:r>
        <w:rPr>
          <w:rFonts w:hint="eastAsia" w:ascii="Times New Roman" w:hAnsi="Times New Roman" w:eastAsia="宋体" w:cs="Times New Roman"/>
          <w:color w:val="auto"/>
          <w:spacing w:val="0"/>
          <w:w w:val="100"/>
          <w:kern w:val="0"/>
          <w:position w:val="0"/>
          <w:sz w:val="24"/>
          <w:highlight w:val="none"/>
          <w:u w:val="none" w:color="auto"/>
          <w:lang w:val="en-US" w:eastAsia="zh-CN"/>
        </w:rPr>
        <w:t>华容县林业局《关于“关于请求支持华容县北汊水库除险加固工程项目建设的函”的复函》（附件6）明确：“我局原则支持华容县北汊水库除险加固工程在湖南华容东湖国家湿地公园（东湖省级重要湿地）内实施。”</w:t>
      </w:r>
    </w:p>
    <w:p w14:paraId="65B36A21">
      <w:pPr>
        <w:autoSpaceDE w:val="0"/>
        <w:autoSpaceDN w:val="0"/>
        <w:adjustRightInd w:val="0"/>
        <w:snapToGrid w:val="0"/>
        <w:spacing w:line="360" w:lineRule="auto"/>
        <w:ind w:firstLine="480" w:firstLineChars="200"/>
        <w:rPr>
          <w:rFonts w:hint="eastAsia"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微软雅黑" w:cs="Times New Roman"/>
          <w:color w:val="auto"/>
          <w:spacing w:val="0"/>
          <w:w w:val="100"/>
          <w:kern w:val="0"/>
          <w:position w:val="0"/>
          <w:sz w:val="24"/>
          <w:highlight w:val="none"/>
          <w:u w:val="none" w:color="auto"/>
          <w:lang w:val="en-US" w:eastAsia="zh-CN"/>
        </w:rPr>
        <w:t>②</w:t>
      </w:r>
      <w:r>
        <w:rPr>
          <w:rFonts w:hint="eastAsia" w:ascii="Times New Roman" w:hAnsi="Times New Roman" w:eastAsia="宋体" w:cs="Times New Roman"/>
          <w:color w:val="auto"/>
          <w:spacing w:val="0"/>
          <w:w w:val="100"/>
          <w:kern w:val="0"/>
          <w:position w:val="0"/>
          <w:sz w:val="24"/>
          <w:highlight w:val="none"/>
          <w:u w:val="none" w:color="auto"/>
          <w:lang w:val="en-US" w:eastAsia="zh-CN"/>
        </w:rPr>
        <w:t>中华人民共和国湿地保护法“第二十八条 禁止下列破坏湿地及其生态功能的行为：(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其他破坏湿地及其生态功能的行为。”</w:t>
      </w:r>
    </w:p>
    <w:p w14:paraId="3F74CD35">
      <w:p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default" w:ascii="Times New Roman" w:hAnsi="Times New Roman" w:eastAsia="宋体" w:cs="Times New Roman"/>
          <w:color w:val="auto"/>
          <w:spacing w:val="0"/>
          <w:w w:val="100"/>
          <w:kern w:val="0"/>
          <w:position w:val="0"/>
          <w:sz w:val="24"/>
          <w:highlight w:val="none"/>
          <w:u w:val="none" w:color="auto"/>
          <w:lang w:val="en-US" w:eastAsia="zh-CN"/>
        </w:rPr>
        <w:t>本项目</w:t>
      </w:r>
      <w:r>
        <w:rPr>
          <w:rFonts w:hint="eastAsia" w:ascii="Times New Roman" w:hAnsi="Times New Roman" w:eastAsia="宋体" w:cs="Times New Roman"/>
          <w:color w:val="auto"/>
          <w:spacing w:val="0"/>
          <w:w w:val="100"/>
          <w:kern w:val="0"/>
          <w:position w:val="0"/>
          <w:sz w:val="24"/>
          <w:highlight w:val="none"/>
          <w:u w:val="none" w:color="auto"/>
          <w:lang w:val="en-US" w:eastAsia="zh-CN"/>
        </w:rPr>
        <w:t>为北汊水库除险加固，</w:t>
      </w:r>
      <w:r>
        <w:rPr>
          <w:rFonts w:hint="default" w:ascii="Times New Roman" w:hAnsi="Times New Roman" w:eastAsia="宋体" w:cs="Times New Roman"/>
          <w:color w:val="auto"/>
          <w:spacing w:val="0"/>
          <w:w w:val="100"/>
          <w:kern w:val="0"/>
          <w:position w:val="0"/>
          <w:sz w:val="24"/>
          <w:highlight w:val="none"/>
          <w:u w:val="none" w:color="auto"/>
          <w:lang w:eastAsia="zh-CN"/>
        </w:rPr>
        <w:t>施工期在现有工程基础上进行加固</w:t>
      </w:r>
      <w:r>
        <w:rPr>
          <w:rFonts w:hint="eastAsia" w:ascii="Times New Roman" w:hAnsi="Times New Roman" w:eastAsia="宋体" w:cs="Times New Roman"/>
          <w:color w:val="auto"/>
          <w:spacing w:val="0"/>
          <w:w w:val="100"/>
          <w:kern w:val="0"/>
          <w:position w:val="0"/>
          <w:sz w:val="24"/>
          <w:highlight w:val="none"/>
          <w:u w:val="none" w:color="auto"/>
          <w:lang w:eastAsia="zh-CN"/>
        </w:rPr>
        <w:t>，不存在</w:t>
      </w:r>
      <w:r>
        <w:rPr>
          <w:rFonts w:hint="eastAsia" w:ascii="Times New Roman" w:hAnsi="Times New Roman" w:eastAsia="宋体" w:cs="Times New Roman"/>
          <w:color w:val="auto"/>
          <w:spacing w:val="0"/>
          <w:w w:val="100"/>
          <w:kern w:val="0"/>
          <w:position w:val="0"/>
          <w:sz w:val="24"/>
          <w:highlight w:val="none"/>
          <w:u w:val="none" w:color="auto"/>
          <w:lang w:val="en-US" w:eastAsia="zh-CN"/>
        </w:rPr>
        <w:t>开(围)垦、排干自然湿地，永久性截断自然湿地水源、擅自填埋自然湿地等行为。</w:t>
      </w:r>
      <w:r>
        <w:rPr>
          <w:rFonts w:hint="default" w:ascii="Times New Roman" w:hAnsi="Times New Roman" w:eastAsia="宋体" w:cs="Times New Roman"/>
          <w:color w:val="auto"/>
          <w:spacing w:val="0"/>
          <w:w w:val="100"/>
          <w:kern w:val="0"/>
          <w:position w:val="0"/>
          <w:sz w:val="24"/>
          <w:highlight w:val="none"/>
          <w:u w:val="none" w:color="auto"/>
          <w:lang w:eastAsia="zh-CN"/>
        </w:rPr>
        <w:t>施工用石、砂、混凝土等原料均为项目周边外购的合法原材料，</w:t>
      </w:r>
      <w:r>
        <w:rPr>
          <w:rFonts w:hint="eastAsia" w:ascii="Times New Roman" w:hAnsi="Times New Roman" w:eastAsia="宋体" w:cs="Times New Roman"/>
          <w:color w:val="auto"/>
          <w:spacing w:val="0"/>
          <w:w w:val="100"/>
          <w:kern w:val="0"/>
          <w:position w:val="0"/>
          <w:sz w:val="24"/>
          <w:highlight w:val="none"/>
          <w:u w:val="none" w:color="auto"/>
          <w:lang w:eastAsia="zh-CN"/>
        </w:rPr>
        <w:t>施工用土取自项目一副坝北侧约</w:t>
      </w:r>
      <w:r>
        <w:rPr>
          <w:rFonts w:hint="eastAsia" w:ascii="Times New Roman" w:hAnsi="Times New Roman" w:eastAsia="宋体" w:cs="Times New Roman"/>
          <w:color w:val="auto"/>
          <w:spacing w:val="0"/>
          <w:w w:val="100"/>
          <w:kern w:val="0"/>
          <w:position w:val="0"/>
          <w:sz w:val="24"/>
          <w:highlight w:val="none"/>
          <w:u w:val="none" w:color="auto"/>
          <w:lang w:val="en-US" w:eastAsia="zh-CN"/>
        </w:rPr>
        <w:t>500m的侯家岭取土场（不在湿地范围内）。</w:t>
      </w:r>
      <w:r>
        <w:rPr>
          <w:rFonts w:hint="default" w:ascii="Times New Roman" w:hAnsi="Times New Roman" w:eastAsia="宋体" w:cs="Times New Roman"/>
          <w:color w:val="auto"/>
          <w:spacing w:val="0"/>
          <w:w w:val="100"/>
          <w:kern w:val="0"/>
          <w:position w:val="0"/>
          <w:sz w:val="24"/>
          <w:u w:val="none" w:color="auto"/>
          <w:lang w:val="en-US" w:eastAsia="zh-CN"/>
        </w:rPr>
        <w:t>本工程施工期生产生活污水均不外</w:t>
      </w:r>
      <w:r>
        <w:rPr>
          <w:rFonts w:hint="default" w:ascii="Times New Roman" w:hAnsi="Times New Roman" w:eastAsia="宋体" w:cs="Times New Roman"/>
          <w:color w:val="auto"/>
          <w:spacing w:val="0"/>
          <w:w w:val="100"/>
          <w:kern w:val="0"/>
          <w:position w:val="0"/>
          <w:sz w:val="24"/>
          <w:szCs w:val="24"/>
          <w:u w:val="none" w:color="auto"/>
          <w:lang w:val="en-US" w:eastAsia="zh-CN"/>
        </w:rPr>
        <w:t>排，</w:t>
      </w:r>
      <w:r>
        <w:rPr>
          <w:rFonts w:hint="default" w:ascii="Times New Roman" w:hAnsi="Times New Roman" w:eastAsia="宋体" w:cs="Times New Roman"/>
          <w:color w:val="auto"/>
          <w:spacing w:val="0"/>
          <w:w w:val="100"/>
          <w:kern w:val="0"/>
          <w:position w:val="0"/>
          <w:sz w:val="24"/>
          <w:u w:val="none" w:color="auto"/>
          <w:lang w:val="en-US" w:eastAsia="zh-CN"/>
        </w:rPr>
        <w:t>施工弃渣、施工人员生活垃圾和建筑垃圾等</w:t>
      </w:r>
      <w:r>
        <w:rPr>
          <w:rFonts w:hint="eastAsia" w:ascii="Times New Roman" w:hAnsi="Times New Roman" w:eastAsia="宋体" w:cs="Times New Roman"/>
          <w:color w:val="auto"/>
          <w:spacing w:val="0"/>
          <w:w w:val="100"/>
          <w:kern w:val="0"/>
          <w:position w:val="0"/>
          <w:sz w:val="24"/>
          <w:u w:val="none" w:color="auto"/>
          <w:lang w:val="en-US" w:eastAsia="zh-CN"/>
        </w:rPr>
        <w:t>均</w:t>
      </w:r>
      <w:r>
        <w:rPr>
          <w:rFonts w:hint="default" w:ascii="Times New Roman" w:hAnsi="Times New Roman" w:eastAsia="宋体" w:cs="Times New Roman"/>
          <w:color w:val="auto"/>
          <w:spacing w:val="0"/>
          <w:w w:val="100"/>
          <w:kern w:val="0"/>
          <w:position w:val="0"/>
          <w:sz w:val="24"/>
          <w:u w:val="none" w:color="auto"/>
          <w:lang w:val="en-US" w:eastAsia="zh-CN"/>
        </w:rPr>
        <w:t>及时清运处理，</w:t>
      </w:r>
      <w:r>
        <w:rPr>
          <w:rFonts w:hint="eastAsia" w:ascii="Times New Roman" w:hAnsi="Times New Roman" w:eastAsia="宋体" w:cs="Times New Roman"/>
          <w:color w:val="auto"/>
          <w:spacing w:val="0"/>
          <w:w w:val="100"/>
          <w:kern w:val="0"/>
          <w:position w:val="0"/>
          <w:sz w:val="24"/>
          <w:u w:val="none" w:color="auto"/>
          <w:lang w:val="en-US" w:eastAsia="zh-CN"/>
        </w:rPr>
        <w:t>严禁向湿地倾倒固体废物。同时</w:t>
      </w:r>
      <w:r>
        <w:rPr>
          <w:rFonts w:hint="default" w:ascii="Times New Roman" w:hAnsi="Times New Roman" w:eastAsia="宋体" w:cs="Times New Roman"/>
          <w:color w:val="auto"/>
          <w:spacing w:val="0"/>
          <w:w w:val="100"/>
          <w:kern w:val="0"/>
          <w:position w:val="0"/>
          <w:sz w:val="24"/>
          <w:highlight w:val="none"/>
          <w:u w:val="none" w:color="auto"/>
          <w:lang w:val="en-US" w:eastAsia="zh-CN"/>
        </w:rPr>
        <w:t>建设方和施工单位应</w:t>
      </w:r>
      <w:r>
        <w:rPr>
          <w:rFonts w:hint="default" w:ascii="Times New Roman" w:hAnsi="Times New Roman" w:eastAsia="宋体" w:cs="Times New Roman"/>
          <w:color w:val="auto"/>
          <w:spacing w:val="0"/>
          <w:w w:val="100"/>
          <w:kern w:val="0"/>
          <w:position w:val="0"/>
          <w:sz w:val="24"/>
          <w:u w:val="none" w:color="auto"/>
          <w:lang w:val="en-US" w:eastAsia="zh-CN"/>
        </w:rPr>
        <w:t>加强施工期</w:t>
      </w:r>
      <w:r>
        <w:rPr>
          <w:rFonts w:hint="eastAsia" w:ascii="Times New Roman" w:hAnsi="Times New Roman" w:eastAsia="宋体" w:cs="Times New Roman"/>
          <w:color w:val="auto"/>
          <w:spacing w:val="0"/>
          <w:w w:val="100"/>
          <w:kern w:val="0"/>
          <w:position w:val="0"/>
          <w:sz w:val="24"/>
          <w:u w:val="none" w:color="auto"/>
          <w:lang w:val="en-US" w:eastAsia="zh-CN"/>
        </w:rPr>
        <w:t>和运营期</w:t>
      </w:r>
      <w:r>
        <w:rPr>
          <w:rFonts w:hint="default" w:ascii="Times New Roman" w:hAnsi="Times New Roman" w:eastAsia="宋体" w:cs="Times New Roman"/>
          <w:color w:val="auto"/>
          <w:spacing w:val="0"/>
          <w:w w:val="100"/>
          <w:kern w:val="0"/>
          <w:position w:val="0"/>
          <w:sz w:val="24"/>
          <w:u w:val="none" w:color="auto"/>
          <w:lang w:val="en-US" w:eastAsia="zh-CN"/>
        </w:rPr>
        <w:t>管理，</w:t>
      </w:r>
      <w:r>
        <w:rPr>
          <w:rFonts w:hint="eastAsia" w:ascii="Times New Roman" w:hAnsi="Times New Roman" w:eastAsia="宋体" w:cs="Times New Roman"/>
          <w:color w:val="auto"/>
          <w:spacing w:val="0"/>
          <w:w w:val="100"/>
          <w:kern w:val="0"/>
          <w:position w:val="0"/>
          <w:sz w:val="24"/>
          <w:u w:val="none" w:color="auto"/>
          <w:lang w:val="en-US" w:eastAsia="zh-CN"/>
        </w:rPr>
        <w:t>禁止放牧或</w:t>
      </w:r>
      <w:r>
        <w:rPr>
          <w:rFonts w:hint="eastAsia" w:ascii="Times New Roman" w:hAnsi="Times New Roman" w:eastAsia="宋体" w:cs="Times New Roman"/>
          <w:color w:val="auto"/>
          <w:spacing w:val="0"/>
          <w:w w:val="100"/>
          <w:kern w:val="0"/>
          <w:position w:val="0"/>
          <w:sz w:val="24"/>
          <w:highlight w:val="none"/>
          <w:u w:val="none" w:color="auto"/>
          <w:lang w:val="en-US" w:eastAsia="zh-CN"/>
        </w:rPr>
        <w:t>滥采野生植物、过度捕捞或者灭绝式捕捞，过度施肥、投药、投放饵料等污染湿地的种植养殖行为。</w:t>
      </w:r>
    </w:p>
    <w:p w14:paraId="1121BB1F">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color w:val="auto"/>
          <w:spacing w:val="0"/>
          <w:w w:val="100"/>
          <w:kern w:val="0"/>
          <w:position w:val="0"/>
          <w:sz w:val="24"/>
          <w:highlight w:val="none"/>
          <w:u w:val="none" w:color="auto"/>
          <w:lang w:val="en-US" w:eastAsia="zh-CN"/>
        </w:rPr>
        <w:t>综上，本项目建设符合《中华人民共和国湿地保护法》相关要求。</w:t>
      </w:r>
    </w:p>
    <w:p w14:paraId="53B7A3BD">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（4）</w:t>
      </w:r>
      <w:r>
        <w:rPr>
          <w:rFonts w:hint="eastAsia" w:ascii="Times New Roman" w:hAnsi="Times New Roman" w:eastAsia="宋体" w:cs="Times New Roman"/>
          <w:b/>
          <w:bCs/>
          <w:color w:val="auto"/>
          <w:spacing w:val="0"/>
          <w:w w:val="100"/>
          <w:kern w:val="0"/>
          <w:position w:val="0"/>
          <w:sz w:val="24"/>
          <w:u w:val="none" w:color="auto"/>
          <w:lang w:val="en-US" w:eastAsia="zh-CN"/>
        </w:rPr>
        <w:t>与</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《国家</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级自然</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公园管理办法》</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的符合性分析</w:t>
      </w:r>
    </w:p>
    <w:p w14:paraId="044E7862">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line="360" w:lineRule="auto"/>
        <w:ind w:left="0" w:right="0" w:firstLine="420"/>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pPr>
      <w:r>
        <w:rPr>
          <w:rFonts w:hint="eastAsia" w:ascii="Times New Roman" w:hAnsi="Times New Roman" w:eastAsia="宋体" w:cs="Times New Roman"/>
          <w:color w:val="auto"/>
          <w:spacing w:val="0"/>
          <w:w w:val="100"/>
          <w:kern w:val="0"/>
          <w:position w:val="0"/>
          <w:sz w:val="24"/>
          <w:highlight w:val="none"/>
          <w:u w:val="none" w:color="auto"/>
          <w:lang w:val="en-US" w:eastAsia="zh-CN"/>
        </w:rPr>
        <w:t>根据</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w:t>
      </w:r>
      <w:r>
        <w:rPr>
          <w:rFonts w:hint="eastAsia" w:ascii="Times New Roman" w:hAnsi="Times New Roman" w:eastAsia="宋体" w:cs="Times New Roman"/>
          <w:color w:val="auto"/>
          <w:spacing w:val="0"/>
          <w:w w:val="100"/>
          <w:kern w:val="0"/>
          <w:position w:val="0"/>
          <w:sz w:val="24"/>
          <w:highlight w:val="none"/>
          <w:u w:val="none" w:color="auto"/>
          <w:lang w:val="en-US" w:eastAsia="zh-CN"/>
        </w:rPr>
        <w:t>级自然公园管理办法》“</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第十四条　国家级自然公园按照一般控制区管理，可结合自然公园规划编制，分区细化差别化的管理要求......合理利用区以开展自然体验、科普教育、观光游览、休闲健身等旅游活动为主要功能，兼顾自然公园内居民和其他合法权益主体的正常生产生活和资源利用。不得规划房地产、高尔夫球场、开发区等开发项目以及与保护管理目标不一致的旅游项目。严格控制索道、滑雪场、游乐场以及人造景观等对生态和景观影响较大的建设项目，确需规划的，应当附专题论证报告。”</w:t>
      </w:r>
    </w:p>
    <w:p w14:paraId="0A1C84ED">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w:t>
      </w:r>
      <w:r>
        <w:rPr>
          <w:rFonts w:hint="default" w:ascii="Times New Roman" w:hAnsi="Times New Roman" w:eastAsia="宋体" w:cs="Times New Roman"/>
          <w:color w:val="auto"/>
          <w:spacing w:val="0"/>
          <w:w w:val="100"/>
          <w:kern w:val="0"/>
          <w:position w:val="0"/>
          <w:sz w:val="24"/>
          <w:highlight w:val="none"/>
          <w:u w:val="none" w:color="auto"/>
          <w:lang w:val="en-US" w:eastAsia="zh-CN"/>
        </w:rPr>
        <w:t>水库除险加固工程涉及</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国家湿地公园的合理利用区</w:t>
      </w:r>
      <w:r>
        <w:rPr>
          <w:rFonts w:hint="eastAsia" w:ascii="Times New Roman" w:hAnsi="Times New Roman" w:eastAsia="宋体" w:cs="Times New Roman"/>
          <w:color w:val="auto"/>
          <w:spacing w:val="0"/>
          <w:w w:val="100"/>
          <w:kern w:val="0"/>
          <w:position w:val="0"/>
          <w:sz w:val="24"/>
          <w:highlight w:val="none"/>
          <w:u w:val="none" w:color="auto"/>
          <w:lang w:val="en-US" w:eastAsia="zh-CN"/>
        </w:rPr>
        <w:t>，项目与东湖湿地公园的相对位置关系见附图10</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r>
        <w:rPr>
          <w:rFonts w:hint="eastAsia" w:ascii="Times New Roman" w:hAnsi="Times New Roman" w:eastAsia="宋体" w:cs="Times New Roman"/>
          <w:color w:val="auto"/>
          <w:spacing w:val="0"/>
          <w:w w:val="100"/>
          <w:kern w:val="0"/>
          <w:position w:val="0"/>
          <w:sz w:val="24"/>
          <w:highlight w:val="none"/>
          <w:u w:val="none" w:color="auto"/>
          <w:lang w:val="en-US" w:eastAsia="zh-CN"/>
        </w:rPr>
        <w:t>本项目在</w:t>
      </w:r>
      <w:r>
        <w:rPr>
          <w:rFonts w:hint="default" w:ascii="Times New Roman" w:hAnsi="Times New Roman" w:eastAsia="宋体" w:cs="Times New Roman"/>
          <w:color w:val="auto"/>
          <w:spacing w:val="0"/>
          <w:w w:val="100"/>
          <w:kern w:val="0"/>
          <w:position w:val="0"/>
          <w:sz w:val="24"/>
          <w:highlight w:val="none"/>
          <w:u w:val="none" w:color="auto"/>
          <w:lang w:eastAsia="zh-CN"/>
        </w:rPr>
        <w:t>现有工程基础上进行加固</w:t>
      </w:r>
      <w:r>
        <w:rPr>
          <w:rFonts w:hint="eastAsia" w:ascii="Times New Roman" w:hAnsi="Times New Roman" w:eastAsia="宋体" w:cs="Times New Roman"/>
          <w:color w:val="auto"/>
          <w:spacing w:val="0"/>
          <w:w w:val="100"/>
          <w:kern w:val="0"/>
          <w:position w:val="0"/>
          <w:sz w:val="24"/>
          <w:highlight w:val="none"/>
          <w:u w:val="none" w:color="auto"/>
          <w:lang w:eastAsia="zh-CN"/>
        </w:rPr>
        <w:t>，对确保水库的安全运行，保证下游人民生命财产和重要设施防洪安全具有重大意义。</w:t>
      </w:r>
      <w:r>
        <w:rPr>
          <w:rFonts w:hint="default" w:ascii="Times New Roman" w:hAnsi="Times New Roman" w:eastAsia="宋体" w:cs="Times New Roman"/>
          <w:color w:val="auto"/>
          <w:spacing w:val="0"/>
          <w:w w:val="100"/>
          <w:kern w:val="0"/>
          <w:position w:val="0"/>
          <w:sz w:val="24"/>
          <w:highlight w:val="none"/>
          <w:u w:val="none" w:color="auto"/>
          <w:lang w:val="en-US" w:eastAsia="zh-CN"/>
        </w:rPr>
        <w:t>工程建设</w:t>
      </w:r>
      <w:r>
        <w:rPr>
          <w:rFonts w:hint="eastAsia" w:ascii="Times New Roman" w:hAnsi="Times New Roman" w:eastAsia="宋体" w:cs="Times New Roman"/>
          <w:color w:val="auto"/>
          <w:spacing w:val="0"/>
          <w:w w:val="100"/>
          <w:kern w:val="0"/>
          <w:position w:val="0"/>
          <w:sz w:val="24"/>
          <w:highlight w:val="none"/>
          <w:u w:val="none" w:color="auto"/>
          <w:lang w:val="en-US" w:eastAsia="zh-CN"/>
        </w:rPr>
        <w:t>进一步</w:t>
      </w:r>
      <w:r>
        <w:rPr>
          <w:rFonts w:hint="default" w:ascii="Times New Roman" w:hAnsi="Times New Roman" w:eastAsia="宋体" w:cs="Times New Roman"/>
          <w:color w:val="auto"/>
          <w:spacing w:val="0"/>
          <w:w w:val="100"/>
          <w:kern w:val="0"/>
          <w:position w:val="0"/>
          <w:sz w:val="24"/>
          <w:highlight w:val="none"/>
          <w:u w:val="none" w:color="auto"/>
          <w:lang w:val="en-US" w:eastAsia="zh-CN"/>
        </w:rPr>
        <w:t>保障</w:t>
      </w:r>
      <w:r>
        <w:rPr>
          <w:rFonts w:hint="eastAsia" w:ascii="Times New Roman" w:hAnsi="Times New Roman" w:eastAsia="宋体" w:cs="Times New Roman"/>
          <w:color w:val="auto"/>
          <w:spacing w:val="0"/>
          <w:w w:val="100"/>
          <w:kern w:val="0"/>
          <w:position w:val="0"/>
          <w:sz w:val="24"/>
          <w:highlight w:val="none"/>
          <w:u w:val="none" w:color="auto"/>
          <w:lang w:val="en-US" w:eastAsia="zh-CN"/>
        </w:rPr>
        <w:t>了</w:t>
      </w:r>
      <w:r>
        <w:rPr>
          <w:rFonts w:hint="default" w:ascii="Times New Roman" w:hAnsi="Times New Roman" w:eastAsia="宋体" w:cs="Times New Roman"/>
          <w:color w:val="auto"/>
          <w:spacing w:val="0"/>
          <w:w w:val="100"/>
          <w:kern w:val="0"/>
          <w:position w:val="0"/>
          <w:sz w:val="24"/>
          <w:highlight w:val="none"/>
          <w:u w:val="none" w:color="auto"/>
          <w:lang w:val="en-US" w:eastAsia="zh-CN"/>
        </w:rPr>
        <w:t>湿地公园功能的正常发挥，</w:t>
      </w:r>
      <w:r>
        <w:rPr>
          <w:rFonts w:hint="eastAsia" w:ascii="Times New Roman" w:hAnsi="Times New Roman" w:eastAsia="宋体" w:cs="Times New Roman"/>
          <w:color w:val="auto"/>
          <w:spacing w:val="0"/>
          <w:w w:val="100"/>
          <w:kern w:val="0"/>
          <w:position w:val="0"/>
          <w:sz w:val="24"/>
          <w:highlight w:val="none"/>
          <w:u w:val="none" w:color="auto"/>
          <w:lang w:val="en-US" w:eastAsia="zh-CN"/>
        </w:rPr>
        <w:t>符合合理利用区相关要求。</w:t>
      </w:r>
    </w:p>
    <w:p w14:paraId="1E714758">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line="360" w:lineRule="auto"/>
        <w:ind w:left="0" w:right="0" w:firstLine="420"/>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pP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根据</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w:t>
      </w:r>
      <w:r>
        <w:rPr>
          <w:rFonts w:hint="eastAsia" w:ascii="Times New Roman" w:hAnsi="Times New Roman" w:eastAsia="宋体" w:cs="Times New Roman"/>
          <w:color w:val="auto"/>
          <w:spacing w:val="0"/>
          <w:w w:val="100"/>
          <w:kern w:val="0"/>
          <w:position w:val="0"/>
          <w:sz w:val="24"/>
          <w:highlight w:val="none"/>
          <w:u w:val="none" w:color="auto"/>
          <w:lang w:val="en-US" w:eastAsia="zh-CN"/>
        </w:rPr>
        <w:t>级自然公园管理办法》“</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第十八条　严格保护国家级自然公园内的森林、草原、湿地、荒漠、海洋、水域、生物等珍贵自然资源，以及自然遗迹、自然景观和文物古迹等人文景观。在国家级自然公园内开展相关活动和设施建设，不得擅自改变其自然状态和历史风貌。禁止擅自在国家级自然公园内从事采矿、房地产、开发区、高尔夫球场、风力光伏电场等不符合管控要求的开发活动。禁止违规侵占国家级自然公园，排放不符合水污染物排放标准的工业废水、生活污水及其他的废水、污水，倾倒、堆放、丢弃、遗撒固体废物等污染生态环境的行为。”</w:t>
      </w:r>
    </w:p>
    <w:p w14:paraId="1F74672D">
      <w:pPr>
        <w:numPr>
          <w:ilvl w:val="0"/>
          <w:numId w:val="0"/>
        </w:numPr>
        <w:autoSpaceDE w:val="0"/>
        <w:autoSpaceDN w:val="0"/>
        <w:adjustRightInd w:val="0"/>
        <w:snapToGrid w:val="0"/>
        <w:spacing w:line="360" w:lineRule="auto"/>
        <w:ind w:firstLine="482" w:firstLineChars="200"/>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default" w:ascii="Times New Roman" w:hAnsi="Times New Roman" w:eastAsia="宋体" w:cs="Times New Roman"/>
          <w:color w:val="auto"/>
          <w:spacing w:val="0"/>
          <w:w w:val="100"/>
          <w:kern w:val="0"/>
          <w:position w:val="0"/>
          <w:sz w:val="24"/>
          <w:highlight w:val="none"/>
          <w:u w:val="none" w:color="auto"/>
          <w:lang w:val="en-US" w:eastAsia="zh-CN"/>
        </w:rPr>
        <w:t>施工过程中会对湿地鸟类和野生动物造成暂时性的干扰影响</w:t>
      </w:r>
      <w:r>
        <w:rPr>
          <w:rFonts w:hint="eastAsia" w:ascii="Times New Roman" w:hAnsi="Times New Roman" w:eastAsia="宋体" w:cs="Times New Roman"/>
          <w:color w:val="auto"/>
          <w:spacing w:val="0"/>
          <w:w w:val="100"/>
          <w:kern w:val="0"/>
          <w:position w:val="0"/>
          <w:sz w:val="24"/>
          <w:highlight w:val="none"/>
          <w:u w:val="none" w:color="auto"/>
          <w:lang w:val="en-US" w:eastAsia="zh-CN"/>
        </w:rPr>
        <w:t>，但</w:t>
      </w:r>
      <w:r>
        <w:rPr>
          <w:rFonts w:hint="default" w:ascii="Times New Roman" w:hAnsi="Times New Roman" w:eastAsia="宋体" w:cs="Times New Roman"/>
          <w:color w:val="auto"/>
          <w:spacing w:val="0"/>
          <w:w w:val="100"/>
          <w:kern w:val="0"/>
          <w:position w:val="0"/>
          <w:sz w:val="24"/>
          <w:highlight w:val="none"/>
          <w:u w:val="none" w:color="auto"/>
          <w:lang w:val="en-US" w:eastAsia="zh-CN"/>
        </w:rPr>
        <w:t>随着施工结束，工程对湿地公园的影响逐渐减小。工程占地涉及湿地公园总面积的比例较小，对湿地公园结构影响相对较小，不会损害湿地生态系统功能。</w:t>
      </w:r>
      <w:r>
        <w:rPr>
          <w:rFonts w:hint="eastAsia" w:ascii="Times New Roman" w:hAnsi="Times New Roman" w:eastAsia="宋体" w:cs="Times New Roman"/>
          <w:color w:val="auto"/>
          <w:spacing w:val="0"/>
          <w:w w:val="100"/>
          <w:kern w:val="0"/>
          <w:position w:val="0"/>
          <w:sz w:val="24"/>
          <w:highlight w:val="none"/>
          <w:u w:val="none" w:color="auto"/>
          <w:lang w:val="en-US" w:eastAsia="zh-CN"/>
        </w:rPr>
        <w:t>项目在现有工程基础上进行除险加固，不会改变湿地公园的自然状态和历史风貌。项目不属于</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采矿、房地产、开发区、高尔夫球场、风力光伏电场等不符合管控要求的开发活动。在落实本次评价提出的各项环保措施后，项目废水不外排，固体废物得到妥善处理处置，不会发生倾倒、堆放、丢弃、遗撒固体废物等污染生态环境的行为。</w:t>
      </w:r>
    </w:p>
    <w:p w14:paraId="0813FB2D">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line="360" w:lineRule="auto"/>
        <w:ind w:left="0" w:right="0" w:firstLine="420"/>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pP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根据</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w:t>
      </w:r>
      <w:r>
        <w:rPr>
          <w:rFonts w:hint="eastAsia" w:ascii="Times New Roman" w:hAnsi="Times New Roman" w:eastAsia="宋体" w:cs="Times New Roman"/>
          <w:color w:val="auto"/>
          <w:spacing w:val="0"/>
          <w:w w:val="100"/>
          <w:kern w:val="0"/>
          <w:position w:val="0"/>
          <w:sz w:val="24"/>
          <w:highlight w:val="none"/>
          <w:u w:val="none" w:color="auto"/>
          <w:lang w:val="en-US" w:eastAsia="zh-CN"/>
        </w:rPr>
        <w:t>级自然公园管理办法》“</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第十九条　国家级自然公园范围内除国家重大项目外，仅允许对生态功能不造成破坏的有限人为活动：（一）自然公园内居民和其他合法权益主体依法依规开展的生产生活及设施建设。（二）符合自然公园保护管理要求的文化、体育活动和必要的配套设施建设。（三）符合生态保护红线管控要求的其他活动和设施建设。（四）法律法规和国家政策允许在自然公园内开展的其他活动。”</w:t>
      </w:r>
    </w:p>
    <w:p w14:paraId="1B1C2113">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line="360" w:lineRule="auto"/>
        <w:ind w:left="0" w:right="0" w:firstLine="420"/>
        <w:rPr>
          <w:rFonts w:hint="default" w:ascii="Times New Roman" w:hAnsi="Times New Roman" w:eastAsia="宋体" w:cs="Times New Roman"/>
          <w:color w:val="auto"/>
          <w:spacing w:val="0"/>
          <w:w w:val="100"/>
          <w:kern w:val="0"/>
          <w:position w:val="0"/>
          <w:sz w:val="24"/>
          <w:szCs w:val="22"/>
          <w:highlight w:val="none"/>
          <w:u w:val="none" w:color="auto"/>
          <w:lang w:val="en-US" w:eastAsia="zh-CN" w:bidi="ar-SA"/>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eastAsia" w:ascii="Times New Roman" w:hAnsi="Times New Roman" w:eastAsia="宋体" w:cs="Times New Roman"/>
          <w:b w:val="0"/>
          <w:bCs w:val="0"/>
          <w:color w:val="auto"/>
          <w:spacing w:val="0"/>
          <w:w w:val="100"/>
          <w:kern w:val="0"/>
          <w:position w:val="0"/>
          <w:sz w:val="24"/>
          <w:highlight w:val="none"/>
          <w:u w:val="none" w:color="auto"/>
          <w:lang w:val="en-US" w:eastAsia="zh-CN"/>
        </w:rPr>
        <w:t>本项目为北汊水库除险加固，无法避让自然公园。但项目属于自然公园内的合法权益主体，符合自然公园保护管理要求的配套设施建设，同时项目符合</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生态保护红线管控要求的其他活动和设施建设，属于允许的有限人为活动，符合相关法律法规和国家政策要求。</w:t>
      </w:r>
    </w:p>
    <w:p w14:paraId="2F768A64">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根据</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w:t>
      </w:r>
      <w:r>
        <w:rPr>
          <w:rFonts w:hint="eastAsia" w:ascii="Times New Roman" w:hAnsi="Times New Roman" w:eastAsia="宋体" w:cs="Times New Roman"/>
          <w:color w:val="auto"/>
          <w:spacing w:val="0"/>
          <w:w w:val="100"/>
          <w:kern w:val="0"/>
          <w:position w:val="0"/>
          <w:sz w:val="24"/>
          <w:highlight w:val="none"/>
          <w:u w:val="none" w:color="auto"/>
          <w:lang w:val="en-US" w:eastAsia="zh-CN"/>
        </w:rPr>
        <w:t>级自然公园管理办法》“</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第二十条　在国家级自然公园内开展第十九条规定的活动和设施建设，应当征求国家级自然公园管理单位的意见。其中，国家重大项目建设还应当征求省级以上林业和草原主管部门意见；开展第十九条（三）、（四）项的设施建设，自然公园规划确定的索道、滑雪场、游乐场等对生态和景观影响较大的项目建设，以及考古发掘、古生物化石发掘、航道疏浚清淤、矿产资源勘查等活动，应当征求省级林业和草原主管部门意见。</w:t>
      </w:r>
    </w:p>
    <w:p w14:paraId="0A0E5784">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eastAsia" w:ascii="Times New Roman" w:hAnsi="Times New Roman" w:eastAsia="宋体" w:cs="Times New Roman"/>
          <w:b w:val="0"/>
          <w:bCs w:val="0"/>
          <w:color w:val="auto"/>
          <w:spacing w:val="0"/>
          <w:w w:val="100"/>
          <w:kern w:val="0"/>
          <w:position w:val="0"/>
          <w:sz w:val="24"/>
          <w:highlight w:val="none"/>
          <w:u w:val="none" w:color="auto"/>
          <w:lang w:val="en-US" w:eastAsia="zh-CN"/>
        </w:rPr>
        <w:t>建设方已</w:t>
      </w:r>
      <w:r>
        <w:rPr>
          <w:rFonts w:hint="eastAsia" w:ascii="Times New Roman" w:hAnsi="Times New Roman" w:eastAsia="宋体" w:cs="Times New Roman"/>
          <w:color w:val="auto"/>
          <w:spacing w:val="0"/>
          <w:w w:val="100"/>
          <w:kern w:val="0"/>
          <w:position w:val="0"/>
          <w:sz w:val="24"/>
          <w:szCs w:val="22"/>
          <w:highlight w:val="none"/>
          <w:u w:val="none" w:color="auto"/>
          <w:lang w:val="en-US" w:eastAsia="zh-CN" w:bidi="ar-SA"/>
        </w:rPr>
        <w:t>征求湖南华容东湖国家湿地公园管理所的意见，管理所以《关于“关于请求支持华容县北汊水库除险加固工程项目建设的函”的复函》（附件7），同意拟建项目工程方案。同时</w:t>
      </w:r>
      <w:r>
        <w:rPr>
          <w:rFonts w:hint="default" w:ascii="Times New Roman" w:hAnsi="Times New Roman" w:eastAsia="宋体" w:cs="Times New Roman"/>
          <w:color w:val="auto"/>
          <w:spacing w:val="0"/>
          <w:w w:val="100"/>
          <w:kern w:val="0"/>
          <w:position w:val="0"/>
          <w:sz w:val="24"/>
          <w:highlight w:val="none"/>
          <w:u w:val="none" w:color="auto"/>
          <w:lang w:val="en-US" w:eastAsia="zh-CN"/>
        </w:rPr>
        <w:t>建设单位</w:t>
      </w:r>
      <w:r>
        <w:rPr>
          <w:rFonts w:hint="eastAsia" w:ascii="Times New Roman" w:hAnsi="Times New Roman" w:eastAsia="宋体" w:cs="Times New Roman"/>
          <w:color w:val="auto"/>
          <w:spacing w:val="0"/>
          <w:w w:val="100"/>
          <w:kern w:val="0"/>
          <w:position w:val="0"/>
          <w:sz w:val="24"/>
          <w:highlight w:val="none"/>
          <w:u w:val="none" w:color="auto"/>
          <w:lang w:val="en-US" w:eastAsia="zh-CN"/>
        </w:rPr>
        <w:t>已委托相关资质单位</w:t>
      </w:r>
      <w:r>
        <w:rPr>
          <w:rFonts w:hint="default" w:ascii="Times New Roman" w:hAnsi="Times New Roman" w:eastAsia="宋体" w:cs="Times New Roman"/>
          <w:color w:val="auto"/>
          <w:spacing w:val="0"/>
          <w:w w:val="100"/>
          <w:kern w:val="0"/>
          <w:position w:val="0"/>
          <w:sz w:val="24"/>
          <w:highlight w:val="none"/>
          <w:u w:val="none" w:color="auto"/>
          <w:lang w:val="en-US" w:eastAsia="zh-CN"/>
        </w:rPr>
        <w:t>编制了《</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w:t>
      </w:r>
      <w:r>
        <w:rPr>
          <w:rFonts w:hint="default" w:ascii="Times New Roman" w:hAnsi="Times New Roman" w:eastAsia="宋体" w:cs="Times New Roman"/>
          <w:color w:val="auto"/>
          <w:spacing w:val="0"/>
          <w:w w:val="100"/>
          <w:kern w:val="0"/>
          <w:position w:val="0"/>
          <w:sz w:val="24"/>
          <w:highlight w:val="none"/>
          <w:u w:val="none" w:color="auto"/>
          <w:lang w:val="en-US" w:eastAsia="zh-CN"/>
        </w:rPr>
        <w:t>水库除险加固工程对</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国家湿地公园生态影响评估报告》，</w:t>
      </w:r>
      <w:r>
        <w:rPr>
          <w:rFonts w:hint="eastAsia" w:ascii="Times New Roman" w:hAnsi="Times New Roman" w:eastAsia="宋体" w:cs="Times New Roman"/>
          <w:color w:val="auto"/>
          <w:spacing w:val="0"/>
          <w:w w:val="100"/>
          <w:kern w:val="0"/>
          <w:position w:val="0"/>
          <w:sz w:val="24"/>
          <w:highlight w:val="none"/>
          <w:u w:val="none" w:color="auto"/>
          <w:lang w:val="en-US" w:eastAsia="zh-CN"/>
        </w:rPr>
        <w:t>正报</w:t>
      </w:r>
      <w:r>
        <w:rPr>
          <w:rFonts w:hint="default" w:ascii="Times New Roman" w:hAnsi="Times New Roman" w:eastAsia="宋体" w:cs="Times New Roman"/>
          <w:color w:val="auto"/>
          <w:spacing w:val="0"/>
          <w:w w:val="100"/>
          <w:kern w:val="0"/>
          <w:position w:val="0"/>
          <w:sz w:val="24"/>
          <w:highlight w:val="none"/>
          <w:u w:val="none" w:color="auto"/>
          <w:lang w:val="en-US" w:eastAsia="zh-CN"/>
        </w:rPr>
        <w:t>湖</w:t>
      </w:r>
      <w:r>
        <w:rPr>
          <w:rFonts w:hint="eastAsia" w:ascii="Times New Roman" w:hAnsi="Times New Roman" w:eastAsia="宋体" w:cs="Times New Roman"/>
          <w:color w:val="auto"/>
          <w:spacing w:val="0"/>
          <w:w w:val="100"/>
          <w:kern w:val="0"/>
          <w:position w:val="0"/>
          <w:sz w:val="24"/>
          <w:highlight w:val="none"/>
          <w:u w:val="none" w:color="auto"/>
          <w:lang w:val="en-US" w:eastAsia="zh-CN"/>
        </w:rPr>
        <w:t>南</w:t>
      </w:r>
      <w:r>
        <w:rPr>
          <w:rFonts w:hint="default" w:ascii="Times New Roman" w:hAnsi="Times New Roman" w:eastAsia="宋体" w:cs="Times New Roman"/>
          <w:color w:val="auto"/>
          <w:spacing w:val="0"/>
          <w:w w:val="100"/>
          <w:kern w:val="0"/>
          <w:position w:val="0"/>
          <w:sz w:val="24"/>
          <w:highlight w:val="none"/>
          <w:u w:val="none" w:color="auto"/>
          <w:lang w:val="en-US" w:eastAsia="zh-CN"/>
        </w:rPr>
        <w:t>省林业局</w:t>
      </w:r>
      <w:r>
        <w:rPr>
          <w:rFonts w:hint="eastAsia" w:ascii="Times New Roman" w:hAnsi="Times New Roman" w:eastAsia="宋体" w:cs="Times New Roman"/>
          <w:color w:val="auto"/>
          <w:spacing w:val="0"/>
          <w:w w:val="100"/>
          <w:kern w:val="0"/>
          <w:position w:val="0"/>
          <w:sz w:val="24"/>
          <w:highlight w:val="none"/>
          <w:u w:val="none" w:color="auto"/>
          <w:lang w:val="en-US" w:eastAsia="zh-CN"/>
        </w:rPr>
        <w:t>审批，征求湖南省林业局意见</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p>
    <w:p w14:paraId="1F3223A3">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bCs/>
          <w:color w:val="FF0000"/>
          <w:spacing w:val="0"/>
          <w:w w:val="100"/>
          <w:kern w:val="0"/>
          <w:position w:val="0"/>
          <w:sz w:val="24"/>
          <w:highlight w:val="none"/>
          <w:u w:val="none" w:color="auto"/>
          <w:lang w:val="en-US"/>
        </w:rPr>
      </w:pPr>
      <w:r>
        <w:rPr>
          <w:rFonts w:hint="eastAsia" w:ascii="Times New Roman" w:hAnsi="Times New Roman" w:eastAsia="宋体" w:cs="Times New Roman"/>
          <w:color w:val="auto"/>
          <w:spacing w:val="0"/>
          <w:w w:val="100"/>
          <w:kern w:val="0"/>
          <w:position w:val="0"/>
          <w:sz w:val="24"/>
          <w:highlight w:val="none"/>
          <w:u w:val="none" w:color="auto"/>
          <w:lang w:val="en-US" w:eastAsia="zh-CN"/>
        </w:rPr>
        <w:t>综上，本项目建设符合</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w:t>
      </w:r>
      <w:r>
        <w:rPr>
          <w:rFonts w:hint="eastAsia" w:ascii="Times New Roman" w:hAnsi="Times New Roman" w:eastAsia="宋体" w:cs="Times New Roman"/>
          <w:color w:val="auto"/>
          <w:spacing w:val="0"/>
          <w:w w:val="100"/>
          <w:kern w:val="0"/>
          <w:position w:val="0"/>
          <w:sz w:val="24"/>
          <w:highlight w:val="none"/>
          <w:u w:val="none" w:color="auto"/>
          <w:lang w:val="en-US" w:eastAsia="zh-CN"/>
        </w:rPr>
        <w:t>级自然公园管理办法》相关要求。</w:t>
      </w:r>
    </w:p>
    <w:p w14:paraId="55C2D039">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（5）</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与《湿地保护管理规定》</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、《国家林业和草原局湿地管理司关于进步加强国家湿地公园征占用备案有关工作的通知》</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的符合性</w:t>
      </w:r>
    </w:p>
    <w:p w14:paraId="71501E76">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微软雅黑" w:cs="Times New Roman"/>
          <w:color w:val="auto"/>
          <w:spacing w:val="0"/>
          <w:w w:val="100"/>
          <w:kern w:val="0"/>
          <w:position w:val="0"/>
          <w:sz w:val="24"/>
          <w:highlight w:val="none"/>
          <w:u w:val="none" w:color="auto"/>
          <w:lang w:val="en-US" w:eastAsia="zh-CN"/>
        </w:rPr>
        <w:t>①</w:t>
      </w:r>
      <w:r>
        <w:rPr>
          <w:rFonts w:hint="eastAsia" w:ascii="Times New Roman" w:hAnsi="Times New Roman" w:eastAsia="宋体" w:cs="Times New Roman"/>
          <w:color w:val="auto"/>
          <w:spacing w:val="0"/>
          <w:w w:val="100"/>
          <w:kern w:val="0"/>
          <w:position w:val="0"/>
          <w:sz w:val="24"/>
          <w:highlight w:val="none"/>
          <w:u w:val="none" w:color="auto"/>
          <w:lang w:val="en-US" w:eastAsia="zh-CN"/>
        </w:rPr>
        <w:t>根据</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《国家林业和草原局湿地管理司关于进步加强国家湿地公园征占用备案有关工作的通知》，</w:t>
      </w:r>
      <w:r>
        <w:rPr>
          <w:rFonts w:hint="eastAsia" w:ascii="Times New Roman" w:hAnsi="Times New Roman" w:eastAsia="宋体" w:cs="Times New Roman"/>
          <w:color w:val="auto"/>
          <w:spacing w:val="0"/>
          <w:w w:val="100"/>
          <w:kern w:val="0"/>
          <w:position w:val="0"/>
          <w:sz w:val="24"/>
          <w:highlight w:val="none"/>
          <w:u w:val="none" w:color="auto"/>
          <w:lang w:val="en-US" w:eastAsia="zh-CN"/>
        </w:rPr>
        <w:t>“一、明确占地项目范围。</w:t>
      </w:r>
      <w:r>
        <w:rPr>
          <w:rFonts w:hint="default" w:ascii="Times New Roman" w:hAnsi="Times New Roman" w:eastAsia="宋体" w:cs="Times New Roman"/>
          <w:color w:val="auto"/>
          <w:spacing w:val="0"/>
          <w:w w:val="100"/>
          <w:kern w:val="0"/>
          <w:position w:val="0"/>
          <w:sz w:val="24"/>
          <w:highlight w:val="none"/>
          <w:u w:val="none" w:color="auto"/>
          <w:lang w:val="en-US" w:eastAsia="zh-CN"/>
        </w:rPr>
        <w:t>禁止擅自征收、占用国家湿地公园的土地。对于中共中央办公厅国务院办公厅印发的《关于在国土空间规划中统筹划定落实三条控制线的指导意见》中规定的对生态功能不造成破坏的有限人为活动，确需征收、占用国家湿地公园的土地，用地单位或有关部门应当征求省级林草主管部门的意见后，方可依法办理相关手续。二、规范占地备案程序</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省级林草主管部门在出具意见之前，要认真研究用地单位提交的工程方案、湿地生态影响评估报告等材料，并视情况组织专家开展现场评估。</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p>
    <w:p w14:paraId="0E1FB85E">
      <w:p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default" w:ascii="Times New Roman" w:hAnsi="Times New Roman" w:eastAsia="宋体" w:cs="Times New Roman"/>
          <w:color w:val="auto"/>
          <w:spacing w:val="0"/>
          <w:w w:val="100"/>
          <w:kern w:val="0"/>
          <w:position w:val="0"/>
          <w:sz w:val="24"/>
          <w:highlight w:val="none"/>
          <w:u w:val="none" w:color="auto"/>
          <w:lang w:val="en-US" w:eastAsia="zh-CN"/>
        </w:rPr>
        <w:t>建设单位</w:t>
      </w:r>
      <w:r>
        <w:rPr>
          <w:rFonts w:hint="eastAsia" w:ascii="Times New Roman" w:hAnsi="Times New Roman" w:eastAsia="宋体" w:cs="Times New Roman"/>
          <w:color w:val="auto"/>
          <w:spacing w:val="0"/>
          <w:w w:val="100"/>
          <w:kern w:val="0"/>
          <w:position w:val="0"/>
          <w:sz w:val="24"/>
          <w:highlight w:val="none"/>
          <w:u w:val="none" w:color="auto"/>
          <w:lang w:val="en-US" w:eastAsia="zh-CN"/>
        </w:rPr>
        <w:t>已委托相关资质单位</w:t>
      </w:r>
      <w:r>
        <w:rPr>
          <w:rFonts w:hint="default" w:ascii="Times New Roman" w:hAnsi="Times New Roman" w:eastAsia="宋体" w:cs="Times New Roman"/>
          <w:color w:val="auto"/>
          <w:spacing w:val="0"/>
          <w:w w:val="100"/>
          <w:kern w:val="0"/>
          <w:position w:val="0"/>
          <w:sz w:val="24"/>
          <w:highlight w:val="none"/>
          <w:u w:val="none" w:color="auto"/>
          <w:lang w:val="en-US" w:eastAsia="zh-CN"/>
        </w:rPr>
        <w:t>编制了《</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w:t>
      </w:r>
      <w:r>
        <w:rPr>
          <w:rFonts w:hint="default" w:ascii="Times New Roman" w:hAnsi="Times New Roman" w:eastAsia="宋体" w:cs="Times New Roman"/>
          <w:color w:val="auto"/>
          <w:spacing w:val="0"/>
          <w:w w:val="100"/>
          <w:kern w:val="0"/>
          <w:position w:val="0"/>
          <w:sz w:val="24"/>
          <w:highlight w:val="none"/>
          <w:u w:val="none" w:color="auto"/>
          <w:lang w:val="en-US" w:eastAsia="zh-CN"/>
        </w:rPr>
        <w:t>水库除险加固工程对</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国家湿地公园生态影响评估报告》，</w:t>
      </w:r>
      <w:r>
        <w:rPr>
          <w:rFonts w:hint="eastAsia" w:ascii="Times New Roman" w:hAnsi="Times New Roman" w:eastAsia="宋体" w:cs="Times New Roman"/>
          <w:color w:val="auto"/>
          <w:spacing w:val="0"/>
          <w:w w:val="100"/>
          <w:kern w:val="0"/>
          <w:position w:val="0"/>
          <w:sz w:val="24"/>
          <w:highlight w:val="none"/>
          <w:u w:val="none" w:color="auto"/>
          <w:lang w:val="en-US" w:eastAsia="zh-CN"/>
        </w:rPr>
        <w:t>正报</w:t>
      </w:r>
      <w:r>
        <w:rPr>
          <w:rFonts w:hint="default" w:ascii="Times New Roman" w:hAnsi="Times New Roman" w:eastAsia="宋体" w:cs="Times New Roman"/>
          <w:color w:val="auto"/>
          <w:spacing w:val="0"/>
          <w:w w:val="100"/>
          <w:kern w:val="0"/>
          <w:position w:val="0"/>
          <w:sz w:val="24"/>
          <w:highlight w:val="none"/>
          <w:u w:val="none" w:color="auto"/>
          <w:lang w:val="en-US" w:eastAsia="zh-CN"/>
        </w:rPr>
        <w:t>湖</w:t>
      </w:r>
      <w:r>
        <w:rPr>
          <w:rFonts w:hint="eastAsia" w:ascii="Times New Roman" w:hAnsi="Times New Roman" w:eastAsia="宋体" w:cs="Times New Roman"/>
          <w:color w:val="auto"/>
          <w:spacing w:val="0"/>
          <w:w w:val="100"/>
          <w:kern w:val="0"/>
          <w:position w:val="0"/>
          <w:sz w:val="24"/>
          <w:highlight w:val="none"/>
          <w:u w:val="none" w:color="auto"/>
          <w:lang w:val="en-US" w:eastAsia="zh-CN"/>
        </w:rPr>
        <w:t>南</w:t>
      </w:r>
      <w:r>
        <w:rPr>
          <w:rFonts w:hint="default" w:ascii="Times New Roman" w:hAnsi="Times New Roman" w:eastAsia="宋体" w:cs="Times New Roman"/>
          <w:color w:val="auto"/>
          <w:spacing w:val="0"/>
          <w:w w:val="100"/>
          <w:kern w:val="0"/>
          <w:position w:val="0"/>
          <w:sz w:val="24"/>
          <w:highlight w:val="none"/>
          <w:u w:val="none" w:color="auto"/>
          <w:lang w:val="en-US" w:eastAsia="zh-CN"/>
        </w:rPr>
        <w:t>省林业局</w:t>
      </w:r>
      <w:r>
        <w:rPr>
          <w:rFonts w:hint="eastAsia" w:ascii="Times New Roman" w:hAnsi="Times New Roman" w:eastAsia="宋体" w:cs="Times New Roman"/>
          <w:color w:val="auto"/>
          <w:spacing w:val="0"/>
          <w:w w:val="100"/>
          <w:kern w:val="0"/>
          <w:position w:val="0"/>
          <w:sz w:val="24"/>
          <w:highlight w:val="none"/>
          <w:u w:val="none" w:color="auto"/>
          <w:lang w:val="en-US" w:eastAsia="zh-CN"/>
        </w:rPr>
        <w:t>审批</w:t>
      </w:r>
      <w:r>
        <w:rPr>
          <w:rFonts w:hint="default" w:ascii="Times New Roman" w:hAnsi="Times New Roman" w:eastAsia="宋体" w:cs="Times New Roman"/>
          <w:color w:val="auto"/>
          <w:spacing w:val="0"/>
          <w:w w:val="100"/>
          <w:kern w:val="0"/>
          <w:position w:val="0"/>
          <w:sz w:val="24"/>
          <w:highlight w:val="none"/>
          <w:u w:val="none" w:color="auto"/>
          <w:lang w:val="en-US" w:eastAsia="zh-CN"/>
        </w:rPr>
        <w:t>。综上，本工程与湿地相关管理规定相符。</w:t>
      </w:r>
    </w:p>
    <w:p w14:paraId="57FC4EF2">
      <w:pPr>
        <w:autoSpaceDE w:val="0"/>
        <w:autoSpaceDN w:val="0"/>
        <w:adjustRightInd w:val="0"/>
        <w:snapToGrid w:val="0"/>
        <w:spacing w:line="360" w:lineRule="auto"/>
        <w:ind w:firstLine="480" w:firstLineChars="200"/>
        <w:rPr>
          <w:rFonts w:hint="eastAsia"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 </w:t>
      </w:r>
      <w:r>
        <w:rPr>
          <w:rFonts w:hint="default" w:ascii="Times New Roman" w:hAnsi="Times New Roman" w:eastAsia="微软雅黑" w:cs="Times New Roman"/>
          <w:color w:val="auto"/>
          <w:spacing w:val="0"/>
          <w:w w:val="100"/>
          <w:kern w:val="0"/>
          <w:position w:val="0"/>
          <w:sz w:val="24"/>
          <w:highlight w:val="none"/>
          <w:u w:val="none" w:color="auto"/>
          <w:lang w:val="en-US" w:eastAsia="zh-CN"/>
        </w:rPr>
        <w:t>②</w:t>
      </w:r>
      <w:r>
        <w:rPr>
          <w:rFonts w:hint="default" w:ascii="Times New Roman" w:hAnsi="Times New Roman" w:eastAsia="宋体" w:cs="Times New Roman"/>
          <w:color w:val="auto"/>
          <w:spacing w:val="0"/>
          <w:w w:val="100"/>
          <w:kern w:val="0"/>
          <w:position w:val="0"/>
          <w:sz w:val="24"/>
          <w:highlight w:val="none"/>
          <w:u w:val="none" w:color="auto"/>
          <w:lang w:val="en-US" w:eastAsia="zh-CN"/>
        </w:rPr>
        <w:t>《湿地保护管理规定》</w:t>
      </w:r>
      <w:r>
        <w:rPr>
          <w:rFonts w:hint="eastAsia" w:ascii="Times New Roman" w:hAnsi="Times New Roman" w:eastAsia="宋体" w:cs="Times New Roman"/>
          <w:color w:val="auto"/>
          <w:spacing w:val="0"/>
          <w:w w:val="100"/>
          <w:kern w:val="0"/>
          <w:position w:val="0"/>
          <w:sz w:val="24"/>
          <w:highlight w:val="none"/>
          <w:u w:val="none" w:color="auto"/>
          <w:lang w:val="en-US" w:eastAsia="zh-CN"/>
        </w:rPr>
        <w:t>第三十一条规定，除法律法规有特别规定的以外，在湿地内禁止从事下列活动：开(围)垦湿地，放牧、捕捞；填埋、排干湿地或者擅自改变湿地用途；取用或者截断湿地水源；挖砂、取土、开矿；排放生活污水、工业废水；破坏野生动物栖息地、鱼类洄游通道，采挖野生植物或者猎捕野生动物；弓|进外来物种；其他破坏湿地及其生态功能的活动。</w:t>
      </w:r>
    </w:p>
    <w:p w14:paraId="40663CE6">
      <w:pPr>
        <w:autoSpaceDE w:val="0"/>
        <w:autoSpaceDN w:val="0"/>
        <w:adjustRightInd w:val="0"/>
        <w:snapToGrid w:val="0"/>
        <w:spacing w:line="360" w:lineRule="auto"/>
        <w:ind w:firstLine="482"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eastAsia" w:ascii="Times New Roman" w:hAnsi="Times New Roman" w:eastAsia="宋体" w:cs="Times New Roman"/>
          <w:b/>
          <w:bCs/>
          <w:color w:val="auto"/>
          <w:spacing w:val="0"/>
          <w:w w:val="100"/>
          <w:kern w:val="0"/>
          <w:position w:val="0"/>
          <w:sz w:val="24"/>
          <w:highlight w:val="none"/>
          <w:u w:val="none" w:color="auto"/>
          <w:lang w:val="en-US" w:eastAsia="zh-CN"/>
        </w:rPr>
        <w:t>符合性：</w:t>
      </w:r>
      <w:r>
        <w:rPr>
          <w:rFonts w:hint="default" w:ascii="Times New Roman" w:hAnsi="Times New Roman" w:eastAsia="宋体" w:cs="Times New Roman"/>
          <w:color w:val="auto"/>
          <w:spacing w:val="0"/>
          <w:w w:val="100"/>
          <w:kern w:val="0"/>
          <w:position w:val="0"/>
          <w:sz w:val="24"/>
          <w:highlight w:val="none"/>
          <w:u w:val="none" w:color="auto"/>
          <w:lang w:val="en-US" w:eastAsia="zh-CN"/>
        </w:rPr>
        <w:t>本项目</w:t>
      </w:r>
      <w:r>
        <w:rPr>
          <w:rFonts w:hint="eastAsia" w:ascii="Times New Roman" w:hAnsi="Times New Roman" w:eastAsia="宋体" w:cs="Times New Roman"/>
          <w:color w:val="auto"/>
          <w:spacing w:val="0"/>
          <w:w w:val="100"/>
          <w:kern w:val="0"/>
          <w:position w:val="0"/>
          <w:sz w:val="24"/>
          <w:highlight w:val="none"/>
          <w:u w:val="none" w:color="auto"/>
          <w:lang w:val="en-US" w:eastAsia="zh-CN"/>
        </w:rPr>
        <w:t>为北汊水库除险加固，</w:t>
      </w:r>
      <w:r>
        <w:rPr>
          <w:rFonts w:hint="default" w:ascii="Times New Roman" w:hAnsi="Times New Roman" w:eastAsia="宋体" w:cs="Times New Roman"/>
          <w:color w:val="auto"/>
          <w:spacing w:val="0"/>
          <w:w w:val="100"/>
          <w:kern w:val="0"/>
          <w:position w:val="0"/>
          <w:sz w:val="24"/>
          <w:highlight w:val="none"/>
          <w:u w:val="none" w:color="auto"/>
          <w:lang w:eastAsia="zh-CN"/>
        </w:rPr>
        <w:t>施工期在现有工程基础上进行加固</w:t>
      </w:r>
      <w:r>
        <w:rPr>
          <w:rFonts w:hint="eastAsia" w:ascii="Times New Roman" w:hAnsi="Times New Roman" w:eastAsia="宋体" w:cs="Times New Roman"/>
          <w:color w:val="auto"/>
          <w:spacing w:val="0"/>
          <w:w w:val="100"/>
          <w:kern w:val="0"/>
          <w:position w:val="0"/>
          <w:sz w:val="24"/>
          <w:highlight w:val="none"/>
          <w:u w:val="none" w:color="auto"/>
          <w:lang w:eastAsia="zh-CN"/>
        </w:rPr>
        <w:t>，不存在</w:t>
      </w:r>
      <w:r>
        <w:rPr>
          <w:rFonts w:hint="default" w:ascii="Times New Roman" w:hAnsi="Times New Roman" w:eastAsia="宋体" w:cs="Times New Roman"/>
          <w:color w:val="auto"/>
          <w:spacing w:val="0"/>
          <w:w w:val="100"/>
          <w:kern w:val="0"/>
          <w:position w:val="0"/>
          <w:sz w:val="24"/>
          <w:highlight w:val="none"/>
          <w:u w:val="none" w:color="auto"/>
          <w:lang w:val="en-US" w:eastAsia="zh-CN"/>
        </w:rPr>
        <w:t>开（围）垦、填埋或者排干湿地，截断湿地水源</w:t>
      </w:r>
      <w:r>
        <w:rPr>
          <w:rFonts w:hint="eastAsia" w:ascii="Times New Roman" w:hAnsi="Times New Roman" w:eastAsia="宋体" w:cs="Times New Roman"/>
          <w:color w:val="auto"/>
          <w:spacing w:val="0"/>
          <w:w w:val="100"/>
          <w:kern w:val="0"/>
          <w:position w:val="0"/>
          <w:sz w:val="24"/>
          <w:highlight w:val="none"/>
          <w:u w:val="none" w:color="auto"/>
          <w:lang w:val="en-US" w:eastAsia="zh-CN"/>
        </w:rPr>
        <w:t>等行为。</w:t>
      </w:r>
      <w:r>
        <w:rPr>
          <w:rFonts w:hint="default" w:ascii="Times New Roman" w:hAnsi="Times New Roman" w:eastAsia="宋体" w:cs="Times New Roman"/>
          <w:color w:val="auto"/>
          <w:spacing w:val="0"/>
          <w:w w:val="100"/>
          <w:kern w:val="0"/>
          <w:position w:val="0"/>
          <w:sz w:val="24"/>
          <w:highlight w:val="none"/>
          <w:u w:val="none" w:color="auto"/>
          <w:lang w:eastAsia="zh-CN"/>
        </w:rPr>
        <w:t>施工用石、砂、混凝土等原料均为项目周边外购的合法原材料，</w:t>
      </w:r>
      <w:r>
        <w:rPr>
          <w:rFonts w:hint="eastAsia" w:ascii="Times New Roman" w:hAnsi="Times New Roman" w:eastAsia="宋体" w:cs="Times New Roman"/>
          <w:color w:val="auto"/>
          <w:spacing w:val="0"/>
          <w:w w:val="100"/>
          <w:kern w:val="0"/>
          <w:position w:val="0"/>
          <w:sz w:val="24"/>
          <w:highlight w:val="none"/>
          <w:u w:val="none" w:color="auto"/>
          <w:lang w:eastAsia="zh-CN"/>
        </w:rPr>
        <w:t>施工用土取自项目一副坝北侧约</w:t>
      </w:r>
      <w:r>
        <w:rPr>
          <w:rFonts w:hint="eastAsia" w:ascii="Times New Roman" w:hAnsi="Times New Roman" w:eastAsia="宋体" w:cs="Times New Roman"/>
          <w:color w:val="auto"/>
          <w:spacing w:val="0"/>
          <w:w w:val="100"/>
          <w:kern w:val="0"/>
          <w:position w:val="0"/>
          <w:sz w:val="24"/>
          <w:highlight w:val="none"/>
          <w:u w:val="none" w:color="auto"/>
          <w:lang w:val="en-US" w:eastAsia="zh-CN"/>
        </w:rPr>
        <w:t>500m的侯家岭取土场（不在湿地范围内），未在国家湿地公园内进行</w:t>
      </w:r>
      <w:r>
        <w:rPr>
          <w:rFonts w:hint="default" w:ascii="Times New Roman" w:hAnsi="Times New Roman" w:eastAsia="宋体" w:cs="Times New Roman"/>
          <w:color w:val="auto"/>
          <w:spacing w:val="0"/>
          <w:w w:val="100"/>
          <w:kern w:val="0"/>
          <w:position w:val="0"/>
          <w:sz w:val="24"/>
          <w:highlight w:val="none"/>
          <w:u w:val="none" w:color="auto"/>
          <w:lang w:val="en-US" w:eastAsia="zh-CN"/>
        </w:rPr>
        <w:t>挖沙、</w:t>
      </w:r>
      <w:r>
        <w:rPr>
          <w:rFonts w:hint="eastAsia" w:ascii="Times New Roman" w:hAnsi="Times New Roman" w:eastAsia="宋体" w:cs="Times New Roman"/>
          <w:color w:val="auto"/>
          <w:spacing w:val="0"/>
          <w:w w:val="100"/>
          <w:kern w:val="0"/>
          <w:position w:val="0"/>
          <w:sz w:val="24"/>
          <w:highlight w:val="none"/>
          <w:u w:val="none" w:color="auto"/>
          <w:lang w:val="en-US" w:eastAsia="zh-CN"/>
        </w:rPr>
        <w:t>取土、</w:t>
      </w:r>
      <w:r>
        <w:rPr>
          <w:rFonts w:hint="default" w:ascii="Times New Roman" w:hAnsi="Times New Roman" w:eastAsia="宋体" w:cs="Times New Roman"/>
          <w:color w:val="auto"/>
          <w:spacing w:val="0"/>
          <w:w w:val="100"/>
          <w:kern w:val="0"/>
          <w:position w:val="0"/>
          <w:sz w:val="24"/>
          <w:highlight w:val="none"/>
          <w:u w:val="none" w:color="auto"/>
          <w:lang w:val="en-US" w:eastAsia="zh-CN"/>
        </w:rPr>
        <w:t>采矿</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u w:val="none" w:color="auto"/>
          <w:lang w:val="en-US" w:eastAsia="zh-CN"/>
        </w:rPr>
        <w:t>本工程施工期生产生活污水均不外</w:t>
      </w:r>
      <w:r>
        <w:rPr>
          <w:rFonts w:hint="default" w:ascii="Times New Roman" w:hAnsi="Times New Roman" w:eastAsia="宋体" w:cs="Times New Roman"/>
          <w:color w:val="auto"/>
          <w:spacing w:val="0"/>
          <w:w w:val="100"/>
          <w:kern w:val="0"/>
          <w:position w:val="0"/>
          <w:sz w:val="24"/>
          <w:szCs w:val="24"/>
          <w:u w:val="none" w:color="auto"/>
          <w:lang w:val="en-US" w:eastAsia="zh-CN"/>
        </w:rPr>
        <w:t>排，</w:t>
      </w:r>
      <w:r>
        <w:rPr>
          <w:rFonts w:hint="default" w:ascii="Times New Roman" w:hAnsi="Times New Roman" w:eastAsia="宋体" w:cs="Times New Roman"/>
          <w:color w:val="auto"/>
          <w:spacing w:val="0"/>
          <w:w w:val="100"/>
          <w:kern w:val="0"/>
          <w:position w:val="0"/>
          <w:sz w:val="24"/>
          <w:u w:val="none" w:color="auto"/>
          <w:lang w:val="en-US" w:eastAsia="zh-CN"/>
        </w:rPr>
        <w:t>施工弃渣、施工人员生活垃圾和建筑垃圾等</w:t>
      </w:r>
      <w:r>
        <w:rPr>
          <w:rFonts w:hint="eastAsia" w:ascii="Times New Roman" w:hAnsi="Times New Roman" w:eastAsia="宋体" w:cs="Times New Roman"/>
          <w:color w:val="auto"/>
          <w:spacing w:val="0"/>
          <w:w w:val="100"/>
          <w:kern w:val="0"/>
          <w:position w:val="0"/>
          <w:sz w:val="24"/>
          <w:u w:val="none" w:color="auto"/>
          <w:lang w:val="en-US" w:eastAsia="zh-CN"/>
        </w:rPr>
        <w:t>均</w:t>
      </w:r>
      <w:r>
        <w:rPr>
          <w:rFonts w:hint="default" w:ascii="Times New Roman" w:hAnsi="Times New Roman" w:eastAsia="宋体" w:cs="Times New Roman"/>
          <w:color w:val="auto"/>
          <w:spacing w:val="0"/>
          <w:w w:val="100"/>
          <w:kern w:val="0"/>
          <w:position w:val="0"/>
          <w:sz w:val="24"/>
          <w:u w:val="none" w:color="auto"/>
          <w:lang w:val="en-US" w:eastAsia="zh-CN"/>
        </w:rPr>
        <w:t>及时清运处理，</w:t>
      </w:r>
      <w:r>
        <w:rPr>
          <w:rFonts w:hint="eastAsia" w:ascii="Times New Roman" w:hAnsi="Times New Roman" w:eastAsia="宋体" w:cs="Times New Roman"/>
          <w:color w:val="auto"/>
          <w:spacing w:val="0"/>
          <w:w w:val="100"/>
          <w:kern w:val="0"/>
          <w:position w:val="0"/>
          <w:sz w:val="24"/>
          <w:u w:val="none" w:color="auto"/>
          <w:lang w:val="en-US" w:eastAsia="zh-CN"/>
        </w:rPr>
        <w:t>严禁向湿地倾倒固体废物。项目符合主体功能定位，同时</w:t>
      </w:r>
      <w:r>
        <w:rPr>
          <w:rFonts w:hint="default" w:ascii="Times New Roman" w:hAnsi="Times New Roman" w:eastAsia="宋体" w:cs="Times New Roman"/>
          <w:color w:val="auto"/>
          <w:spacing w:val="0"/>
          <w:w w:val="100"/>
          <w:kern w:val="0"/>
          <w:position w:val="0"/>
          <w:sz w:val="24"/>
          <w:highlight w:val="none"/>
          <w:u w:val="none" w:color="auto"/>
          <w:lang w:val="en-US" w:eastAsia="zh-CN"/>
        </w:rPr>
        <w:t>建设方和施工单位应</w:t>
      </w:r>
      <w:r>
        <w:rPr>
          <w:rFonts w:hint="default" w:ascii="Times New Roman" w:hAnsi="Times New Roman" w:eastAsia="宋体" w:cs="Times New Roman"/>
          <w:color w:val="auto"/>
          <w:spacing w:val="0"/>
          <w:w w:val="100"/>
          <w:kern w:val="0"/>
          <w:position w:val="0"/>
          <w:sz w:val="24"/>
          <w:u w:val="none" w:color="auto"/>
          <w:lang w:val="en-US" w:eastAsia="zh-CN"/>
        </w:rPr>
        <w:t>加强施工期</w:t>
      </w:r>
      <w:r>
        <w:rPr>
          <w:rFonts w:hint="eastAsia" w:ascii="Times New Roman" w:hAnsi="Times New Roman" w:eastAsia="宋体" w:cs="Times New Roman"/>
          <w:color w:val="auto"/>
          <w:spacing w:val="0"/>
          <w:w w:val="100"/>
          <w:kern w:val="0"/>
          <w:position w:val="0"/>
          <w:sz w:val="24"/>
          <w:u w:val="none" w:color="auto"/>
          <w:lang w:val="en-US" w:eastAsia="zh-CN"/>
        </w:rPr>
        <w:t>和运营期</w:t>
      </w:r>
      <w:r>
        <w:rPr>
          <w:rFonts w:hint="default" w:ascii="Times New Roman" w:hAnsi="Times New Roman" w:eastAsia="宋体" w:cs="Times New Roman"/>
          <w:color w:val="auto"/>
          <w:spacing w:val="0"/>
          <w:w w:val="100"/>
          <w:kern w:val="0"/>
          <w:position w:val="0"/>
          <w:sz w:val="24"/>
          <w:u w:val="none" w:color="auto"/>
          <w:lang w:val="en-US" w:eastAsia="zh-CN"/>
        </w:rPr>
        <w:t>管理，</w:t>
      </w:r>
      <w:r>
        <w:rPr>
          <w:rFonts w:hint="eastAsia" w:ascii="Times New Roman" w:hAnsi="Times New Roman" w:eastAsia="宋体" w:cs="Times New Roman"/>
          <w:color w:val="auto"/>
          <w:spacing w:val="0"/>
          <w:w w:val="100"/>
          <w:kern w:val="0"/>
          <w:position w:val="0"/>
          <w:sz w:val="24"/>
          <w:u w:val="none" w:color="auto"/>
          <w:lang w:val="en-US" w:eastAsia="zh-CN"/>
        </w:rPr>
        <w:t>禁止</w:t>
      </w:r>
      <w:r>
        <w:rPr>
          <w:rFonts w:hint="default" w:ascii="Times New Roman" w:hAnsi="Times New Roman" w:eastAsia="宋体" w:cs="Times New Roman"/>
          <w:color w:val="auto"/>
          <w:spacing w:val="0"/>
          <w:w w:val="100"/>
          <w:kern w:val="0"/>
          <w:position w:val="0"/>
          <w:sz w:val="24"/>
          <w:highlight w:val="none"/>
          <w:u w:val="none" w:color="auto"/>
          <w:lang w:val="en-US" w:eastAsia="zh-CN"/>
        </w:rPr>
        <w:t>破坏野生动物栖息地和迁徙通道、鱼类洄游通道，滥采滥捕野生动植物，引入外来物种，擅自放牧、捕捞、取土、取水、排污、放生</w:t>
      </w:r>
      <w:r>
        <w:rPr>
          <w:rFonts w:hint="eastAsia" w:ascii="Times New Roman" w:hAnsi="Times New Roman" w:eastAsia="宋体" w:cs="Times New Roman"/>
          <w:color w:val="auto"/>
          <w:spacing w:val="0"/>
          <w:w w:val="100"/>
          <w:kern w:val="0"/>
          <w:position w:val="0"/>
          <w:sz w:val="24"/>
          <w:highlight w:val="none"/>
          <w:u w:val="none" w:color="auto"/>
          <w:lang w:val="en-US" w:eastAsia="zh-CN"/>
        </w:rPr>
        <w:t>等行为。综上，建设单位应严格落实本次评价提出的各项措施，严禁发生</w:t>
      </w:r>
      <w:r>
        <w:rPr>
          <w:rFonts w:hint="default" w:ascii="Times New Roman" w:hAnsi="Times New Roman" w:eastAsia="宋体" w:cs="Times New Roman"/>
          <w:color w:val="auto"/>
          <w:spacing w:val="0"/>
          <w:w w:val="100"/>
          <w:kern w:val="0"/>
          <w:position w:val="0"/>
          <w:sz w:val="24"/>
          <w:highlight w:val="none"/>
          <w:u w:val="none" w:color="auto"/>
          <w:lang w:val="en-US" w:eastAsia="zh-CN"/>
        </w:rPr>
        <w:t>上述</w:t>
      </w:r>
      <w:r>
        <w:rPr>
          <w:rFonts w:hint="eastAsia" w:ascii="Times New Roman" w:hAnsi="Times New Roman" w:eastAsia="宋体" w:cs="Times New Roman"/>
          <w:color w:val="auto"/>
          <w:spacing w:val="0"/>
          <w:w w:val="100"/>
          <w:kern w:val="0"/>
          <w:position w:val="0"/>
          <w:sz w:val="24"/>
          <w:highlight w:val="none"/>
          <w:u w:val="none" w:color="auto"/>
          <w:lang w:val="en-US" w:eastAsia="zh-CN"/>
        </w:rPr>
        <w:t>规定中</w:t>
      </w: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禁止的活动。 </w:t>
      </w:r>
    </w:p>
    <w:p w14:paraId="0A5F8CA5">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 </w:t>
      </w:r>
      <w:r>
        <w:rPr>
          <w:rFonts w:hint="eastAsia" w:ascii="Times New Roman" w:hAnsi="Times New Roman" w:eastAsia="宋体" w:cs="Times New Roman"/>
          <w:color w:val="auto"/>
          <w:spacing w:val="0"/>
          <w:w w:val="100"/>
          <w:kern w:val="0"/>
          <w:position w:val="0"/>
          <w:sz w:val="24"/>
          <w:highlight w:val="none"/>
          <w:u w:val="none" w:color="auto"/>
          <w:lang w:val="en-US" w:eastAsia="zh-CN"/>
        </w:rPr>
        <w:t>综上，本项目建设方应按要求完成</w:t>
      </w:r>
      <w:r>
        <w:rPr>
          <w:rFonts w:hint="default" w:ascii="Times New Roman" w:hAnsi="Times New Roman" w:eastAsia="宋体" w:cs="Times New Roman"/>
          <w:color w:val="auto"/>
          <w:spacing w:val="0"/>
          <w:w w:val="100"/>
          <w:kern w:val="0"/>
          <w:position w:val="0"/>
          <w:sz w:val="24"/>
          <w:highlight w:val="none"/>
          <w:u w:val="none" w:color="auto"/>
          <w:lang w:val="en-US" w:eastAsia="zh-CN"/>
        </w:rPr>
        <w:t>生态影响评估报告，</w:t>
      </w:r>
      <w:r>
        <w:rPr>
          <w:rFonts w:hint="eastAsia" w:ascii="Times New Roman" w:hAnsi="Times New Roman" w:eastAsia="宋体" w:cs="Times New Roman"/>
          <w:color w:val="auto"/>
          <w:spacing w:val="0"/>
          <w:w w:val="100"/>
          <w:kern w:val="0"/>
          <w:position w:val="0"/>
          <w:sz w:val="24"/>
          <w:highlight w:val="none"/>
          <w:u w:val="none" w:color="auto"/>
          <w:lang w:val="en-US" w:eastAsia="zh-CN"/>
        </w:rPr>
        <w:t>并征求</w:t>
      </w:r>
      <w:r>
        <w:rPr>
          <w:rFonts w:hint="default" w:ascii="Times New Roman" w:hAnsi="Times New Roman" w:eastAsia="宋体" w:cs="Times New Roman"/>
          <w:color w:val="auto"/>
          <w:spacing w:val="0"/>
          <w:w w:val="100"/>
          <w:kern w:val="0"/>
          <w:position w:val="0"/>
          <w:sz w:val="24"/>
          <w:highlight w:val="none"/>
          <w:u w:val="none" w:color="auto"/>
          <w:lang w:val="en-US" w:eastAsia="zh-CN"/>
        </w:rPr>
        <w:t>湖</w:t>
      </w:r>
      <w:r>
        <w:rPr>
          <w:rFonts w:hint="eastAsia" w:ascii="Times New Roman" w:hAnsi="Times New Roman" w:eastAsia="宋体" w:cs="Times New Roman"/>
          <w:color w:val="auto"/>
          <w:spacing w:val="0"/>
          <w:w w:val="100"/>
          <w:kern w:val="0"/>
          <w:position w:val="0"/>
          <w:sz w:val="24"/>
          <w:highlight w:val="none"/>
          <w:u w:val="none" w:color="auto"/>
          <w:lang w:val="en-US" w:eastAsia="zh-CN"/>
        </w:rPr>
        <w:t>南</w:t>
      </w:r>
      <w:r>
        <w:rPr>
          <w:rFonts w:hint="default" w:ascii="Times New Roman" w:hAnsi="Times New Roman" w:eastAsia="宋体" w:cs="Times New Roman"/>
          <w:color w:val="auto"/>
          <w:spacing w:val="0"/>
          <w:w w:val="100"/>
          <w:kern w:val="0"/>
          <w:position w:val="0"/>
          <w:sz w:val="24"/>
          <w:highlight w:val="none"/>
          <w:u w:val="none" w:color="auto"/>
          <w:lang w:val="en-US" w:eastAsia="zh-CN"/>
        </w:rPr>
        <w:t>省林业局意见</w:t>
      </w:r>
      <w:r>
        <w:rPr>
          <w:rFonts w:hint="eastAsia" w:ascii="Times New Roman" w:hAnsi="Times New Roman" w:eastAsia="宋体" w:cs="Times New Roman"/>
          <w:color w:val="auto"/>
          <w:spacing w:val="0"/>
          <w:w w:val="100"/>
          <w:kern w:val="0"/>
          <w:position w:val="0"/>
          <w:sz w:val="24"/>
          <w:highlight w:val="none"/>
          <w:u w:val="none" w:color="auto"/>
          <w:lang w:val="en-US" w:eastAsia="zh-CN"/>
        </w:rPr>
        <w:t>。本项目与</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《湿地保护管理规定》</w:t>
      </w:r>
      <w:r>
        <w:rPr>
          <w:rFonts w:hint="eastAsia" w:ascii="Times New Roman" w:hAnsi="Times New Roman" w:eastAsia="宋体" w:cs="Times New Roman"/>
          <w:b w:val="0"/>
          <w:bCs w:val="0"/>
          <w:color w:val="auto"/>
          <w:spacing w:val="0"/>
          <w:w w:val="100"/>
          <w:kern w:val="0"/>
          <w:position w:val="0"/>
          <w:sz w:val="24"/>
          <w:highlight w:val="none"/>
          <w:u w:val="none" w:color="auto"/>
          <w:lang w:val="en-US" w:eastAsia="zh-CN"/>
        </w:rPr>
        <w:t>和《国家林业和草原局湿地管理司关于进步加强国家湿地公园征占用备案有关工作的通知》基本相符。</w:t>
      </w:r>
    </w:p>
    <w:p w14:paraId="181086F9">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r>
        <w:rPr>
          <w:rFonts w:hint="eastAsia" w:ascii="Times New Roman" w:hAnsi="Times New Roman" w:eastAsia="宋体" w:cs="Times New Roman"/>
          <w:b/>
          <w:bCs/>
          <w:color w:val="auto"/>
          <w:spacing w:val="0"/>
          <w:w w:val="100"/>
          <w:kern w:val="0"/>
          <w:position w:val="0"/>
          <w:sz w:val="24"/>
          <w:highlight w:val="none"/>
          <w:u w:val="none" w:color="auto"/>
          <w:lang w:eastAsia="zh-CN"/>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6</w:t>
      </w:r>
      <w:r>
        <w:rPr>
          <w:rFonts w:hint="eastAsia"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rPr>
        <w:t>与《全国生态功能区划》</w:t>
      </w: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《湖南省主体功能区划》</w:t>
      </w:r>
      <w:r>
        <w:rPr>
          <w:rFonts w:hint="default" w:ascii="Times New Roman" w:hAnsi="Times New Roman" w:eastAsia="宋体" w:cs="Times New Roman"/>
          <w:b/>
          <w:bCs/>
          <w:color w:val="auto"/>
          <w:spacing w:val="0"/>
          <w:w w:val="100"/>
          <w:kern w:val="0"/>
          <w:position w:val="0"/>
          <w:sz w:val="24"/>
          <w:highlight w:val="none"/>
          <w:u w:val="none" w:color="auto"/>
        </w:rPr>
        <w:t>的符合性</w:t>
      </w:r>
      <w:r>
        <w:rPr>
          <w:rFonts w:hint="default" w:ascii="Times New Roman" w:hAnsi="Times New Roman" w:eastAsia="宋体" w:cs="Times New Roman"/>
          <w:b/>
          <w:bCs/>
          <w:color w:val="auto"/>
          <w:spacing w:val="0"/>
          <w:w w:val="100"/>
          <w:kern w:val="0"/>
          <w:position w:val="0"/>
          <w:sz w:val="24"/>
          <w:highlight w:val="none"/>
          <w:u w:val="none" w:color="auto"/>
          <w:lang w:eastAsia="zh-CN"/>
        </w:rPr>
        <w:t>分析</w:t>
      </w:r>
      <w:r>
        <w:rPr>
          <w:rFonts w:hint="default" w:ascii="Times New Roman" w:hAnsi="Times New Roman" w:eastAsia="宋体" w:cs="Times New Roman"/>
          <w:b/>
          <w:bCs/>
          <w:color w:val="auto"/>
          <w:spacing w:val="0"/>
          <w:w w:val="100"/>
          <w:kern w:val="0"/>
          <w:position w:val="0"/>
          <w:sz w:val="24"/>
          <w:highlight w:val="none"/>
          <w:u w:val="none" w:color="auto"/>
        </w:rPr>
        <w:t xml:space="preserve"> </w:t>
      </w:r>
    </w:p>
    <w:p w14:paraId="25726D8A">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eastAsia="zh-CN"/>
        </w:rPr>
      </w:pPr>
      <w:r>
        <w:rPr>
          <w:rFonts w:hint="default" w:ascii="Times New Roman" w:hAnsi="Times New Roman" w:eastAsia="宋体" w:cs="Times New Roman"/>
          <w:color w:val="auto"/>
          <w:spacing w:val="0"/>
          <w:w w:val="100"/>
          <w:kern w:val="0"/>
          <w:position w:val="0"/>
          <w:sz w:val="24"/>
          <w:highlight w:val="none"/>
          <w:u w:val="none" w:color="auto"/>
        </w:rPr>
        <w:t>①</w:t>
      </w:r>
      <w:r>
        <w:rPr>
          <w:rFonts w:hint="default" w:ascii="Times New Roman" w:hAnsi="Times New Roman" w:eastAsia="宋体" w:cs="Times New Roman"/>
          <w:color w:val="auto"/>
          <w:spacing w:val="0"/>
          <w:w w:val="100"/>
          <w:kern w:val="0"/>
          <w:position w:val="0"/>
          <w:sz w:val="24"/>
          <w:highlight w:val="none"/>
          <w:u w:val="none" w:color="auto"/>
          <w:lang w:eastAsia="zh-CN"/>
        </w:rPr>
        <w:t>与《全国生态功能区划》符合性</w:t>
      </w:r>
    </w:p>
    <w:p w14:paraId="7A58FF2D">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rPr>
        <w:t>根据《全国生态功能区划》（修编版），全国生态功能区划包括生态功能区242个，其中生态调节功能区148个、产品提供功能区63个，人居保障功能区31</w:t>
      </w:r>
      <w:r>
        <w:rPr>
          <w:rFonts w:hint="default" w:ascii="Times New Roman" w:hAnsi="Times New Roman" w:eastAsia="宋体" w:cs="Times New Roman"/>
          <w:color w:val="auto"/>
          <w:spacing w:val="0"/>
          <w:w w:val="100"/>
          <w:kern w:val="0"/>
          <w:position w:val="0"/>
          <w:sz w:val="24"/>
          <w:highlight w:val="none"/>
          <w:u w:val="none" w:color="auto"/>
          <w:lang w:val="en-US" w:eastAsia="zh-CN"/>
        </w:rPr>
        <w:t>个。</w:t>
      </w:r>
    </w:p>
    <w:p w14:paraId="6E8FB668">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本工程位于湖南省岳阳市，属于《全国生态功能区划》划定的洪水调蓄功能区——洞庭湖洪水调蓄与生物多样性保护功能区。该区是长江中游的天然洪水调蓄库，对长江流域的生态安全具有十分重要的作用；同时还是我国重要的水产品生产区。此外，区域内洲滩及湿地植物发育，是迁徙鸟类重要的越冬地，对生物多样性保护具有重要意义。 </w:t>
      </w:r>
    </w:p>
    <w:p w14:paraId="49466752">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本工程为华容县</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北汊水库</w:t>
      </w:r>
      <w:r>
        <w:rPr>
          <w:rFonts w:hint="default" w:ascii="Times New Roman" w:hAnsi="Times New Roman" w:eastAsia="宋体" w:cs="Times New Roman"/>
          <w:color w:val="auto"/>
          <w:spacing w:val="0"/>
          <w:w w:val="100"/>
          <w:kern w:val="0"/>
          <w:position w:val="0"/>
          <w:sz w:val="24"/>
          <w:highlight w:val="none"/>
          <w:u w:val="none" w:color="auto"/>
          <w:lang w:val="en-US" w:eastAsia="zh-CN"/>
        </w:rPr>
        <w:t>除险加固工程，工程建设</w:t>
      </w:r>
      <w:r>
        <w:rPr>
          <w:rFonts w:hint="default" w:ascii="Times New Roman" w:hAnsi="Times New Roman" w:eastAsia="宋体" w:cs="Times New Roman"/>
          <w:color w:val="auto"/>
          <w:spacing w:val="0"/>
          <w:w w:val="100"/>
          <w:kern w:val="0"/>
          <w:position w:val="0"/>
          <w:sz w:val="24"/>
          <w:u w:val="none" w:color="auto"/>
          <w:lang w:val="en-US" w:eastAsia="zh-CN"/>
        </w:rPr>
        <w:t>有利于水库库容的维持和水库安全运行，有利于水库对洪水的调蓄作用，对</w:t>
      </w:r>
      <w:r>
        <w:rPr>
          <w:rFonts w:hint="default" w:ascii="Times New Roman" w:hAnsi="Times New Roman" w:eastAsia="宋体" w:cs="Times New Roman"/>
          <w:color w:val="auto"/>
          <w:spacing w:val="0"/>
          <w:w w:val="100"/>
          <w:kern w:val="0"/>
          <w:position w:val="0"/>
          <w:sz w:val="24"/>
          <w:highlight w:val="none"/>
          <w:u w:val="none" w:color="auto"/>
          <w:lang w:val="en-US" w:eastAsia="zh-CN"/>
        </w:rPr>
        <w:t>长江流域的生态安全取到积极作用。</w:t>
      </w:r>
      <w:r>
        <w:rPr>
          <w:rFonts w:hint="default" w:ascii="Times New Roman" w:hAnsi="Times New Roman" w:eastAsia="宋体" w:cs="Times New Roman"/>
          <w:color w:val="auto"/>
          <w:spacing w:val="0"/>
          <w:w w:val="100"/>
          <w:kern w:val="0"/>
          <w:position w:val="0"/>
          <w:sz w:val="24"/>
          <w:highlight w:val="none"/>
          <w:u w:val="none" w:color="auto"/>
          <w:lang w:eastAsia="zh-CN"/>
        </w:rPr>
        <w:t>本</w:t>
      </w:r>
      <w:r>
        <w:rPr>
          <w:rFonts w:hint="default" w:ascii="Times New Roman" w:hAnsi="Times New Roman" w:eastAsia="宋体" w:cs="Times New Roman"/>
          <w:color w:val="auto"/>
          <w:spacing w:val="0"/>
          <w:w w:val="100"/>
          <w:kern w:val="0"/>
          <w:position w:val="0"/>
          <w:sz w:val="24"/>
          <w:highlight w:val="none"/>
          <w:u w:val="none" w:color="auto"/>
        </w:rPr>
        <w:t>工程</w:t>
      </w:r>
      <w:r>
        <w:rPr>
          <w:rFonts w:hint="default" w:ascii="Times New Roman" w:hAnsi="Times New Roman" w:eastAsia="宋体" w:cs="Times New Roman"/>
          <w:color w:val="auto"/>
          <w:spacing w:val="0"/>
          <w:w w:val="100"/>
          <w:kern w:val="0"/>
          <w:position w:val="0"/>
          <w:sz w:val="24"/>
          <w:highlight w:val="none"/>
          <w:u w:val="none" w:color="auto"/>
          <w:lang w:eastAsia="zh-CN"/>
        </w:rPr>
        <w:t>对水源的保护有利于保护区域生物多样性。综上，本工程</w:t>
      </w:r>
      <w:r>
        <w:rPr>
          <w:rFonts w:hint="default" w:ascii="Times New Roman" w:hAnsi="Times New Roman" w:eastAsia="宋体" w:cs="Times New Roman"/>
          <w:color w:val="auto"/>
          <w:spacing w:val="0"/>
          <w:w w:val="100"/>
          <w:kern w:val="0"/>
          <w:position w:val="0"/>
          <w:sz w:val="24"/>
          <w:highlight w:val="none"/>
          <w:u w:val="none" w:color="auto"/>
        </w:rPr>
        <w:t>建设不会破坏原有生态功能，项目建设符合</w:t>
      </w:r>
      <w:r>
        <w:rPr>
          <w:rFonts w:hint="default" w:ascii="Times New Roman" w:hAnsi="Times New Roman" w:eastAsia="宋体" w:cs="Times New Roman"/>
          <w:color w:val="auto"/>
          <w:spacing w:val="0"/>
          <w:w w:val="100"/>
          <w:kern w:val="0"/>
          <w:position w:val="0"/>
          <w:sz w:val="24"/>
          <w:highlight w:val="none"/>
          <w:u w:val="none" w:color="auto"/>
          <w:lang w:eastAsia="zh-CN"/>
        </w:rPr>
        <w:t>全国</w:t>
      </w:r>
      <w:r>
        <w:rPr>
          <w:rFonts w:hint="default" w:ascii="Times New Roman" w:hAnsi="Times New Roman" w:eastAsia="宋体" w:cs="Times New Roman"/>
          <w:color w:val="auto"/>
          <w:spacing w:val="0"/>
          <w:w w:val="100"/>
          <w:kern w:val="0"/>
          <w:position w:val="0"/>
          <w:sz w:val="24"/>
          <w:highlight w:val="none"/>
          <w:u w:val="none" w:color="auto"/>
        </w:rPr>
        <w:t>生态功能区划要求。</w:t>
      </w:r>
    </w:p>
    <w:p w14:paraId="3135313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②与《湖南省主体功能区规划》符合性分析</w:t>
      </w:r>
    </w:p>
    <w:p w14:paraId="549F288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val="en-US" w:eastAsia="zh-CN"/>
        </w:rPr>
        <w:t>2012年，湖南省人民政府公布实施了《湖南省主体功能区规划》。项目位于华容县</w:t>
      </w:r>
      <w:r>
        <w:rPr>
          <w:rFonts w:hint="eastAsia" w:ascii="Times New Roman" w:hAnsi="Times New Roman" w:eastAsia="宋体" w:cs="Times New Roman"/>
          <w:color w:val="auto"/>
          <w:spacing w:val="0"/>
          <w:w w:val="100"/>
          <w:kern w:val="0"/>
          <w:position w:val="0"/>
          <w:sz w:val="24"/>
          <w:highlight w:val="none"/>
          <w:u w:val="none" w:color="auto"/>
          <w:lang w:val="en-US" w:eastAsia="zh-CN"/>
        </w:rPr>
        <w:t>禹山镇</w:t>
      </w:r>
      <w:r>
        <w:rPr>
          <w:rFonts w:hint="default" w:ascii="Times New Roman" w:hAnsi="Times New Roman" w:eastAsia="宋体" w:cs="Times New Roman"/>
          <w:color w:val="auto"/>
          <w:spacing w:val="0"/>
          <w:w w:val="100"/>
          <w:kern w:val="0"/>
          <w:position w:val="0"/>
          <w:sz w:val="24"/>
          <w:highlight w:val="none"/>
          <w:u w:val="none" w:color="auto"/>
          <w:lang w:val="en-US" w:eastAsia="zh-CN"/>
        </w:rPr>
        <w:t>，根据《湖南省主体功能区规划》，项目工程所在</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湖南华容东湖国家湿地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公园</w:t>
      </w:r>
      <w:r>
        <w:rPr>
          <w:rFonts w:hint="eastAsia" w:ascii="Times New Roman" w:hAnsi="Times New Roman" w:eastAsia="宋体" w:cs="Times New Roman"/>
          <w:color w:val="auto"/>
          <w:spacing w:val="0"/>
          <w:w w:val="100"/>
          <w:kern w:val="0"/>
          <w:position w:val="0"/>
          <w:sz w:val="24"/>
          <w:highlight w:val="none"/>
          <w:u w:val="none" w:color="auto"/>
          <w:lang w:val="en-US" w:eastAsia="zh-CN"/>
        </w:rPr>
        <w:t>（东湖省级重要湿地）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属于湖南省主体功能区规划中“禁止开发区域（禁止进行工业化城镇化开发的特定区域）”，主要包括：各级各类自然保护区、风景名胜区、森林公园、地质公园、</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重要湿地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、历史文化自然遗产、基本农田、蓄滞洪区、重要水源地等）”。禁止开发区功能定位：</w:t>
      </w:r>
      <w:r>
        <w:rPr>
          <w:rFonts w:hint="default" w:ascii="Times New Roman" w:hAnsi="Times New Roman" w:eastAsia="宋体" w:cs="Times New Roman"/>
          <w:color w:val="auto"/>
          <w:spacing w:val="0"/>
          <w:w w:val="100"/>
          <w:kern w:val="0"/>
          <w:position w:val="0"/>
          <w:sz w:val="24"/>
          <w:highlight w:val="none"/>
          <w:u w:val="none" w:color="auto"/>
        </w:rPr>
        <w:t>保护自然文化资源的重要区域，点状分布的重要生态功能区，珍贵动植物基因资源保护地，防洪减灾、确保流域安全的重要区域。管制原则</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依据法律法规和相关规划实行强制性保护，控制人为因素对自然生态和文化自然遗产原真性、完整性的干扰，严禁不符合主体功能定位的各类开发活动，引导人口逐步有序转移，实行污染物“零排放”，提高环境质量。</w:t>
      </w:r>
    </w:p>
    <w:p w14:paraId="59C9BD01">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本项目属于水库除险加固工程，项目实施后有利于保障水库安全运行，对区域防洪减灾、确保流域安全具有重要意义。本工程实施不可避让</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湖南华容东湖国家湿地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公园，但不属于工业化城镇化开发活动，施工期将加强管理，尽量减少</w:t>
      </w:r>
      <w:r>
        <w:rPr>
          <w:rFonts w:hint="default" w:ascii="Times New Roman" w:hAnsi="Times New Roman" w:eastAsia="宋体" w:cs="Times New Roman"/>
          <w:color w:val="auto"/>
          <w:spacing w:val="0"/>
          <w:w w:val="100"/>
          <w:kern w:val="0"/>
          <w:position w:val="0"/>
          <w:sz w:val="24"/>
          <w:highlight w:val="none"/>
          <w:u w:val="none" w:color="auto"/>
        </w:rPr>
        <w:t>人为因素对自然生态和文化自然遗产原真性、完整性的干扰</w:t>
      </w:r>
      <w:r>
        <w:rPr>
          <w:rFonts w:hint="default" w:ascii="Times New Roman" w:hAnsi="Times New Roman" w:eastAsia="宋体" w:cs="Times New Roman"/>
          <w:color w:val="auto"/>
          <w:spacing w:val="0"/>
          <w:w w:val="100"/>
          <w:kern w:val="0"/>
          <w:position w:val="0"/>
          <w:sz w:val="24"/>
          <w:highlight w:val="none"/>
          <w:u w:val="none" w:color="auto"/>
          <w:lang w:val="en-US" w:eastAsia="zh-CN"/>
        </w:rPr>
        <w:t>，符合湖南省主体功能区规划中禁止开发区域功能定位和管制原则要求，且本项目建设已获得华容县林业局的</w:t>
      </w:r>
      <w:r>
        <w:rPr>
          <w:rFonts w:hint="eastAsia" w:ascii="Times New Roman" w:hAnsi="Times New Roman" w:eastAsia="宋体" w:cs="Times New Roman"/>
          <w:color w:val="auto"/>
          <w:spacing w:val="0"/>
          <w:w w:val="100"/>
          <w:kern w:val="0"/>
          <w:position w:val="0"/>
          <w:sz w:val="24"/>
          <w:highlight w:val="none"/>
          <w:u w:val="none" w:color="auto"/>
          <w:lang w:val="en-US" w:eastAsia="zh-CN"/>
        </w:rPr>
        <w:t>复函，原则支持华容县北汊水库除险加固工程在湖南华容东湖国家湿地公园（东湖省级重要湿地）内实施</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p>
    <w:p w14:paraId="156CC9AC">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综上所述，项目建设符合《湖南省主体功能区规划》相关要求。 </w:t>
      </w:r>
    </w:p>
    <w:p w14:paraId="41BB750D">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lang w:eastAsia="zh-CN"/>
        </w:rPr>
      </w:pPr>
      <w:r>
        <w:rPr>
          <w:rFonts w:hint="default" w:ascii="Times New Roman" w:hAnsi="Times New Roman" w:eastAsia="宋体" w:cs="Times New Roman"/>
          <w:b/>
          <w:bCs/>
          <w:color w:val="auto"/>
          <w:spacing w:val="0"/>
          <w:w w:val="100"/>
          <w:kern w:val="0"/>
          <w:position w:val="0"/>
          <w:sz w:val="24"/>
          <w:highlight w:val="none"/>
          <w:u w:val="none" w:color="auto"/>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7</w:t>
      </w:r>
      <w:r>
        <w:rPr>
          <w:rFonts w:hint="default" w:ascii="Times New Roman" w:hAnsi="Times New Roman" w:eastAsia="宋体" w:cs="Times New Roman"/>
          <w:b/>
          <w:bCs/>
          <w:color w:val="auto"/>
          <w:spacing w:val="0"/>
          <w:w w:val="100"/>
          <w:kern w:val="0"/>
          <w:position w:val="0"/>
          <w:sz w:val="24"/>
          <w:highlight w:val="none"/>
          <w:u w:val="none" w:color="auto"/>
        </w:rPr>
        <w:t>）与《长江流域综合规划》《长江流域防洪规划》的符合性</w:t>
      </w:r>
      <w:r>
        <w:rPr>
          <w:rFonts w:hint="default" w:ascii="Times New Roman" w:hAnsi="Times New Roman" w:eastAsia="宋体" w:cs="Times New Roman"/>
          <w:b/>
          <w:bCs/>
          <w:color w:val="auto"/>
          <w:spacing w:val="0"/>
          <w:w w:val="100"/>
          <w:kern w:val="0"/>
          <w:position w:val="0"/>
          <w:sz w:val="24"/>
          <w:highlight w:val="none"/>
          <w:u w:val="none" w:color="auto"/>
          <w:lang w:eastAsia="zh-CN"/>
        </w:rPr>
        <w:t>分析</w:t>
      </w:r>
    </w:p>
    <w:p w14:paraId="239C5712">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《长江流域综合规划（2012-2030年）》</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4.1.6防洪规划方案</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中提出</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继续对病险水库（闸）进行除险加固。巩固大中型病险水库除险加固成果，加快小型病险水库除险加固步伐，尽快消除水库安全隐患，恢复防洪库容，增强洪水调控能力；推进大中型病险水闸除险加固</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w:t>
      </w:r>
    </w:p>
    <w:p w14:paraId="18C3C03E">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 xml:space="preserve">《长江流域防洪规划》在长江中下游防洪总体布局中提出，病险水库一旦失事，将会给其下游带来巨大的人员死亡和财产损失的毁灭性灾害，对环境也将带来不可估量的影响，因此对病险水库应区分重要性，分期分批进行除险加固，尽快消除隐患，充分发挥防洪效益，保障人民生命财产安全。规划远期水平年（2025年）水库除险加固的任务是全面完成大、中型及重要小型水库的除险加固。 </w:t>
      </w:r>
    </w:p>
    <w:p w14:paraId="0D8F4B5D">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除险加固工程通过采取工程措施对大坝维修加固，旨在消除大坝安全隐患，保障水库和流域防洪安全，确保枢纽工程安全可靠运行，符合《长江流域综合规划》《长江流域防洪规划》相关要求。</w:t>
      </w:r>
    </w:p>
    <w:p w14:paraId="6F6AFE07">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r>
        <w:rPr>
          <w:rFonts w:hint="default" w:ascii="Times New Roman" w:hAnsi="Times New Roman" w:eastAsia="宋体" w:cs="Times New Roman"/>
          <w:b/>
          <w:bCs/>
          <w:color w:val="auto"/>
          <w:spacing w:val="0"/>
          <w:w w:val="100"/>
          <w:kern w:val="0"/>
          <w:position w:val="0"/>
          <w:sz w:val="24"/>
          <w:highlight w:val="none"/>
          <w:u w:val="none" w:color="auto"/>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8</w:t>
      </w:r>
      <w:r>
        <w:rPr>
          <w:rFonts w:hint="default" w:ascii="Times New Roman" w:hAnsi="Times New Roman" w:eastAsia="宋体" w:cs="Times New Roman"/>
          <w:b/>
          <w:bCs/>
          <w:color w:val="auto"/>
          <w:spacing w:val="0"/>
          <w:w w:val="100"/>
          <w:kern w:val="0"/>
          <w:position w:val="0"/>
          <w:sz w:val="24"/>
          <w:highlight w:val="none"/>
          <w:u w:val="none" w:color="auto"/>
        </w:rPr>
        <w:t>）与《长江经济带生态环境保护规划》的符合性</w:t>
      </w:r>
    </w:p>
    <w:p w14:paraId="10F8EE55">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《长江经济带生态环境保护规划》规划目标为，到2030年，干支流生态水量充足，水环境质量、空气质量和水生态质量全面改善，生态系统服务功能显著增强，生态环境更加美好。</w:t>
      </w:r>
    </w:p>
    <w:p w14:paraId="4A2EE1E4">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分区保护重点为中游区要加强丹江口库区及上游地区、湘资沅中游、赣江中上游等区域的水土流失治理与生态修复，重点协调江湖关系，保护水生生态系统，维护生物多样性，恢复沿江沿岸湿地，确保水质安全，优化和规范沿江产业发展，管控土壤环境风险，引导湖北磷矿、湖南有色金属、江西稀土等资源合理开发。</w:t>
      </w:r>
    </w:p>
    <w:p w14:paraId="29D17239">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除险加固工程施工期生产生活污水</w:t>
      </w:r>
      <w:r>
        <w:rPr>
          <w:rFonts w:hint="default" w:ascii="Times New Roman" w:hAnsi="Times New Roman" w:eastAsia="宋体" w:cs="Times New Roman"/>
          <w:color w:val="auto"/>
          <w:spacing w:val="0"/>
          <w:w w:val="100"/>
          <w:kern w:val="0"/>
          <w:position w:val="0"/>
          <w:sz w:val="24"/>
          <w:highlight w:val="none"/>
          <w:u w:val="none" w:color="auto"/>
          <w:lang w:eastAsia="zh-CN"/>
        </w:rPr>
        <w:t>经</w:t>
      </w:r>
      <w:r>
        <w:rPr>
          <w:rFonts w:hint="default" w:ascii="Times New Roman" w:hAnsi="Times New Roman" w:eastAsia="宋体" w:cs="Times New Roman"/>
          <w:color w:val="auto"/>
          <w:spacing w:val="0"/>
          <w:w w:val="100"/>
          <w:kern w:val="0"/>
          <w:position w:val="0"/>
          <w:sz w:val="24"/>
          <w:highlight w:val="none"/>
          <w:u w:val="none" w:color="auto"/>
        </w:rPr>
        <w:t>处理后回用，工程建设对周围水环境影响较小，施工结束后采取生态恢复等措施，将对生态环境影响降至最低。综上，</w:t>
      </w: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除险加固工程总体符合《长江经济带生态环境保护规划》</w:t>
      </w:r>
      <w:r>
        <w:rPr>
          <w:rFonts w:hint="default" w:ascii="Times New Roman" w:hAnsi="Times New Roman" w:eastAsia="宋体" w:cs="Times New Roman"/>
          <w:color w:val="auto"/>
          <w:spacing w:val="0"/>
          <w:w w:val="100"/>
          <w:kern w:val="0"/>
          <w:position w:val="0"/>
          <w:sz w:val="24"/>
          <w:highlight w:val="none"/>
          <w:u w:val="none" w:color="auto"/>
          <w:lang w:eastAsia="zh-CN"/>
        </w:rPr>
        <w:t>相关</w:t>
      </w:r>
      <w:r>
        <w:rPr>
          <w:rFonts w:hint="default" w:ascii="Times New Roman" w:hAnsi="Times New Roman" w:eastAsia="宋体" w:cs="Times New Roman"/>
          <w:color w:val="auto"/>
          <w:spacing w:val="0"/>
          <w:w w:val="100"/>
          <w:kern w:val="0"/>
          <w:position w:val="0"/>
          <w:sz w:val="24"/>
          <w:highlight w:val="none"/>
          <w:u w:val="none" w:color="auto"/>
        </w:rPr>
        <w:t>要求。</w:t>
      </w:r>
    </w:p>
    <w:p w14:paraId="5F34014F">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lang w:val="en-US" w:eastAsia="zh-CN"/>
        </w:rPr>
      </w:pPr>
      <w:r>
        <w:rPr>
          <w:rFonts w:hint="default" w:ascii="Times New Roman" w:hAnsi="Times New Roman" w:eastAsia="宋体" w:cs="Times New Roman"/>
          <w:b/>
          <w:bCs/>
          <w:color w:val="auto"/>
          <w:spacing w:val="0"/>
          <w:w w:val="100"/>
          <w:kern w:val="0"/>
          <w:position w:val="0"/>
          <w:sz w:val="24"/>
          <w:highlight w:val="none"/>
          <w:u w:val="none" w:color="auto"/>
          <w:lang w:val="en-US" w:eastAsia="zh-CN"/>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9</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 xml:space="preserve">）与《湖南省“十四五”生态环境保护规划》的符合性分析 </w:t>
      </w:r>
    </w:p>
    <w:p w14:paraId="2BA539D6">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湖南省生态环境厅于2021年9月30日发布《湖南省“十四五”生态环境保护规划》（湘政办发</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2021</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61号），《规划》提出：</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三、致力绿色低碳循环发展（一）优化国土空间保护格局。强化国土空间分区管控。统筹划定生态保护红线、永久基本农田和城镇开发边界三条控制线，合理安排生产、生活、生态空间，形成科学适度有序的国土空间布局体系，减少人类活动对自然空间的占用。生态保护红线内，自然保护地核心区原则上禁止人为活动，其他区域严禁开发性、生产性建设活动，在符合现行法律法规前提下，除国家重大战略项目外，仅允许对生态功能不造成破坏的有限人为活动，确保生态功能不降低、面积不减少、性质不改变。促进区域绿色发展。保障“一江一湖三山四水”生态安全，推动“长株潭、洞庭湖、湘南、大湘西”区域协调发展。洞庭湖区域突出抓好农业结构升级，减少农业面源污染，优化化工产业布局，提升水环境容量，加强湿地生物多样性保护。</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五、加强生态系统保护修复（一）构筑省域生态安全格局。筑牢生态安全屏障。加强</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一江一湖三山四水</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重要生态功能区域保护，统筹推进山水林田湖草沙系统保护修复。保障长江岸线、洞庭湖区域洪水调蓄、水源涵养、气候调节和生物多样性保护等生态功能，推动长江及其岸线生态恢复、洞庭湖及其内湖湿地生态系统修复，打造长江绿色生态廊道，改善江湖连通性，提升生态系统稳定性和生态服务功能，保护江豚、候鸟等珍稀濒危和区域代表性野生动植物栖息地及迁徙路线。</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 </w:t>
      </w:r>
    </w:p>
    <w:p w14:paraId="2562B9A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本项目为</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北汊水库</w:t>
      </w:r>
      <w:r>
        <w:rPr>
          <w:rFonts w:hint="default" w:ascii="Times New Roman" w:hAnsi="Times New Roman" w:eastAsia="宋体" w:cs="Times New Roman"/>
          <w:color w:val="auto"/>
          <w:spacing w:val="0"/>
          <w:w w:val="100"/>
          <w:kern w:val="0"/>
          <w:position w:val="0"/>
          <w:sz w:val="24"/>
          <w:highlight w:val="none"/>
          <w:u w:val="none" w:color="auto"/>
          <w:lang w:val="en-US" w:eastAsia="zh-CN"/>
        </w:rPr>
        <w:t>除险加固工程，根据本项目“三区三线”套合</w:t>
      </w:r>
      <w:r>
        <w:rPr>
          <w:rFonts w:hint="eastAsia" w:ascii="Times New Roman" w:hAnsi="Times New Roman" w:eastAsia="宋体" w:cs="Times New Roman"/>
          <w:color w:val="auto"/>
          <w:spacing w:val="0"/>
          <w:w w:val="100"/>
          <w:kern w:val="0"/>
          <w:position w:val="0"/>
          <w:sz w:val="24"/>
          <w:highlight w:val="none"/>
          <w:u w:val="none" w:color="auto"/>
          <w:lang w:val="en-US" w:eastAsia="zh-CN"/>
        </w:rPr>
        <w:t>成果</w:t>
      </w:r>
      <w:r>
        <w:rPr>
          <w:rFonts w:hint="default" w:ascii="Times New Roman" w:hAnsi="Times New Roman" w:eastAsia="宋体" w:cs="Times New Roman"/>
          <w:color w:val="auto"/>
          <w:spacing w:val="0"/>
          <w:w w:val="100"/>
          <w:kern w:val="0"/>
          <w:position w:val="0"/>
          <w:sz w:val="24"/>
          <w:highlight w:val="none"/>
          <w:u w:val="none" w:color="auto"/>
          <w:lang w:val="en-US" w:eastAsia="zh-CN"/>
        </w:rPr>
        <w:t>（附</w:t>
      </w:r>
      <w:r>
        <w:rPr>
          <w:rFonts w:hint="eastAsia" w:ascii="Times New Roman" w:hAnsi="Times New Roman" w:eastAsia="宋体" w:cs="Times New Roman"/>
          <w:color w:val="auto"/>
          <w:spacing w:val="0"/>
          <w:w w:val="100"/>
          <w:kern w:val="0"/>
          <w:position w:val="0"/>
          <w:sz w:val="24"/>
          <w:highlight w:val="none"/>
          <w:u w:val="none" w:color="auto"/>
          <w:lang w:val="en-US" w:eastAsia="zh-CN"/>
        </w:rPr>
        <w:t>件9</w:t>
      </w:r>
      <w:r>
        <w:rPr>
          <w:rFonts w:hint="default" w:ascii="Times New Roman" w:hAnsi="Times New Roman" w:eastAsia="宋体" w:cs="Times New Roman"/>
          <w:color w:val="auto"/>
          <w:spacing w:val="0"/>
          <w:w w:val="100"/>
          <w:kern w:val="0"/>
          <w:position w:val="0"/>
          <w:sz w:val="24"/>
          <w:highlight w:val="none"/>
          <w:u w:val="none" w:color="auto"/>
          <w:lang w:val="en-US" w:eastAsia="zh-CN"/>
        </w:rPr>
        <w:t>），项目永久工程位于生态保护红线范围，</w:t>
      </w:r>
      <w:r>
        <w:rPr>
          <w:rFonts w:hint="eastAsia" w:ascii="Times New Roman" w:hAnsi="Times New Roman" w:eastAsia="宋体" w:cs="Times New Roman"/>
          <w:color w:val="auto"/>
          <w:spacing w:val="0"/>
          <w:w w:val="100"/>
          <w:kern w:val="0"/>
          <w:position w:val="0"/>
          <w:sz w:val="24"/>
          <w:highlight w:val="none"/>
          <w:u w:val="none" w:color="auto"/>
          <w:lang w:val="en-US" w:eastAsia="zh-CN"/>
        </w:rPr>
        <w:t>但</w:t>
      </w:r>
      <w:r>
        <w:rPr>
          <w:rFonts w:hint="default" w:ascii="Times New Roman" w:hAnsi="Times New Roman" w:eastAsia="宋体" w:cs="Times New Roman"/>
          <w:color w:val="auto"/>
          <w:spacing w:val="0"/>
          <w:w w:val="100"/>
          <w:kern w:val="0"/>
          <w:position w:val="0"/>
          <w:sz w:val="24"/>
          <w:highlight w:val="none"/>
          <w:u w:val="none" w:color="auto"/>
          <w:lang w:val="en-US" w:eastAsia="zh-CN"/>
        </w:rPr>
        <w:t>不涉及永久基本农田。本次除险加固工程虽然在生态保护红线，但属于自然资发〔2022〕142号所列“允许对生态功能不造成破坏的有限人为活动”。本工程实施有利于水库安全运行，施工期加强管理，严格控制施工范围和污染物排放，不会降低生态功能、减少面积、改变性质。</w:t>
      </w:r>
      <w:r>
        <w:rPr>
          <w:rFonts w:hint="eastAsia" w:ascii="Times New Roman" w:hAnsi="Times New Roman" w:eastAsia="宋体" w:cs="Times New Roman"/>
          <w:color w:val="auto"/>
          <w:spacing w:val="0"/>
          <w:w w:val="100"/>
          <w:kern w:val="0"/>
          <w:position w:val="0"/>
          <w:sz w:val="24"/>
          <w:highlight w:val="none"/>
          <w:u w:val="none" w:color="auto"/>
          <w:lang w:val="en-US" w:eastAsia="zh-CN"/>
        </w:rPr>
        <w:t>北汊水库</w:t>
      </w:r>
      <w:r>
        <w:rPr>
          <w:rFonts w:hint="default" w:ascii="Times New Roman" w:hAnsi="Times New Roman" w:eastAsia="宋体" w:cs="Times New Roman"/>
          <w:color w:val="auto"/>
          <w:spacing w:val="0"/>
          <w:w w:val="100"/>
          <w:kern w:val="0"/>
          <w:position w:val="0"/>
          <w:sz w:val="24"/>
          <w:highlight w:val="none"/>
          <w:u w:val="none" w:color="auto"/>
          <w:lang w:val="en-US" w:eastAsia="zh-CN"/>
        </w:rPr>
        <w:t>是一座以灌溉</w:t>
      </w:r>
      <w:r>
        <w:rPr>
          <w:rFonts w:hint="eastAsia" w:ascii="Times New Roman" w:hAnsi="Times New Roman" w:eastAsia="宋体" w:cs="Times New Roman"/>
          <w:color w:val="auto"/>
          <w:spacing w:val="0"/>
          <w:w w:val="100"/>
          <w:kern w:val="0"/>
          <w:position w:val="0"/>
          <w:sz w:val="24"/>
          <w:highlight w:val="none"/>
          <w:u w:val="none" w:color="auto"/>
          <w:lang w:val="en-US" w:eastAsia="zh-CN"/>
        </w:rPr>
        <w:t>、防洪</w:t>
      </w:r>
      <w:r>
        <w:rPr>
          <w:rFonts w:hint="default" w:ascii="Times New Roman" w:hAnsi="Times New Roman" w:eastAsia="宋体" w:cs="Times New Roman"/>
          <w:color w:val="auto"/>
          <w:spacing w:val="0"/>
          <w:w w:val="100"/>
          <w:kern w:val="0"/>
          <w:position w:val="0"/>
          <w:sz w:val="24"/>
          <w:highlight w:val="none"/>
          <w:u w:val="none" w:color="auto"/>
          <w:lang w:val="en-US" w:eastAsia="zh-CN"/>
        </w:rPr>
        <w:t>为主，兼有</w:t>
      </w:r>
      <w:r>
        <w:rPr>
          <w:rFonts w:hint="eastAsia" w:ascii="Times New Roman" w:hAnsi="Times New Roman" w:eastAsia="宋体" w:cs="Times New Roman"/>
          <w:color w:val="auto"/>
          <w:spacing w:val="0"/>
          <w:w w:val="100"/>
          <w:kern w:val="0"/>
          <w:position w:val="0"/>
          <w:sz w:val="24"/>
          <w:highlight w:val="none"/>
          <w:u w:val="none" w:color="auto"/>
          <w:lang w:val="en-US" w:eastAsia="zh-CN"/>
        </w:rPr>
        <w:t>养殖</w:t>
      </w:r>
      <w:r>
        <w:rPr>
          <w:rFonts w:hint="default" w:ascii="Times New Roman" w:hAnsi="Times New Roman" w:eastAsia="宋体" w:cs="Times New Roman"/>
          <w:color w:val="auto"/>
          <w:spacing w:val="0"/>
          <w:w w:val="100"/>
          <w:kern w:val="0"/>
          <w:position w:val="0"/>
          <w:sz w:val="24"/>
          <w:highlight w:val="none"/>
          <w:u w:val="none" w:color="auto"/>
          <w:lang w:val="en-US" w:eastAsia="zh-CN"/>
        </w:rPr>
        <w:t>等综合效益的中型水利工程，</w:t>
      </w:r>
      <w:r>
        <w:rPr>
          <w:rFonts w:hint="eastAsia" w:ascii="Times New Roman" w:hAnsi="Times New Roman" w:eastAsia="宋体" w:cs="Times New Roman"/>
          <w:color w:val="auto"/>
          <w:spacing w:val="0"/>
          <w:w w:val="100"/>
          <w:kern w:val="0"/>
          <w:position w:val="0"/>
          <w:sz w:val="24"/>
          <w:highlight w:val="none"/>
          <w:u w:val="none" w:color="auto"/>
          <w:lang w:val="en-US" w:eastAsia="zh-CN"/>
        </w:rPr>
        <w:t>设计</w:t>
      </w:r>
      <w:r>
        <w:rPr>
          <w:rFonts w:hint="default" w:ascii="Times New Roman" w:hAnsi="Times New Roman" w:eastAsia="宋体" w:cs="Times New Roman"/>
          <w:color w:val="auto"/>
          <w:spacing w:val="0"/>
          <w:w w:val="100"/>
          <w:kern w:val="0"/>
          <w:position w:val="0"/>
          <w:sz w:val="24"/>
          <w:highlight w:val="none"/>
          <w:u w:val="none" w:color="auto"/>
          <w:lang w:val="en-US" w:eastAsia="zh-CN"/>
        </w:rPr>
        <w:t>灌溉面积</w:t>
      </w:r>
      <w:r>
        <w:rPr>
          <w:rFonts w:hint="eastAsia" w:ascii="Times New Roman" w:hAnsi="Times New Roman" w:eastAsia="宋体" w:cs="Times New Roman"/>
          <w:color w:val="auto"/>
          <w:spacing w:val="0"/>
          <w:w w:val="100"/>
          <w:kern w:val="0"/>
          <w:position w:val="0"/>
          <w:sz w:val="24"/>
          <w:highlight w:val="none"/>
          <w:u w:val="none" w:color="auto"/>
          <w:lang w:val="en-US" w:eastAsia="zh-CN"/>
        </w:rPr>
        <w:t>9</w:t>
      </w:r>
      <w:r>
        <w:rPr>
          <w:rFonts w:hint="default" w:ascii="Times New Roman" w:hAnsi="Times New Roman" w:eastAsia="宋体" w:cs="Times New Roman"/>
          <w:color w:val="auto"/>
          <w:spacing w:val="0"/>
          <w:w w:val="100"/>
          <w:kern w:val="0"/>
          <w:position w:val="0"/>
          <w:sz w:val="24"/>
          <w:highlight w:val="none"/>
          <w:u w:val="none" w:color="auto"/>
          <w:lang w:val="en-US" w:eastAsia="zh-CN"/>
        </w:rPr>
        <w:t>万亩。本工程的实施有利于保证下游农田生产，利于农业结构升级。本工程有利于水库洪水调蓄功能，对水源地的保护有利于生物多样性保护，对维护区域生态系统具有重要作用。</w:t>
      </w:r>
    </w:p>
    <w:p w14:paraId="01C6F3F9">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综上，本工程符合《湖南省“十四五”生态环境保护规划》相关要求。</w:t>
      </w:r>
    </w:p>
    <w:p w14:paraId="25DD65EB">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lang w:val="en-US" w:eastAsia="zh-CN"/>
        </w:rPr>
      </w:pPr>
      <w:r>
        <w:rPr>
          <w:rFonts w:hint="default" w:ascii="Times New Roman" w:hAnsi="Times New Roman" w:eastAsia="宋体" w:cs="Times New Roman"/>
          <w:b/>
          <w:bCs/>
          <w:color w:val="auto"/>
          <w:spacing w:val="0"/>
          <w:w w:val="100"/>
          <w:kern w:val="0"/>
          <w:position w:val="0"/>
          <w:sz w:val="24"/>
          <w:highlight w:val="none"/>
          <w:u w:val="none" w:color="auto"/>
          <w:lang w:val="en-US" w:eastAsia="zh-CN"/>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10</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）与《岳阳市“十四五”水资源配置规划》的符合性分析</w:t>
      </w:r>
    </w:p>
    <w:p w14:paraId="105FDC11">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根据长江勘测规划设计研究有限责任公司2021年编制的《岳阳市“十四五”水资源配置规划》，规划提出：二、实施防洪提升工程，保障防洪安全—6、持续推进病险水库（闸）及山塘除险加固工程，对全市病险水库进行除险加固，重点完成铁山水库和燎原、兰家洞、赛美、</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东山</w:t>
      </w:r>
      <w:r>
        <w:rPr>
          <w:rFonts w:hint="default" w:ascii="Times New Roman" w:hAnsi="Times New Roman" w:eastAsia="宋体" w:cs="Times New Roman"/>
          <w:color w:val="auto"/>
          <w:spacing w:val="0"/>
          <w:w w:val="100"/>
          <w:kern w:val="0"/>
          <w:position w:val="0"/>
          <w:sz w:val="24"/>
          <w:highlight w:val="none"/>
          <w:u w:val="none" w:color="auto"/>
          <w:lang w:val="en-US" w:eastAsia="zh-CN"/>
        </w:rPr>
        <w:t>、岳坊、金凤、汨罗、双花、兰桥、团湾、</w:t>
      </w:r>
      <w:r>
        <w:rPr>
          <w:rFonts w:hint="default" w:ascii="Times New Roman" w:hAnsi="Times New Roman" w:eastAsia="宋体" w:cs="Times New Roman"/>
          <w:b/>
          <w:bCs/>
          <w:color w:val="auto"/>
          <w:spacing w:val="0"/>
          <w:w w:val="100"/>
          <w:kern w:val="0"/>
          <w:position w:val="0"/>
          <w:sz w:val="24"/>
          <w:highlight w:val="none"/>
          <w:u w:val="single" w:color="auto"/>
          <w:lang w:val="en-US" w:eastAsia="zh-CN"/>
        </w:rPr>
        <w:t>北汊</w:t>
      </w:r>
      <w:r>
        <w:rPr>
          <w:rFonts w:hint="default" w:ascii="Times New Roman" w:hAnsi="Times New Roman" w:eastAsia="宋体" w:cs="Times New Roman"/>
          <w:color w:val="auto"/>
          <w:spacing w:val="0"/>
          <w:w w:val="100"/>
          <w:kern w:val="0"/>
          <w:position w:val="0"/>
          <w:sz w:val="24"/>
          <w:highlight w:val="none"/>
          <w:u w:val="none" w:color="auto"/>
          <w:lang w:val="en-US" w:eastAsia="zh-CN"/>
        </w:rPr>
        <w:t>、九峰、向家洞、秋湖、白水、大江洞、徐家洞、黄金堰等18座中型病险水库除险加固，有序开展500余座小型病险水库除险加固；推进病险水闸除险加固，重点实施完成返修河水闸、龙须坝水闸、杨树坝水闸、营田闸、青潭垸泄洪闸、中洲垸六门闸、东风湖电排站、南津港电排站、鸭栏泄水闸、双江坝水闸、狮形山水闸、调弦口水闸等12座骨干水闸除险加固工程；加强水库和水闸安全监控，定期开展水闸、水库安全鉴定，对新出险的水库和水闸，鉴定1处实施1处，及时消除隐患。持续开展山塘整治工程，消除病险山塘安全隐患。</w:t>
      </w:r>
    </w:p>
    <w:p w14:paraId="5346F5E5">
      <w:pPr>
        <w:pStyle w:val="106"/>
        <w:spacing w:line="360" w:lineRule="auto"/>
        <w:rPr>
          <w:rFonts w:hint="default" w:ascii="Times New Roman" w:hAnsi="Times New Roman" w:cs="Times New Roman"/>
          <w:color w:val="000000" w:themeColor="text1"/>
          <w:spacing w:val="0"/>
          <w:w w:val="100"/>
          <w:position w:val="0"/>
          <w:u w:val="none" w:color="auto"/>
          <w:lang w:val="en-US" w:eastAsia="zh-CN"/>
          <w14:textFill>
            <w14:solidFill>
              <w14:schemeClr w14:val="tx1"/>
            </w14:solidFill>
          </w14:textFill>
        </w:rPr>
      </w:pPr>
      <w:r>
        <w:rPr>
          <w:rFonts w:hint="default" w:ascii="Times New Roman" w:hAnsi="Times New Roman" w:cs="Times New Roman"/>
          <w:color w:val="000000" w:themeColor="text1"/>
          <w:spacing w:val="0"/>
          <w:w w:val="100"/>
          <w:position w:val="0"/>
          <w:u w:val="none" w:color="auto"/>
          <w:lang w:eastAsia="zh-CN"/>
          <w14:textFill>
            <w14:solidFill>
              <w14:schemeClr w14:val="tx1"/>
            </w14:solidFill>
          </w14:textFill>
        </w:rPr>
        <w:t>本项目为规划中提到的</w:t>
      </w:r>
      <w:r>
        <w:rPr>
          <w:rFonts w:hint="eastAsia" w:cs="Times New Roman"/>
          <w:color w:val="000000" w:themeColor="text1"/>
          <w:spacing w:val="0"/>
          <w:w w:val="100"/>
          <w:position w:val="0"/>
          <w:u w:val="none" w:color="auto"/>
          <w:lang w:eastAsia="zh-CN"/>
          <w14:textFill>
            <w14:solidFill>
              <w14:schemeClr w14:val="tx1"/>
            </w14:solidFill>
          </w14:textFill>
        </w:rPr>
        <w:t>北汊水库</w:t>
      </w:r>
      <w:r>
        <w:rPr>
          <w:rFonts w:hint="default" w:ascii="Times New Roman" w:hAnsi="Times New Roman" w:cs="Times New Roman"/>
          <w:color w:val="000000" w:themeColor="text1"/>
          <w:spacing w:val="0"/>
          <w:w w:val="100"/>
          <w:position w:val="0"/>
          <w:u w:val="none" w:color="auto"/>
          <w:lang w:eastAsia="zh-CN"/>
          <w14:textFill>
            <w14:solidFill>
              <w14:schemeClr w14:val="tx1"/>
            </w14:solidFill>
          </w14:textFill>
        </w:rPr>
        <w:t>除险加固工程，因此本项目与《岳阳市“十四五”水资源配置规划》相符。</w:t>
      </w:r>
    </w:p>
    <w:p w14:paraId="1F7B1C56">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lang w:eastAsia="zh-CN"/>
        </w:rPr>
      </w:pP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1</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1</w:t>
      </w:r>
      <w:r>
        <w:rPr>
          <w:rFonts w:hint="default" w:ascii="Times New Roman" w:hAnsi="Times New Roman" w:eastAsia="宋体" w:cs="Times New Roman"/>
          <w:b/>
          <w:bCs/>
          <w:color w:val="auto"/>
          <w:spacing w:val="0"/>
          <w:w w:val="100"/>
          <w:kern w:val="0"/>
          <w:position w:val="0"/>
          <w:sz w:val="24"/>
          <w:highlight w:val="none"/>
          <w:u w:val="none" w:color="auto"/>
          <w:lang w:eastAsia="zh-CN"/>
        </w:rPr>
        <w:t>）与《湖南华容</w:t>
      </w:r>
      <w:r>
        <w:rPr>
          <w:rFonts w:hint="eastAsia" w:ascii="Times New Roman" w:hAnsi="Times New Roman" w:eastAsia="宋体" w:cs="Times New Roman"/>
          <w:b/>
          <w:bCs/>
          <w:color w:val="auto"/>
          <w:spacing w:val="0"/>
          <w:w w:val="100"/>
          <w:kern w:val="0"/>
          <w:position w:val="0"/>
          <w:sz w:val="24"/>
          <w:highlight w:val="none"/>
          <w:u w:val="none" w:color="auto"/>
          <w:lang w:eastAsia="zh-CN"/>
        </w:rPr>
        <w:t>东湖国家湿地</w:t>
      </w:r>
      <w:r>
        <w:rPr>
          <w:rFonts w:hint="default" w:ascii="Times New Roman" w:hAnsi="Times New Roman" w:eastAsia="宋体" w:cs="Times New Roman"/>
          <w:b/>
          <w:bCs/>
          <w:color w:val="auto"/>
          <w:spacing w:val="0"/>
          <w:w w:val="100"/>
          <w:kern w:val="0"/>
          <w:position w:val="0"/>
          <w:sz w:val="24"/>
          <w:highlight w:val="none"/>
          <w:u w:val="none" w:color="auto"/>
          <w:lang w:eastAsia="zh-CN"/>
        </w:rPr>
        <w:t>公园总体规划》（</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201</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3</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-202</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0</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年</w:t>
      </w:r>
      <w:r>
        <w:rPr>
          <w:rFonts w:hint="default" w:ascii="Times New Roman" w:hAnsi="Times New Roman" w:eastAsia="宋体" w:cs="Times New Roman"/>
          <w:b/>
          <w:bCs/>
          <w:color w:val="auto"/>
          <w:spacing w:val="0"/>
          <w:w w:val="100"/>
          <w:kern w:val="0"/>
          <w:position w:val="0"/>
          <w:sz w:val="24"/>
          <w:highlight w:val="none"/>
          <w:u w:val="none" w:color="auto"/>
          <w:lang w:eastAsia="zh-CN"/>
        </w:rPr>
        <w:t>）符合性分析</w:t>
      </w:r>
    </w:p>
    <w:p w14:paraId="100470DD">
      <w:pPr>
        <w:autoSpaceDE w:val="0"/>
        <w:autoSpaceDN w:val="0"/>
        <w:adjustRightInd w:val="0"/>
        <w:snapToGrid w:val="0"/>
        <w:spacing w:line="360" w:lineRule="auto"/>
        <w:ind w:firstLine="480" w:firstLineChars="200"/>
        <w:rPr>
          <w:rFonts w:hint="eastAsia" w:ascii="Times New Roman" w:hAnsi="Times New Roman" w:eastAsia="宋体"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湖南华容东湖国家湿地公园范围包括东湖、罗帐湖、北汉湖、中西湖、下西湖、北汉水库“五湖</w:t>
      </w:r>
      <w:r>
        <w:rPr>
          <w:rFonts w:hint="eastAsia" w:ascii="Times New Roman" w:hAnsi="Times New Roman" w:eastAsia="宋体" w:cs="Times New Roman"/>
          <w:color w:val="auto"/>
          <w:spacing w:val="0"/>
          <w:w w:val="100"/>
          <w:kern w:val="0"/>
          <w:position w:val="0"/>
          <w:sz w:val="24"/>
          <w:highlight w:val="none"/>
          <w:u w:val="none" w:color="auto"/>
          <w:lang w:val="en-US" w:eastAsia="zh-CN"/>
        </w:rPr>
        <w:t>一</w:t>
      </w:r>
      <w:r>
        <w:rPr>
          <w:rFonts w:hint="default" w:ascii="Times New Roman" w:hAnsi="Times New Roman" w:eastAsia="宋体" w:cs="Times New Roman"/>
          <w:color w:val="auto"/>
          <w:spacing w:val="0"/>
          <w:w w:val="100"/>
          <w:kern w:val="0"/>
          <w:position w:val="0"/>
          <w:sz w:val="24"/>
          <w:highlight w:val="none"/>
          <w:u w:val="none" w:color="auto"/>
          <w:lang w:val="en-US" w:eastAsia="zh-CN"/>
        </w:rPr>
        <w:t>库”。公园以保护自然湖泊生态系统为主要目标</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突出健康利用与地方鱼文化，集湿地保护、恢复修复、文化展示、科普宣教、科研监测、湿地休闲为一体的综合性国家湿地公园。湿地公园规划与建设遵循“保护优先、科学恢复、合理利用、持续发展”的指导思想，把湿地公园的“五湖、一库、一环带”分为五个功能区</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保护保育区、恢复重建区、科普宣教区、合理利用区和管理服务区。</w:t>
      </w:r>
      <w:r>
        <w:rPr>
          <w:rFonts w:hint="eastAsia" w:ascii="Times New Roman" w:hAnsi="Times New Roman" w:eastAsia="宋体" w:cs="Times New Roman"/>
          <w:color w:val="auto"/>
          <w:spacing w:val="0"/>
          <w:w w:val="100"/>
          <w:kern w:val="0"/>
          <w:position w:val="0"/>
          <w:sz w:val="24"/>
          <w:highlight w:val="none"/>
          <w:u w:val="none" w:color="auto"/>
          <w:lang w:val="en-US" w:eastAsia="zh-CN"/>
        </w:rPr>
        <w:t>其中</w:t>
      </w:r>
      <w:r>
        <w:rPr>
          <w:rFonts w:hint="default" w:ascii="Times New Roman" w:hAnsi="Times New Roman" w:eastAsia="宋体" w:cs="Times New Roman"/>
          <w:color w:val="auto"/>
          <w:spacing w:val="0"/>
          <w:w w:val="100"/>
          <w:kern w:val="0"/>
          <w:position w:val="0"/>
          <w:sz w:val="24"/>
          <w:highlight w:val="none"/>
          <w:u w:val="none" w:color="auto"/>
          <w:lang w:val="en-US" w:eastAsia="zh-CN"/>
        </w:rPr>
        <w:t>合理利用区包括北汊水库、北汊湖和五七渔场生态养殖与休闲小区</w:t>
      </w:r>
      <w:r>
        <w:rPr>
          <w:rFonts w:hint="eastAsia" w:ascii="Times New Roman" w:hAnsi="Times New Roman" w:eastAsia="宋体" w:cs="Times New Roman"/>
          <w:color w:val="auto"/>
          <w:spacing w:val="0"/>
          <w:w w:val="100"/>
          <w:kern w:val="0"/>
          <w:position w:val="0"/>
          <w:sz w:val="24"/>
          <w:highlight w:val="none"/>
          <w:u w:val="none" w:color="auto"/>
          <w:lang w:val="en-US" w:eastAsia="zh-CN"/>
        </w:rPr>
        <w:t>，规划总面积为1530.1</w:t>
      </w:r>
      <w:r>
        <w:rPr>
          <w:rFonts w:hint="default" w:ascii="Times New Roman" w:hAnsi="Times New Roman" w:eastAsia="宋体" w:cs="Times New Roman"/>
          <w:color w:val="auto"/>
          <w:spacing w:val="0"/>
          <w:w w:val="100"/>
          <w:kern w:val="0"/>
          <w:position w:val="0"/>
          <w:sz w:val="24"/>
          <w:highlight w:val="none"/>
          <w:u w:val="none" w:color="auto"/>
          <w:lang w:val="en-US" w:eastAsia="zh-CN"/>
        </w:rPr>
        <w:t>hm</w:t>
      </w:r>
      <w:r>
        <w:rPr>
          <w:rFonts w:hint="default" w:ascii="Times New Roman" w:hAnsi="Times New Roman" w:eastAsia="宋体" w:cs="Times New Roman"/>
          <w:color w:val="auto"/>
          <w:spacing w:val="0"/>
          <w:w w:val="100"/>
          <w:kern w:val="0"/>
          <w:position w:val="0"/>
          <w:sz w:val="24"/>
          <w:highlight w:val="none"/>
          <w:u w:val="none" w:color="auto"/>
          <w:vertAlign w:val="superscript"/>
          <w:lang w:val="en-US" w:eastAsia="zh-CN"/>
        </w:rPr>
        <w:t>2</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r>
        <w:rPr>
          <w:rFonts w:hint="eastAsia" w:ascii="Times New Roman" w:hAnsi="Times New Roman" w:eastAsia="宋体" w:cs="Times New Roman"/>
          <w:color w:val="auto"/>
          <w:spacing w:val="0"/>
          <w:w w:val="100"/>
          <w:kern w:val="0"/>
          <w:position w:val="0"/>
          <w:sz w:val="24"/>
          <w:highlight w:val="none"/>
          <w:u w:val="none" w:color="auto"/>
          <w:lang w:val="en-US" w:eastAsia="zh-CN"/>
        </w:rPr>
        <w:t>合理利用区规划的主要功能为生态休闲和水上运动。建设目标：提供休闲游憩功能；“风情水乡”特色休闲。建设思路：利用湿地与森林风景资源，并通过设置一定康体休闲、水上娱乐、游憩娱乐等项目，开展湿地与森林休闲。建立比较完善的“风情水乡”特色休闲项目：包括“水上人家”、“鱼舟野营”、“北汊夜钓”等，丰富整个湿地公园的旅游产品，提高整个湿地公园的旅游品味，促进湿地公园的旅游发展，构建合理的湿地资源可持续利用产业链，提高湿地公园的自养能力，并带动周边社区相关产业的发展，使社区群众受益并提高他们的生活水平。主要建设内容是湿地与森林休闲设施。</w:t>
      </w:r>
    </w:p>
    <w:p w14:paraId="4164C987">
      <w:pPr>
        <w:autoSpaceDE w:val="0"/>
        <w:autoSpaceDN w:val="0"/>
        <w:adjustRightInd w:val="0"/>
        <w:snapToGrid w:val="0"/>
        <w:spacing w:line="360" w:lineRule="auto"/>
        <w:ind w:firstLine="480" w:firstLineChars="200"/>
        <w:rPr>
          <w:rFonts w:hint="default" w:ascii="Times New Roman" w:hAnsi="Times New Roman" w:eastAsia="宋体" w:cs="Times New Roman"/>
          <w:color w:val="FF0000"/>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北汊水库除险加固工程</w:t>
      </w:r>
      <w:r>
        <w:rPr>
          <w:rFonts w:hint="eastAsia" w:ascii="Times New Roman" w:hAnsi="Times New Roman" w:eastAsia="宋体" w:cs="Times New Roman"/>
          <w:color w:val="auto"/>
          <w:spacing w:val="0"/>
          <w:w w:val="100"/>
          <w:kern w:val="0"/>
          <w:position w:val="0"/>
          <w:sz w:val="24"/>
          <w:highlight w:val="none"/>
          <w:u w:val="none" w:color="auto"/>
          <w:lang w:val="en-US" w:eastAsia="zh-CN"/>
        </w:rPr>
        <w:t>处于华容东</w:t>
      </w:r>
      <w:r>
        <w:rPr>
          <w:rFonts w:hint="default" w:ascii="Times New Roman" w:hAnsi="Times New Roman" w:eastAsia="宋体" w:cs="Times New Roman"/>
          <w:color w:val="auto"/>
          <w:spacing w:val="0"/>
          <w:w w:val="100"/>
          <w:kern w:val="0"/>
          <w:position w:val="0"/>
          <w:sz w:val="24"/>
          <w:highlight w:val="none"/>
          <w:u w:val="none" w:color="auto"/>
          <w:lang w:val="en-US" w:eastAsia="zh-CN"/>
        </w:rPr>
        <w:t>湖国家湿地公园的合理利用区</w:t>
      </w:r>
      <w:r>
        <w:rPr>
          <w:rFonts w:hint="eastAsia" w:ascii="Times New Roman" w:hAnsi="Times New Roman" w:eastAsia="宋体" w:cs="Times New Roman"/>
          <w:color w:val="auto"/>
          <w:spacing w:val="0"/>
          <w:w w:val="100"/>
          <w:kern w:val="0"/>
          <w:position w:val="0"/>
          <w:sz w:val="24"/>
          <w:highlight w:val="none"/>
          <w:u w:val="none" w:color="auto"/>
          <w:lang w:val="en-US" w:eastAsia="zh-CN"/>
        </w:rPr>
        <w:t>范围，</w:t>
      </w:r>
      <w:r>
        <w:rPr>
          <w:rFonts w:hint="default" w:ascii="Times New Roman" w:hAnsi="Times New Roman" w:eastAsia="宋体" w:cs="Times New Roman"/>
          <w:color w:val="auto"/>
          <w:spacing w:val="0"/>
          <w:w w:val="100"/>
          <w:kern w:val="0"/>
          <w:position w:val="0"/>
          <w:sz w:val="24"/>
          <w:highlight w:val="none"/>
          <w:u w:val="none" w:color="auto"/>
          <w:lang w:val="en-US" w:eastAsia="zh-CN"/>
        </w:rPr>
        <w:t>施工过程中会对湿地鸟类和野生动物造成暂时性的干扰影响</w:t>
      </w:r>
      <w:r>
        <w:rPr>
          <w:rFonts w:hint="eastAsia" w:ascii="Times New Roman" w:hAnsi="Times New Roman" w:eastAsia="宋体" w:cs="Times New Roman"/>
          <w:color w:val="auto"/>
          <w:spacing w:val="0"/>
          <w:w w:val="100"/>
          <w:kern w:val="0"/>
          <w:position w:val="0"/>
          <w:sz w:val="24"/>
          <w:highlight w:val="none"/>
          <w:u w:val="none" w:color="auto"/>
          <w:lang w:val="en-US" w:eastAsia="zh-CN"/>
        </w:rPr>
        <w:t>，但</w:t>
      </w:r>
      <w:r>
        <w:rPr>
          <w:rFonts w:hint="default" w:ascii="Times New Roman" w:hAnsi="Times New Roman" w:eastAsia="宋体" w:cs="Times New Roman"/>
          <w:color w:val="auto"/>
          <w:spacing w:val="0"/>
          <w:w w:val="100"/>
          <w:kern w:val="0"/>
          <w:position w:val="0"/>
          <w:sz w:val="24"/>
          <w:highlight w:val="none"/>
          <w:u w:val="none" w:color="auto"/>
          <w:lang w:val="en-US" w:eastAsia="zh-CN"/>
        </w:rPr>
        <w:t>随着施工结束，工程对湿地公园的影响逐渐减小。</w:t>
      </w:r>
      <w:r>
        <w:rPr>
          <w:rFonts w:hint="eastAsia" w:ascii="Times New Roman" w:hAnsi="Times New Roman" w:eastAsia="宋体" w:cs="Times New Roman"/>
          <w:color w:val="auto"/>
          <w:spacing w:val="0"/>
          <w:w w:val="100"/>
          <w:kern w:val="0"/>
          <w:position w:val="0"/>
          <w:sz w:val="24"/>
          <w:highlight w:val="none"/>
          <w:u w:val="none" w:color="auto"/>
          <w:lang w:val="en-US" w:eastAsia="zh-CN"/>
        </w:rPr>
        <w:t>本工程在</w:t>
      </w:r>
      <w:r>
        <w:rPr>
          <w:rFonts w:hint="default" w:ascii="Times New Roman" w:hAnsi="Times New Roman" w:eastAsia="宋体" w:cs="Times New Roman"/>
          <w:color w:val="auto"/>
          <w:spacing w:val="0"/>
          <w:w w:val="100"/>
          <w:kern w:val="0"/>
          <w:position w:val="0"/>
          <w:sz w:val="24"/>
          <w:highlight w:val="none"/>
          <w:u w:val="none" w:color="auto"/>
          <w:lang w:eastAsia="zh-CN"/>
        </w:rPr>
        <w:t>现有工程基础上进行加固</w:t>
      </w:r>
      <w:r>
        <w:rPr>
          <w:rFonts w:hint="eastAsia" w:ascii="Times New Roman" w:hAnsi="Times New Roman" w:eastAsia="宋体" w:cs="Times New Roman"/>
          <w:color w:val="auto"/>
          <w:spacing w:val="0"/>
          <w:w w:val="100"/>
          <w:kern w:val="0"/>
          <w:position w:val="0"/>
          <w:sz w:val="24"/>
          <w:highlight w:val="none"/>
          <w:u w:val="none" w:color="auto"/>
          <w:lang w:eastAsia="zh-CN"/>
        </w:rPr>
        <w:t>，为确保水库的安全运行具有重大意义</w:t>
      </w:r>
      <w:r>
        <w:rPr>
          <w:rFonts w:hint="default" w:ascii="Times New Roman" w:hAnsi="Times New Roman" w:eastAsia="宋体" w:cs="Times New Roman"/>
          <w:color w:val="auto"/>
          <w:spacing w:val="0"/>
          <w:w w:val="100"/>
          <w:kern w:val="0"/>
          <w:position w:val="0"/>
          <w:sz w:val="24"/>
          <w:highlight w:val="none"/>
          <w:u w:val="none" w:color="auto"/>
          <w:lang w:val="en-US" w:eastAsia="zh-CN"/>
        </w:rPr>
        <w:t>。本工程建设为了保障湿地公园功能的正常发挥，因此工程建设符合《湖</w:t>
      </w:r>
      <w:r>
        <w:rPr>
          <w:rFonts w:hint="eastAsia" w:ascii="Times New Roman" w:hAnsi="Times New Roman" w:eastAsia="宋体" w:cs="Times New Roman"/>
          <w:color w:val="auto"/>
          <w:spacing w:val="0"/>
          <w:w w:val="100"/>
          <w:kern w:val="0"/>
          <w:position w:val="0"/>
          <w:sz w:val="24"/>
          <w:highlight w:val="none"/>
          <w:u w:val="none" w:color="auto"/>
          <w:lang w:val="en-US" w:eastAsia="zh-CN"/>
        </w:rPr>
        <w:t>南华容东湖</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国家湿地公园总体规划(201</w:t>
      </w:r>
      <w:r>
        <w:rPr>
          <w:rFonts w:hint="eastAsia" w:ascii="Times New Roman" w:hAnsi="Times New Roman" w:eastAsia="宋体" w:cs="Times New Roman"/>
          <w:color w:val="auto"/>
          <w:spacing w:val="0"/>
          <w:w w:val="100"/>
          <w:kern w:val="0"/>
          <w:position w:val="0"/>
          <w:sz w:val="24"/>
          <w:highlight w:val="none"/>
          <w:u w:val="none" w:color="auto"/>
          <w:lang w:val="en-US" w:eastAsia="zh-CN"/>
        </w:rPr>
        <w:t>3</w:t>
      </w:r>
      <w:r>
        <w:rPr>
          <w:rFonts w:hint="default" w:ascii="Times New Roman" w:hAnsi="Times New Roman" w:eastAsia="宋体" w:cs="Times New Roman"/>
          <w:color w:val="auto"/>
          <w:spacing w:val="0"/>
          <w:w w:val="100"/>
          <w:kern w:val="0"/>
          <w:position w:val="0"/>
          <w:sz w:val="24"/>
          <w:highlight w:val="none"/>
          <w:u w:val="none" w:color="auto"/>
          <w:lang w:val="en-US" w:eastAsia="zh-CN"/>
        </w:rPr>
        <w:t>-202</w:t>
      </w:r>
      <w:r>
        <w:rPr>
          <w:rFonts w:hint="eastAsia" w:ascii="Times New Roman" w:hAnsi="Times New Roman" w:eastAsia="宋体" w:cs="Times New Roman"/>
          <w:color w:val="auto"/>
          <w:spacing w:val="0"/>
          <w:w w:val="100"/>
          <w:kern w:val="0"/>
          <w:position w:val="0"/>
          <w:sz w:val="24"/>
          <w:highlight w:val="none"/>
          <w:u w:val="none" w:color="auto"/>
          <w:lang w:val="en-US" w:eastAsia="zh-CN"/>
        </w:rPr>
        <w:t>0年</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p>
    <w:p w14:paraId="00FCBC10">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rPr>
      </w:pPr>
      <w:r>
        <w:rPr>
          <w:rFonts w:hint="default" w:ascii="Times New Roman" w:hAnsi="Times New Roman" w:eastAsia="宋体" w:cs="Times New Roman"/>
          <w:b/>
          <w:bCs/>
          <w:color w:val="auto"/>
          <w:spacing w:val="0"/>
          <w:w w:val="100"/>
          <w:kern w:val="0"/>
          <w:position w:val="0"/>
          <w:sz w:val="24"/>
          <w:highlight w:val="none"/>
          <w:u w:val="none" w:color="auto"/>
          <w:lang w:val="en-US" w:eastAsia="zh-CN"/>
        </w:rPr>
        <w:t>（1</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2</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w:t>
      </w:r>
      <w:r>
        <w:rPr>
          <w:rFonts w:hint="default" w:ascii="Times New Roman" w:hAnsi="Times New Roman" w:eastAsia="宋体" w:cs="Times New Roman"/>
          <w:b/>
          <w:bCs/>
          <w:color w:val="auto"/>
          <w:spacing w:val="0"/>
          <w:w w:val="100"/>
          <w:kern w:val="0"/>
          <w:position w:val="0"/>
          <w:sz w:val="24"/>
          <w:highlight w:val="none"/>
          <w:u w:val="none" w:color="auto"/>
          <w:lang w:eastAsia="zh-CN"/>
        </w:rPr>
        <w:t>与《</w:t>
      </w:r>
      <w:r>
        <w:rPr>
          <w:rFonts w:hint="default" w:ascii="Times New Roman" w:hAnsi="Times New Roman" w:eastAsia="宋体" w:cs="Times New Roman"/>
          <w:b/>
          <w:bCs/>
          <w:color w:val="auto"/>
          <w:spacing w:val="0"/>
          <w:w w:val="100"/>
          <w:kern w:val="0"/>
          <w:position w:val="0"/>
          <w:sz w:val="24"/>
          <w:highlight w:val="none"/>
          <w:u w:val="none" w:color="auto"/>
        </w:rPr>
        <w:t>关于加强生态保护红线管理的通知（试行）</w:t>
      </w: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rPr>
        <w:t>自然资发〔2022〕142号</w:t>
      </w:r>
      <w:r>
        <w:rPr>
          <w:rFonts w:hint="default" w:ascii="Times New Roman" w:hAnsi="Times New Roman" w:eastAsia="宋体" w:cs="Times New Roman"/>
          <w:b/>
          <w:bCs/>
          <w:color w:val="auto"/>
          <w:spacing w:val="0"/>
          <w:w w:val="100"/>
          <w:kern w:val="0"/>
          <w:position w:val="0"/>
          <w:sz w:val="24"/>
          <w:highlight w:val="none"/>
          <w:u w:val="none" w:color="auto"/>
          <w:lang w:eastAsia="zh-CN"/>
        </w:rPr>
        <w:t>）符合性分析</w:t>
      </w:r>
    </w:p>
    <w:p w14:paraId="6F612DDB">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pacing w:val="0"/>
          <w:w w:val="100"/>
          <w:kern w:val="0"/>
          <w:position w:val="0"/>
          <w:sz w:val="24"/>
          <w:highlight w:val="none"/>
          <w:u w:val="none" w:color="auto"/>
          <w:lang w:eastAsia="zh-CN"/>
        </w:rPr>
      </w:pP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w:t>
      </w:r>
      <w:r>
        <w:rPr>
          <w:rFonts w:hint="default" w:ascii="Times New Roman" w:hAnsi="Times New Roman" w:eastAsia="宋体" w:cs="Times New Roman"/>
          <w:b w:val="0"/>
          <w:bCs w:val="0"/>
          <w:color w:val="auto"/>
          <w:spacing w:val="0"/>
          <w:w w:val="100"/>
          <w:kern w:val="0"/>
          <w:position w:val="0"/>
          <w:sz w:val="24"/>
          <w:highlight w:val="none"/>
          <w:u w:val="none" w:color="auto"/>
        </w:rPr>
        <w:t>关于加强生态保护红线管理的通知（试行）</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w:t>
      </w:r>
      <w:r>
        <w:rPr>
          <w:rFonts w:hint="default" w:ascii="Times New Roman" w:hAnsi="Times New Roman" w:eastAsia="宋体" w:cs="Times New Roman"/>
          <w:b w:val="0"/>
          <w:bCs w:val="0"/>
          <w:color w:val="auto"/>
          <w:spacing w:val="0"/>
          <w:w w:val="100"/>
          <w:kern w:val="0"/>
          <w:position w:val="0"/>
          <w:sz w:val="24"/>
          <w:highlight w:val="none"/>
          <w:u w:val="none" w:color="auto"/>
        </w:rPr>
        <w:t>自然资发〔2022〕142号</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）第一条“</w:t>
      </w:r>
      <w:r>
        <w:rPr>
          <w:rFonts w:hint="default" w:ascii="Times New Roman" w:hAnsi="Times New Roman" w:eastAsia="宋体" w:cs="Times New Roman"/>
          <w:b w:val="0"/>
          <w:bCs w:val="0"/>
          <w:color w:val="auto"/>
          <w:spacing w:val="0"/>
          <w:w w:val="100"/>
          <w:kern w:val="0"/>
          <w:position w:val="0"/>
          <w:sz w:val="24"/>
          <w:highlight w:val="none"/>
          <w:u w:val="none" w:color="auto"/>
        </w:rPr>
        <w:t>加强人为活动管控</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”要求：</w:t>
      </w:r>
    </w:p>
    <w:p w14:paraId="17CCC4FD">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p w14:paraId="3590DE17">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微软雅黑" w:cs="Times New Roman"/>
          <w:color w:val="auto"/>
          <w:spacing w:val="0"/>
          <w:w w:val="100"/>
          <w:kern w:val="0"/>
          <w:position w:val="0"/>
          <w:sz w:val="24"/>
          <w:highlight w:val="none"/>
          <w:u w:val="none" w:color="auto"/>
        </w:rPr>
        <w:t>①</w:t>
      </w:r>
      <w:r>
        <w:rPr>
          <w:rFonts w:hint="default" w:ascii="Times New Roman" w:hAnsi="Times New Roman" w:eastAsia="宋体" w:cs="Times New Roman"/>
          <w:color w:val="auto"/>
          <w:spacing w:val="0"/>
          <w:w w:val="100"/>
          <w:kern w:val="0"/>
          <w:position w:val="0"/>
          <w:sz w:val="24"/>
          <w:highlight w:val="none"/>
          <w:u w:val="none" w:color="auto"/>
        </w:rPr>
        <w:t>管护巡护、保护执法、科学研究、调查监测、测绘导航、防灾减灾救灾、军事国防、疫情防控等活动及相关的必要设施修筑。</w:t>
      </w:r>
    </w:p>
    <w:p w14:paraId="6E58F8F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微软雅黑" w:cs="Times New Roman"/>
          <w:color w:val="auto"/>
          <w:spacing w:val="0"/>
          <w:w w:val="100"/>
          <w:kern w:val="0"/>
          <w:position w:val="0"/>
          <w:sz w:val="24"/>
          <w:highlight w:val="none"/>
          <w:u w:val="none" w:color="auto"/>
        </w:rPr>
        <w:t>②</w:t>
      </w:r>
      <w:r>
        <w:rPr>
          <w:rFonts w:hint="default" w:ascii="Times New Roman" w:hAnsi="Times New Roman" w:eastAsia="宋体" w:cs="Times New Roman"/>
          <w:color w:val="auto"/>
          <w:spacing w:val="0"/>
          <w:w w:val="100"/>
          <w:kern w:val="0"/>
          <w:position w:val="0"/>
          <w:sz w:val="24"/>
          <w:highlight w:val="none"/>
          <w:u w:val="none" w:color="auto"/>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0FAEC943">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微软雅黑" w:cs="Times New Roman"/>
          <w:color w:val="auto"/>
          <w:spacing w:val="0"/>
          <w:w w:val="100"/>
          <w:kern w:val="0"/>
          <w:position w:val="0"/>
          <w:sz w:val="24"/>
          <w:highlight w:val="none"/>
          <w:u w:val="none" w:color="auto"/>
        </w:rPr>
        <w:t>③</w:t>
      </w:r>
      <w:r>
        <w:rPr>
          <w:rFonts w:hint="default" w:ascii="Times New Roman" w:hAnsi="Times New Roman" w:eastAsia="宋体" w:cs="Times New Roman"/>
          <w:color w:val="auto"/>
          <w:spacing w:val="0"/>
          <w:w w:val="100"/>
          <w:kern w:val="0"/>
          <w:position w:val="0"/>
          <w:sz w:val="24"/>
          <w:highlight w:val="none"/>
          <w:u w:val="none" w:color="auto"/>
        </w:rPr>
        <w:t>经依法批准的考古调查发掘、古生物化石调查发掘、标本采集和文物保护活动。</w:t>
      </w:r>
    </w:p>
    <w:p w14:paraId="426219A5">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微软雅黑" w:cs="Times New Roman"/>
          <w:color w:val="auto"/>
          <w:spacing w:val="0"/>
          <w:w w:val="100"/>
          <w:kern w:val="0"/>
          <w:position w:val="0"/>
          <w:sz w:val="24"/>
          <w:highlight w:val="none"/>
          <w:u w:val="none" w:color="auto"/>
        </w:rPr>
        <w:t>④</w:t>
      </w:r>
      <w:r>
        <w:rPr>
          <w:rFonts w:hint="default" w:ascii="Times New Roman" w:hAnsi="Times New Roman" w:eastAsia="宋体" w:cs="Times New Roman"/>
          <w:color w:val="auto"/>
          <w:spacing w:val="0"/>
          <w:w w:val="100"/>
          <w:kern w:val="0"/>
          <w:position w:val="0"/>
          <w:sz w:val="24"/>
          <w:highlight w:val="none"/>
          <w:u w:val="none" w:color="auto"/>
        </w:rPr>
        <w:t>按规定对人工商品林进行抚育采伐，或以提升森林质量、优化栖息地、建设</w:t>
      </w:r>
      <w:r>
        <w:rPr>
          <w:rFonts w:hint="default" w:ascii="Times New Roman" w:hAnsi="Times New Roman" w:eastAsia="宋体" w:cs="Times New Roman"/>
          <w:color w:val="auto"/>
          <w:spacing w:val="0"/>
          <w:w w:val="100"/>
          <w:kern w:val="0"/>
          <w:position w:val="0"/>
          <w:sz w:val="24"/>
          <w:szCs w:val="24"/>
          <w:highlight w:val="none"/>
          <w:u w:val="none" w:color="auto"/>
        </w:rPr>
        <w:t>生物防火隔离带等为目的的树种更新，依法开展的竹林采伐经营。</w:t>
      </w:r>
    </w:p>
    <w:p w14:paraId="1E9576D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微软雅黑" w:cs="Times New Roman"/>
          <w:color w:val="auto"/>
          <w:spacing w:val="0"/>
          <w:w w:val="100"/>
          <w:kern w:val="0"/>
          <w:position w:val="0"/>
          <w:sz w:val="24"/>
          <w:szCs w:val="24"/>
          <w:highlight w:val="none"/>
          <w:u w:val="none" w:color="auto"/>
        </w:rPr>
        <w:t>⑤</w:t>
      </w:r>
      <w:r>
        <w:rPr>
          <w:rFonts w:hint="default" w:ascii="Times New Roman" w:hAnsi="Times New Roman" w:eastAsia="宋体" w:cs="Times New Roman"/>
          <w:color w:val="auto"/>
          <w:spacing w:val="0"/>
          <w:w w:val="100"/>
          <w:kern w:val="0"/>
          <w:position w:val="0"/>
          <w:sz w:val="24"/>
          <w:szCs w:val="24"/>
          <w:highlight w:val="none"/>
          <w:u w:val="none" w:color="auto"/>
        </w:rPr>
        <w:t>不破坏生态功能的适度参观旅游、科普宣教及符合相关规划的配套性服务设施和相关的必要公共设施建设及维护。</w:t>
      </w:r>
    </w:p>
    <w:p w14:paraId="7092D2B4">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微软雅黑" w:cs="Times New Roman"/>
          <w:color w:val="auto"/>
          <w:spacing w:val="0"/>
          <w:w w:val="100"/>
          <w:kern w:val="0"/>
          <w:position w:val="0"/>
          <w:sz w:val="24"/>
          <w:szCs w:val="24"/>
          <w:highlight w:val="none"/>
          <w:u w:val="none" w:color="auto"/>
        </w:rPr>
        <w:t>⑥</w:t>
      </w:r>
      <w:r>
        <w:rPr>
          <w:rFonts w:hint="default" w:ascii="Times New Roman" w:hAnsi="Times New Roman" w:eastAsia="宋体" w:cs="Times New Roman"/>
          <w:color w:val="auto"/>
          <w:spacing w:val="0"/>
          <w:w w:val="100"/>
          <w:kern w:val="0"/>
          <w:position w:val="0"/>
          <w:sz w:val="24"/>
          <w:szCs w:val="24"/>
          <w:highlight w:val="none"/>
          <w:u w:val="none" w:color="auto"/>
        </w:rPr>
        <w:t>必须且无法避让、符合县级以上国土空间规划的线性基础设施、通讯和防洪、供水设施建设和船舶航行、航道疏浚清淤等活动；已有的合法水利、交通运输等设施运行维护改造。</w:t>
      </w:r>
    </w:p>
    <w:p w14:paraId="1F5D2A88">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微软雅黑" w:cs="Times New Roman"/>
          <w:color w:val="auto"/>
          <w:spacing w:val="0"/>
          <w:w w:val="100"/>
          <w:kern w:val="0"/>
          <w:position w:val="0"/>
          <w:sz w:val="24"/>
          <w:szCs w:val="24"/>
          <w:highlight w:val="none"/>
          <w:u w:val="none" w:color="auto"/>
        </w:rPr>
        <w:t>⑦</w:t>
      </w:r>
      <w:r>
        <w:rPr>
          <w:rFonts w:hint="default" w:ascii="Times New Roman" w:hAnsi="Times New Roman" w:eastAsia="宋体" w:cs="Times New Roman"/>
          <w:color w:val="auto"/>
          <w:spacing w:val="0"/>
          <w:w w:val="100"/>
          <w:kern w:val="0"/>
          <w:position w:val="0"/>
          <w:sz w:val="24"/>
          <w:szCs w:val="24"/>
          <w:highlight w:val="none"/>
          <w:u w:val="none" w:color="auto"/>
        </w:rPr>
        <w:t>地质调查与矿产资源勘查开采。</w:t>
      </w:r>
    </w:p>
    <w:p w14:paraId="55D8189A">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宋体" w:cs="Times New Roman"/>
          <w:color w:val="auto"/>
          <w:spacing w:val="0"/>
          <w:w w:val="100"/>
          <w:kern w:val="0"/>
          <w:position w:val="0"/>
          <w:sz w:val="24"/>
          <w:szCs w:val="24"/>
          <w:highlight w:val="none"/>
          <w:u w:val="none" w:color="auto"/>
        </w:rPr>
        <w:fldChar w:fldCharType="begin"/>
      </w:r>
      <w:r>
        <w:rPr>
          <w:rFonts w:hint="default" w:ascii="Times New Roman" w:hAnsi="Times New Roman" w:eastAsia="宋体" w:cs="Times New Roman"/>
          <w:color w:val="auto"/>
          <w:spacing w:val="0"/>
          <w:w w:val="100"/>
          <w:kern w:val="0"/>
          <w:position w:val="0"/>
          <w:sz w:val="24"/>
          <w:szCs w:val="24"/>
          <w:highlight w:val="none"/>
          <w:u w:val="none" w:color="auto"/>
        </w:rPr>
        <w:instrText xml:space="preserve"> = 8 \* GB3 \* MERGEFORMAT </w:instrText>
      </w:r>
      <w:r>
        <w:rPr>
          <w:rFonts w:hint="default" w:ascii="Times New Roman" w:hAnsi="Times New Roman" w:eastAsia="宋体" w:cs="Times New Roman"/>
          <w:color w:val="auto"/>
          <w:spacing w:val="0"/>
          <w:w w:val="100"/>
          <w:kern w:val="0"/>
          <w:position w:val="0"/>
          <w:sz w:val="24"/>
          <w:szCs w:val="24"/>
          <w:highlight w:val="none"/>
          <w:u w:val="none" w:color="auto"/>
        </w:rPr>
        <w:fldChar w:fldCharType="separate"/>
      </w:r>
      <w:r>
        <w:rPr>
          <w:rFonts w:hint="default" w:ascii="Times New Roman" w:hAnsi="Times New Roman" w:cs="Times New Roman"/>
          <w:spacing w:val="0"/>
          <w:w w:val="100"/>
          <w:position w:val="0"/>
          <w:sz w:val="24"/>
          <w:szCs w:val="24"/>
          <w:u w:val="none" w:color="auto"/>
        </w:rPr>
        <w:t>⑧</w:t>
      </w:r>
      <w:r>
        <w:rPr>
          <w:rFonts w:hint="default" w:ascii="Times New Roman" w:hAnsi="Times New Roman" w:eastAsia="宋体" w:cs="Times New Roman"/>
          <w:color w:val="auto"/>
          <w:spacing w:val="0"/>
          <w:w w:val="100"/>
          <w:kern w:val="0"/>
          <w:position w:val="0"/>
          <w:sz w:val="24"/>
          <w:szCs w:val="24"/>
          <w:highlight w:val="none"/>
          <w:u w:val="none" w:color="auto"/>
        </w:rPr>
        <w:fldChar w:fldCharType="end"/>
      </w:r>
      <w:r>
        <w:rPr>
          <w:rFonts w:hint="default" w:ascii="Times New Roman" w:hAnsi="Times New Roman" w:eastAsia="宋体" w:cs="Times New Roman"/>
          <w:color w:val="auto"/>
          <w:spacing w:val="0"/>
          <w:w w:val="100"/>
          <w:kern w:val="0"/>
          <w:position w:val="0"/>
          <w:sz w:val="24"/>
          <w:szCs w:val="24"/>
          <w:highlight w:val="none"/>
          <w:u w:val="none" w:color="auto"/>
        </w:rPr>
        <w:t>依据县级以上国土空间规划和生态保护修复专项规划开展的生态修复。</w:t>
      </w:r>
    </w:p>
    <w:p w14:paraId="14F95146">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u w:val="none" w:color="auto"/>
        </w:rPr>
      </w:pPr>
      <w:r>
        <w:rPr>
          <w:rFonts w:hint="default" w:ascii="Times New Roman" w:hAnsi="Times New Roman" w:eastAsia="宋体" w:cs="Times New Roman"/>
          <w:color w:val="auto"/>
          <w:spacing w:val="0"/>
          <w:w w:val="100"/>
          <w:kern w:val="0"/>
          <w:position w:val="0"/>
          <w:sz w:val="24"/>
          <w:szCs w:val="24"/>
          <w:highlight w:val="none"/>
          <w:u w:val="none" w:color="auto"/>
        </w:rPr>
        <w:fldChar w:fldCharType="begin"/>
      </w:r>
      <w:r>
        <w:rPr>
          <w:rFonts w:hint="default" w:ascii="Times New Roman" w:hAnsi="Times New Roman" w:eastAsia="宋体" w:cs="Times New Roman"/>
          <w:color w:val="auto"/>
          <w:spacing w:val="0"/>
          <w:w w:val="100"/>
          <w:kern w:val="0"/>
          <w:position w:val="0"/>
          <w:sz w:val="24"/>
          <w:szCs w:val="24"/>
          <w:highlight w:val="none"/>
          <w:u w:val="none" w:color="auto"/>
        </w:rPr>
        <w:instrText xml:space="preserve"> = 9 \* GB3 \* MERGEFORMAT </w:instrText>
      </w:r>
      <w:r>
        <w:rPr>
          <w:rFonts w:hint="default" w:ascii="Times New Roman" w:hAnsi="Times New Roman" w:eastAsia="宋体" w:cs="Times New Roman"/>
          <w:color w:val="auto"/>
          <w:spacing w:val="0"/>
          <w:w w:val="100"/>
          <w:kern w:val="0"/>
          <w:position w:val="0"/>
          <w:sz w:val="24"/>
          <w:szCs w:val="24"/>
          <w:highlight w:val="none"/>
          <w:u w:val="none" w:color="auto"/>
        </w:rPr>
        <w:fldChar w:fldCharType="separate"/>
      </w:r>
      <w:r>
        <w:rPr>
          <w:rFonts w:hint="default" w:ascii="Times New Roman" w:hAnsi="Times New Roman" w:cs="Times New Roman"/>
          <w:spacing w:val="0"/>
          <w:w w:val="100"/>
          <w:position w:val="0"/>
          <w:sz w:val="24"/>
          <w:szCs w:val="24"/>
          <w:u w:val="none" w:color="auto"/>
        </w:rPr>
        <w:t>⑨</w:t>
      </w:r>
      <w:r>
        <w:rPr>
          <w:rFonts w:hint="default" w:ascii="Times New Roman" w:hAnsi="Times New Roman" w:eastAsia="宋体" w:cs="Times New Roman"/>
          <w:color w:val="auto"/>
          <w:spacing w:val="0"/>
          <w:w w:val="100"/>
          <w:kern w:val="0"/>
          <w:position w:val="0"/>
          <w:sz w:val="24"/>
          <w:szCs w:val="24"/>
          <w:highlight w:val="none"/>
          <w:u w:val="none" w:color="auto"/>
        </w:rPr>
        <w:fldChar w:fldCharType="end"/>
      </w:r>
      <w:r>
        <w:rPr>
          <w:rFonts w:hint="default" w:ascii="Times New Roman" w:hAnsi="Times New Roman" w:eastAsia="宋体" w:cs="Times New Roman"/>
          <w:color w:val="auto"/>
          <w:spacing w:val="0"/>
          <w:w w:val="100"/>
          <w:kern w:val="0"/>
          <w:position w:val="0"/>
          <w:sz w:val="24"/>
          <w:szCs w:val="24"/>
          <w:highlight w:val="none"/>
          <w:u w:val="none" w:color="auto"/>
        </w:rPr>
        <w:t>根据我国相关法律法规和与邻国签署的国界管理制度协定（条约）开展的边界边境通视道清理以及界务工程的修建、维护和拆除工作。</w:t>
      </w:r>
    </w:p>
    <w:p w14:paraId="3E1DE9E2">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szCs w:val="24"/>
          <w:highlight w:val="none"/>
          <w:u w:val="none" w:color="auto"/>
        </w:rPr>
        <w:fldChar w:fldCharType="begin"/>
      </w:r>
      <w:r>
        <w:rPr>
          <w:rFonts w:hint="default" w:ascii="Times New Roman" w:hAnsi="Times New Roman" w:eastAsia="宋体" w:cs="Times New Roman"/>
          <w:color w:val="auto"/>
          <w:spacing w:val="0"/>
          <w:w w:val="100"/>
          <w:kern w:val="0"/>
          <w:position w:val="0"/>
          <w:sz w:val="24"/>
          <w:szCs w:val="24"/>
          <w:highlight w:val="none"/>
          <w:u w:val="none" w:color="auto"/>
        </w:rPr>
        <w:instrText xml:space="preserve"> = 10 \* GB3 \* MERGEFORMAT </w:instrText>
      </w:r>
      <w:r>
        <w:rPr>
          <w:rFonts w:hint="default" w:ascii="Times New Roman" w:hAnsi="Times New Roman" w:eastAsia="宋体" w:cs="Times New Roman"/>
          <w:color w:val="auto"/>
          <w:spacing w:val="0"/>
          <w:w w:val="100"/>
          <w:kern w:val="0"/>
          <w:position w:val="0"/>
          <w:sz w:val="24"/>
          <w:szCs w:val="24"/>
          <w:highlight w:val="none"/>
          <w:u w:val="none" w:color="auto"/>
        </w:rPr>
        <w:fldChar w:fldCharType="separate"/>
      </w:r>
      <w:r>
        <w:rPr>
          <w:rFonts w:hint="default" w:ascii="Times New Roman" w:hAnsi="Times New Roman" w:cs="Times New Roman"/>
          <w:spacing w:val="0"/>
          <w:w w:val="100"/>
          <w:position w:val="0"/>
          <w:sz w:val="24"/>
          <w:szCs w:val="24"/>
          <w:u w:val="none" w:color="auto"/>
        </w:rPr>
        <w:t>⑩</w:t>
      </w:r>
      <w:r>
        <w:rPr>
          <w:rFonts w:hint="default" w:ascii="Times New Roman" w:hAnsi="Times New Roman" w:eastAsia="宋体" w:cs="Times New Roman"/>
          <w:color w:val="auto"/>
          <w:spacing w:val="0"/>
          <w:w w:val="100"/>
          <w:kern w:val="0"/>
          <w:position w:val="0"/>
          <w:sz w:val="24"/>
          <w:szCs w:val="24"/>
          <w:highlight w:val="none"/>
          <w:u w:val="none" w:color="auto"/>
        </w:rPr>
        <w:fldChar w:fldCharType="end"/>
      </w:r>
      <w:r>
        <w:rPr>
          <w:rFonts w:hint="default" w:ascii="Times New Roman" w:hAnsi="Times New Roman" w:eastAsia="宋体" w:cs="Times New Roman"/>
          <w:color w:val="auto"/>
          <w:spacing w:val="0"/>
          <w:w w:val="100"/>
          <w:kern w:val="0"/>
          <w:position w:val="0"/>
          <w:sz w:val="24"/>
          <w:szCs w:val="24"/>
          <w:highlight w:val="none"/>
          <w:u w:val="none" w:color="auto"/>
        </w:rPr>
        <w:t>法律法规规定允许的其他人为活</w:t>
      </w:r>
      <w:r>
        <w:rPr>
          <w:rFonts w:hint="default" w:ascii="Times New Roman" w:hAnsi="Times New Roman" w:eastAsia="宋体" w:cs="Times New Roman"/>
          <w:color w:val="auto"/>
          <w:spacing w:val="0"/>
          <w:w w:val="100"/>
          <w:kern w:val="0"/>
          <w:position w:val="0"/>
          <w:sz w:val="24"/>
          <w:highlight w:val="none"/>
          <w:u w:val="none" w:color="auto"/>
        </w:rPr>
        <w:t>动。</w:t>
      </w:r>
    </w:p>
    <w:p w14:paraId="0E2547E4">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rPr>
        <w:t>开展上述活动时禁止新增填海造地和新增围海。上述活动涉及利用无居民海岛的，原则上仅允许按照相关规定对海岛自然岸线、表面积、岛体、植被改变轻微的低影响利用方式。</w:t>
      </w:r>
    </w:p>
    <w:p w14:paraId="59A10B1B">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eastAsia="zh-CN"/>
        </w:rPr>
        <w:t>本项目位于岳阳市</w:t>
      </w:r>
      <w:r>
        <w:rPr>
          <w:rFonts w:hint="default" w:ascii="Times New Roman" w:hAnsi="Times New Roman" w:eastAsia="宋体" w:cs="Times New Roman"/>
          <w:color w:val="auto"/>
          <w:spacing w:val="0"/>
          <w:w w:val="100"/>
          <w:kern w:val="0"/>
          <w:position w:val="0"/>
          <w:sz w:val="24"/>
          <w:highlight w:val="none"/>
          <w:u w:val="none" w:color="auto"/>
        </w:rPr>
        <w:t>生态保护红线</w:t>
      </w:r>
      <w:r>
        <w:rPr>
          <w:rFonts w:hint="default" w:ascii="Times New Roman" w:hAnsi="Times New Roman" w:eastAsia="宋体" w:cs="Times New Roman"/>
          <w:color w:val="auto"/>
          <w:spacing w:val="0"/>
          <w:w w:val="100"/>
          <w:kern w:val="0"/>
          <w:position w:val="0"/>
          <w:sz w:val="24"/>
          <w:highlight w:val="none"/>
          <w:u w:val="none" w:color="auto"/>
          <w:lang w:eastAsia="zh-CN"/>
        </w:rPr>
        <w:t>范围内，</w:t>
      </w: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该工程属于“对生态功能不造成破坏的有限人为活动”中“6、必须且无法避让、符合县级以上国土空间规划的线性基础设施、通讯和防洪、供水设施建设和船舶航行、航道疏浚清淤等活动；已有的合法水利、交通运输等设施运行维护改造”类，符合《自然资源部 生态环境部 国家林业和草原局关于加强生态保护红线管理的通知（试行）》（自然资发〔2022〕142号）要求。 </w:t>
      </w:r>
    </w:p>
    <w:p w14:paraId="463F8C29">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w w:val="100"/>
          <w:kern w:val="0"/>
          <w:position w:val="0"/>
          <w:sz w:val="24"/>
          <w:highlight w:val="none"/>
          <w:u w:val="none" w:color="auto"/>
          <w:lang w:eastAsia="zh-CN"/>
        </w:rPr>
      </w:pPr>
      <w:r>
        <w:rPr>
          <w:rFonts w:hint="default"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olor w:val="auto"/>
          <w:spacing w:val="0"/>
          <w:w w:val="100"/>
          <w:kern w:val="0"/>
          <w:position w:val="0"/>
          <w:sz w:val="24"/>
          <w:highlight w:val="none"/>
          <w:u w:val="none" w:color="auto"/>
          <w:lang w:val="en-US" w:eastAsia="zh-CN"/>
        </w:rPr>
        <w:t>1</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3</w:t>
      </w:r>
      <w:r>
        <w:rPr>
          <w:rFonts w:hint="default" w:ascii="Times New Roman" w:hAnsi="Times New Roman" w:eastAsia="宋体" w:cs="Times New Roman"/>
          <w:b/>
          <w:bCs/>
          <w:color w:val="auto"/>
          <w:spacing w:val="0"/>
          <w:w w:val="100"/>
          <w:kern w:val="0"/>
          <w:position w:val="0"/>
          <w:sz w:val="24"/>
          <w:highlight w:val="none"/>
          <w:u w:val="none" w:color="auto"/>
          <w:lang w:eastAsia="zh-CN"/>
        </w:rPr>
        <w:t>）</w:t>
      </w:r>
      <w:bookmarkStart w:id="13" w:name="bookmark21"/>
      <w:bookmarkStart w:id="14" w:name="bookmark20"/>
      <w:r>
        <w:rPr>
          <w:rFonts w:hint="eastAsia" w:ascii="Times New Roman" w:hAnsi="Times New Roman" w:eastAsia="宋体" w:cs="Times New Roman"/>
          <w:b/>
          <w:bCs/>
          <w:color w:val="auto"/>
          <w:spacing w:val="0"/>
          <w:w w:val="100"/>
          <w:kern w:val="0"/>
          <w:position w:val="0"/>
          <w:sz w:val="24"/>
          <w:highlight w:val="none"/>
          <w:u w:val="none" w:color="auto"/>
          <w:lang w:val="en-US" w:eastAsia="zh-CN"/>
        </w:rPr>
        <w:t>与环评审批原则的符合性分析</w:t>
      </w:r>
    </w:p>
    <w:p w14:paraId="7693CC62">
      <w:pPr>
        <w:adjustRightInd w:val="0"/>
        <w:snapToGrid w:val="0"/>
        <w:spacing w:line="360" w:lineRule="auto"/>
        <w:ind w:left="-63" w:firstLine="480" w:firstLineChars="200"/>
        <w:jc w:val="left"/>
        <w:textAlignment w:val="center"/>
        <w:rPr>
          <w:rFonts w:hint="eastAsia" w:ascii="宋体" w:hAnsi="宋体" w:eastAsia="宋体" w:cs="宋体"/>
          <w:sz w:val="24"/>
          <w:szCs w:val="24"/>
          <w:u w:val="none" w:color="auto"/>
          <w:lang w:val="en-US" w:eastAsia="zh-CN"/>
        </w:rPr>
      </w:pPr>
      <w:r>
        <w:rPr>
          <w:rFonts w:hint="eastAsia" w:ascii="宋体" w:hAnsi="宋体" w:eastAsia="宋体" w:cs="宋体"/>
          <w:snapToGrid w:val="0"/>
          <w:kern w:val="0"/>
          <w:sz w:val="24"/>
          <w:szCs w:val="24"/>
          <w:u w:val="none" w:color="auto"/>
          <w:lang w:val="en-US" w:eastAsia="zh-CN"/>
        </w:rPr>
        <w:t>本项目与《水利建设项目（河湖整治与防洪除涝工程）环境影响评价文件审批原则》相符性分析见下表：</w:t>
      </w:r>
    </w:p>
    <w:p w14:paraId="2AF8D2AA">
      <w:pPr>
        <w:pStyle w:val="36"/>
        <w:keepNext w:val="0"/>
        <w:keepLines w:val="0"/>
        <w:widowControl w:val="0"/>
        <w:suppressLineNumbers w:val="0"/>
        <w:spacing w:before="0" w:beforeAutospacing="0" w:after="0" w:afterAutospacing="0"/>
        <w:ind w:left="0" w:right="0" w:firstLine="482"/>
        <w:jc w:val="center"/>
        <w:rPr>
          <w:rFonts w:hint="eastAsia" w:ascii="Times New Roman" w:hAnsi="Times New Roman" w:eastAsia="宋体" w:cs="Times New Roman"/>
          <w:b/>
          <w:bCs/>
          <w:color w:val="000000"/>
          <w:spacing w:val="0"/>
          <w:w w:val="100"/>
          <w:kern w:val="2"/>
          <w:position w:val="0"/>
          <w:sz w:val="24"/>
          <w:szCs w:val="24"/>
          <w:u w:val="none" w:color="auto"/>
          <w:lang w:val="en-US" w:eastAsia="zh-CN" w:bidi="ar"/>
        </w:rPr>
      </w:pPr>
      <w:r>
        <w:rPr>
          <w:rFonts w:hint="eastAsia" w:ascii="Times New Roman" w:hAnsi="Times New Roman" w:eastAsia="宋体" w:cs="Times New Roman"/>
          <w:b/>
          <w:bCs/>
          <w:color w:val="000000"/>
          <w:spacing w:val="0"/>
          <w:w w:val="100"/>
          <w:kern w:val="2"/>
          <w:position w:val="0"/>
          <w:sz w:val="24"/>
          <w:szCs w:val="24"/>
          <w:u w:val="none" w:color="auto"/>
          <w:lang w:val="en-US" w:eastAsia="zh-CN" w:bidi="ar"/>
        </w:rPr>
        <w:t>表1  与环评审批原则相符性分析</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3394"/>
        <w:gridCol w:w="3545"/>
        <w:gridCol w:w="896"/>
      </w:tblGrid>
      <w:tr w14:paraId="72AB2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639708A0">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sz w:val="21"/>
                <w:szCs w:val="21"/>
                <w:u w:val="none" w:color="auto"/>
                <w:vertAlign w:val="baseline"/>
                <w:lang w:val="en-US" w:eastAsia="zh-CN"/>
              </w:rPr>
            </w:pPr>
            <w:r>
              <w:rPr>
                <w:rFonts w:hint="default" w:ascii="Times New Roman" w:hAnsi="Times New Roman" w:eastAsia="宋体" w:cs="Times New Roman"/>
                <w:b/>
                <w:bCs/>
                <w:sz w:val="21"/>
                <w:szCs w:val="21"/>
                <w:u w:val="none" w:color="auto"/>
                <w:vertAlign w:val="baseline"/>
                <w:lang w:val="en-US" w:eastAsia="zh-CN"/>
              </w:rPr>
              <w:t>序号</w:t>
            </w:r>
          </w:p>
        </w:tc>
        <w:tc>
          <w:tcPr>
            <w:tcW w:w="3394" w:type="dxa"/>
            <w:tcBorders>
              <w:tl2br w:val="nil"/>
              <w:tr2bl w:val="nil"/>
            </w:tcBorders>
            <w:vAlign w:val="center"/>
          </w:tcPr>
          <w:p w14:paraId="264712F9">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sz w:val="21"/>
                <w:szCs w:val="21"/>
                <w:u w:val="none" w:color="auto"/>
                <w:vertAlign w:val="baseline"/>
                <w:lang w:val="en-US" w:eastAsia="zh-CN"/>
              </w:rPr>
            </w:pPr>
            <w:r>
              <w:rPr>
                <w:rFonts w:hint="default" w:ascii="Times New Roman" w:hAnsi="Times New Roman" w:eastAsia="宋体" w:cs="Times New Roman"/>
                <w:b/>
                <w:bCs/>
                <w:sz w:val="21"/>
                <w:szCs w:val="21"/>
                <w:u w:val="none" w:color="auto"/>
                <w:vertAlign w:val="baseline"/>
                <w:lang w:val="en-US" w:eastAsia="zh-CN"/>
              </w:rPr>
              <w:t>审批原则要求</w:t>
            </w:r>
          </w:p>
        </w:tc>
        <w:tc>
          <w:tcPr>
            <w:tcW w:w="3545" w:type="dxa"/>
            <w:tcBorders>
              <w:tl2br w:val="nil"/>
              <w:tr2bl w:val="nil"/>
            </w:tcBorders>
            <w:vAlign w:val="center"/>
          </w:tcPr>
          <w:p w14:paraId="682E2D4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sz w:val="21"/>
                <w:szCs w:val="21"/>
                <w:u w:val="none" w:color="auto"/>
                <w:vertAlign w:val="baseline"/>
                <w:lang w:val="en-US" w:eastAsia="zh-CN"/>
              </w:rPr>
            </w:pPr>
            <w:r>
              <w:rPr>
                <w:rFonts w:hint="default" w:ascii="Times New Roman" w:hAnsi="Times New Roman" w:eastAsia="宋体" w:cs="Times New Roman"/>
                <w:b/>
                <w:bCs/>
                <w:sz w:val="21"/>
                <w:szCs w:val="21"/>
                <w:u w:val="none" w:color="auto"/>
                <w:vertAlign w:val="baseline"/>
                <w:lang w:val="en-US" w:eastAsia="zh-CN"/>
              </w:rPr>
              <w:t>本项目情况</w:t>
            </w:r>
          </w:p>
        </w:tc>
        <w:tc>
          <w:tcPr>
            <w:tcW w:w="896" w:type="dxa"/>
            <w:tcBorders>
              <w:tl2br w:val="nil"/>
              <w:tr2bl w:val="nil"/>
            </w:tcBorders>
            <w:vAlign w:val="center"/>
          </w:tcPr>
          <w:p w14:paraId="4BAEAEF5">
            <w:pPr>
              <w:keepNext w:val="0"/>
              <w:keepLines w:val="0"/>
              <w:pageBreakBefore w:val="0"/>
              <w:suppressLineNumbers w:val="0"/>
              <w:tabs>
                <w:tab w:val="left" w:pos="840"/>
                <w:tab w:val="left" w:pos="2430"/>
              </w:tabs>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sz w:val="21"/>
                <w:szCs w:val="21"/>
                <w:u w:val="none" w:color="auto"/>
                <w:vertAlign w:val="baseline"/>
                <w:lang w:val="en-US" w:eastAsia="zh-CN"/>
              </w:rPr>
            </w:pPr>
            <w:r>
              <w:rPr>
                <w:rFonts w:hint="default" w:ascii="Times New Roman" w:hAnsi="Times New Roman" w:eastAsia="宋体" w:cs="Times New Roman"/>
                <w:b/>
                <w:bCs/>
                <w:sz w:val="21"/>
                <w:szCs w:val="21"/>
                <w:u w:val="none" w:color="auto"/>
                <w:vertAlign w:val="baseline"/>
                <w:lang w:val="en-US" w:eastAsia="zh-CN"/>
              </w:rPr>
              <w:t>符合性</w:t>
            </w:r>
          </w:p>
        </w:tc>
      </w:tr>
      <w:tr w14:paraId="19D2C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restart"/>
            <w:tcBorders>
              <w:tl2br w:val="nil"/>
              <w:tr2bl w:val="nil"/>
            </w:tcBorders>
            <w:vAlign w:val="center"/>
          </w:tcPr>
          <w:p w14:paraId="57C56F4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1</w:t>
            </w:r>
          </w:p>
        </w:tc>
        <w:tc>
          <w:tcPr>
            <w:tcW w:w="3394" w:type="dxa"/>
            <w:tcBorders>
              <w:tl2br w:val="nil"/>
              <w:tr2bl w:val="nil"/>
            </w:tcBorders>
            <w:vAlign w:val="center"/>
          </w:tcPr>
          <w:p w14:paraId="45C88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项目符合环境保护相关法律法规和政策要求，与主体功能区规划、生态功能区划、水环境功能区划、水功能区划、生态环境保护规划、流域综合规划、防洪规划等相协调，满足相关规划环评要求。</w:t>
            </w:r>
          </w:p>
        </w:tc>
        <w:tc>
          <w:tcPr>
            <w:tcW w:w="3545" w:type="dxa"/>
            <w:tcBorders>
              <w:tl2br w:val="nil"/>
              <w:tr2bl w:val="nil"/>
            </w:tcBorders>
            <w:vAlign w:val="center"/>
          </w:tcPr>
          <w:p w14:paraId="6EB9F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本项目为水库除险加固工程，符合环境保护相关法律法规、政策及相关规划要求。项目与湖南省主体功能区划、生态功能区划、水环境功能区划、水功能区划、生态环境保护规划、流域综合规划、防洪规划等相协调，满足相关规划环评要求。</w:t>
            </w:r>
          </w:p>
        </w:tc>
        <w:tc>
          <w:tcPr>
            <w:tcW w:w="896" w:type="dxa"/>
            <w:tcBorders>
              <w:tl2br w:val="nil"/>
              <w:tr2bl w:val="nil"/>
            </w:tcBorders>
            <w:vAlign w:val="center"/>
          </w:tcPr>
          <w:p w14:paraId="467254D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6160A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continue"/>
            <w:tcBorders>
              <w:tl2br w:val="nil"/>
              <w:tr2bl w:val="nil"/>
            </w:tcBorders>
            <w:vAlign w:val="center"/>
          </w:tcPr>
          <w:p w14:paraId="1868D53F">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c>
          <w:tcPr>
            <w:tcW w:w="3394" w:type="dxa"/>
            <w:tcBorders>
              <w:tl2br w:val="nil"/>
              <w:tr2bl w:val="nil"/>
            </w:tcBorders>
            <w:vAlign w:val="center"/>
          </w:tcPr>
          <w:p w14:paraId="456062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工程涉及岸线调整（治导线变化）、裁弯取直、围垦水面和占用河湖滩地等建设内容的，充分论证了方案环境可行性，最大程度保持了河湖自然形态，最大限度维护了河湖健康、生态系统功能和生物多样性。</w:t>
            </w:r>
          </w:p>
        </w:tc>
        <w:tc>
          <w:tcPr>
            <w:tcW w:w="3545" w:type="dxa"/>
            <w:tcBorders>
              <w:tl2br w:val="nil"/>
              <w:tr2bl w:val="nil"/>
            </w:tcBorders>
            <w:vAlign w:val="center"/>
          </w:tcPr>
          <w:p w14:paraId="28E74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本项目为水库除险加固工程，在现有工程基础上进行除险加固，不涉及岸线调整、裁弯取直、围垦水面和占用河湖滩地等建设内容。</w:t>
            </w:r>
          </w:p>
        </w:tc>
        <w:tc>
          <w:tcPr>
            <w:tcW w:w="896" w:type="dxa"/>
            <w:tcBorders>
              <w:tl2br w:val="nil"/>
              <w:tr2bl w:val="nil"/>
            </w:tcBorders>
            <w:vAlign w:val="center"/>
          </w:tcPr>
          <w:p w14:paraId="30D0470F">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00A8E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7C596E4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2</w:t>
            </w:r>
          </w:p>
        </w:tc>
        <w:tc>
          <w:tcPr>
            <w:tcW w:w="3394" w:type="dxa"/>
            <w:tcBorders>
              <w:tl2br w:val="nil"/>
              <w:tr2bl w:val="nil"/>
            </w:tcBorders>
            <w:vAlign w:val="center"/>
          </w:tcPr>
          <w:p w14:paraId="488F20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3545" w:type="dxa"/>
            <w:tcBorders>
              <w:tl2br w:val="nil"/>
              <w:tr2bl w:val="nil"/>
            </w:tcBorders>
            <w:vAlign w:val="center"/>
          </w:tcPr>
          <w:p w14:paraId="46D46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项目涉及华容县生态保护红线、湖南华容</w:t>
            </w:r>
            <w:r>
              <w:rPr>
                <w:rFonts w:hint="eastAsia" w:ascii="Times New Roman" w:hAnsi="Times New Roman" w:eastAsia="宋体" w:cs="Times New Roman"/>
                <w:color w:val="000000"/>
                <w:kern w:val="0"/>
                <w:sz w:val="21"/>
                <w:szCs w:val="21"/>
                <w:u w:val="none" w:color="auto"/>
                <w:lang w:val="en-US" w:eastAsia="zh-CN" w:bidi="ar"/>
              </w:rPr>
              <w:t>东湖国家湿地</w:t>
            </w:r>
            <w:r>
              <w:rPr>
                <w:rFonts w:hint="default" w:ascii="Times New Roman" w:hAnsi="Times New Roman" w:eastAsia="宋体" w:cs="Times New Roman"/>
                <w:color w:val="000000"/>
                <w:kern w:val="0"/>
                <w:sz w:val="21"/>
                <w:szCs w:val="21"/>
                <w:u w:val="none" w:color="auto"/>
                <w:lang w:val="en-US" w:eastAsia="zh-CN" w:bidi="ar"/>
              </w:rPr>
              <w:t>公园等环境敏感区。项目为除险加固工程，项目实施有利于水库库容的维持和水库安全运行。项目无法避让生态敏感区，但与相关敏感区的保护要求协调。</w:t>
            </w:r>
          </w:p>
        </w:tc>
        <w:tc>
          <w:tcPr>
            <w:tcW w:w="896" w:type="dxa"/>
            <w:tcBorders>
              <w:tl2br w:val="nil"/>
              <w:tr2bl w:val="nil"/>
            </w:tcBorders>
            <w:vAlign w:val="center"/>
          </w:tcPr>
          <w:p w14:paraId="0E0BD4F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4FB60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restart"/>
            <w:tcBorders>
              <w:tl2br w:val="nil"/>
              <w:tr2bl w:val="nil"/>
            </w:tcBorders>
            <w:vAlign w:val="center"/>
          </w:tcPr>
          <w:p w14:paraId="32E43EF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3</w:t>
            </w:r>
          </w:p>
        </w:tc>
        <w:tc>
          <w:tcPr>
            <w:tcW w:w="3394" w:type="dxa"/>
            <w:tcBorders>
              <w:tl2br w:val="nil"/>
              <w:tr2bl w:val="nil"/>
            </w:tcBorders>
            <w:vAlign w:val="center"/>
          </w:tcPr>
          <w:p w14:paraId="10F18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项目实施改变水动力条件或水文过程且对水质产生不利影响的，提出了工程优化调整、科学调度、实施区域流域水污染防治等措施。</w:t>
            </w:r>
          </w:p>
        </w:tc>
        <w:tc>
          <w:tcPr>
            <w:tcW w:w="3545" w:type="dxa"/>
            <w:tcBorders>
              <w:tl2br w:val="nil"/>
              <w:tr2bl w:val="nil"/>
            </w:tcBorders>
            <w:vAlign w:val="center"/>
          </w:tcPr>
          <w:p w14:paraId="4E6C7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项目为除险加固工程，工程不会改变水动力条件和水文过程。施工期废水不外排；同时加强管理，严禁各类废水、固废排入库区，</w:t>
            </w:r>
            <w:r>
              <w:rPr>
                <w:rFonts w:hint="eastAsia" w:ascii="Times New Roman" w:hAnsi="Times New Roman" w:eastAsia="宋体" w:cs="Times New Roman"/>
                <w:color w:val="000000"/>
                <w:kern w:val="0"/>
                <w:sz w:val="21"/>
                <w:szCs w:val="21"/>
                <w:u w:val="none" w:color="auto"/>
                <w:lang w:val="en-US" w:eastAsia="zh-CN" w:bidi="ar"/>
              </w:rPr>
              <w:t>基本</w:t>
            </w:r>
            <w:r>
              <w:rPr>
                <w:rFonts w:hint="default" w:ascii="Times New Roman" w:hAnsi="Times New Roman" w:eastAsia="宋体" w:cs="Times New Roman"/>
                <w:color w:val="000000"/>
                <w:kern w:val="0"/>
                <w:sz w:val="21"/>
                <w:szCs w:val="21"/>
                <w:u w:val="none" w:color="auto"/>
                <w:lang w:val="en-US" w:eastAsia="zh-CN" w:bidi="ar"/>
              </w:rPr>
              <w:t>不会对水质产生不利影响。</w:t>
            </w:r>
          </w:p>
        </w:tc>
        <w:tc>
          <w:tcPr>
            <w:tcW w:w="896" w:type="dxa"/>
            <w:tcBorders>
              <w:tl2br w:val="nil"/>
              <w:tr2bl w:val="nil"/>
            </w:tcBorders>
            <w:vAlign w:val="center"/>
          </w:tcPr>
          <w:p w14:paraId="4C4CA8F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51DCD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continue"/>
            <w:tcBorders>
              <w:tl2br w:val="nil"/>
              <w:tr2bl w:val="nil"/>
            </w:tcBorders>
            <w:vAlign w:val="center"/>
          </w:tcPr>
          <w:p w14:paraId="2917F8CE">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c>
          <w:tcPr>
            <w:tcW w:w="3394" w:type="dxa"/>
            <w:tcBorders>
              <w:tl2br w:val="nil"/>
              <w:tr2bl w:val="nil"/>
            </w:tcBorders>
            <w:vAlign w:val="center"/>
          </w:tcPr>
          <w:p w14:paraId="1AA5A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对地下水环境产生不利影响或次生环境影响的，提出了优化工程设计、导排、防护等针对性的防治措施。</w:t>
            </w:r>
          </w:p>
        </w:tc>
        <w:tc>
          <w:tcPr>
            <w:tcW w:w="3545" w:type="dxa"/>
            <w:tcBorders>
              <w:tl2br w:val="nil"/>
              <w:tr2bl w:val="nil"/>
            </w:tcBorders>
            <w:vAlign w:val="center"/>
          </w:tcPr>
          <w:p w14:paraId="06865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eastAsia" w:ascii="Times New Roman" w:hAnsi="Times New Roman" w:eastAsia="宋体" w:cs="Times New Roman"/>
                <w:color w:val="000000"/>
                <w:kern w:val="0"/>
                <w:sz w:val="21"/>
                <w:szCs w:val="21"/>
                <w:u w:val="none" w:color="auto"/>
                <w:lang w:val="en-US" w:eastAsia="zh-CN" w:bidi="ar"/>
              </w:rPr>
              <w:t>北汊水库</w:t>
            </w:r>
            <w:r>
              <w:rPr>
                <w:rFonts w:hint="default" w:ascii="Times New Roman" w:hAnsi="Times New Roman" w:eastAsia="宋体" w:cs="Times New Roman"/>
                <w:color w:val="000000"/>
                <w:kern w:val="0"/>
                <w:sz w:val="21"/>
                <w:szCs w:val="21"/>
                <w:u w:val="none" w:color="auto"/>
                <w:lang w:val="en-US" w:eastAsia="zh-CN" w:bidi="ar"/>
              </w:rPr>
              <w:t>已运行</w:t>
            </w:r>
            <w:r>
              <w:rPr>
                <w:rFonts w:hint="eastAsia" w:ascii="Times New Roman" w:hAnsi="Times New Roman" w:eastAsia="宋体" w:cs="Times New Roman"/>
                <w:color w:val="000000"/>
                <w:kern w:val="0"/>
                <w:sz w:val="21"/>
                <w:szCs w:val="21"/>
                <w:u w:val="none" w:color="auto"/>
                <w:lang w:val="en-US" w:eastAsia="zh-CN" w:bidi="ar"/>
              </w:rPr>
              <w:t>多</w:t>
            </w:r>
            <w:r>
              <w:rPr>
                <w:rFonts w:hint="default" w:ascii="Times New Roman" w:hAnsi="Times New Roman" w:eastAsia="宋体" w:cs="Times New Roman"/>
                <w:color w:val="000000"/>
                <w:kern w:val="0"/>
                <w:sz w:val="21"/>
                <w:szCs w:val="21"/>
                <w:u w:val="none" w:color="auto"/>
                <w:lang w:val="en-US" w:eastAsia="zh-CN" w:bidi="ar"/>
              </w:rPr>
              <w:t>年，本项目为水库除险加固工程，基本不会对地下水环境产生不利影响。</w:t>
            </w:r>
          </w:p>
        </w:tc>
        <w:tc>
          <w:tcPr>
            <w:tcW w:w="896" w:type="dxa"/>
            <w:vMerge w:val="restart"/>
            <w:tcBorders>
              <w:tl2br w:val="nil"/>
              <w:tr2bl w:val="nil"/>
            </w:tcBorders>
            <w:vAlign w:val="center"/>
          </w:tcPr>
          <w:p w14:paraId="5D5F10F7">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7CBD1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continue"/>
            <w:tcBorders>
              <w:tl2br w:val="nil"/>
              <w:tr2bl w:val="nil"/>
            </w:tcBorders>
            <w:vAlign w:val="center"/>
          </w:tcPr>
          <w:p w14:paraId="4D94ED9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c>
          <w:tcPr>
            <w:tcW w:w="3394" w:type="dxa"/>
            <w:tcBorders>
              <w:tl2br w:val="nil"/>
              <w:tr2bl w:val="nil"/>
            </w:tcBorders>
            <w:vAlign w:val="center"/>
          </w:tcPr>
          <w:p w14:paraId="27B408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在采取上述措施后，对水环境的不利影响能够得到缓解和控制，居民用水安全能够得到保障，相关区域不会出现显著的土壤潜育化、沼泽化、盐碱化等次生环境问题。</w:t>
            </w:r>
          </w:p>
        </w:tc>
        <w:tc>
          <w:tcPr>
            <w:tcW w:w="3545" w:type="dxa"/>
            <w:tcBorders>
              <w:tl2br w:val="nil"/>
              <w:tr2bl w:val="nil"/>
            </w:tcBorders>
            <w:vAlign w:val="center"/>
          </w:tcPr>
          <w:p w14:paraId="5FD7346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严格落实本次评价提出的各项措施后，对水环境的不利影响能够得到缓解和控制，居民用水安全能够得到保障，相关区域不会出现显著的土壤潜育化、沼泽化、盐碱化等次生环境问题。</w:t>
            </w:r>
          </w:p>
        </w:tc>
        <w:tc>
          <w:tcPr>
            <w:tcW w:w="896" w:type="dxa"/>
            <w:vMerge w:val="continue"/>
            <w:tcBorders>
              <w:tl2br w:val="nil"/>
              <w:tr2bl w:val="nil"/>
            </w:tcBorders>
            <w:vAlign w:val="center"/>
          </w:tcPr>
          <w:p w14:paraId="1461003F">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r>
      <w:tr w14:paraId="50686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restart"/>
            <w:tcBorders>
              <w:tl2br w:val="nil"/>
              <w:tr2bl w:val="nil"/>
            </w:tcBorders>
            <w:vAlign w:val="center"/>
          </w:tcPr>
          <w:p w14:paraId="753BA797">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4</w:t>
            </w:r>
          </w:p>
        </w:tc>
        <w:tc>
          <w:tcPr>
            <w:tcW w:w="3394" w:type="dxa"/>
            <w:tcBorders>
              <w:tl2br w:val="nil"/>
              <w:tr2bl w:val="nil"/>
            </w:tcBorders>
            <w:vAlign w:val="center"/>
          </w:tcPr>
          <w:p w14:paraId="5028E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项目对鱼类等水生生物的洄游通道及“三场”等重要生境、物种多样性及资源量等产生不利影响的，提出了下泄生态流量、恢复鱼类洄游通道、采用生态友好型护岸（坡、底）、生态修复、增殖放流等措施。</w:t>
            </w:r>
          </w:p>
        </w:tc>
        <w:tc>
          <w:tcPr>
            <w:tcW w:w="3545" w:type="dxa"/>
            <w:tcBorders>
              <w:tl2br w:val="nil"/>
              <w:tr2bl w:val="nil"/>
            </w:tcBorders>
            <w:vAlign w:val="center"/>
          </w:tcPr>
          <w:p w14:paraId="580BC8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项目施工区域未发现鱼类等水生生物的洄游通道及“三场”等重要生境；基本不会对物种多样性及资源量产生不利影响。</w:t>
            </w:r>
          </w:p>
        </w:tc>
        <w:tc>
          <w:tcPr>
            <w:tcW w:w="896" w:type="dxa"/>
            <w:tcBorders>
              <w:tl2br w:val="nil"/>
              <w:tr2bl w:val="nil"/>
            </w:tcBorders>
            <w:vAlign w:val="center"/>
          </w:tcPr>
          <w:p w14:paraId="6F9D29D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0A23C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continue"/>
            <w:tcBorders>
              <w:tl2br w:val="nil"/>
              <w:tr2bl w:val="nil"/>
            </w:tcBorders>
            <w:vAlign w:val="center"/>
          </w:tcPr>
          <w:p w14:paraId="4AEE55B2">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c>
          <w:tcPr>
            <w:tcW w:w="3394" w:type="dxa"/>
            <w:tcBorders>
              <w:tl2br w:val="nil"/>
              <w:tr2bl w:val="nil"/>
            </w:tcBorders>
            <w:vAlign w:val="center"/>
          </w:tcPr>
          <w:p w14:paraId="2C018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在采取上述措施后，对水生生物的不利影响能够得到缓解和控制，不会造成原有珍稀濒危保护、区域特有或重要经济水生生物在相关河段消失，不会对相关河段水生生态系统造成重大不利影响。</w:t>
            </w:r>
          </w:p>
        </w:tc>
        <w:tc>
          <w:tcPr>
            <w:tcW w:w="3545" w:type="dxa"/>
            <w:tcBorders>
              <w:tl2br w:val="nil"/>
              <w:tr2bl w:val="nil"/>
            </w:tcBorders>
            <w:vAlign w:val="center"/>
          </w:tcPr>
          <w:p w14:paraId="236B9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为水库除险加固工程，采取相关措施后，对水生生物的不利影响能够得到缓解和控制，不会造成原有珍稀濒危保护、区域特有或重要经济水生生物在相关河段消失，不会对相关河段水生生态系统造成重大不利影响。</w:t>
            </w:r>
          </w:p>
        </w:tc>
        <w:tc>
          <w:tcPr>
            <w:tcW w:w="896" w:type="dxa"/>
            <w:tcBorders>
              <w:tl2br w:val="nil"/>
              <w:tr2bl w:val="nil"/>
            </w:tcBorders>
            <w:vAlign w:val="center"/>
          </w:tcPr>
          <w:p w14:paraId="08D3CE0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2CE02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678A570B">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5</w:t>
            </w:r>
          </w:p>
        </w:tc>
        <w:tc>
          <w:tcPr>
            <w:tcW w:w="3394" w:type="dxa"/>
            <w:tcBorders>
              <w:tl2br w:val="nil"/>
              <w:tr2bl w:val="nil"/>
            </w:tcBorders>
            <w:vAlign w:val="center"/>
          </w:tcPr>
          <w:p w14:paraId="0DC59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对湿地生态系统结构和功能、河湖生态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在采取上述措施后，对湿地以及陆生动植物的不利影响能够得到缓解和控制，与区域景观相协调，不会造成原有珍稀濒危保护动植物在相关区域消失，不会对陆生生态系统造成重大不利影响。</w:t>
            </w:r>
          </w:p>
        </w:tc>
        <w:tc>
          <w:tcPr>
            <w:tcW w:w="3545" w:type="dxa"/>
            <w:tcBorders>
              <w:tl2br w:val="nil"/>
              <w:tr2bl w:val="nil"/>
            </w:tcBorders>
            <w:vAlign w:val="center"/>
          </w:tcPr>
          <w:p w14:paraId="1F2EA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本次评价针对项目实施对生态环境造成的影响提出了针对性的避让、减缓、修复</w:t>
            </w:r>
            <w:r>
              <w:rPr>
                <w:rFonts w:hint="eastAsia" w:ascii="Times New Roman" w:hAnsi="Times New Roman" w:eastAsia="宋体" w:cs="Times New Roman"/>
                <w:color w:val="000000"/>
                <w:kern w:val="0"/>
                <w:sz w:val="21"/>
                <w:szCs w:val="21"/>
                <w:u w:val="none" w:color="auto"/>
                <w:lang w:val="en-US" w:eastAsia="zh-CN" w:bidi="ar"/>
              </w:rPr>
              <w:t>补偿</w:t>
            </w:r>
            <w:r>
              <w:rPr>
                <w:rFonts w:hint="default" w:ascii="Times New Roman" w:hAnsi="Times New Roman" w:eastAsia="宋体" w:cs="Times New Roman"/>
                <w:color w:val="000000"/>
                <w:kern w:val="0"/>
                <w:sz w:val="21"/>
                <w:szCs w:val="21"/>
                <w:u w:val="none" w:color="auto"/>
                <w:lang w:val="en-US" w:eastAsia="zh-CN" w:bidi="ar"/>
              </w:rPr>
              <w:t>措施，同时提出管理措施。通过严格落实各项措施后，对湿地以及陆生动植物的不利影响能够得到缓解和控制，与区域景观相协调，不会造成原有珍稀濒危保护动植物在相关区域消失，不会对陆生生态系统造成重大不利影响。</w:t>
            </w:r>
          </w:p>
        </w:tc>
        <w:tc>
          <w:tcPr>
            <w:tcW w:w="896" w:type="dxa"/>
            <w:tcBorders>
              <w:tl2br w:val="nil"/>
              <w:tr2bl w:val="nil"/>
            </w:tcBorders>
            <w:vAlign w:val="center"/>
          </w:tcPr>
          <w:p w14:paraId="3AFD57C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20966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restart"/>
            <w:tcBorders>
              <w:tl2br w:val="nil"/>
              <w:tr2bl w:val="nil"/>
            </w:tcBorders>
            <w:vAlign w:val="center"/>
          </w:tcPr>
          <w:p w14:paraId="54F614D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6</w:t>
            </w:r>
          </w:p>
        </w:tc>
        <w:tc>
          <w:tcPr>
            <w:tcW w:w="3394" w:type="dxa"/>
            <w:tcBorders>
              <w:tl2br w:val="nil"/>
              <w:tr2bl w:val="nil"/>
            </w:tcBorders>
            <w:vAlign w:val="center"/>
          </w:tcPr>
          <w:p w14:paraId="62FD1E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p>
        </w:tc>
        <w:tc>
          <w:tcPr>
            <w:tcW w:w="3545" w:type="dxa"/>
            <w:tcBorders>
              <w:tl2br w:val="nil"/>
              <w:tr2bl w:val="nil"/>
            </w:tcBorders>
            <w:vAlign w:val="center"/>
          </w:tcPr>
          <w:p w14:paraId="575E57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项目施工组织方案具有环境合理性，对施工场地等临时措施提出了水土流失防治和生态修复等措施。对施工过程产生的各类污染提出了相应的减缓或治理措施。</w:t>
            </w:r>
            <w:r>
              <w:rPr>
                <w:rFonts w:hint="eastAsia" w:ascii="Times New Roman" w:hAnsi="Times New Roman" w:eastAsia="宋体" w:cs="Times New Roman"/>
                <w:color w:val="000000"/>
                <w:kern w:val="0"/>
                <w:sz w:val="21"/>
                <w:szCs w:val="21"/>
                <w:u w:val="none" w:color="auto"/>
                <w:lang w:val="en-US" w:eastAsia="zh-CN" w:bidi="ar"/>
              </w:rPr>
              <w:t>本</w:t>
            </w:r>
            <w:r>
              <w:rPr>
                <w:rFonts w:hint="default" w:ascii="Times New Roman" w:hAnsi="Times New Roman" w:eastAsia="宋体" w:cs="Times New Roman"/>
                <w:color w:val="000000"/>
                <w:kern w:val="0"/>
                <w:sz w:val="21"/>
                <w:szCs w:val="21"/>
                <w:u w:val="none" w:color="auto"/>
                <w:lang w:val="en-US" w:eastAsia="zh-CN" w:bidi="ar"/>
              </w:rPr>
              <w:t>项目</w:t>
            </w:r>
            <w:r>
              <w:rPr>
                <w:rFonts w:hint="eastAsia" w:ascii="Times New Roman" w:hAnsi="Times New Roman" w:eastAsia="宋体" w:cs="Times New Roman"/>
                <w:color w:val="000000"/>
                <w:kern w:val="0"/>
                <w:sz w:val="21"/>
                <w:szCs w:val="21"/>
                <w:u w:val="none" w:color="auto"/>
                <w:lang w:val="en-US" w:eastAsia="zh-CN" w:bidi="ar"/>
              </w:rPr>
              <w:t>不涉及</w:t>
            </w:r>
            <w:r>
              <w:rPr>
                <w:rFonts w:hint="default" w:ascii="Times New Roman" w:hAnsi="Times New Roman" w:eastAsia="宋体" w:cs="Times New Roman"/>
                <w:color w:val="000000"/>
                <w:kern w:val="0"/>
                <w:sz w:val="21"/>
                <w:szCs w:val="21"/>
                <w:u w:val="none" w:color="auto"/>
                <w:lang w:val="en-US" w:eastAsia="zh-CN" w:bidi="ar"/>
              </w:rPr>
              <w:t>饮用水水源保护区</w:t>
            </w:r>
            <w:r>
              <w:rPr>
                <w:rFonts w:hint="eastAsia" w:ascii="Times New Roman" w:hAnsi="Times New Roman" w:eastAsia="宋体" w:cs="Times New Roman"/>
                <w:color w:val="000000"/>
                <w:kern w:val="0"/>
                <w:sz w:val="21"/>
                <w:szCs w:val="21"/>
                <w:u w:val="none" w:color="auto"/>
                <w:lang w:val="en-US" w:eastAsia="zh-CN" w:bidi="ar"/>
              </w:rPr>
              <w:t>或取水口</w:t>
            </w:r>
            <w:r>
              <w:rPr>
                <w:rFonts w:hint="default" w:ascii="Times New Roman" w:hAnsi="Times New Roman" w:eastAsia="宋体" w:cs="Times New Roman"/>
                <w:color w:val="000000"/>
                <w:kern w:val="0"/>
                <w:sz w:val="21"/>
                <w:szCs w:val="21"/>
                <w:u w:val="none" w:color="auto"/>
                <w:lang w:val="en-US" w:eastAsia="zh-CN" w:bidi="ar"/>
              </w:rPr>
              <w:t>。</w:t>
            </w:r>
            <w:r>
              <w:rPr>
                <w:rFonts w:hint="eastAsia" w:ascii="Times New Roman" w:hAnsi="Times New Roman" w:eastAsia="宋体" w:cs="Times New Roman"/>
                <w:color w:val="000000"/>
                <w:kern w:val="0"/>
                <w:sz w:val="21"/>
                <w:szCs w:val="21"/>
                <w:u w:val="none" w:color="auto"/>
                <w:lang w:val="en-US" w:eastAsia="zh-CN" w:bidi="ar"/>
              </w:rPr>
              <w:t>项目围堰填筑、抛石护脚等涉水施工对鱼类等水生生物会产生一定影响，但影响范围有限，且随着施工期结束影响逐渐消散，同时项目针对水生生物的影响提出了相应减缓措施。</w:t>
            </w:r>
          </w:p>
        </w:tc>
        <w:tc>
          <w:tcPr>
            <w:tcW w:w="896" w:type="dxa"/>
            <w:tcBorders>
              <w:tl2br w:val="nil"/>
              <w:tr2bl w:val="nil"/>
            </w:tcBorders>
            <w:vAlign w:val="center"/>
          </w:tcPr>
          <w:p w14:paraId="3F6513C9">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030AB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vMerge w:val="continue"/>
            <w:tcBorders>
              <w:tl2br w:val="nil"/>
              <w:tr2bl w:val="nil"/>
            </w:tcBorders>
            <w:vAlign w:val="center"/>
          </w:tcPr>
          <w:p w14:paraId="0710259B">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p>
        </w:tc>
        <w:tc>
          <w:tcPr>
            <w:tcW w:w="3394" w:type="dxa"/>
            <w:tcBorders>
              <w:tl2br w:val="nil"/>
              <w:tr2bl w:val="nil"/>
            </w:tcBorders>
            <w:vAlign w:val="center"/>
          </w:tcPr>
          <w:p w14:paraId="6CB2C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在采取上述措施后，施工期的不利环境影响能够得到缓解和控制，不会对周围环境和敏感保护目标造成重大不利影响。</w:t>
            </w:r>
          </w:p>
        </w:tc>
        <w:tc>
          <w:tcPr>
            <w:tcW w:w="3545" w:type="dxa"/>
            <w:tcBorders>
              <w:tl2br w:val="nil"/>
              <w:tr2bl w:val="nil"/>
            </w:tcBorders>
            <w:vAlign w:val="center"/>
          </w:tcPr>
          <w:p w14:paraId="04EE1E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在建设方严格落实各项措施的前提下，施工期的不利环境影响能够得到缓解和控制，不会对周围环境和敏感保护目标造成重大不利影响。</w:t>
            </w:r>
          </w:p>
        </w:tc>
        <w:tc>
          <w:tcPr>
            <w:tcW w:w="896" w:type="dxa"/>
            <w:tcBorders>
              <w:tl2br w:val="nil"/>
              <w:tr2bl w:val="nil"/>
            </w:tcBorders>
            <w:vAlign w:val="center"/>
          </w:tcPr>
          <w:p w14:paraId="2D107B0B">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636B0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076A3A1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7</w:t>
            </w:r>
          </w:p>
        </w:tc>
        <w:tc>
          <w:tcPr>
            <w:tcW w:w="3394" w:type="dxa"/>
            <w:tcBorders>
              <w:tl2br w:val="nil"/>
              <w:tr2bl w:val="nil"/>
            </w:tcBorders>
          </w:tcPr>
          <w:p w14:paraId="4628F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 xml:space="preserve">项目移民安置的选址和建设方式具有环境合理性，提出了生态保护、污水处理、固体废物处置等措施。针对蓄滞洪区的环境污染、新增占地涉及污染场地等，提出了环境管理对策建议。 </w:t>
            </w:r>
          </w:p>
        </w:tc>
        <w:tc>
          <w:tcPr>
            <w:tcW w:w="3545" w:type="dxa"/>
            <w:tcBorders>
              <w:tl2br w:val="nil"/>
              <w:tr2bl w:val="nil"/>
            </w:tcBorders>
            <w:vAlign w:val="center"/>
          </w:tcPr>
          <w:p w14:paraId="1243BB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本项目不涉及移民安置，项目不涉及蓄滞洪区的环境污染，不</w:t>
            </w:r>
            <w:r>
              <w:rPr>
                <w:rFonts w:hint="eastAsia" w:ascii="Times New Roman" w:hAnsi="Times New Roman" w:eastAsia="宋体" w:cs="Times New Roman"/>
                <w:color w:val="000000"/>
                <w:kern w:val="0"/>
                <w:sz w:val="21"/>
                <w:szCs w:val="21"/>
                <w:u w:val="none" w:color="auto"/>
                <w:lang w:val="en-US" w:eastAsia="zh-CN" w:bidi="ar"/>
              </w:rPr>
              <w:t>涉及污染场地</w:t>
            </w:r>
            <w:r>
              <w:rPr>
                <w:rFonts w:hint="default" w:ascii="Times New Roman" w:hAnsi="Times New Roman" w:eastAsia="宋体" w:cs="Times New Roman"/>
                <w:color w:val="000000"/>
                <w:kern w:val="0"/>
                <w:sz w:val="21"/>
                <w:szCs w:val="21"/>
                <w:u w:val="none" w:color="auto"/>
                <w:lang w:val="en-US" w:eastAsia="zh-CN" w:bidi="ar"/>
              </w:rPr>
              <w:t>。</w:t>
            </w:r>
          </w:p>
        </w:tc>
        <w:tc>
          <w:tcPr>
            <w:tcW w:w="896" w:type="dxa"/>
            <w:tcBorders>
              <w:tl2br w:val="nil"/>
              <w:tr2bl w:val="nil"/>
            </w:tcBorders>
            <w:vAlign w:val="center"/>
          </w:tcPr>
          <w:p w14:paraId="0532D35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70722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0B5BE274">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8</w:t>
            </w:r>
          </w:p>
        </w:tc>
        <w:tc>
          <w:tcPr>
            <w:tcW w:w="3394" w:type="dxa"/>
            <w:tcBorders>
              <w:tl2br w:val="nil"/>
              <w:tr2bl w:val="nil"/>
            </w:tcBorders>
          </w:tcPr>
          <w:p w14:paraId="439D02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项目存在河湖水质污染、富营养化或外来物种入侵等环境风险的，提出了针对性的风险防范措施以及环境应急预案编制、建立必要的应急联动机制等要求。</w:t>
            </w:r>
          </w:p>
        </w:tc>
        <w:tc>
          <w:tcPr>
            <w:tcW w:w="3545" w:type="dxa"/>
            <w:tcBorders>
              <w:tl2br w:val="nil"/>
              <w:tr2bl w:val="nil"/>
            </w:tcBorders>
            <w:vAlign w:val="center"/>
          </w:tcPr>
          <w:p w14:paraId="07E931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本项目</w:t>
            </w:r>
            <w:r>
              <w:rPr>
                <w:rFonts w:hint="eastAsia" w:ascii="Times New Roman" w:hAnsi="Times New Roman" w:eastAsia="宋体" w:cs="Times New Roman"/>
                <w:color w:val="000000"/>
                <w:kern w:val="0"/>
                <w:sz w:val="21"/>
                <w:szCs w:val="21"/>
                <w:u w:val="none" w:color="auto"/>
                <w:lang w:val="en-US" w:eastAsia="zh-CN" w:bidi="ar"/>
              </w:rPr>
              <w:t>基本</w:t>
            </w:r>
            <w:r>
              <w:rPr>
                <w:rFonts w:hint="default" w:ascii="Times New Roman" w:hAnsi="Times New Roman" w:eastAsia="宋体" w:cs="Times New Roman"/>
                <w:color w:val="000000"/>
                <w:kern w:val="0"/>
                <w:sz w:val="21"/>
                <w:szCs w:val="21"/>
                <w:u w:val="none" w:color="auto"/>
                <w:lang w:val="en-US" w:eastAsia="zh-CN" w:bidi="ar"/>
              </w:rPr>
              <w:t>不存在富营养化和外来物种入侵等环境风险，针对实施过程中可能存在的河湖水质污染环境风险，提出了</w:t>
            </w:r>
            <w:r>
              <w:rPr>
                <w:rFonts w:hint="eastAsia" w:ascii="Times New Roman" w:hAnsi="Times New Roman" w:eastAsia="宋体" w:cs="Times New Roman"/>
                <w:color w:val="000000"/>
                <w:kern w:val="0"/>
                <w:sz w:val="21"/>
                <w:szCs w:val="21"/>
                <w:u w:val="none" w:color="auto"/>
                <w:lang w:val="en-US" w:eastAsia="zh-CN" w:bidi="ar"/>
              </w:rPr>
              <w:t>相应</w:t>
            </w:r>
            <w:r>
              <w:rPr>
                <w:rFonts w:hint="default" w:ascii="Times New Roman" w:hAnsi="Times New Roman" w:eastAsia="宋体" w:cs="Times New Roman"/>
                <w:color w:val="000000"/>
                <w:kern w:val="0"/>
                <w:sz w:val="21"/>
                <w:szCs w:val="21"/>
                <w:u w:val="none" w:color="auto"/>
                <w:lang w:val="en-US" w:eastAsia="zh-CN" w:bidi="ar"/>
              </w:rPr>
              <w:t>的风险防范措施以及环境应急预案编制、建立必要的应急联动机制等要求。</w:t>
            </w:r>
          </w:p>
        </w:tc>
        <w:tc>
          <w:tcPr>
            <w:tcW w:w="896" w:type="dxa"/>
            <w:tcBorders>
              <w:tl2br w:val="nil"/>
              <w:tr2bl w:val="nil"/>
            </w:tcBorders>
            <w:vAlign w:val="center"/>
          </w:tcPr>
          <w:p w14:paraId="743FB037">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796A4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58B09A95">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9</w:t>
            </w:r>
          </w:p>
        </w:tc>
        <w:tc>
          <w:tcPr>
            <w:tcW w:w="3394" w:type="dxa"/>
            <w:tcBorders>
              <w:tl2br w:val="nil"/>
              <w:tr2bl w:val="nil"/>
            </w:tcBorders>
          </w:tcPr>
          <w:p w14:paraId="6887F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改、扩建项目在全面梳理了与项目有关的现有工程环境问题基础上，提出了与项目相适应的“以新带老”措施。</w:t>
            </w:r>
          </w:p>
        </w:tc>
        <w:tc>
          <w:tcPr>
            <w:tcW w:w="3545" w:type="dxa"/>
            <w:tcBorders>
              <w:tl2br w:val="nil"/>
              <w:tr2bl w:val="nil"/>
            </w:tcBorders>
            <w:vAlign w:val="center"/>
          </w:tcPr>
          <w:p w14:paraId="4188E46A">
            <w:pPr>
              <w:keepNext w:val="0"/>
              <w:keepLines w:val="0"/>
              <w:pageBreakBefore w:val="0"/>
              <w:widowControl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本项目全面梳理了与项目有关现有工程环境问题，提出了相应的措施。</w:t>
            </w:r>
          </w:p>
        </w:tc>
        <w:tc>
          <w:tcPr>
            <w:tcW w:w="896" w:type="dxa"/>
            <w:tcBorders>
              <w:tl2br w:val="nil"/>
              <w:tr2bl w:val="nil"/>
            </w:tcBorders>
            <w:vAlign w:val="center"/>
          </w:tcPr>
          <w:p w14:paraId="25F39E05">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7A025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078A1EB8">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10</w:t>
            </w:r>
          </w:p>
        </w:tc>
        <w:tc>
          <w:tcPr>
            <w:tcW w:w="3394" w:type="dxa"/>
            <w:tcBorders>
              <w:tl2br w:val="nil"/>
              <w:tr2bl w:val="nil"/>
            </w:tcBorders>
          </w:tcPr>
          <w:p w14:paraId="0F5796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3545" w:type="dxa"/>
            <w:tcBorders>
              <w:tl2br w:val="nil"/>
              <w:tr2bl w:val="nil"/>
            </w:tcBorders>
            <w:vAlign w:val="center"/>
          </w:tcPr>
          <w:p w14:paraId="3C7B8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已按要求制定了相应的环境监测计划，提出了相应环境保护和环境管理要求。</w:t>
            </w:r>
          </w:p>
        </w:tc>
        <w:tc>
          <w:tcPr>
            <w:tcW w:w="896" w:type="dxa"/>
            <w:tcBorders>
              <w:tl2br w:val="nil"/>
              <w:tr2bl w:val="nil"/>
            </w:tcBorders>
            <w:vAlign w:val="center"/>
          </w:tcPr>
          <w:p w14:paraId="09116597">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符合</w:t>
            </w:r>
          </w:p>
        </w:tc>
      </w:tr>
      <w:tr w14:paraId="7F7A1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59BBF1E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11</w:t>
            </w:r>
          </w:p>
        </w:tc>
        <w:tc>
          <w:tcPr>
            <w:tcW w:w="3394" w:type="dxa"/>
            <w:tcBorders>
              <w:tl2br w:val="nil"/>
              <w:tr2bl w:val="nil"/>
            </w:tcBorders>
          </w:tcPr>
          <w:p w14:paraId="7F3329AD">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对环境保护措施进行深入论证，建设单位主体责任、投资估算、时间节点、预期效果明确，确保科学有效、安全可行、绿色协调。</w:t>
            </w:r>
          </w:p>
        </w:tc>
        <w:tc>
          <w:tcPr>
            <w:tcW w:w="3545" w:type="dxa"/>
            <w:tcBorders>
              <w:tl2br w:val="nil"/>
              <w:tr2bl w:val="nil"/>
            </w:tcBorders>
            <w:vAlign w:val="center"/>
          </w:tcPr>
          <w:p w14:paraId="7791916B">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进行环保措施可行性论证，明确了建设单位的主体责任、投资估算、时间节点、预期效果。</w:t>
            </w:r>
          </w:p>
        </w:tc>
        <w:tc>
          <w:tcPr>
            <w:tcW w:w="896" w:type="dxa"/>
            <w:tcBorders>
              <w:tl2br w:val="nil"/>
              <w:tr2bl w:val="nil"/>
            </w:tcBorders>
            <w:vAlign w:val="center"/>
          </w:tcPr>
          <w:p w14:paraId="10028C80">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14:paraId="50702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7D453495">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12</w:t>
            </w:r>
          </w:p>
        </w:tc>
        <w:tc>
          <w:tcPr>
            <w:tcW w:w="3394" w:type="dxa"/>
            <w:tcBorders>
              <w:tl2br w:val="nil"/>
              <w:tr2bl w:val="nil"/>
            </w:tcBorders>
          </w:tcPr>
          <w:p w14:paraId="660CD811">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按相关规定开展了信息公开和公众参与。</w:t>
            </w:r>
          </w:p>
        </w:tc>
        <w:tc>
          <w:tcPr>
            <w:tcW w:w="3545" w:type="dxa"/>
            <w:tcBorders>
              <w:tl2br w:val="nil"/>
              <w:tr2bl w:val="nil"/>
            </w:tcBorders>
            <w:vAlign w:val="center"/>
          </w:tcPr>
          <w:p w14:paraId="42CAED0A">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已按法规要求开展了公众参与和信息公开。</w:t>
            </w:r>
          </w:p>
        </w:tc>
        <w:tc>
          <w:tcPr>
            <w:tcW w:w="896" w:type="dxa"/>
            <w:tcBorders>
              <w:tl2br w:val="nil"/>
              <w:tr2bl w:val="nil"/>
            </w:tcBorders>
            <w:vAlign w:val="center"/>
          </w:tcPr>
          <w:p w14:paraId="37B3060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14:paraId="2D2EE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1F28C945">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13</w:t>
            </w:r>
          </w:p>
        </w:tc>
        <w:tc>
          <w:tcPr>
            <w:tcW w:w="3394" w:type="dxa"/>
            <w:tcBorders>
              <w:tl2br w:val="nil"/>
              <w:tr2bl w:val="nil"/>
            </w:tcBorders>
          </w:tcPr>
          <w:p w14:paraId="3A14E5A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环境影响评价文件编制规范，符合资质管理规定和环评技术标准要求。</w:t>
            </w:r>
          </w:p>
        </w:tc>
        <w:tc>
          <w:tcPr>
            <w:tcW w:w="3545" w:type="dxa"/>
            <w:tcBorders>
              <w:tl2br w:val="nil"/>
              <w:tr2bl w:val="nil"/>
            </w:tcBorders>
            <w:vAlign w:val="center"/>
          </w:tcPr>
          <w:p w14:paraId="2E9F0AEC">
            <w:pPr>
              <w:keepNext w:val="0"/>
              <w:keepLines w:val="0"/>
              <w:pageBreakBefore w:val="0"/>
              <w:suppressLineNumbers w:val="0"/>
              <w:tabs>
                <w:tab w:val="left" w:pos="2430"/>
              </w:tabs>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本项目环境影响评价文件编制规范，符合资质管理规定和环评技术标准要求。</w:t>
            </w:r>
          </w:p>
        </w:tc>
        <w:tc>
          <w:tcPr>
            <w:tcW w:w="896" w:type="dxa"/>
            <w:tcBorders>
              <w:tl2br w:val="nil"/>
              <w:tr2bl w:val="nil"/>
            </w:tcBorders>
            <w:vAlign w:val="center"/>
          </w:tcPr>
          <w:p w14:paraId="0F505AF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bl>
    <w:p w14:paraId="3315B168">
      <w:pPr>
        <w:keepNext w:val="0"/>
        <w:keepLines w:val="0"/>
        <w:pageBreakBefore w:val="0"/>
        <w:widowControl w:val="0"/>
        <w:kinsoku/>
        <w:wordWrap/>
        <w:overflowPunct/>
        <w:topLinePunct w:val="0"/>
        <w:autoSpaceDE/>
        <w:autoSpaceDN/>
        <w:bidi w:val="0"/>
        <w:adjustRightInd w:val="0"/>
        <w:snapToGrid w:val="0"/>
        <w:spacing w:line="360" w:lineRule="auto"/>
        <w:ind w:left="-62" w:firstLine="480" w:firstLineChars="200"/>
        <w:jc w:val="left"/>
        <w:textAlignment w:val="center"/>
        <w:rPr>
          <w:rFonts w:hint="eastAsia" w:ascii="宋体" w:hAnsi="宋体" w:eastAsia="宋体" w:cs="宋体"/>
          <w:b/>
          <w:bCs/>
          <w:color w:val="auto"/>
          <w:spacing w:val="0"/>
          <w:w w:val="100"/>
          <w:kern w:val="0"/>
          <w:position w:val="0"/>
          <w:sz w:val="24"/>
          <w:szCs w:val="24"/>
          <w:highlight w:val="none"/>
          <w:u w:val="none" w:color="auto"/>
          <w:lang w:eastAsia="zh-CN"/>
        </w:rPr>
      </w:pPr>
      <w:r>
        <w:rPr>
          <w:rFonts w:hint="eastAsia" w:ascii="宋体" w:hAnsi="宋体" w:eastAsia="宋体" w:cs="宋体"/>
          <w:snapToGrid w:val="0"/>
          <w:kern w:val="0"/>
          <w:sz w:val="24"/>
          <w:szCs w:val="24"/>
          <w:u w:val="none" w:color="auto"/>
          <w:lang w:val="en-US" w:eastAsia="zh-CN"/>
        </w:rPr>
        <w:t>根据上表分析可知</w:t>
      </w:r>
      <w:r>
        <w:rPr>
          <w:rFonts w:hint="default" w:ascii="Times New Roman" w:hAnsi="Times New Roman" w:eastAsia="宋体" w:cs="Times New Roman"/>
          <w:snapToGrid w:val="0"/>
          <w:kern w:val="0"/>
          <w:sz w:val="24"/>
          <w:szCs w:val="24"/>
          <w:u w:val="none" w:color="auto"/>
          <w:lang w:val="en-US" w:eastAsia="zh-CN"/>
        </w:rPr>
        <w:t>，本项目符合《水利建设项目（河湖整治与防洪除涝工程）环境影响评价文件审批原则（试行）》（环办环评</w:t>
      </w:r>
      <w:r>
        <w:rPr>
          <w:rFonts w:hint="eastAsia" w:ascii="Times New Roman" w:hAnsi="Times New Roman" w:eastAsia="宋体" w:cs="Times New Roman"/>
          <w:snapToGrid w:val="0"/>
          <w:kern w:val="0"/>
          <w:sz w:val="24"/>
          <w:szCs w:val="24"/>
          <w:u w:val="none" w:color="auto"/>
          <w:lang w:val="en-US" w:eastAsia="zh-CN"/>
        </w:rPr>
        <w:t>〔</w:t>
      </w:r>
      <w:r>
        <w:rPr>
          <w:rFonts w:hint="default" w:ascii="Times New Roman" w:hAnsi="Times New Roman" w:eastAsia="宋体" w:cs="Times New Roman"/>
          <w:snapToGrid w:val="0"/>
          <w:kern w:val="0"/>
          <w:sz w:val="24"/>
          <w:szCs w:val="24"/>
          <w:u w:val="none" w:color="auto"/>
          <w:lang w:val="en-US" w:eastAsia="zh-CN"/>
        </w:rPr>
        <w:t>2018</w:t>
      </w:r>
      <w:r>
        <w:rPr>
          <w:rFonts w:hint="eastAsia" w:ascii="Times New Roman" w:hAnsi="Times New Roman" w:eastAsia="宋体" w:cs="Times New Roman"/>
          <w:snapToGrid w:val="0"/>
          <w:kern w:val="0"/>
          <w:sz w:val="24"/>
          <w:szCs w:val="24"/>
          <w:u w:val="none" w:color="auto"/>
          <w:lang w:val="en-US" w:eastAsia="zh-CN"/>
        </w:rPr>
        <w:t>〕</w:t>
      </w:r>
      <w:r>
        <w:rPr>
          <w:rFonts w:hint="default" w:ascii="Times New Roman" w:hAnsi="Times New Roman" w:eastAsia="宋体" w:cs="Times New Roman"/>
          <w:snapToGrid w:val="0"/>
          <w:kern w:val="0"/>
          <w:sz w:val="24"/>
          <w:szCs w:val="24"/>
          <w:u w:val="none" w:color="auto"/>
          <w:lang w:val="en-US" w:eastAsia="zh-CN"/>
        </w:rPr>
        <w:t>2号）的相关规定。</w:t>
      </w:r>
    </w:p>
    <w:p w14:paraId="0019353A">
      <w:pPr>
        <w:autoSpaceDE w:val="0"/>
        <w:autoSpaceDN w:val="0"/>
        <w:adjustRightInd w:val="0"/>
        <w:snapToGrid w:val="0"/>
        <w:spacing w:line="360" w:lineRule="auto"/>
        <w:ind w:firstLine="482" w:firstLineChars="200"/>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eastAsia" w:ascii="Times New Roman" w:hAnsi="Times New Roman" w:eastAsia="宋体" w:cs="Times New Roman"/>
          <w:b/>
          <w:bCs/>
          <w:color w:val="auto"/>
          <w:spacing w:val="0"/>
          <w:w w:val="100"/>
          <w:kern w:val="0"/>
          <w:position w:val="0"/>
          <w:sz w:val="24"/>
          <w:highlight w:val="none"/>
          <w:u w:val="none" w:color="auto"/>
          <w:lang w:eastAsia="zh-CN"/>
        </w:rPr>
        <w:t>（</w:t>
      </w:r>
      <w:r>
        <w:rPr>
          <w:rFonts w:hint="eastAsia" w:ascii="Times New Roman" w:hAnsi="Times New Roman" w:eastAsia="宋体" w:cs="Times New Roman"/>
          <w:b/>
          <w:bCs/>
          <w:color w:val="auto"/>
          <w:spacing w:val="0"/>
          <w:w w:val="100"/>
          <w:kern w:val="0"/>
          <w:position w:val="0"/>
          <w:sz w:val="24"/>
          <w:highlight w:val="none"/>
          <w:u w:val="none" w:color="auto"/>
          <w:lang w:val="en-US" w:eastAsia="zh-CN"/>
        </w:rPr>
        <w:t>14</w:t>
      </w:r>
      <w:r>
        <w:rPr>
          <w:rFonts w:hint="eastAsia" w:ascii="Times New Roman" w:hAnsi="Times New Roman" w:eastAsia="宋体" w:cs="Times New Roman"/>
          <w:b/>
          <w:bCs/>
          <w:color w:val="auto"/>
          <w:spacing w:val="0"/>
          <w:w w:val="100"/>
          <w:kern w:val="0"/>
          <w:position w:val="0"/>
          <w:sz w:val="24"/>
          <w:highlight w:val="none"/>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rPr>
        <w:t>与“三线一单”符合性分析</w:t>
      </w:r>
      <w:bookmarkEnd w:id="13"/>
      <w:bookmarkEnd w:id="14"/>
    </w:p>
    <w:p w14:paraId="5F6607E8">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生态红线</w:t>
      </w:r>
      <w:r>
        <w:rPr>
          <w:rFonts w:hint="default" w:ascii="Times New Roman" w:hAnsi="Times New Roman" w:eastAsia="宋体" w:cs="Times New Roman"/>
          <w:caps w:val="0"/>
          <w:smallCaps w:val="0"/>
          <w:color w:val="auto"/>
          <w:spacing w:val="0"/>
          <w:w w:val="100"/>
          <w:kern w:val="0"/>
          <w:position w:val="0"/>
          <w:sz w:val="24"/>
          <w:szCs w:val="24"/>
          <w:u w:val="none" w:color="auto"/>
        </w:rPr>
        <w:t>相符性分析</w:t>
      </w:r>
    </w:p>
    <w:p w14:paraId="0157BA5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通过“三区三线”套合成果，北汊水库</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除险加固工程</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涉及</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生态保护红线范围</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临时用地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主要为取土场，根据建设方提供的《关于湖南省岳阳市华容县北汊水库除险加固工程选取土料场、弃渣场不涉及永久基本农田和生态保护红线的说明》（附件8），项目取土场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不涉及生态保护红线。本工程属于已有的合法水利设施运行维护改造，不属于开发性、生产性建设活动。根据前文分析可知，本工程符合《自然资源部 生态环境部 国家林业和草原局 关于加强生态保护红线管理的通知（试行）》（自然资发〔2022〕142号）的管控要求。</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本工程在现有工程基础上进行除险加固，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工程实施有利于消除大坝安全隐患，保障水库和流域防洪安全</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项目实施不</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会</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改变涉及区生态红线性质、红线范围。</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因此，</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本项目符合生态保护红线相关管理办法的规定。</w:t>
      </w:r>
    </w:p>
    <w:p w14:paraId="3ABD4608">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aps w:val="0"/>
          <w:smallCaps w:val="0"/>
          <w:color w:val="FF0000"/>
          <w:spacing w:val="0"/>
          <w:w w:val="100"/>
          <w:kern w:val="0"/>
          <w:position w:val="0"/>
          <w:sz w:val="24"/>
          <w:szCs w:val="24"/>
          <w:highlight w:val="none"/>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2）</w:t>
      </w:r>
      <w:r>
        <w:rPr>
          <w:rFonts w:hint="default" w:ascii="Times New Roman" w:hAnsi="Times New Roman" w:eastAsia="宋体" w:cs="Times New Roman"/>
          <w:caps w:val="0"/>
          <w:smallCaps w:val="0"/>
          <w:color w:val="auto"/>
          <w:spacing w:val="0"/>
          <w:w w:val="100"/>
          <w:kern w:val="0"/>
          <w:position w:val="0"/>
          <w:sz w:val="24"/>
          <w:szCs w:val="24"/>
          <w:u w:val="none" w:color="auto"/>
        </w:rPr>
        <w:t>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环境质量底线</w:t>
      </w:r>
      <w:r>
        <w:rPr>
          <w:rFonts w:hint="default" w:ascii="Times New Roman" w:hAnsi="Times New Roman" w:eastAsia="宋体" w:cs="Times New Roman"/>
          <w:caps w:val="0"/>
          <w:smallCaps w:val="0"/>
          <w:color w:val="auto"/>
          <w:spacing w:val="0"/>
          <w:w w:val="100"/>
          <w:kern w:val="0"/>
          <w:position w:val="0"/>
          <w:sz w:val="24"/>
          <w:szCs w:val="24"/>
          <w:u w:val="none" w:color="auto"/>
        </w:rPr>
        <w:t>相符性分析</w:t>
      </w:r>
    </w:p>
    <w:p w14:paraId="1DB4F20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根据环境现状监测结果，</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除地表水外，</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项目拟建区域环境空气、地下水、声环境、土壤环境均都能达到相应质量标准要求。项目施工期采取相应环保措施后，对周边影响较小。因此项目的建设不会突破项目所在地的环境质量底线。 </w:t>
      </w:r>
    </w:p>
    <w:p w14:paraId="759DCEC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3）与资源利用上线相符性分析</w:t>
      </w:r>
    </w:p>
    <w:p w14:paraId="1E1FD00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本工程为水库除险加固工程，不属于高能耗、高消耗工业项目。项目主要使用资源为电，通过当地供电电网接线供给，使用量较少，可满足本工程需要。工程用地</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量小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，施工期用水量少，不会突破区域资源利用上线。</w:t>
      </w:r>
    </w:p>
    <w:p w14:paraId="52C97B5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4）</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生态环境准入及管控要求</w:t>
      </w:r>
      <w:r>
        <w:rPr>
          <w:rFonts w:hint="default" w:ascii="Times New Roman" w:hAnsi="Times New Roman" w:eastAsia="宋体" w:cs="Times New Roman"/>
          <w:caps w:val="0"/>
          <w:smallCaps w:val="0"/>
          <w:color w:val="auto"/>
          <w:spacing w:val="0"/>
          <w:w w:val="100"/>
          <w:kern w:val="0"/>
          <w:position w:val="0"/>
          <w:sz w:val="24"/>
          <w:szCs w:val="24"/>
          <w:u w:val="none" w:color="auto"/>
        </w:rPr>
        <w:t>清单</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相符性分析</w:t>
      </w:r>
    </w:p>
    <w:p w14:paraId="2E437B2B">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olor w:val="000000"/>
          <w:spacing w:val="0"/>
          <w:w w:val="100"/>
          <w:kern w:val="2"/>
          <w:position w:val="0"/>
          <w:sz w:val="24"/>
          <w:szCs w:val="24"/>
          <w:u w:val="none" w:color="auto"/>
          <w:lang w:val="en-US" w:eastAsia="zh-CN" w:bidi="ar"/>
        </w:rPr>
      </w:pPr>
      <w:r>
        <w:rPr>
          <w:rFonts w:hint="default" w:ascii="Times New Roman" w:hAnsi="Times New Roman" w:eastAsia="宋体" w:cs="Times New Roman"/>
          <w:color w:val="000000"/>
          <w:spacing w:val="0"/>
          <w:w w:val="100"/>
          <w:kern w:val="2"/>
          <w:position w:val="0"/>
          <w:sz w:val="24"/>
          <w:szCs w:val="24"/>
          <w:u w:val="none" w:color="auto"/>
          <w:lang w:val="en-US" w:eastAsia="zh-CN" w:bidi="ar"/>
        </w:rPr>
        <w:t>根据《岳阳市人民政府关于实施岳阳市“三线一单”生态环境分区管控的意见》（岳政发〔2021〕2号），本项目位于岳阳市华容县</w:t>
      </w:r>
      <w:r>
        <w:rPr>
          <w:rFonts w:hint="eastAsia" w:ascii="Times New Roman" w:hAnsi="Times New Roman" w:eastAsia="宋体" w:cs="Times New Roman"/>
          <w:color w:val="000000"/>
          <w:spacing w:val="0"/>
          <w:w w:val="100"/>
          <w:kern w:val="2"/>
          <w:position w:val="0"/>
          <w:sz w:val="24"/>
          <w:szCs w:val="24"/>
          <w:u w:val="none" w:color="auto"/>
          <w:lang w:val="en-US" w:eastAsia="zh-CN" w:bidi="ar"/>
        </w:rPr>
        <w:t>禹山镇</w:t>
      </w:r>
      <w:r>
        <w:rPr>
          <w:rFonts w:hint="default" w:ascii="Times New Roman" w:hAnsi="Times New Roman" w:eastAsia="宋体" w:cs="Times New Roman"/>
          <w:color w:val="000000"/>
          <w:spacing w:val="0"/>
          <w:w w:val="100"/>
          <w:kern w:val="2"/>
          <w:position w:val="0"/>
          <w:sz w:val="24"/>
          <w:szCs w:val="24"/>
          <w:u w:val="none" w:color="auto"/>
          <w:lang w:val="en-US" w:eastAsia="zh-CN" w:bidi="ar"/>
        </w:rPr>
        <w:t>范围内，为优先保护单元。本项目与</w:t>
      </w:r>
      <w:r>
        <w:rPr>
          <w:rFonts w:hint="eastAsia" w:ascii="Times New Roman" w:hAnsi="Times New Roman" w:eastAsia="宋体" w:cs="Times New Roman"/>
          <w:color w:val="000000"/>
          <w:spacing w:val="0"/>
          <w:w w:val="100"/>
          <w:kern w:val="2"/>
          <w:position w:val="0"/>
          <w:sz w:val="24"/>
          <w:szCs w:val="24"/>
          <w:u w:val="none" w:color="auto"/>
          <w:lang w:val="en-US" w:eastAsia="zh-CN" w:bidi="ar"/>
        </w:rPr>
        <w:t>岳阳市生态环境管控基本要求</w:t>
      </w:r>
      <w:r>
        <w:rPr>
          <w:rFonts w:hint="default" w:ascii="Times New Roman" w:hAnsi="Times New Roman" w:eastAsia="宋体" w:cs="Times New Roman"/>
          <w:color w:val="000000"/>
          <w:spacing w:val="0"/>
          <w:w w:val="100"/>
          <w:kern w:val="2"/>
          <w:position w:val="0"/>
          <w:sz w:val="24"/>
          <w:szCs w:val="24"/>
          <w:u w:val="none" w:color="auto"/>
          <w:lang w:val="en-US" w:eastAsia="zh-CN" w:bidi="ar"/>
        </w:rPr>
        <w:t>符合性分析具体如下：</w:t>
      </w:r>
    </w:p>
    <w:p w14:paraId="410D978A">
      <w:pPr>
        <w:pStyle w:val="36"/>
        <w:keepNext w:val="0"/>
        <w:keepLines w:val="0"/>
        <w:widowControl w:val="0"/>
        <w:suppressLineNumbers w:val="0"/>
        <w:spacing w:before="0" w:beforeAutospacing="0" w:after="0" w:afterAutospacing="0"/>
        <w:ind w:left="0" w:right="0" w:firstLine="482"/>
        <w:jc w:val="center"/>
        <w:rPr>
          <w:rFonts w:hint="default" w:ascii="Times New Roman" w:hAnsi="Times New Roman" w:eastAsia="宋体" w:cs="Times New Roman"/>
          <w:b/>
          <w:bCs/>
          <w:color w:val="000000"/>
          <w:spacing w:val="0"/>
          <w:w w:val="100"/>
          <w:kern w:val="2"/>
          <w:position w:val="0"/>
          <w:sz w:val="24"/>
          <w:szCs w:val="24"/>
          <w:u w:val="none" w:color="auto"/>
          <w:lang w:val="en-US" w:eastAsia="zh-CN" w:bidi="ar"/>
        </w:rPr>
      </w:pPr>
      <w:r>
        <w:rPr>
          <w:rFonts w:hint="default" w:ascii="Times New Roman" w:hAnsi="Times New Roman" w:eastAsia="宋体" w:cs="Times New Roman"/>
          <w:b/>
          <w:bCs/>
          <w:color w:val="000000"/>
          <w:spacing w:val="0"/>
          <w:w w:val="100"/>
          <w:kern w:val="2"/>
          <w:position w:val="0"/>
          <w:sz w:val="24"/>
          <w:szCs w:val="24"/>
          <w:u w:val="none" w:color="auto"/>
          <w:lang w:val="en-US" w:eastAsia="zh-CN" w:bidi="ar"/>
        </w:rPr>
        <w:t>表</w:t>
      </w:r>
      <w:r>
        <w:rPr>
          <w:rFonts w:hint="eastAsia" w:ascii="Times New Roman" w:hAnsi="Times New Roman" w:eastAsia="宋体" w:cs="Times New Roman"/>
          <w:b/>
          <w:bCs/>
          <w:color w:val="000000"/>
          <w:spacing w:val="0"/>
          <w:w w:val="100"/>
          <w:kern w:val="2"/>
          <w:position w:val="0"/>
          <w:sz w:val="24"/>
          <w:szCs w:val="24"/>
          <w:u w:val="none" w:color="auto"/>
          <w:lang w:val="en-US" w:eastAsia="zh-CN" w:bidi="ar"/>
        </w:rPr>
        <w:t>2</w:t>
      </w:r>
      <w:r>
        <w:rPr>
          <w:rFonts w:hint="default" w:ascii="Times New Roman" w:hAnsi="Times New Roman" w:eastAsia="宋体" w:cs="Times New Roman"/>
          <w:b/>
          <w:bCs/>
          <w:color w:val="000000"/>
          <w:spacing w:val="0"/>
          <w:w w:val="100"/>
          <w:kern w:val="2"/>
          <w:position w:val="0"/>
          <w:sz w:val="24"/>
          <w:szCs w:val="24"/>
          <w:u w:val="none" w:color="auto"/>
          <w:lang w:val="en-US" w:eastAsia="zh-CN" w:bidi="ar"/>
        </w:rPr>
        <w:t xml:space="preserve">  项目与</w:t>
      </w:r>
      <w:r>
        <w:rPr>
          <w:rFonts w:hint="eastAsia" w:ascii="Times New Roman" w:hAnsi="Times New Roman" w:eastAsia="宋体" w:cs="Times New Roman"/>
          <w:b/>
          <w:bCs/>
          <w:color w:val="000000"/>
          <w:spacing w:val="0"/>
          <w:w w:val="100"/>
          <w:kern w:val="2"/>
          <w:position w:val="0"/>
          <w:sz w:val="24"/>
          <w:szCs w:val="24"/>
          <w:u w:val="none" w:color="auto"/>
          <w:lang w:val="en-US" w:eastAsia="zh-CN" w:bidi="ar"/>
        </w:rPr>
        <w:t>岳阳市生态环境分区管控要求</w:t>
      </w:r>
      <w:r>
        <w:rPr>
          <w:rFonts w:hint="default" w:ascii="Times New Roman" w:hAnsi="Times New Roman" w:eastAsia="宋体" w:cs="Times New Roman"/>
          <w:b/>
          <w:bCs/>
          <w:color w:val="000000"/>
          <w:spacing w:val="0"/>
          <w:w w:val="100"/>
          <w:kern w:val="2"/>
          <w:position w:val="0"/>
          <w:sz w:val="24"/>
          <w:szCs w:val="24"/>
          <w:u w:val="none" w:color="auto"/>
          <w:lang w:val="en-US" w:eastAsia="zh-CN" w:bidi="ar"/>
        </w:rPr>
        <w:t>符合性</w:t>
      </w:r>
      <w:r>
        <w:rPr>
          <w:rFonts w:hint="eastAsia" w:ascii="Times New Roman" w:hAnsi="Times New Roman" w:eastAsia="宋体" w:cs="Times New Roman"/>
          <w:b/>
          <w:bCs/>
          <w:color w:val="000000"/>
          <w:spacing w:val="0"/>
          <w:w w:val="100"/>
          <w:kern w:val="2"/>
          <w:position w:val="0"/>
          <w:sz w:val="24"/>
          <w:szCs w:val="24"/>
          <w:u w:val="none" w:color="auto"/>
          <w:lang w:val="en-US" w:eastAsia="zh-CN" w:bidi="ar"/>
        </w:rPr>
        <w:t>分析</w:t>
      </w:r>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2"/>
        <w:gridCol w:w="1084"/>
        <w:gridCol w:w="968"/>
        <w:gridCol w:w="795"/>
        <w:gridCol w:w="1363"/>
        <w:gridCol w:w="1113"/>
        <w:gridCol w:w="844"/>
        <w:gridCol w:w="786"/>
      </w:tblGrid>
      <w:tr w14:paraId="0210B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12" w:space="0"/>
              <w:left w:val="single" w:color="auto" w:sz="12" w:space="0"/>
              <w:bottom w:val="single" w:color="auto" w:sz="6" w:space="0"/>
              <w:right w:val="single" w:color="auto" w:sz="6" w:space="0"/>
            </w:tcBorders>
            <w:noWrap w:val="0"/>
            <w:vAlign w:val="center"/>
          </w:tcPr>
          <w:p w14:paraId="46104C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环境管控单元编码</w:t>
            </w:r>
          </w:p>
        </w:tc>
        <w:tc>
          <w:tcPr>
            <w:tcW w:w="636" w:type="pct"/>
            <w:tcBorders>
              <w:top w:val="single" w:color="auto" w:sz="12" w:space="0"/>
              <w:left w:val="single" w:color="auto" w:sz="6" w:space="0"/>
              <w:bottom w:val="single" w:color="auto" w:sz="6" w:space="0"/>
              <w:right w:val="single" w:color="auto" w:sz="6" w:space="0"/>
            </w:tcBorders>
            <w:noWrap w:val="0"/>
            <w:vAlign w:val="center"/>
          </w:tcPr>
          <w:p w14:paraId="76B230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单元名称</w:t>
            </w:r>
          </w:p>
        </w:tc>
        <w:tc>
          <w:tcPr>
            <w:tcW w:w="568" w:type="pct"/>
            <w:tcBorders>
              <w:top w:val="single" w:color="auto" w:sz="12" w:space="0"/>
              <w:left w:val="single" w:color="auto" w:sz="6" w:space="0"/>
              <w:bottom w:val="single" w:color="auto" w:sz="6" w:space="0"/>
              <w:right w:val="single" w:color="auto" w:sz="6" w:space="0"/>
            </w:tcBorders>
            <w:noWrap w:val="0"/>
            <w:vAlign w:val="center"/>
          </w:tcPr>
          <w:p w14:paraId="65D7CD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单元</w:t>
            </w:r>
          </w:p>
          <w:p w14:paraId="3CEDDD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分类</w:t>
            </w:r>
          </w:p>
        </w:tc>
        <w:tc>
          <w:tcPr>
            <w:tcW w:w="466" w:type="pct"/>
            <w:tcBorders>
              <w:top w:val="single" w:color="auto" w:sz="12" w:space="0"/>
              <w:left w:val="single" w:color="auto" w:sz="6" w:space="0"/>
              <w:bottom w:val="single" w:color="auto" w:sz="6" w:space="0"/>
              <w:right w:val="single" w:color="auto" w:sz="6" w:space="0"/>
            </w:tcBorders>
            <w:noWrap w:val="0"/>
            <w:vAlign w:val="center"/>
          </w:tcPr>
          <w:p w14:paraId="1EE9AAF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单元面积</w:t>
            </w:r>
          </w:p>
        </w:tc>
        <w:tc>
          <w:tcPr>
            <w:tcW w:w="800" w:type="pct"/>
            <w:tcBorders>
              <w:top w:val="single" w:color="auto" w:sz="12" w:space="0"/>
              <w:left w:val="single" w:color="auto" w:sz="6" w:space="0"/>
              <w:bottom w:val="single" w:color="auto" w:sz="6" w:space="0"/>
              <w:right w:val="single" w:color="auto" w:sz="6" w:space="0"/>
            </w:tcBorders>
            <w:noWrap w:val="0"/>
            <w:vAlign w:val="center"/>
          </w:tcPr>
          <w:p w14:paraId="0B12666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主体功能定位</w:t>
            </w:r>
          </w:p>
        </w:tc>
        <w:tc>
          <w:tcPr>
            <w:tcW w:w="653" w:type="pct"/>
            <w:tcBorders>
              <w:top w:val="single" w:color="auto" w:sz="12" w:space="0"/>
              <w:left w:val="single" w:color="auto" w:sz="6" w:space="0"/>
              <w:bottom w:val="single" w:color="auto" w:sz="6" w:space="0"/>
              <w:right w:val="single" w:color="auto" w:sz="6" w:space="0"/>
            </w:tcBorders>
            <w:noWrap w:val="0"/>
            <w:vAlign w:val="center"/>
          </w:tcPr>
          <w:p w14:paraId="31E471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经济产业布局</w:t>
            </w:r>
          </w:p>
        </w:tc>
        <w:tc>
          <w:tcPr>
            <w:tcW w:w="957" w:type="pct"/>
            <w:gridSpan w:val="2"/>
            <w:tcBorders>
              <w:top w:val="single" w:color="auto" w:sz="12" w:space="0"/>
              <w:left w:val="single" w:color="auto" w:sz="6" w:space="0"/>
              <w:bottom w:val="single" w:color="auto" w:sz="6" w:space="0"/>
              <w:right w:val="single" w:color="auto" w:sz="12" w:space="0"/>
            </w:tcBorders>
            <w:noWrap w:val="0"/>
            <w:vAlign w:val="center"/>
          </w:tcPr>
          <w:p w14:paraId="4314E1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spacing w:val="0"/>
                <w:w w:val="100"/>
                <w:kern w:val="0"/>
                <w:position w:val="0"/>
                <w:u w:val="none" w:color="auto"/>
                <w:lang w:val="en-US" w:bidi="ar"/>
              </w:rPr>
            </w:pPr>
            <w:r>
              <w:rPr>
                <w:rFonts w:hint="default" w:ascii="Times New Roman" w:hAnsi="Times New Roman" w:eastAsia="宋体" w:cs="Times New Roman"/>
                <w:b/>
                <w:bCs w:val="0"/>
                <w:color w:val="000000"/>
                <w:spacing w:val="0"/>
                <w:w w:val="100"/>
                <w:kern w:val="0"/>
                <w:position w:val="0"/>
                <w:sz w:val="21"/>
                <w:szCs w:val="24"/>
                <w:u w:val="none" w:color="auto"/>
                <w:lang w:val="en-US" w:eastAsia="zh-CN" w:bidi="ar"/>
              </w:rPr>
              <w:t>主要环境问题</w:t>
            </w:r>
          </w:p>
        </w:tc>
      </w:tr>
      <w:tr w14:paraId="7F5177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6" w:space="0"/>
              <w:right w:val="single" w:color="auto" w:sz="6" w:space="0"/>
            </w:tcBorders>
            <w:noWrap w:val="0"/>
            <w:vAlign w:val="center"/>
          </w:tcPr>
          <w:p w14:paraId="672454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position w:val="0"/>
                <w:u w:val="none" w:color="auto"/>
                <w:lang w:val="en-US"/>
              </w:rPr>
            </w:pPr>
            <w:r>
              <w:rPr>
                <w:rFonts w:hint="default" w:ascii="Times New Roman" w:hAnsi="Times New Roman" w:eastAsia="宋体" w:cs="Times New Roman"/>
                <w:color w:val="auto"/>
                <w:kern w:val="2"/>
                <w:sz w:val="21"/>
                <w:szCs w:val="21"/>
                <w:u w:val="none"/>
                <w:lang w:val="en-US" w:eastAsia="zh-CN" w:bidi="ar-SA"/>
              </w:rPr>
              <w:t>ZH43062310003</w:t>
            </w:r>
          </w:p>
        </w:tc>
        <w:tc>
          <w:tcPr>
            <w:tcW w:w="636" w:type="pct"/>
            <w:tcBorders>
              <w:top w:val="single" w:color="auto" w:sz="6" w:space="0"/>
              <w:left w:val="single" w:color="auto" w:sz="6" w:space="0"/>
              <w:bottom w:val="single" w:color="auto" w:sz="6" w:space="0"/>
              <w:right w:val="single" w:color="auto" w:sz="6" w:space="0"/>
            </w:tcBorders>
            <w:noWrap w:val="0"/>
            <w:vAlign w:val="center"/>
          </w:tcPr>
          <w:p w14:paraId="640B1E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kern w:val="2"/>
                <w:position w:val="0"/>
                <w:sz w:val="21"/>
                <w:szCs w:val="24"/>
                <w:u w:val="none" w:color="auto"/>
                <w:lang w:val="en-US" w:eastAsia="zh-CN" w:bidi="ar"/>
              </w:rPr>
            </w:pPr>
            <w:r>
              <w:rPr>
                <w:rFonts w:hint="default" w:ascii="Times New Roman" w:hAnsi="Times New Roman" w:eastAsia="宋体" w:cs="Times New Roman"/>
                <w:color w:val="000000"/>
                <w:spacing w:val="0"/>
                <w:w w:val="100"/>
                <w:kern w:val="2"/>
                <w:position w:val="0"/>
                <w:sz w:val="21"/>
                <w:szCs w:val="24"/>
                <w:u w:val="none" w:color="auto"/>
                <w:lang w:val="en-US" w:eastAsia="zh-CN" w:bidi="ar"/>
              </w:rPr>
              <w:t>插旗镇/</w:t>
            </w:r>
          </w:p>
          <w:p w14:paraId="365107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kern w:val="2"/>
                <w:position w:val="0"/>
                <w:sz w:val="21"/>
                <w:szCs w:val="24"/>
                <w:u w:val="none" w:color="auto"/>
                <w:lang w:val="en-US" w:eastAsia="zh-CN" w:bidi="ar"/>
              </w:rPr>
            </w:pPr>
            <w:r>
              <w:rPr>
                <w:rFonts w:hint="default" w:ascii="Times New Roman" w:hAnsi="Times New Roman" w:eastAsia="宋体" w:cs="Times New Roman"/>
                <w:color w:val="000000"/>
                <w:spacing w:val="0"/>
                <w:w w:val="100"/>
                <w:kern w:val="2"/>
                <w:position w:val="0"/>
                <w:sz w:val="21"/>
                <w:szCs w:val="24"/>
                <w:u w:val="none" w:color="auto"/>
                <w:lang w:val="en-US" w:eastAsia="zh-CN" w:bidi="ar"/>
              </w:rPr>
              <w:t>团洲乡/</w:t>
            </w:r>
          </w:p>
          <w:p w14:paraId="166ECC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kern w:val="2"/>
                <w:position w:val="0"/>
                <w:sz w:val="21"/>
                <w:szCs w:val="24"/>
                <w:u w:val="none" w:color="auto"/>
                <w:lang w:val="en-US" w:eastAsia="zh-CN" w:bidi="ar"/>
              </w:rPr>
            </w:pPr>
            <w:r>
              <w:rPr>
                <w:rFonts w:hint="default" w:ascii="Times New Roman" w:hAnsi="Times New Roman" w:eastAsia="宋体" w:cs="Times New Roman"/>
                <w:b/>
                <w:bCs/>
                <w:color w:val="000000"/>
                <w:spacing w:val="0"/>
                <w:w w:val="100"/>
                <w:kern w:val="2"/>
                <w:position w:val="0"/>
                <w:sz w:val="21"/>
                <w:szCs w:val="24"/>
                <w:u w:val="none" w:color="auto"/>
                <w:lang w:val="en-US" w:eastAsia="zh-CN" w:bidi="ar"/>
              </w:rPr>
              <w:t>禹山镇</w:t>
            </w:r>
            <w:r>
              <w:rPr>
                <w:rFonts w:hint="default" w:ascii="Times New Roman" w:hAnsi="Times New Roman" w:eastAsia="宋体" w:cs="Times New Roman"/>
                <w:color w:val="000000"/>
                <w:spacing w:val="0"/>
                <w:w w:val="100"/>
                <w:kern w:val="2"/>
                <w:position w:val="0"/>
                <w:sz w:val="21"/>
                <w:szCs w:val="24"/>
                <w:u w:val="none" w:color="auto"/>
                <w:lang w:val="en-US" w:eastAsia="zh-CN" w:bidi="ar"/>
              </w:rPr>
              <w:t>/</w:t>
            </w:r>
          </w:p>
          <w:p w14:paraId="042C3A4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kern w:val="2"/>
                <w:position w:val="0"/>
                <w:sz w:val="21"/>
                <w:szCs w:val="24"/>
                <w:u w:val="none" w:color="auto"/>
                <w:lang w:val="en-US" w:eastAsia="zh-CN" w:bidi="ar"/>
              </w:rPr>
            </w:pPr>
            <w:r>
              <w:rPr>
                <w:rFonts w:hint="default" w:ascii="Times New Roman" w:hAnsi="Times New Roman" w:eastAsia="宋体" w:cs="Times New Roman"/>
                <w:color w:val="000000"/>
                <w:spacing w:val="0"/>
                <w:w w:val="100"/>
                <w:kern w:val="2"/>
                <w:position w:val="0"/>
                <w:sz w:val="21"/>
                <w:szCs w:val="24"/>
                <w:u w:val="none" w:color="auto"/>
                <w:lang w:val="en-US" w:eastAsia="zh-CN" w:bidi="ar"/>
              </w:rPr>
              <w:t>注滋口镇</w:t>
            </w:r>
          </w:p>
          <w:p w14:paraId="3AB739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0"/>
                <w:w w:val="100"/>
                <w:position w:val="0"/>
                <w:u w:val="none" w:color="auto"/>
                <w:lang w:val="en-US"/>
              </w:rPr>
            </w:pPr>
          </w:p>
        </w:tc>
        <w:tc>
          <w:tcPr>
            <w:tcW w:w="568" w:type="pct"/>
            <w:tcBorders>
              <w:top w:val="single" w:color="auto" w:sz="6" w:space="0"/>
              <w:left w:val="single" w:color="auto" w:sz="6" w:space="0"/>
              <w:bottom w:val="single" w:color="auto" w:sz="6" w:space="0"/>
              <w:right w:val="single" w:color="auto" w:sz="6" w:space="0"/>
            </w:tcBorders>
            <w:noWrap w:val="0"/>
            <w:vAlign w:val="center"/>
          </w:tcPr>
          <w:p w14:paraId="510933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pacing w:val="0"/>
                <w:w w:val="100"/>
                <w:kern w:val="0"/>
                <w:position w:val="0"/>
                <w:u w:val="none" w:color="auto"/>
                <w:lang w:val="en-US" w:bidi="ar"/>
              </w:rPr>
            </w:pPr>
            <w:r>
              <w:rPr>
                <w:rFonts w:hint="default" w:ascii="Times New Roman" w:hAnsi="Times New Roman" w:eastAsia="宋体" w:cs="Times New Roman"/>
                <w:bCs/>
                <w:color w:val="000000"/>
                <w:spacing w:val="0"/>
                <w:w w:val="100"/>
                <w:kern w:val="0"/>
                <w:position w:val="0"/>
                <w:sz w:val="21"/>
                <w:szCs w:val="24"/>
                <w:u w:val="none" w:color="auto"/>
                <w:lang w:val="en-US" w:eastAsia="zh-CN" w:bidi="ar"/>
              </w:rPr>
              <w:t>优先保护单元</w:t>
            </w:r>
          </w:p>
        </w:tc>
        <w:tc>
          <w:tcPr>
            <w:tcW w:w="466" w:type="pct"/>
            <w:tcBorders>
              <w:top w:val="single" w:color="auto" w:sz="6" w:space="0"/>
              <w:left w:val="single" w:color="auto" w:sz="6" w:space="0"/>
              <w:bottom w:val="single" w:color="auto" w:sz="6" w:space="0"/>
              <w:right w:val="single" w:color="auto" w:sz="6" w:space="0"/>
            </w:tcBorders>
            <w:noWrap w:val="0"/>
            <w:vAlign w:val="center"/>
          </w:tcPr>
          <w:p w14:paraId="3CF410D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pacing w:val="0"/>
                <w:w w:val="100"/>
                <w:kern w:val="0"/>
                <w:position w:val="0"/>
                <w:u w:val="none" w:color="auto"/>
                <w:vertAlign w:val="superscript"/>
                <w:lang w:val="en-US" w:bidi="ar"/>
              </w:rPr>
            </w:pPr>
            <w:r>
              <w:rPr>
                <w:rFonts w:hint="default" w:ascii="Times New Roman" w:hAnsi="Times New Roman" w:eastAsia="宋体" w:cs="Times New Roman"/>
                <w:bCs/>
                <w:color w:val="000000"/>
                <w:spacing w:val="0"/>
                <w:w w:val="100"/>
                <w:kern w:val="0"/>
                <w:position w:val="0"/>
                <w:sz w:val="21"/>
                <w:szCs w:val="24"/>
                <w:u w:val="none" w:color="auto"/>
                <w:lang w:val="en-US" w:eastAsia="zh-CN" w:bidi="ar"/>
              </w:rPr>
              <w:t>446.61km</w:t>
            </w:r>
            <w:r>
              <w:rPr>
                <w:rFonts w:hint="default" w:ascii="Times New Roman" w:hAnsi="Times New Roman" w:eastAsia="宋体" w:cs="Times New Roman"/>
                <w:bCs/>
                <w:color w:val="000000"/>
                <w:spacing w:val="0"/>
                <w:w w:val="100"/>
                <w:kern w:val="0"/>
                <w:position w:val="0"/>
                <w:sz w:val="21"/>
                <w:szCs w:val="24"/>
                <w:u w:val="none" w:color="auto"/>
                <w:vertAlign w:val="superscript"/>
                <w:lang w:val="en-US" w:eastAsia="zh-CN" w:bidi="ar"/>
              </w:rPr>
              <w:t>2</w:t>
            </w:r>
          </w:p>
        </w:tc>
        <w:tc>
          <w:tcPr>
            <w:tcW w:w="800" w:type="pct"/>
            <w:tcBorders>
              <w:top w:val="single" w:color="auto" w:sz="6" w:space="0"/>
              <w:left w:val="single" w:color="auto" w:sz="6" w:space="0"/>
              <w:bottom w:val="single" w:color="auto" w:sz="6" w:space="0"/>
              <w:right w:val="single" w:color="auto" w:sz="6" w:space="0"/>
            </w:tcBorders>
            <w:noWrap w:val="0"/>
            <w:vAlign w:val="center"/>
          </w:tcPr>
          <w:p w14:paraId="0B6916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pacing w:val="0"/>
                <w:w w:val="100"/>
                <w:kern w:val="0"/>
                <w:position w:val="0"/>
                <w:sz w:val="21"/>
                <w:szCs w:val="24"/>
                <w:u w:val="none" w:color="auto"/>
                <w:lang w:val="en-US" w:eastAsia="zh-CN" w:bidi="ar"/>
              </w:rPr>
            </w:pPr>
            <w:r>
              <w:rPr>
                <w:rFonts w:hint="default" w:ascii="Times New Roman" w:hAnsi="Times New Roman" w:eastAsia="宋体" w:cs="Times New Roman"/>
                <w:bCs/>
                <w:color w:val="000000"/>
                <w:spacing w:val="0"/>
                <w:w w:val="100"/>
                <w:kern w:val="0"/>
                <w:position w:val="0"/>
                <w:sz w:val="21"/>
                <w:szCs w:val="24"/>
                <w:u w:val="none" w:color="auto"/>
                <w:lang w:val="en-US" w:eastAsia="zh-CN" w:bidi="ar"/>
              </w:rPr>
              <w:t>省级层面重点生态功能区</w:t>
            </w:r>
          </w:p>
        </w:tc>
        <w:tc>
          <w:tcPr>
            <w:tcW w:w="653" w:type="pct"/>
            <w:tcBorders>
              <w:top w:val="single" w:color="auto" w:sz="6" w:space="0"/>
              <w:left w:val="single" w:color="auto" w:sz="6" w:space="0"/>
              <w:bottom w:val="single" w:color="auto" w:sz="6" w:space="0"/>
              <w:right w:val="single" w:color="auto" w:sz="6" w:space="0"/>
            </w:tcBorders>
            <w:noWrap w:val="0"/>
            <w:vAlign w:val="center"/>
          </w:tcPr>
          <w:p w14:paraId="70D7CD1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000000"/>
                <w:spacing w:val="0"/>
                <w:w w:val="100"/>
                <w:kern w:val="0"/>
                <w:position w:val="0"/>
                <w:u w:val="none" w:color="auto"/>
                <w:lang w:val="en-US" w:bidi="ar"/>
              </w:rPr>
            </w:pPr>
            <w:r>
              <w:rPr>
                <w:rFonts w:hint="default" w:ascii="Times New Roman" w:hAnsi="Times New Roman" w:eastAsia="宋体" w:cs="Times New Roman"/>
                <w:color w:val="auto"/>
                <w:kern w:val="2"/>
                <w:sz w:val="21"/>
                <w:szCs w:val="21"/>
                <w:u w:val="none"/>
                <w:lang w:val="en-US" w:eastAsia="zh-CN" w:bidi="ar-SA"/>
              </w:rPr>
              <w:t>农业种植</w:t>
            </w:r>
          </w:p>
        </w:tc>
        <w:tc>
          <w:tcPr>
            <w:tcW w:w="957" w:type="pct"/>
            <w:gridSpan w:val="2"/>
            <w:tcBorders>
              <w:top w:val="single" w:color="auto" w:sz="6" w:space="0"/>
              <w:left w:val="single" w:color="auto" w:sz="6" w:space="0"/>
              <w:bottom w:val="single" w:color="auto" w:sz="6" w:space="0"/>
              <w:right w:val="single" w:color="auto" w:sz="12" w:space="0"/>
            </w:tcBorders>
            <w:noWrap w:val="0"/>
            <w:vAlign w:val="center"/>
          </w:tcPr>
          <w:p w14:paraId="639BB9B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spacing w:val="0"/>
                <w:w w:val="100"/>
                <w:kern w:val="0"/>
                <w:position w:val="0"/>
                <w:u w:val="none" w:color="auto"/>
                <w:lang w:val="en-US" w:bidi="ar"/>
              </w:rPr>
            </w:pPr>
            <w:r>
              <w:rPr>
                <w:rFonts w:hint="default" w:ascii="Times New Roman" w:hAnsi="Times New Roman" w:eastAsia="宋体" w:cs="Times New Roman"/>
                <w:color w:val="auto"/>
                <w:kern w:val="2"/>
                <w:sz w:val="21"/>
                <w:szCs w:val="21"/>
                <w:u w:val="none"/>
                <w:lang w:val="en-US" w:eastAsia="zh-CN" w:bidi="ar-SA"/>
              </w:rPr>
              <w:t>工业企业污水排放有超标现象，畜禽养殖污染水质；生活垃圾露天堆放；水产养殖投肥投饵量大；北汊水库非法围堤</w:t>
            </w:r>
          </w:p>
        </w:tc>
      </w:tr>
      <w:tr w14:paraId="1DA1D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6" w:space="0"/>
              <w:right w:val="single" w:color="auto" w:sz="6" w:space="0"/>
            </w:tcBorders>
            <w:noWrap w:val="0"/>
            <w:vAlign w:val="center"/>
          </w:tcPr>
          <w:p w14:paraId="5AB0944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pacing w:val="0"/>
                <w:w w:val="100"/>
                <w:kern w:val="2"/>
                <w:position w:val="0"/>
                <w:sz w:val="21"/>
                <w:szCs w:val="24"/>
                <w:u w:val="none" w:color="auto"/>
                <w:lang w:val="en-US" w:eastAsia="zh-CN" w:bidi="ar"/>
              </w:rPr>
            </w:pPr>
            <w:r>
              <w:rPr>
                <w:rFonts w:hint="default" w:ascii="Times New Roman" w:hAnsi="Times New Roman" w:eastAsia="宋体" w:cs="Times New Roman"/>
                <w:b/>
                <w:bCs/>
                <w:color w:val="000000"/>
                <w:spacing w:val="0"/>
                <w:w w:val="100"/>
                <w:kern w:val="2"/>
                <w:position w:val="0"/>
                <w:sz w:val="21"/>
                <w:szCs w:val="24"/>
                <w:u w:val="none" w:color="auto"/>
                <w:lang w:val="en-US" w:eastAsia="zh-CN" w:bidi="ar"/>
              </w:rPr>
              <w:t>管控维度</w:t>
            </w:r>
          </w:p>
        </w:tc>
        <w:tc>
          <w:tcPr>
            <w:tcW w:w="2472" w:type="pct"/>
            <w:gridSpan w:val="4"/>
            <w:tcBorders>
              <w:top w:val="single" w:color="auto" w:sz="6" w:space="0"/>
              <w:left w:val="single" w:color="auto" w:sz="6" w:space="0"/>
              <w:bottom w:val="single" w:color="auto" w:sz="6" w:space="0"/>
              <w:right w:val="single" w:color="auto" w:sz="6" w:space="0"/>
            </w:tcBorders>
            <w:noWrap w:val="0"/>
            <w:vAlign w:val="center"/>
          </w:tcPr>
          <w:p w14:paraId="7C26E3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pacing w:val="0"/>
                <w:w w:val="100"/>
                <w:kern w:val="0"/>
                <w:position w:val="0"/>
                <w:sz w:val="21"/>
                <w:szCs w:val="24"/>
                <w:u w:val="none" w:color="auto"/>
                <w:lang w:val="en-US" w:eastAsia="zh-CN" w:bidi="ar"/>
              </w:rPr>
            </w:pPr>
            <w:r>
              <w:rPr>
                <w:rFonts w:hint="default" w:ascii="Times New Roman" w:hAnsi="Times New Roman" w:eastAsia="宋体" w:cs="Times New Roman"/>
                <w:b/>
                <w:bCs/>
                <w:color w:val="000000"/>
                <w:spacing w:val="0"/>
                <w:w w:val="100"/>
                <w:kern w:val="0"/>
                <w:position w:val="0"/>
                <w:sz w:val="21"/>
                <w:szCs w:val="24"/>
                <w:u w:val="none" w:color="auto"/>
                <w:lang w:val="en-US" w:eastAsia="zh-CN" w:bidi="ar"/>
              </w:rPr>
              <w:t>管控要求</w:t>
            </w:r>
          </w:p>
        </w:tc>
        <w:tc>
          <w:tcPr>
            <w:tcW w:w="1149" w:type="pct"/>
            <w:gridSpan w:val="2"/>
            <w:tcBorders>
              <w:top w:val="single" w:color="auto" w:sz="6" w:space="0"/>
              <w:left w:val="single" w:color="auto" w:sz="6" w:space="0"/>
              <w:bottom w:val="single" w:color="auto" w:sz="6" w:space="0"/>
              <w:right w:val="single" w:color="auto" w:sz="6" w:space="0"/>
            </w:tcBorders>
            <w:noWrap w:val="0"/>
            <w:vAlign w:val="center"/>
          </w:tcPr>
          <w:p w14:paraId="752278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pacing w:val="0"/>
                <w:w w:val="100"/>
                <w:kern w:val="0"/>
                <w:position w:val="0"/>
                <w:u w:val="none" w:color="auto"/>
                <w:lang w:val="en-US" w:eastAsia="zh-CN" w:bidi="ar"/>
              </w:rPr>
            </w:pPr>
            <w:r>
              <w:rPr>
                <w:rFonts w:hint="default" w:ascii="Times New Roman" w:hAnsi="Times New Roman" w:eastAsia="宋体" w:cs="Times New Roman"/>
                <w:b/>
                <w:bCs/>
                <w:color w:val="000000"/>
                <w:spacing w:val="0"/>
                <w:w w:val="100"/>
                <w:kern w:val="0"/>
                <w:position w:val="0"/>
                <w:u w:val="none" w:color="auto"/>
                <w:lang w:val="en-US" w:eastAsia="zh-CN" w:bidi="ar"/>
              </w:rPr>
              <w:t>本项目情况</w:t>
            </w:r>
          </w:p>
        </w:tc>
        <w:tc>
          <w:tcPr>
            <w:tcW w:w="461" w:type="pct"/>
            <w:tcBorders>
              <w:top w:val="single" w:color="auto" w:sz="6" w:space="0"/>
              <w:left w:val="single" w:color="auto" w:sz="6" w:space="0"/>
              <w:bottom w:val="single" w:color="auto" w:sz="6" w:space="0"/>
              <w:right w:val="single" w:color="auto" w:sz="12" w:space="0"/>
            </w:tcBorders>
            <w:noWrap w:val="0"/>
            <w:vAlign w:val="center"/>
          </w:tcPr>
          <w:p w14:paraId="77663E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pacing w:val="0"/>
                <w:w w:val="100"/>
                <w:kern w:val="0"/>
                <w:position w:val="0"/>
                <w:u w:val="none" w:color="auto"/>
                <w:lang w:val="en-US" w:eastAsia="zh-CN" w:bidi="ar"/>
              </w:rPr>
            </w:pPr>
            <w:r>
              <w:rPr>
                <w:rFonts w:hint="default" w:ascii="Times New Roman" w:hAnsi="Times New Roman" w:eastAsia="宋体" w:cs="Times New Roman"/>
                <w:b/>
                <w:bCs/>
                <w:color w:val="000000"/>
                <w:spacing w:val="0"/>
                <w:w w:val="100"/>
                <w:kern w:val="0"/>
                <w:position w:val="0"/>
                <w:u w:val="none" w:color="auto"/>
                <w:lang w:val="en-US" w:eastAsia="zh-CN" w:bidi="ar"/>
              </w:rPr>
              <w:t>是否符合</w:t>
            </w:r>
          </w:p>
        </w:tc>
      </w:tr>
      <w:tr w14:paraId="51DCC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6" w:space="0"/>
              <w:right w:val="single" w:color="auto" w:sz="6" w:space="0"/>
            </w:tcBorders>
            <w:noWrap w:val="0"/>
            <w:vAlign w:val="center"/>
          </w:tcPr>
          <w:p w14:paraId="435C9063">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pacing w:val="0"/>
                <w:w w:val="100"/>
                <w:position w:val="0"/>
                <w:u w:val="none" w:color="auto"/>
                <w:lang w:val="en-US"/>
              </w:rPr>
            </w:pPr>
            <w:r>
              <w:rPr>
                <w:rFonts w:hint="default" w:ascii="Times New Roman" w:hAnsi="Times New Roman" w:eastAsia="宋体" w:cs="Times New Roman"/>
                <w:bCs/>
                <w:color w:val="000000"/>
                <w:spacing w:val="0"/>
                <w:w w:val="100"/>
                <w:kern w:val="0"/>
                <w:position w:val="0"/>
                <w:sz w:val="21"/>
                <w:szCs w:val="24"/>
                <w:u w:val="none" w:color="auto"/>
                <w:lang w:val="en-US" w:eastAsia="zh-CN" w:bidi="ar"/>
              </w:rPr>
              <w:t>空间布局约束</w:t>
            </w:r>
          </w:p>
        </w:tc>
        <w:tc>
          <w:tcPr>
            <w:tcW w:w="2472" w:type="pct"/>
            <w:gridSpan w:val="4"/>
            <w:tcBorders>
              <w:top w:val="single" w:color="auto" w:sz="6" w:space="0"/>
              <w:left w:val="single" w:color="auto" w:sz="6" w:space="0"/>
              <w:bottom w:val="single" w:color="auto" w:sz="6" w:space="0"/>
              <w:right w:val="single" w:color="auto" w:sz="6" w:space="0"/>
            </w:tcBorders>
            <w:noWrap w:val="0"/>
            <w:vAlign w:val="center"/>
          </w:tcPr>
          <w:p w14:paraId="16EDD924">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1.1依法划定畜禽养殖禁养区，依法处理违规畜禽养殖行为</w:t>
            </w:r>
          </w:p>
          <w:p w14:paraId="1FAA0BAC">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1.2严格禁养区管理，禁养区内禁止新建畜禽规模养殖场（小区）和养殖专业户</w:t>
            </w:r>
          </w:p>
          <w:p w14:paraId="607489F7">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 xml:space="preserve">1.3严格控制秸秆、垃圾露天焚烧。提高秸秆综合利用率，全面禁止农作物秸秆露天焚烧   </w:t>
            </w:r>
          </w:p>
          <w:p w14:paraId="2DD47CC6">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1.4依法整治不符合有关规划、区划要求或者位于生态保护红线、自然保护区、饮用水水源保护区以及其他环境敏感区域内的化工企业</w:t>
            </w:r>
          </w:p>
          <w:p w14:paraId="09D8641C">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1.5强化饮用水源保护区、城中村、老旧城区和城乡结合部污水截流、收集。新建管网实行雨污分流。现有合流制排水系统应加快实施雨污分流改造，难以改造的，应采取截流、调蓄和治理等措施</w:t>
            </w:r>
          </w:p>
          <w:p w14:paraId="3D0580B6">
            <w:pPr>
              <w:pStyle w:val="19"/>
              <w:keepNext w:val="0"/>
              <w:keepLines w:val="0"/>
              <w:numPr>
                <w:ilvl w:val="0"/>
                <w:numId w:val="0"/>
              </w:numPr>
              <w:suppressLineNumbers w:val="0"/>
              <w:spacing w:before="0" w:beforeAutospacing="0" w:after="0" w:afterAutospacing="0" w:line="240" w:lineRule="auto"/>
              <w:ind w:left="0" w:leftChars="0" w:right="0" w:rightChars="0" w:firstLine="420" w:firstLineChars="200"/>
              <w:jc w:val="left"/>
              <w:rPr>
                <w:rFonts w:hint="default" w:ascii="Times New Roman" w:hAnsi="Times New Roman" w:eastAsia="宋体" w:cs="Times New Roman"/>
                <w:bCs/>
                <w:color w:val="000000"/>
                <w:spacing w:val="0"/>
                <w:w w:val="100"/>
                <w:position w:val="0"/>
                <w:u w:val="none" w:color="auto"/>
                <w:lang w:val="en-US"/>
              </w:rPr>
            </w:pPr>
            <w:r>
              <w:rPr>
                <w:rFonts w:hint="default" w:ascii="Times New Roman" w:hAnsi="Times New Roman" w:eastAsia="宋体" w:cs="Times New Roman"/>
                <w:color w:val="auto"/>
                <w:kern w:val="2"/>
                <w:sz w:val="21"/>
                <w:szCs w:val="21"/>
                <w:u w:val="none"/>
                <w:lang w:val="en-US" w:eastAsia="zh-CN" w:bidi="ar-SA"/>
              </w:rPr>
              <w:t>1.6全面禁止天然水域投肥投饵养殖，加强污染水体修复。全面规范河流、湖泊、水库等天然水域的水产养殖行为，全面清退天然水体投肥精养，实现农户自建池塘渔业用水循环利用、达标排放</w:t>
            </w:r>
          </w:p>
        </w:tc>
        <w:tc>
          <w:tcPr>
            <w:tcW w:w="1149" w:type="pct"/>
            <w:gridSpan w:val="2"/>
            <w:tcBorders>
              <w:top w:val="single" w:color="auto" w:sz="6" w:space="0"/>
              <w:left w:val="single" w:color="auto" w:sz="6" w:space="0"/>
              <w:bottom w:val="single" w:color="auto" w:sz="6" w:space="0"/>
              <w:right w:val="single" w:color="auto" w:sz="6" w:space="0"/>
            </w:tcBorders>
            <w:noWrap w:val="0"/>
            <w:vAlign w:val="center"/>
          </w:tcPr>
          <w:p w14:paraId="2F33DC7F">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宋体" w:cs="Times New Roman"/>
                <w:bCs/>
                <w:color w:val="000000"/>
                <w:spacing w:val="0"/>
                <w:w w:val="100"/>
                <w:position w:val="0"/>
                <w:u w:val="none" w:color="auto"/>
                <w:lang w:val="en-US"/>
              </w:rPr>
            </w:pPr>
            <w:r>
              <w:rPr>
                <w:rFonts w:hint="default" w:ascii="Times New Roman" w:hAnsi="Times New Roman" w:eastAsia="宋体" w:cs="Times New Roman"/>
                <w:bCs/>
                <w:color w:val="000000"/>
                <w:spacing w:val="0"/>
                <w:w w:val="100"/>
                <w:kern w:val="2"/>
                <w:position w:val="0"/>
                <w:sz w:val="21"/>
                <w:szCs w:val="24"/>
                <w:u w:val="none" w:color="auto"/>
                <w:lang w:val="en-US" w:eastAsia="zh-CN" w:bidi="ar"/>
              </w:rPr>
              <w:t>本项目</w:t>
            </w:r>
            <w:r>
              <w:rPr>
                <w:rFonts w:hint="eastAsia" w:ascii="Times New Roman" w:hAnsi="Times New Roman" w:eastAsia="宋体" w:cs="Times New Roman"/>
                <w:bCs/>
                <w:color w:val="000000"/>
                <w:spacing w:val="0"/>
                <w:w w:val="100"/>
                <w:kern w:val="2"/>
                <w:position w:val="0"/>
                <w:sz w:val="21"/>
                <w:szCs w:val="24"/>
                <w:u w:val="none" w:color="auto"/>
                <w:lang w:val="en-US" w:eastAsia="zh-CN" w:bidi="ar"/>
              </w:rPr>
              <w:t>为北汊水库除险加固工程，不涉及畜禽养殖、秸秆露天焚烧。项目不属于化工企业。项目生产生活污水均不外排。本项目为</w:t>
            </w:r>
            <w:r>
              <w:rPr>
                <w:rFonts w:hint="default" w:ascii="Times New Roman" w:hAnsi="Times New Roman" w:eastAsia="宋体" w:cs="Times New Roman"/>
                <w:bCs/>
                <w:color w:val="000000"/>
                <w:spacing w:val="0"/>
                <w:w w:val="100"/>
                <w:kern w:val="2"/>
                <w:position w:val="0"/>
                <w:sz w:val="21"/>
                <w:szCs w:val="24"/>
                <w:u w:val="none" w:color="auto"/>
                <w:lang w:val="en-US" w:eastAsia="zh-CN" w:bidi="ar"/>
              </w:rPr>
              <w:t>现有北汊水库除险加固工程，</w:t>
            </w:r>
            <w:r>
              <w:rPr>
                <w:rFonts w:hint="default" w:ascii="Times New Roman" w:hAnsi="Times New Roman" w:eastAsia="宋体" w:cs="Times New Roman"/>
                <w:bCs/>
                <w:color w:val="000000"/>
                <w:spacing w:val="0"/>
                <w:w w:val="100"/>
                <w:position w:val="0"/>
                <w:u w:val="none" w:color="auto"/>
                <w:lang w:val="en-US" w:eastAsia="zh-CN"/>
              </w:rPr>
              <w:t>不属于养殖项目</w:t>
            </w:r>
            <w:r>
              <w:rPr>
                <w:rFonts w:hint="eastAsia" w:ascii="Times New Roman" w:hAnsi="Times New Roman" w:eastAsia="宋体" w:cs="Times New Roman"/>
                <w:bCs/>
                <w:color w:val="000000"/>
                <w:spacing w:val="0"/>
                <w:w w:val="100"/>
                <w:position w:val="0"/>
                <w:u w:val="none" w:color="auto"/>
                <w:lang w:val="en-US" w:eastAsia="zh-CN"/>
              </w:rPr>
              <w:t>，不涉及养殖行为</w:t>
            </w:r>
            <w:r>
              <w:rPr>
                <w:rFonts w:hint="default" w:ascii="Times New Roman" w:hAnsi="Times New Roman" w:eastAsia="宋体" w:cs="Times New Roman"/>
                <w:bCs/>
                <w:color w:val="000000"/>
                <w:spacing w:val="0"/>
                <w:w w:val="100"/>
                <w:position w:val="0"/>
                <w:u w:val="none" w:color="auto"/>
                <w:lang w:val="en-US" w:eastAsia="zh-CN"/>
              </w:rPr>
              <w:t>。</w:t>
            </w:r>
          </w:p>
        </w:tc>
        <w:tc>
          <w:tcPr>
            <w:tcW w:w="461" w:type="pct"/>
            <w:tcBorders>
              <w:top w:val="single" w:color="auto" w:sz="6" w:space="0"/>
              <w:left w:val="single" w:color="auto" w:sz="6" w:space="0"/>
              <w:bottom w:val="single" w:color="auto" w:sz="6" w:space="0"/>
              <w:right w:val="single" w:color="auto" w:sz="12" w:space="0"/>
            </w:tcBorders>
            <w:noWrap w:val="0"/>
            <w:vAlign w:val="center"/>
          </w:tcPr>
          <w:p w14:paraId="3F17355B">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符合</w:t>
            </w:r>
          </w:p>
        </w:tc>
      </w:tr>
      <w:tr w14:paraId="0641C5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6" w:space="0"/>
              <w:right w:val="single" w:color="auto" w:sz="6" w:space="0"/>
            </w:tcBorders>
            <w:noWrap w:val="0"/>
            <w:vAlign w:val="center"/>
          </w:tcPr>
          <w:p w14:paraId="6DB81EB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bCs/>
                <w:color w:val="000000"/>
                <w:spacing w:val="0"/>
                <w:w w:val="100"/>
                <w:kern w:val="0"/>
                <w:position w:val="0"/>
                <w:u w:val="none" w:color="auto"/>
                <w:lang w:val="en-US" w:bidi="ar"/>
              </w:rPr>
            </w:pPr>
            <w:r>
              <w:rPr>
                <w:rFonts w:hint="default" w:ascii="Times New Roman" w:hAnsi="Times New Roman" w:eastAsia="宋体" w:cs="Times New Roman"/>
                <w:bCs/>
                <w:color w:val="000000"/>
                <w:spacing w:val="0"/>
                <w:w w:val="100"/>
                <w:kern w:val="0"/>
                <w:position w:val="0"/>
                <w:sz w:val="21"/>
                <w:szCs w:val="24"/>
                <w:u w:val="none" w:color="auto"/>
                <w:lang w:val="en-US" w:eastAsia="zh-CN" w:bidi="ar"/>
              </w:rPr>
              <w:t>污染物排放管控</w:t>
            </w:r>
          </w:p>
        </w:tc>
        <w:tc>
          <w:tcPr>
            <w:tcW w:w="2472" w:type="pct"/>
            <w:gridSpan w:val="4"/>
            <w:tcBorders>
              <w:top w:val="single" w:color="auto" w:sz="6" w:space="0"/>
              <w:left w:val="single" w:color="auto" w:sz="6" w:space="0"/>
              <w:bottom w:val="single" w:color="auto" w:sz="6" w:space="0"/>
              <w:right w:val="single" w:color="auto" w:sz="6" w:space="0"/>
            </w:tcBorders>
            <w:noWrap w:val="0"/>
            <w:vAlign w:val="center"/>
          </w:tcPr>
          <w:p w14:paraId="5F9C2B0F">
            <w:pPr>
              <w:keepNext w:val="0"/>
              <w:keepLines w:val="0"/>
              <w:widowControl/>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2.1加大涉重企业治污与清洁生产改造力度，强化园区集中治污，严厉打击超标排放与偷排漏排，规范企业无组织排放与物料、固体废物堆场堆存，稳步推进重金属减排工作</w:t>
            </w:r>
          </w:p>
          <w:p w14:paraId="366AD813">
            <w:pPr>
              <w:keepNext w:val="0"/>
              <w:keepLines w:val="0"/>
              <w:widowControl/>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2.2 加快推进规模化畜禽养殖场（小区）配套建设畜禽粪污贮存、处理、利用设施。全面推动畜禽养殖废弃物资源化利用</w:t>
            </w:r>
          </w:p>
          <w:p w14:paraId="423ABB75">
            <w:pPr>
              <w:keepNext w:val="0"/>
              <w:keepLines w:val="0"/>
              <w:widowControl/>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2.3 彻底清理拆除洞庭湖区矮围网围（含迷魂阵）、尼龙网、铁丝网、钢筋和竹木立桩等设施，恢复洞庭湖水域、滩涂、湖洲本来面貌，并确保不反弹</w:t>
            </w:r>
          </w:p>
          <w:p w14:paraId="1012DEAD">
            <w:pPr>
              <w:keepNext w:val="0"/>
              <w:keepLines w:val="0"/>
              <w:widowControl/>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2.4 建立健全城镇垃圾收集转运及处理处置体系，推动生活垃圾分类，统筹布局生活垃圾转运站，逐步淘汰敞开式收运设施，在城区推广密闭压缩式收运方式，加快建设生活垃圾处理设施；对于无渗滤液处理设施、渗滤液处理不能长期稳定达标的生活垃圾处理设施，加快升级改造；对城区水体蓝线范围内的非正规垃圾堆放点进行整治，实现城镇垃圾全收集全处理</w:t>
            </w:r>
          </w:p>
          <w:p w14:paraId="62A59F11">
            <w:pPr>
              <w:keepNext w:val="0"/>
              <w:keepLines w:val="0"/>
              <w:widowControl/>
              <w:suppressLineNumbers w:val="0"/>
              <w:spacing w:before="0" w:beforeAutospacing="0" w:after="0" w:afterAutospacing="0"/>
              <w:ind w:left="0" w:right="0" w:firstLine="420" w:firstLineChars="0"/>
              <w:jc w:val="both"/>
              <w:rPr>
                <w:rFonts w:hint="default" w:ascii="Times New Roman" w:hAnsi="Times New Roman" w:eastAsia="宋体" w:cs="Times New Roman"/>
                <w:color w:val="000000"/>
                <w:spacing w:val="0"/>
                <w:w w:val="100"/>
                <w:position w:val="0"/>
                <w:u w:val="none" w:color="auto"/>
                <w:lang w:val="en-US"/>
              </w:rPr>
            </w:pPr>
            <w:r>
              <w:rPr>
                <w:rFonts w:hint="default" w:ascii="Times New Roman" w:hAnsi="Times New Roman" w:eastAsia="宋体" w:cs="Times New Roman"/>
                <w:color w:val="auto"/>
                <w:kern w:val="2"/>
                <w:sz w:val="21"/>
                <w:szCs w:val="21"/>
                <w:u w:val="none"/>
                <w:lang w:val="en-US" w:eastAsia="zh-CN" w:bidi="ar-SA"/>
              </w:rPr>
              <w:t>2.5 持续开展工业集中区专项整治行动，重点排查整治管网不配套、雨污不分流、污水集中处理设施及自动监控运行不正常等问题，实现工业园区污水管网全覆盖，工业污水集中收集处理、达标排放，在线监控稳定运行；评估依托城镇生活污水处理设施处理园区工业废水对出水的影响，对导致出水不能稳定达标的，限期退出城镇污水处理设施，并采取其他措施加以整治</w:t>
            </w:r>
          </w:p>
        </w:tc>
        <w:tc>
          <w:tcPr>
            <w:tcW w:w="1149" w:type="pct"/>
            <w:gridSpan w:val="2"/>
            <w:tcBorders>
              <w:top w:val="single" w:color="auto" w:sz="6" w:space="0"/>
              <w:left w:val="single" w:color="auto" w:sz="6" w:space="0"/>
              <w:bottom w:val="single" w:color="auto" w:sz="6" w:space="0"/>
              <w:right w:val="single" w:color="auto" w:sz="6" w:space="0"/>
            </w:tcBorders>
            <w:noWrap w:val="0"/>
            <w:vAlign w:val="center"/>
          </w:tcPr>
          <w:p w14:paraId="51A7F5AB">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spacing w:val="0"/>
                <w:w w:val="100"/>
                <w:position w:val="0"/>
                <w:u w:val="none" w:color="auto"/>
                <w:lang w:val="en-US"/>
              </w:rPr>
            </w:pPr>
            <w:r>
              <w:rPr>
                <w:rFonts w:hint="eastAsia" w:ascii="Times New Roman" w:hAnsi="Times New Roman" w:eastAsia="宋体" w:cs="Times New Roman"/>
                <w:color w:val="000000"/>
                <w:spacing w:val="0"/>
                <w:w w:val="100"/>
                <w:kern w:val="2"/>
                <w:position w:val="0"/>
                <w:sz w:val="21"/>
                <w:szCs w:val="24"/>
                <w:u w:val="none" w:color="auto"/>
                <w:lang w:val="en-US" w:eastAsia="zh-CN" w:bidi="ar"/>
              </w:rPr>
              <w:t>本项目不涉及左列情形。</w:t>
            </w:r>
          </w:p>
        </w:tc>
        <w:tc>
          <w:tcPr>
            <w:tcW w:w="461" w:type="pct"/>
            <w:tcBorders>
              <w:top w:val="single" w:color="auto" w:sz="6" w:space="0"/>
              <w:left w:val="single" w:color="auto" w:sz="6" w:space="0"/>
              <w:bottom w:val="single" w:color="auto" w:sz="6" w:space="0"/>
              <w:right w:val="single" w:color="auto" w:sz="12" w:space="0"/>
            </w:tcBorders>
            <w:noWrap w:val="0"/>
            <w:vAlign w:val="center"/>
          </w:tcPr>
          <w:p w14:paraId="77F2E53F">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符合</w:t>
            </w:r>
          </w:p>
        </w:tc>
      </w:tr>
      <w:tr w14:paraId="2D0C5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6" w:space="0"/>
              <w:right w:val="single" w:color="auto" w:sz="6" w:space="0"/>
            </w:tcBorders>
            <w:noWrap w:val="0"/>
            <w:vAlign w:val="center"/>
          </w:tcPr>
          <w:p w14:paraId="276BD823">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环境风险防控</w:t>
            </w:r>
          </w:p>
        </w:tc>
        <w:tc>
          <w:tcPr>
            <w:tcW w:w="2472" w:type="pct"/>
            <w:gridSpan w:val="4"/>
            <w:tcBorders>
              <w:top w:val="single" w:color="auto" w:sz="6" w:space="0"/>
              <w:left w:val="single" w:color="auto" w:sz="6" w:space="0"/>
              <w:bottom w:val="single" w:color="auto" w:sz="6" w:space="0"/>
              <w:right w:val="single" w:color="auto" w:sz="6" w:space="0"/>
            </w:tcBorders>
            <w:noWrap w:val="0"/>
            <w:vAlign w:val="center"/>
          </w:tcPr>
          <w:p w14:paraId="1C919CA6">
            <w:pPr>
              <w:keepNext w:val="0"/>
              <w:keepLines w:val="0"/>
              <w:widowControl/>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3.1制定和完善突发环境事件和饮用水水源地突发环境事件应急预案。落实责任主体，明确预警预报与响应程序、应急处置及保障措施等内容，依法及时公布预警信息。工业企业要依据国家相关规定，进一步加强风险防控和突发环境事件应急处理处置能力</w:t>
            </w:r>
          </w:p>
          <w:p w14:paraId="1860A4DD">
            <w:pPr>
              <w:keepNext w:val="0"/>
              <w:keepLines w:val="0"/>
              <w:widowControl/>
              <w:suppressLineNumbers w:val="0"/>
              <w:spacing w:before="0" w:beforeAutospacing="0" w:after="0" w:afterAutospacing="0"/>
              <w:ind w:left="0" w:right="0" w:firstLine="420" w:firstLineChars="0"/>
              <w:jc w:val="left"/>
              <w:rPr>
                <w:rFonts w:hint="default" w:ascii="Times New Roman" w:hAnsi="Times New Roman" w:eastAsia="宋体" w:cs="Times New Roman"/>
                <w:color w:val="000000"/>
                <w:spacing w:val="0"/>
                <w:w w:val="100"/>
                <w:position w:val="0"/>
                <w:u w:val="none" w:color="auto"/>
                <w:lang w:val="en-US"/>
              </w:rPr>
            </w:pPr>
            <w:r>
              <w:rPr>
                <w:rFonts w:hint="default" w:ascii="Times New Roman" w:hAnsi="Times New Roman" w:eastAsia="宋体" w:cs="Times New Roman"/>
                <w:color w:val="auto"/>
                <w:kern w:val="2"/>
                <w:sz w:val="21"/>
                <w:szCs w:val="21"/>
                <w:u w:val="none"/>
                <w:lang w:val="en-US" w:eastAsia="zh-CN" w:bidi="ar-SA"/>
              </w:rPr>
              <w:t>3.2依据《集中式饮用水水源地规范化环境保护技术要求》（HJ773-2015），从保护区划分、标志设置、隔离防护、保护区整治、监控能力建设、风险防控与应急能力建设等方面，推进集中式饮用水源规范化建设。对生活饮用水集中式供水单位供水水质按国相关要求进行行业自检和监督监测</w:t>
            </w:r>
          </w:p>
        </w:tc>
        <w:tc>
          <w:tcPr>
            <w:tcW w:w="1149" w:type="pct"/>
            <w:gridSpan w:val="2"/>
            <w:tcBorders>
              <w:top w:val="single" w:color="auto" w:sz="6" w:space="0"/>
              <w:left w:val="single" w:color="auto" w:sz="6" w:space="0"/>
              <w:bottom w:val="single" w:color="auto" w:sz="6" w:space="0"/>
              <w:right w:val="single" w:color="auto" w:sz="6" w:space="0"/>
            </w:tcBorders>
            <w:noWrap w:val="0"/>
            <w:vAlign w:val="center"/>
          </w:tcPr>
          <w:p w14:paraId="649655EF">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auto"/>
                <w:spacing w:val="0"/>
                <w:w w:val="100"/>
                <w:kern w:val="2"/>
                <w:position w:val="0"/>
                <w:sz w:val="21"/>
                <w:szCs w:val="21"/>
                <w:u w:val="none" w:color="auto"/>
                <w:lang w:val="en-US" w:eastAsia="zh-CN" w:bidi="ar"/>
              </w:rPr>
              <w:t>本项目为</w:t>
            </w:r>
            <w:r>
              <w:rPr>
                <w:rFonts w:hint="default" w:ascii="Times New Roman" w:hAnsi="Times New Roman" w:eastAsia="宋体" w:cs="Times New Roman"/>
                <w:bCs/>
                <w:color w:val="auto"/>
                <w:spacing w:val="0"/>
                <w:w w:val="100"/>
                <w:kern w:val="2"/>
                <w:position w:val="0"/>
                <w:sz w:val="21"/>
                <w:szCs w:val="24"/>
                <w:u w:val="none" w:color="auto"/>
                <w:lang w:val="en-US" w:eastAsia="zh-CN" w:bidi="ar"/>
              </w:rPr>
              <w:t>北汊水库除险加固工程，</w:t>
            </w:r>
            <w:r>
              <w:rPr>
                <w:rFonts w:hint="eastAsia" w:ascii="Times New Roman" w:hAnsi="Times New Roman" w:eastAsia="宋体" w:cs="Times New Roman"/>
                <w:bCs/>
                <w:color w:val="auto"/>
                <w:spacing w:val="0"/>
                <w:w w:val="100"/>
                <w:kern w:val="2"/>
                <w:position w:val="0"/>
                <w:sz w:val="21"/>
                <w:szCs w:val="24"/>
                <w:u w:val="none" w:color="auto"/>
                <w:lang w:val="en-US" w:eastAsia="zh-CN" w:bidi="ar"/>
              </w:rPr>
              <w:t>不涉及</w:t>
            </w:r>
            <w:r>
              <w:rPr>
                <w:rFonts w:hint="default" w:ascii="Times New Roman" w:hAnsi="Times New Roman" w:eastAsia="宋体" w:cs="Times New Roman"/>
                <w:color w:val="auto"/>
                <w:spacing w:val="0"/>
                <w:w w:val="100"/>
                <w:kern w:val="0"/>
                <w:position w:val="0"/>
                <w:sz w:val="21"/>
                <w:szCs w:val="21"/>
                <w:u w:val="none" w:color="auto"/>
                <w:lang w:val="en-US" w:eastAsia="zh-CN"/>
              </w:rPr>
              <w:t>饮用水水源保护区</w:t>
            </w:r>
            <w:r>
              <w:rPr>
                <w:rFonts w:hint="default" w:ascii="Times New Roman" w:hAnsi="Times New Roman" w:eastAsia="宋体" w:cs="Times New Roman"/>
                <w:bCs/>
                <w:color w:val="auto"/>
                <w:spacing w:val="0"/>
                <w:w w:val="100"/>
                <w:kern w:val="2"/>
                <w:position w:val="0"/>
                <w:sz w:val="21"/>
                <w:szCs w:val="21"/>
                <w:u w:val="none" w:color="auto"/>
                <w:lang w:val="en-US" w:eastAsia="zh-CN" w:bidi="ar"/>
              </w:rPr>
              <w:t>。</w:t>
            </w:r>
            <w:r>
              <w:rPr>
                <w:rFonts w:hint="eastAsia" w:ascii="Times New Roman" w:hAnsi="Times New Roman" w:eastAsia="宋体" w:cs="Times New Roman"/>
                <w:bCs/>
                <w:color w:val="auto"/>
                <w:spacing w:val="0"/>
                <w:w w:val="100"/>
                <w:kern w:val="2"/>
                <w:position w:val="0"/>
                <w:sz w:val="21"/>
                <w:szCs w:val="21"/>
                <w:u w:val="none" w:color="auto"/>
                <w:lang w:val="en-US" w:eastAsia="zh-CN" w:bidi="ar"/>
              </w:rPr>
              <w:t>建设方将按相关要求</w:t>
            </w:r>
            <w:r>
              <w:rPr>
                <w:rFonts w:hint="eastAsia" w:ascii="Times New Roman" w:hAnsi="Times New Roman" w:eastAsia="宋体" w:cs="Times New Roman"/>
                <w:color w:val="auto"/>
                <w:kern w:val="2"/>
                <w:sz w:val="21"/>
                <w:szCs w:val="21"/>
                <w:u w:val="none"/>
                <w:lang w:val="en-US" w:eastAsia="zh-CN" w:bidi="ar-SA"/>
              </w:rPr>
              <w:t>完善环境风险防控措施。</w:t>
            </w:r>
          </w:p>
        </w:tc>
        <w:tc>
          <w:tcPr>
            <w:tcW w:w="461" w:type="pct"/>
            <w:tcBorders>
              <w:top w:val="single" w:color="auto" w:sz="6" w:space="0"/>
              <w:left w:val="single" w:color="auto" w:sz="6" w:space="0"/>
              <w:bottom w:val="single" w:color="auto" w:sz="6" w:space="0"/>
              <w:right w:val="single" w:color="auto" w:sz="12" w:space="0"/>
            </w:tcBorders>
            <w:noWrap w:val="0"/>
            <w:vAlign w:val="center"/>
          </w:tcPr>
          <w:p w14:paraId="1870E111">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符合</w:t>
            </w:r>
          </w:p>
        </w:tc>
      </w:tr>
      <w:tr w14:paraId="6F7CA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 w:type="pct"/>
            <w:tcBorders>
              <w:top w:val="single" w:color="auto" w:sz="6" w:space="0"/>
              <w:left w:val="single" w:color="auto" w:sz="12" w:space="0"/>
              <w:bottom w:val="single" w:color="auto" w:sz="12" w:space="0"/>
              <w:right w:val="single" w:color="auto" w:sz="6" w:space="0"/>
            </w:tcBorders>
            <w:noWrap w:val="0"/>
            <w:vAlign w:val="center"/>
          </w:tcPr>
          <w:p w14:paraId="5774812D">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资源开发</w:t>
            </w:r>
          </w:p>
          <w:p w14:paraId="154BFF15">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效率要求</w:t>
            </w:r>
          </w:p>
        </w:tc>
        <w:tc>
          <w:tcPr>
            <w:tcW w:w="2472" w:type="pct"/>
            <w:gridSpan w:val="4"/>
            <w:tcBorders>
              <w:top w:val="single" w:color="auto" w:sz="6" w:space="0"/>
              <w:left w:val="single" w:color="auto" w:sz="6" w:space="0"/>
              <w:bottom w:val="single" w:color="auto" w:sz="12" w:space="0"/>
              <w:right w:val="single" w:color="auto" w:sz="6" w:space="0"/>
            </w:tcBorders>
            <w:noWrap w:val="0"/>
            <w:vAlign w:val="center"/>
          </w:tcPr>
          <w:p w14:paraId="4927CC53">
            <w:pPr>
              <w:keepNext w:val="0"/>
              <w:keepLines w:val="0"/>
              <w:widowControl/>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4.1 水资源：2020 年，华容县万元国内生产总值用水量99m</w:t>
            </w:r>
            <w:r>
              <w:rPr>
                <w:rFonts w:hint="default" w:ascii="Times New Roman" w:hAnsi="Times New Roman" w:eastAsia="宋体" w:cs="Times New Roman"/>
                <w:color w:val="auto"/>
                <w:kern w:val="2"/>
                <w:sz w:val="21"/>
                <w:szCs w:val="21"/>
                <w:u w:val="none"/>
                <w:vertAlign w:val="superscript"/>
                <w:lang w:val="en-US" w:eastAsia="zh-CN" w:bidi="ar-SA"/>
              </w:rPr>
              <w:t>3</w:t>
            </w:r>
            <w:r>
              <w:rPr>
                <w:rFonts w:hint="default" w:ascii="Times New Roman" w:hAnsi="Times New Roman" w:eastAsia="宋体" w:cs="Times New Roman"/>
                <w:color w:val="auto"/>
                <w:kern w:val="2"/>
                <w:sz w:val="21"/>
                <w:szCs w:val="21"/>
                <w:u w:val="none"/>
                <w:lang w:val="en-US" w:eastAsia="zh-CN" w:bidi="ar-SA"/>
              </w:rPr>
              <w:t>/万元，万元工业增加值用水量32m</w:t>
            </w:r>
            <w:r>
              <w:rPr>
                <w:rFonts w:hint="default" w:ascii="Times New Roman" w:hAnsi="Times New Roman" w:eastAsia="宋体" w:cs="Times New Roman"/>
                <w:color w:val="auto"/>
                <w:kern w:val="2"/>
                <w:sz w:val="21"/>
                <w:szCs w:val="21"/>
                <w:u w:val="none"/>
                <w:vertAlign w:val="superscript"/>
                <w:lang w:val="en-US" w:eastAsia="zh-CN" w:bidi="ar-SA"/>
              </w:rPr>
              <w:t>3</w:t>
            </w:r>
            <w:r>
              <w:rPr>
                <w:rFonts w:hint="default" w:ascii="Times New Roman" w:hAnsi="Times New Roman" w:eastAsia="宋体" w:cs="Times New Roman"/>
                <w:color w:val="auto"/>
                <w:kern w:val="2"/>
                <w:sz w:val="21"/>
                <w:szCs w:val="21"/>
                <w:u w:val="none"/>
                <w:lang w:val="en-US" w:eastAsia="zh-CN" w:bidi="ar-SA"/>
              </w:rPr>
              <w:t>/万元，农田灌溉水有效利用系数0.52</w:t>
            </w:r>
          </w:p>
          <w:p w14:paraId="763D1A8D">
            <w:pPr>
              <w:keepNext w:val="0"/>
              <w:keepLines w:val="0"/>
              <w:widowControl/>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4.2能源：华容县“十三五”能耗强度降低目标18.5%</w:t>
            </w:r>
            <w:r>
              <w:rPr>
                <w:rFonts w:hint="eastAsia" w:ascii="Times New Roman" w:hAnsi="Times New Roman" w:eastAsia="宋体" w:cs="Times New Roman"/>
                <w:color w:val="auto"/>
                <w:kern w:val="2"/>
                <w:sz w:val="21"/>
                <w:szCs w:val="21"/>
                <w:u w:val="none"/>
                <w:lang w:val="en-US" w:eastAsia="zh-CN" w:bidi="ar-SA"/>
              </w:rPr>
              <w:t>，</w:t>
            </w:r>
            <w:r>
              <w:rPr>
                <w:rFonts w:hint="default" w:ascii="Times New Roman" w:hAnsi="Times New Roman" w:eastAsia="宋体" w:cs="Times New Roman"/>
                <w:color w:val="auto"/>
                <w:kern w:val="2"/>
                <w:sz w:val="21"/>
                <w:szCs w:val="21"/>
                <w:u w:val="none"/>
                <w:lang w:val="en-US" w:eastAsia="zh-CN" w:bidi="ar-SA"/>
              </w:rPr>
              <w:t>“十三五”能耗控制目标20万吨标准煤</w:t>
            </w:r>
          </w:p>
          <w:p w14:paraId="2B185FCF">
            <w:pPr>
              <w:keepNext w:val="0"/>
              <w:keepLines w:val="0"/>
              <w:widowControl/>
              <w:suppressLineNumbers w:val="0"/>
              <w:spacing w:before="0" w:beforeAutospacing="0" w:after="0" w:afterAutospacing="0"/>
              <w:ind w:left="0" w:right="0" w:firstLine="420" w:firstLineChars="200"/>
              <w:jc w:val="both"/>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color w:val="auto"/>
                <w:kern w:val="2"/>
                <w:sz w:val="21"/>
                <w:szCs w:val="21"/>
                <w:u w:val="none"/>
                <w:lang w:val="en-US" w:eastAsia="zh-CN" w:bidi="ar-SA"/>
              </w:rPr>
              <w:t>4.3土地资源：耕地保有量5670公顷，基本农田保护面积4885公顷，城乡建设用地规模838.37公顷</w:t>
            </w:r>
          </w:p>
        </w:tc>
        <w:tc>
          <w:tcPr>
            <w:tcW w:w="1149" w:type="pct"/>
            <w:gridSpan w:val="2"/>
            <w:tcBorders>
              <w:top w:val="single" w:color="auto" w:sz="6" w:space="0"/>
              <w:left w:val="single" w:color="auto" w:sz="6" w:space="0"/>
              <w:bottom w:val="single" w:color="auto" w:sz="12" w:space="0"/>
              <w:right w:val="single" w:color="auto" w:sz="6" w:space="0"/>
            </w:tcBorders>
            <w:noWrap w:val="0"/>
            <w:vAlign w:val="center"/>
          </w:tcPr>
          <w:p w14:paraId="50BA1E71">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auto"/>
                <w:spacing w:val="0"/>
                <w:w w:val="100"/>
                <w:kern w:val="2"/>
                <w:position w:val="0"/>
                <w:sz w:val="21"/>
                <w:szCs w:val="21"/>
                <w:u w:val="none" w:color="auto"/>
                <w:lang w:val="en-US" w:eastAsia="zh-CN" w:bidi="ar"/>
              </w:rPr>
              <w:t>本项目不属于高能耗、高消耗工业项目。项目主要使用资源为电，通过当地供电电网接线供给，使用量较少，可满足本工程需要。工程用地量小，用水量少。</w:t>
            </w:r>
          </w:p>
        </w:tc>
        <w:tc>
          <w:tcPr>
            <w:tcW w:w="461" w:type="pct"/>
            <w:tcBorders>
              <w:top w:val="single" w:color="auto" w:sz="6" w:space="0"/>
              <w:left w:val="single" w:color="auto" w:sz="6" w:space="0"/>
              <w:bottom w:val="single" w:color="auto" w:sz="12" w:space="0"/>
              <w:right w:val="single" w:color="auto" w:sz="12" w:space="0"/>
            </w:tcBorders>
            <w:noWrap w:val="0"/>
            <w:vAlign w:val="center"/>
          </w:tcPr>
          <w:p w14:paraId="4EA0DF7F">
            <w:pPr>
              <w:pStyle w:val="3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pacing w:val="0"/>
                <w:w w:val="100"/>
                <w:position w:val="0"/>
                <w:sz w:val="21"/>
                <w:szCs w:val="21"/>
                <w:u w:val="none" w:color="auto"/>
                <w:lang w:val="en-US"/>
              </w:rPr>
            </w:pPr>
            <w:r>
              <w:rPr>
                <w:rFonts w:hint="default" w:ascii="Times New Roman" w:hAnsi="Times New Roman" w:eastAsia="宋体" w:cs="Times New Roman"/>
                <w:bCs/>
                <w:color w:val="000000"/>
                <w:spacing w:val="0"/>
                <w:w w:val="100"/>
                <w:kern w:val="2"/>
                <w:position w:val="0"/>
                <w:sz w:val="21"/>
                <w:szCs w:val="21"/>
                <w:u w:val="none" w:color="auto"/>
                <w:lang w:val="en-US" w:eastAsia="zh-CN" w:bidi="ar"/>
              </w:rPr>
              <w:t>符合</w:t>
            </w:r>
          </w:p>
        </w:tc>
      </w:tr>
    </w:tbl>
    <w:p w14:paraId="148ED219">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由上表分析可知，本</w:t>
      </w:r>
      <w:r>
        <w:rPr>
          <w:rFonts w:hint="default" w:ascii="Times New Roman" w:hAnsi="Times New Roman" w:eastAsia="宋体" w:cs="Times New Roman"/>
          <w:caps w:val="0"/>
          <w:smallCaps w:val="0"/>
          <w:color w:val="auto"/>
          <w:spacing w:val="0"/>
          <w:w w:val="100"/>
          <w:kern w:val="0"/>
          <w:position w:val="0"/>
          <w:sz w:val="24"/>
          <w:szCs w:val="24"/>
          <w:u w:val="none" w:color="auto"/>
        </w:rPr>
        <w:t>项目符合</w:t>
      </w:r>
      <w:r>
        <w:rPr>
          <w:rFonts w:hint="default" w:ascii="Times New Roman" w:hAnsi="Times New Roman" w:eastAsia="宋体" w:cs="Times New Roman"/>
          <w:color w:val="000000"/>
          <w:spacing w:val="0"/>
          <w:w w:val="100"/>
          <w:kern w:val="2"/>
          <w:position w:val="0"/>
          <w:sz w:val="24"/>
          <w:szCs w:val="24"/>
          <w:u w:val="none" w:color="auto"/>
          <w:lang w:val="en-US" w:eastAsia="zh-CN" w:bidi="ar"/>
        </w:rPr>
        <w:t>《岳阳市人民政府关于实施岳阳市“三线一单”生态环境分区管控的意见》（岳政发〔2021〕2号）</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中相关</w:t>
      </w:r>
      <w:r>
        <w:rPr>
          <w:rFonts w:hint="default" w:ascii="Times New Roman" w:hAnsi="Times New Roman" w:eastAsia="宋体" w:cs="Times New Roman"/>
          <w:caps w:val="0"/>
          <w:smallCaps w:val="0"/>
          <w:color w:val="auto"/>
          <w:spacing w:val="0"/>
          <w:w w:val="100"/>
          <w:kern w:val="0"/>
          <w:position w:val="0"/>
          <w:sz w:val="24"/>
          <w:szCs w:val="24"/>
          <w:u w:val="none" w:color="auto"/>
        </w:rPr>
        <w:t>要求。</w:t>
      </w:r>
    </w:p>
    <w:p w14:paraId="4B642FEB">
      <w:pPr>
        <w:pageBreakBefore w:val="0"/>
        <w:kinsoku w:val="0"/>
        <w:wordWrap w:val="0"/>
        <w:overflowPunct/>
        <w:topLinePunct/>
        <w:autoSpaceDE/>
        <w:autoSpaceDN/>
        <w:bidi w:val="0"/>
        <w:adjustRightInd w:val="0"/>
        <w:spacing w:line="500" w:lineRule="exact"/>
        <w:ind w:firstLine="482" w:firstLineChars="200"/>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rPr>
        <w:t>工程选址合理性</w:t>
      </w:r>
    </w:p>
    <w:p w14:paraId="698F0397">
      <w:pPr>
        <w:numPr>
          <w:ilvl w:val="0"/>
          <w:numId w:val="0"/>
        </w:numPr>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197</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年蓄水运行，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已运行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40余</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，上次除险加固后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大坝仍在带病运行，存在较严重的安全隐患，</w:t>
      </w:r>
      <w:r>
        <w:rPr>
          <w:rFonts w:hint="default" w:ascii="Times New Roman" w:hAnsi="Times New Roman" w:eastAsia="宋体" w:cs="Times New Roman"/>
          <w:color w:val="auto"/>
          <w:spacing w:val="0"/>
          <w:w w:val="100"/>
          <w:position w:val="0"/>
          <w:sz w:val="24"/>
          <w:szCs w:val="24"/>
          <w:u w:val="none" w:color="auto"/>
          <w:lang w:val="en-US" w:eastAsia="zh-CN"/>
        </w:rPr>
        <w:t>大坝安全鉴定为“三类坝”</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。本工程通过采取工程措施对大坝等进行维修加固，旨在消除大坝安全隐患，保障水库和流域防洪安全，确保枢纽工程安全可靠运行，充分发挥水库的综合利用效益，促进地区经济社会持续快速发展</w:t>
      </w:r>
      <w:r>
        <w:rPr>
          <w:rFonts w:hint="default" w:ascii="Times New Roman" w:hAnsi="Times New Roman" w:eastAsia="宋体" w:cs="Times New Roman"/>
          <w:i w:val="0"/>
          <w:caps w:val="0"/>
          <w:color w:val="auto"/>
          <w:spacing w:val="0"/>
          <w:w w:val="100"/>
          <w:position w:val="0"/>
          <w:sz w:val="24"/>
          <w:szCs w:val="24"/>
          <w:u w:val="none" w:color="auto"/>
          <w:shd w:val="clear" w:fill="FFFFFF"/>
          <w:lang w:val="en-US" w:eastAsia="zh-CN"/>
        </w:rPr>
        <w:t>，对</w:t>
      </w:r>
      <w:r>
        <w:rPr>
          <w:rFonts w:hint="eastAsia" w:ascii="Times New Roman" w:hAnsi="Times New Roman" w:eastAsia="宋体" w:cs="Times New Roman"/>
          <w:i w:val="0"/>
          <w:caps w:val="0"/>
          <w:color w:val="auto"/>
          <w:spacing w:val="0"/>
          <w:w w:val="100"/>
          <w:position w:val="0"/>
          <w:sz w:val="24"/>
          <w:szCs w:val="24"/>
          <w:u w:val="none" w:color="auto"/>
          <w:shd w:val="clear" w:fill="FFFFFF"/>
          <w:lang w:val="en-US" w:eastAsia="zh-CN"/>
        </w:rPr>
        <w:t>北汊水库</w:t>
      </w:r>
      <w:r>
        <w:rPr>
          <w:rFonts w:hint="default" w:ascii="Times New Roman" w:hAnsi="Times New Roman" w:eastAsia="宋体" w:cs="Times New Roman"/>
          <w:i w:val="0"/>
          <w:caps w:val="0"/>
          <w:color w:val="auto"/>
          <w:spacing w:val="0"/>
          <w:w w:val="100"/>
          <w:position w:val="0"/>
          <w:sz w:val="24"/>
          <w:szCs w:val="24"/>
          <w:u w:val="none" w:color="auto"/>
          <w:shd w:val="clear" w:fill="FFFFFF"/>
          <w:lang w:val="en-US" w:eastAsia="zh-CN"/>
        </w:rPr>
        <w:t>进行除险加</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固是非常必要的。本工程在原址基础上进行建设，不改变水库的特性，不改变原水库坝前坝下水文情势，不新增淹没占地。</w:t>
      </w:r>
    </w:p>
    <w:p w14:paraId="015DF43A">
      <w:pPr>
        <w:numPr>
          <w:ilvl w:val="0"/>
          <w:numId w:val="0"/>
        </w:numPr>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根据周边敏感区识别，工程涉及岳阳市生态保护红线、湖南华容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东湖国家湿地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公园。项目位于湖南华容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东湖国家湿地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公园的</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合理利用区</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施工过程中会对湿地鸟类和野生动物造成暂时性的干扰影响</w:t>
      </w:r>
      <w:r>
        <w:rPr>
          <w:rFonts w:hint="eastAsia" w:ascii="Times New Roman" w:hAnsi="Times New Roman" w:eastAsia="宋体" w:cs="Times New Roman"/>
          <w:color w:val="auto"/>
          <w:spacing w:val="0"/>
          <w:w w:val="100"/>
          <w:kern w:val="0"/>
          <w:position w:val="0"/>
          <w:sz w:val="24"/>
          <w:highlight w:val="none"/>
          <w:u w:val="none" w:color="auto"/>
          <w:lang w:val="en-US" w:eastAsia="zh-CN"/>
        </w:rPr>
        <w:t>，但</w:t>
      </w:r>
      <w:r>
        <w:rPr>
          <w:rFonts w:hint="default" w:ascii="Times New Roman" w:hAnsi="Times New Roman" w:eastAsia="宋体" w:cs="Times New Roman"/>
          <w:color w:val="auto"/>
          <w:spacing w:val="0"/>
          <w:w w:val="100"/>
          <w:kern w:val="0"/>
          <w:position w:val="0"/>
          <w:sz w:val="24"/>
          <w:highlight w:val="none"/>
          <w:u w:val="none" w:color="auto"/>
          <w:lang w:val="en-US" w:eastAsia="zh-CN"/>
        </w:rPr>
        <w:t>随着施工结束，工程对湿地公园的影响逐渐减小</w:t>
      </w:r>
      <w:r>
        <w:rPr>
          <w:rFonts w:hint="eastAsia" w:ascii="Times New Roman" w:hAnsi="Times New Roman" w:eastAsia="宋体" w:cs="Times New Roman"/>
          <w:color w:val="auto"/>
          <w:spacing w:val="0"/>
          <w:w w:val="100"/>
          <w:kern w:val="0"/>
          <w:position w:val="0"/>
          <w:sz w:val="24"/>
          <w:highlight w:val="none"/>
          <w:u w:val="none" w:color="auto"/>
          <w:lang w:val="en-US" w:eastAsia="zh-CN"/>
        </w:rPr>
        <w:t>。同时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项目施工已取得华容县林业局的同意。</w:t>
      </w:r>
      <w:r>
        <w:rPr>
          <w:rFonts w:hint="default" w:ascii="Times New Roman" w:hAnsi="Times New Roman" w:eastAsia="宋体" w:cs="Times New Roman"/>
          <w:color w:val="auto"/>
          <w:spacing w:val="0"/>
          <w:w w:val="100"/>
          <w:kern w:val="0"/>
          <w:position w:val="0"/>
          <w:sz w:val="24"/>
          <w:u w:val="none" w:color="auto"/>
          <w:lang w:val="en-US" w:eastAsia="zh-CN"/>
        </w:rPr>
        <w:t>项目位于岳阳市生态保护红线范围内，但项目为现有</w:t>
      </w:r>
      <w:r>
        <w:rPr>
          <w:rFonts w:hint="eastAsia" w:ascii="Times New Roman" w:hAnsi="Times New Roman" w:eastAsia="宋体" w:cs="Times New Roman"/>
          <w:color w:val="auto"/>
          <w:spacing w:val="0"/>
          <w:w w:val="100"/>
          <w:kern w:val="0"/>
          <w:position w:val="0"/>
          <w:sz w:val="24"/>
          <w:u w:val="none" w:color="auto"/>
          <w:lang w:val="en-US" w:eastAsia="zh-CN"/>
        </w:rPr>
        <w:t>北汊水库</w:t>
      </w:r>
      <w:r>
        <w:rPr>
          <w:rFonts w:hint="default" w:ascii="Times New Roman" w:hAnsi="Times New Roman" w:eastAsia="宋体" w:cs="Times New Roman"/>
          <w:color w:val="auto"/>
          <w:spacing w:val="0"/>
          <w:w w:val="100"/>
          <w:kern w:val="0"/>
          <w:position w:val="0"/>
          <w:sz w:val="24"/>
          <w:u w:val="none" w:color="auto"/>
          <w:lang w:val="en-US" w:eastAsia="zh-CN"/>
        </w:rPr>
        <w:t>的除险加固工程，无法避让生态保护红线。</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本工程属于已有的合法水利设施运行维护改造，不属于开发性、生产性建设活动。工程实施有利于消除大坝安全隐患，保障水库和流域防洪安全，本项目符合生态保护红线相关管理办法的规定。</w:t>
      </w:r>
    </w:p>
    <w:p w14:paraId="1AD3A0A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olor w:val="auto"/>
          <w:spacing w:val="0"/>
          <w:w w:val="100"/>
          <w:kern w:val="0"/>
          <w:position w:val="0"/>
          <w:sz w:val="24"/>
          <w:u w:val="none" w:color="auto"/>
          <w:lang w:val="en-US" w:eastAsia="zh-CN"/>
        </w:rPr>
      </w:pPr>
      <w:r>
        <w:rPr>
          <w:rFonts w:hint="default" w:ascii="Times New Roman" w:hAnsi="Times New Roman" w:eastAsia="宋体" w:cs="Times New Roman"/>
          <w:color w:val="auto"/>
          <w:spacing w:val="0"/>
          <w:w w:val="100"/>
          <w:kern w:val="0"/>
          <w:position w:val="0"/>
          <w:sz w:val="24"/>
          <w:u w:val="none" w:color="auto"/>
          <w:lang w:val="en-US" w:eastAsia="zh-CN"/>
        </w:rPr>
        <w:t>综上，工程建设涉及了</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岳阳市生态保护红线、湖南华容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东湖国家湿地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公园</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（省级重要湿地）</w:t>
      </w:r>
      <w:r>
        <w:rPr>
          <w:rFonts w:hint="default" w:ascii="Times New Roman" w:hAnsi="Times New Roman" w:eastAsia="宋体" w:cs="Times New Roman"/>
          <w:color w:val="auto"/>
          <w:spacing w:val="0"/>
          <w:w w:val="100"/>
          <w:kern w:val="0"/>
          <w:position w:val="0"/>
          <w:sz w:val="24"/>
          <w:u w:val="none" w:color="auto"/>
          <w:lang w:val="en-US" w:eastAsia="zh-CN"/>
        </w:rPr>
        <w:t>等环境敏感区，但由于本项目在已有工程原址上进行加固，具有不可避让性，同时与相应环境敏感区的定位以及管理要求是相符的，因此在征得环境敏感区主管部门同意，且切实落实环评报告书提出的各项环境保护相关措施的基础上，本工程选址合理。</w:t>
      </w:r>
    </w:p>
    <w:p w14:paraId="44B15C17">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200"/>
        <w:jc w:val="left"/>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取土场设置</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合理性分析</w:t>
      </w:r>
    </w:p>
    <w:p w14:paraId="5D8CCACA">
      <w:pPr>
        <w:keepNext w:val="0"/>
        <w:keepLines w:val="0"/>
        <w:widowControl/>
        <w:suppressLineNumbers w:val="0"/>
        <w:spacing w:line="360" w:lineRule="auto"/>
        <w:ind w:firstLine="480" w:firstLineChars="200"/>
        <w:jc w:val="left"/>
      </w:pP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根据本项目初步设计和水土保持方案，</w:t>
      </w:r>
      <w:r>
        <w:rPr>
          <w:rFonts w:hint="eastAsia" w:ascii="Times New Roman" w:hAnsi="Times New Roman" w:eastAsia="宋体" w:cs="Times New Roman"/>
          <w:color w:val="auto"/>
          <w:spacing w:val="0"/>
          <w:w w:val="100"/>
          <w:kern w:val="0"/>
          <w:position w:val="0"/>
          <w:sz w:val="24"/>
          <w:u w:val="none" w:color="auto"/>
          <w:lang w:val="en-US" w:eastAsia="zh-CN"/>
        </w:rPr>
        <w:t>本项目设计有两处取土场，分别为</w:t>
      </w:r>
      <w:r>
        <w:rPr>
          <w:rFonts w:hint="default" w:ascii="Times New Roman" w:hAnsi="Times New Roman" w:eastAsia="宋体" w:cs="Times New Roman"/>
          <w:color w:val="auto"/>
          <w:spacing w:val="0"/>
          <w:w w:val="100"/>
          <w:kern w:val="0"/>
          <w:position w:val="0"/>
          <w:sz w:val="24"/>
          <w:u w:val="none" w:color="auto"/>
          <w:lang w:val="en-US" w:eastAsia="zh-CN"/>
        </w:rPr>
        <w:t>侯家岭土料场</w:t>
      </w:r>
      <w:r>
        <w:rPr>
          <w:rFonts w:hint="eastAsia" w:ascii="Times New Roman" w:hAnsi="Times New Roman" w:eastAsia="宋体" w:cs="Times New Roman"/>
          <w:color w:val="auto"/>
          <w:spacing w:val="0"/>
          <w:w w:val="100"/>
          <w:kern w:val="0"/>
          <w:position w:val="0"/>
          <w:sz w:val="24"/>
          <w:u w:val="none" w:color="auto"/>
          <w:lang w:val="en-US" w:eastAsia="zh-CN"/>
        </w:rPr>
        <w:t>和</w:t>
      </w:r>
      <w:r>
        <w:rPr>
          <w:rFonts w:hint="default" w:ascii="Times New Roman" w:hAnsi="Times New Roman" w:eastAsia="宋体" w:cs="Times New Roman"/>
          <w:color w:val="auto"/>
          <w:spacing w:val="0"/>
          <w:w w:val="100"/>
          <w:kern w:val="0"/>
          <w:position w:val="0"/>
          <w:sz w:val="24"/>
          <w:u w:val="none" w:color="auto"/>
          <w:lang w:val="en-US" w:eastAsia="zh-CN"/>
        </w:rPr>
        <w:t>禹山水库土料场</w:t>
      </w:r>
      <w:r>
        <w:rPr>
          <w:rFonts w:hint="eastAsia" w:ascii="Times New Roman" w:hAnsi="Times New Roman" w:eastAsia="宋体" w:cs="Times New Roman"/>
          <w:color w:val="auto"/>
          <w:spacing w:val="0"/>
          <w:w w:val="100"/>
          <w:kern w:val="0"/>
          <w:position w:val="0"/>
          <w:sz w:val="24"/>
          <w:u w:val="none" w:color="auto"/>
          <w:lang w:val="en-US" w:eastAsia="zh-CN"/>
        </w:rPr>
        <w:t>。经识别，禹山水库土料场位于湖南华容东湖国家湿地公园范围，禁止取土，因此本次评价建议取消禹山水库土料场。本项目取土场仅指侯家岭土料场。</w:t>
      </w:r>
    </w:p>
    <w:p w14:paraId="4CFFE4A5">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侯家岭土料位于禹山镇青山村侯家岭，土料场距项目一副坝直线距离约500</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，有公路通达，交通便利。土料场位于一小山脊，山顶高程约44m，山脚高程约28m，高差约16m，现为林地和草地。斜坡地形坡度一般5°~ 10°，地形较缓。场区地层岩性为第四系中更新统白沙井组(Q</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bscript"/>
          <w:lang w:val="en-US" w:eastAsia="zh-CN"/>
          <w14:textFill>
            <w14:solidFill>
              <w14:schemeClr w14:val="tx1"/>
            </w14:solidFill>
          </w14:textFill>
        </w:rPr>
        <w:t>2</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b)棕黄色、棕红色网纹状粘土，厚度一般3.7~10.5m (未揭穿)，下伏基岩为泥盆系跳马涧组泥质粉砂岩，岩石完整性较差，呈强~弱风化状态。场地及其周边无滑坡、泥石流及危岩崩塌等不良地质现象。场地工程地质条件简单，稳定性好。</w:t>
      </w:r>
    </w:p>
    <w:p w14:paraId="54001456">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据设计方案，工程所需土料主要为大坝加高培厚，依据《水利水电工程天然建筑材料勘察规程》(SL251-2015) ，对该土料场一般土填筑料质量技术指标进行评定，天然含水率略偏高外，黏粒含量、塑性指数、渗透系数(击实后)、有机质含量及水溶盐含量均满足规范对一般土填筑料质量技术要求。</w:t>
      </w:r>
    </w:p>
    <w:p w14:paraId="17CAE87A">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侯家岭土料场可开采范围长约280m，宽90~140m。为避免料场开采形成高边坡，可分为I区、II区、III区进行开采，I区开采至高程30m、II区开采至高程35m、III区开采至高程40m。根据钻孔揭示，表层约0.3m为剥离层。经平行断面法计算得出，料场总储量约13.1</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10</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4</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3</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，剥离层方量为1.6</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10</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4</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3</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，有用层方量为11.5</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10</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4</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3</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，剥采比0.14。根据设计方案，本项目取土位于I区、II区，其储量可满足本项目所需料场取土量7.87</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10</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4</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3</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baseline"/>
          <w:lang w:val="en-US" w:eastAsia="zh-CN"/>
          <w14:textFill>
            <w14:solidFill>
              <w14:schemeClr w14:val="tx1"/>
            </w14:solidFill>
          </w14:textFill>
        </w:rPr>
        <w:t>的要求。</w:t>
      </w:r>
    </w:p>
    <w:p w14:paraId="419AFB48">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根据</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取土场与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敏感区</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的</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关系识别，</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侯家岭取土场不</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占用永久基本农田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，不涉及生态保护红线，不在湖南华容东湖国家湿地公园范围。取土场</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不涉及自然保护区、风景名胜区、自然和人文遗迹、</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饮用水水源保护区等敏感区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0B6425B2">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建议项目在开采前，合理规划开采范围及开采时间，必要时在临居民一侧处设置围挡等抑尘及降噪措施，尽量减少对敏感点的影响；料场开采完毕后，需按照水土保持要求对临时占地进行恢复，在采取必要的措施后，项目取土对周边环境影响较小。</w:t>
      </w:r>
    </w:p>
    <w:p w14:paraId="5E42A18F">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 xml:space="preserve">综上，侯家岭土料场开采及运输条件好，储量及质量基本满足设计及规范要求，选址均避开了环境敏感区域，因此从环境保护的角度分析，取土场选址是合理的。 </w:t>
      </w:r>
    </w:p>
    <w:p w14:paraId="07326242">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200"/>
        <w:jc w:val="left"/>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（17）弃渣场设置</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合理性分析</w:t>
      </w:r>
    </w:p>
    <w:p w14:paraId="7673190B">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本项目共设置1处弃渣场，为平地型弃渣场。弃渣场位于侯家岭土料场（土料场与弃渣场共用），土料场I区开采至高程30m，形成平地，地形地貌比较适合作为弃渣场。弃渣运至弃渣场，平均运距5km，交通便利。</w:t>
      </w:r>
    </w:p>
    <w:p w14:paraId="2728A93C">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弃渣场占地面积1.00hm</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vertAlign w:val="superscript"/>
          <w:lang w:val="en-US" w:eastAsia="zh-CN"/>
          <w14:textFill>
            <w14:solidFill>
              <w14:schemeClr w14:val="tx1"/>
            </w14:solidFill>
          </w14:textFill>
        </w:rPr>
        <w:t>2</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堆渣量2.21万m</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(松方)，</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最大堆高2.30m，渣底高程30. 00m，渣顶高程32. 30m，堆渣坡比1:3.0，弃渣场可满足工程对弃渣量的需求。</w:t>
      </w:r>
    </w:p>
    <w:p w14:paraId="5DCCDF03">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场区地层岩性为第四系中更新统白沙井组(Q2b)棕黄色、棕红色网纹状粘土，厚度一般3.7~10.5m (未揭穿)，下伏基岩为泥盆系跳马涧组泥质粉砂岩，岩石完整性较差，呈强~弱风化状态。该弃渣场场地及其周边无滑坡、泥石流及危岩崩塌等不良地质现象。场地工程地质条件简单，稳定性好，适宜于弃渣堆填。</w:t>
      </w:r>
    </w:p>
    <w:p w14:paraId="6E9FDED5">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根据</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弃渣场与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敏感区</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的</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关系识别，</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侯家岭弃渣场不</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占用永久基本农田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，不涉及生态保护红线，不在湖南华容东湖国家湿地公园范围。取土场</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不涉及自然保护区、风景名胜区、自然和人文遗迹、</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饮用水水源保护区等敏感区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渣场占地类型为林地和草地，均不涉及公益林，堆渣结束后，可采取植被恢复措施使生态得以恢复。</w:t>
      </w:r>
    </w:p>
    <w:p w14:paraId="0246385E">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因此，从环境保护的角度分析，弃渣场选址是合理的。</w:t>
      </w:r>
    </w:p>
    <w:p w14:paraId="05172282">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0" w:firstLine="482" w:firstLineChars="200"/>
        <w:jc w:val="left"/>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（18）</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施工总布置方案合理性分析</w:t>
      </w:r>
    </w:p>
    <w:p w14:paraId="38ECBA0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本工程施工布置遵循因地制宜、有利生产、方便生活、便于管理、安全经济的原则进行</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p>
    <w:p w14:paraId="300765E5">
      <w:pPr>
        <w:numPr>
          <w:ilvl w:val="0"/>
          <w:numId w:val="0"/>
        </w:numPr>
        <w:spacing w:line="360" w:lineRule="auto"/>
        <w:ind w:firstLine="480" w:firstLineChars="200"/>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根据本项目初步设计方案、水土保持方案及建设方提供资料，项目施工</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期</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生活福利设施尽量简化，宿舍、食堂、办公室和卫生间等生活福利设施租用周边民房，不另设施工</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生活</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营地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；场内交通运输主要利用现有场内道路网络，施工现场、取土场附近均有道路通达，基本能满足施工期场内交通要求，无需新建施工临时道路；项目施工所需</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块石料、碎石料在华容县万庾镇鼎山村石料场购买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砂砾石料、混凝土在华容县三封寺镇珠头山村购买</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不另设采石场、混凝土搅拌站等；工程施工通讯、机械修理等主要利用当地已有设施，不另设机修车间；项目机械设备停放、钢筋等原材料堆放和加工，均利用水库管理所现有场地，不另新增施工工区。项目充分利用现有资源进行施工布置，</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在减少了施工占地的同时，减少对植被的破坏，减少场平等各类建设活动对环境的扰动，并且避免了</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建房</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过程中可能产生的水土流失</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减少了道路建设占地对沿线植被的破坏和新增水土流失</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也避免了砂石料加工</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、混凝土搅拌</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产生噪声、粉尘、废水等</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对周边</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环境</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造成影响。此外，租用民房还可使施工期间生活污水利用当地现有污水收集、处理、排放系统，可减轻生活污水排放对水体的影响。</w:t>
      </w:r>
    </w:p>
    <w:p w14:paraId="520D88B1">
      <w:pPr>
        <w:numPr>
          <w:ilvl w:val="0"/>
          <w:numId w:val="0"/>
        </w:numPr>
        <w:spacing w:line="360" w:lineRule="auto"/>
        <w:ind w:firstLine="480" w:firstLineChars="200"/>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 xml:space="preserve"> 本项目工程施工包括主坝和六座副坝的除险加固、防汛公路改造、管理用房改造等，施工较分散，故施工布置采取沿堤线分段集中布置的方式。由于生态保护红线和湖南华容东湖国家湿地公</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园范围均较大，</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且项目周边分布有较大面积基本农田，本项目为了不新增临时占地，分别在主坝左岸、三副坝右岸、四副坝左岸坝肩开敞地带（水库管理范围内），各布置一处临时堆料场，用于堆放开挖利用料。这样既可减少修建临时道路和集中的临时堆料场占用红线和敏感区的面积，</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也可降低转运成本。</w:t>
      </w:r>
    </w:p>
    <w:p w14:paraId="51145C0C">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本项目取土场和弃渣场合建，选择侯家岭土料场，距项目一副坝北侧直线距离约500m，</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方便土石方转运堆存，减少运输距离。同时</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该土料场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不涉及环境敏感区</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，选址合理</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运输路线根据现场实际情况，尽量避免村庄等环境敏感点，减少了运输噪声和粉尘对居民的影响</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p>
    <w:p w14:paraId="148B9992">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综上，工程施工总布置充分考虑了施工方便、减少占地等因素，可减轻对植被的破坏和对</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周边</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环境的</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影响</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工程施工布置基本合理</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p>
    <w:p w14:paraId="07A43766">
      <w:pPr>
        <w:pStyle w:val="3"/>
        <w:numPr>
          <w:ilvl w:val="1"/>
          <w:numId w:val="0"/>
        </w:numPr>
        <w:bidi w:val="0"/>
        <w:ind w:leftChars="0"/>
        <w:rPr>
          <w:rFonts w:hint="default" w:ascii="Times New Roman" w:hAnsi="Times New Roman" w:cs="Times New Roman"/>
          <w:u w:val="none" w:color="auto"/>
        </w:rPr>
      </w:pPr>
      <w:bookmarkStart w:id="15" w:name="_Toc7398"/>
      <w:bookmarkStart w:id="16" w:name="_Toc13195"/>
      <w:r>
        <w:rPr>
          <w:rFonts w:hint="default" w:ascii="Times New Roman" w:hAnsi="Times New Roman" w:cs="Times New Roman"/>
          <w:u w:val="none" w:color="auto"/>
        </w:rPr>
        <w:t>5关注的主要环境问题及环境影响</w:t>
      </w:r>
      <w:bookmarkEnd w:id="1"/>
      <w:bookmarkEnd w:id="2"/>
      <w:bookmarkEnd w:id="15"/>
      <w:bookmarkEnd w:id="16"/>
    </w:p>
    <w:p w14:paraId="3870EFD8">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项目主体工程为水库除险加固工程，为生态类项目。本项目的环境影响主要体现在施工期，施工范围涉及生态保护红线</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和湖南华容东湖国家湿地公园</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。本次评价根据项目建设内容、施工工艺、污染物排放特征和周围环境特点</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确定本次评价主要关注</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问题如下：</w:t>
      </w:r>
    </w:p>
    <w:p w14:paraId="62A23FB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17" w:name="bookmark26"/>
      <w:bookmarkStart w:id="18" w:name="bookmark27"/>
      <w:r>
        <w:rPr>
          <w:rFonts w:hint="default" w:ascii="Times New Roman" w:hAnsi="Times New Roman" w:eastAsia="宋体" w:cs="Times New Roman"/>
          <w:caps w:val="0"/>
          <w:smallCaps w:val="0"/>
          <w:color w:val="auto"/>
          <w:spacing w:val="0"/>
          <w:w w:val="100"/>
          <w:kern w:val="0"/>
          <w:position w:val="0"/>
          <w:sz w:val="24"/>
          <w:szCs w:val="24"/>
          <w:u w:val="none" w:color="auto"/>
        </w:rPr>
        <w:t>（1）大气环境</w:t>
      </w:r>
      <w:bookmarkEnd w:id="17"/>
      <w:bookmarkEnd w:id="18"/>
    </w:p>
    <w:p w14:paraId="19092987">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大气环境主要关注施工期扬尘、各类车辆机械设备产生的燃油废气等各类大气污染物对工程所在区域大气环境的影响及其污染防治措施，防止对大气环境产生不利影响。</w:t>
      </w:r>
    </w:p>
    <w:p w14:paraId="52AF27A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19" w:name="bookmark28"/>
      <w:bookmarkStart w:id="20" w:name="bookmark29"/>
      <w:r>
        <w:rPr>
          <w:rFonts w:hint="default" w:ascii="Times New Roman" w:hAnsi="Times New Roman" w:eastAsia="宋体" w:cs="Times New Roman"/>
          <w:caps w:val="0"/>
          <w:smallCaps w:val="0"/>
          <w:color w:val="auto"/>
          <w:spacing w:val="0"/>
          <w:w w:val="100"/>
          <w:kern w:val="0"/>
          <w:position w:val="0"/>
          <w:sz w:val="24"/>
          <w:szCs w:val="24"/>
          <w:u w:val="none" w:color="auto"/>
        </w:rPr>
        <w:t>（2）地表水环境</w:t>
      </w:r>
      <w:bookmarkEnd w:id="19"/>
      <w:bookmarkEnd w:id="20"/>
    </w:p>
    <w:p w14:paraId="1915132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项目水环境方面主要关注施工期施工废水处置措施及</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涉水施工</w:t>
      </w:r>
      <w:r>
        <w:rPr>
          <w:rFonts w:hint="default" w:ascii="Times New Roman" w:hAnsi="Times New Roman" w:eastAsia="宋体" w:cs="Times New Roman"/>
          <w:caps w:val="0"/>
          <w:smallCaps w:val="0"/>
          <w:color w:val="auto"/>
          <w:spacing w:val="0"/>
          <w:w w:val="100"/>
          <w:kern w:val="0"/>
          <w:position w:val="0"/>
          <w:sz w:val="24"/>
          <w:szCs w:val="24"/>
          <w:u w:val="none" w:color="auto"/>
        </w:rPr>
        <w:t>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北汊水库水质</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的不利</w:t>
      </w:r>
      <w:r>
        <w:rPr>
          <w:rFonts w:hint="default" w:ascii="Times New Roman" w:hAnsi="Times New Roman" w:eastAsia="宋体" w:cs="Times New Roman"/>
          <w:caps w:val="0"/>
          <w:smallCaps w:val="0"/>
          <w:color w:val="auto"/>
          <w:spacing w:val="0"/>
          <w:w w:val="100"/>
          <w:kern w:val="0"/>
          <w:position w:val="0"/>
          <w:sz w:val="24"/>
          <w:szCs w:val="24"/>
          <w:u w:val="none" w:color="auto"/>
        </w:rPr>
        <w:t>影响。</w:t>
      </w:r>
    </w:p>
    <w:p w14:paraId="3A8258B1">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21" w:name="bookmark30"/>
      <w:bookmarkStart w:id="22" w:name="bookmark31"/>
      <w:r>
        <w:rPr>
          <w:rFonts w:hint="default" w:ascii="Times New Roman" w:hAnsi="Times New Roman" w:eastAsia="宋体" w:cs="Times New Roman"/>
          <w:caps w:val="0"/>
          <w:smallCaps w:val="0"/>
          <w:color w:val="auto"/>
          <w:spacing w:val="0"/>
          <w:w w:val="100"/>
          <w:kern w:val="0"/>
          <w:position w:val="0"/>
          <w:sz w:val="24"/>
          <w:szCs w:val="24"/>
          <w:u w:val="none" w:color="auto"/>
        </w:rPr>
        <w:t>（3）声环境</w:t>
      </w:r>
      <w:bookmarkEnd w:id="21"/>
      <w:bookmarkEnd w:id="22"/>
    </w:p>
    <w:p w14:paraId="2F9A141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项目声环境方面主要关注施工期各类机械设备产生的噪声</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以及运输车辆噪声</w:t>
      </w:r>
      <w:r>
        <w:rPr>
          <w:rFonts w:hint="default" w:ascii="Times New Roman" w:hAnsi="Times New Roman" w:eastAsia="宋体" w:cs="Times New Roman"/>
          <w:caps w:val="0"/>
          <w:smallCaps w:val="0"/>
          <w:color w:val="auto"/>
          <w:spacing w:val="0"/>
          <w:w w:val="100"/>
          <w:kern w:val="0"/>
          <w:position w:val="0"/>
          <w:sz w:val="24"/>
          <w:szCs w:val="24"/>
          <w:u w:val="none" w:color="auto"/>
        </w:rPr>
        <w:t>对项目所在区域附近村庄居民的影响及其污染防治措施。</w:t>
      </w:r>
    </w:p>
    <w:p w14:paraId="76C1AAF9">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23" w:name="bookmark32"/>
      <w:bookmarkStart w:id="24" w:name="bookmark33"/>
      <w:r>
        <w:rPr>
          <w:rFonts w:hint="default" w:ascii="Times New Roman" w:hAnsi="Times New Roman" w:eastAsia="宋体" w:cs="Times New Roman"/>
          <w:caps w:val="0"/>
          <w:smallCaps w:val="0"/>
          <w:color w:val="auto"/>
          <w:spacing w:val="0"/>
          <w:w w:val="100"/>
          <w:kern w:val="0"/>
          <w:position w:val="0"/>
          <w:sz w:val="24"/>
          <w:szCs w:val="24"/>
          <w:u w:val="none" w:color="auto"/>
        </w:rPr>
        <w:t>（4）固体废物</w:t>
      </w:r>
      <w:bookmarkEnd w:id="23"/>
      <w:bookmarkEnd w:id="24"/>
    </w:p>
    <w:p w14:paraId="411134F5">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项目固体废物主要关注项目施工期产生的</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弃土</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弃渣及各类固体废物处理处置</w:t>
      </w:r>
      <w:r>
        <w:rPr>
          <w:rFonts w:hint="default" w:ascii="Times New Roman" w:hAnsi="Times New Roman" w:eastAsia="宋体" w:cs="Times New Roman"/>
          <w:caps w:val="0"/>
          <w:smallCaps w:val="0"/>
          <w:color w:val="auto"/>
          <w:spacing w:val="0"/>
          <w:w w:val="100"/>
          <w:kern w:val="0"/>
          <w:position w:val="0"/>
          <w:sz w:val="24"/>
          <w:szCs w:val="24"/>
          <w:u w:val="none" w:color="auto"/>
        </w:rPr>
        <w:t>措施。</w:t>
      </w:r>
    </w:p>
    <w:p w14:paraId="30BBF8C7">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25" w:name="bookmark35"/>
      <w:bookmarkStart w:id="26" w:name="bookmark34"/>
      <w:r>
        <w:rPr>
          <w:rFonts w:hint="default" w:ascii="Times New Roman" w:hAnsi="Times New Roman" w:eastAsia="宋体" w:cs="Times New Roman"/>
          <w:caps w:val="0"/>
          <w:smallCaps w:val="0"/>
          <w:color w:val="auto"/>
          <w:spacing w:val="0"/>
          <w:w w:val="100"/>
          <w:kern w:val="0"/>
          <w:position w:val="0"/>
          <w:sz w:val="24"/>
          <w:szCs w:val="24"/>
          <w:u w:val="none" w:color="auto"/>
        </w:rPr>
        <w:t>（5）地下水和土壤环境</w:t>
      </w:r>
      <w:bookmarkEnd w:id="25"/>
      <w:bookmarkEnd w:id="26"/>
    </w:p>
    <w:p w14:paraId="19F60DDA">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关注</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工程实施对</w:t>
      </w:r>
      <w:r>
        <w:rPr>
          <w:rFonts w:hint="default" w:ascii="Times New Roman" w:hAnsi="Times New Roman" w:eastAsia="宋体" w:cs="Times New Roman"/>
          <w:caps w:val="0"/>
          <w:smallCaps w:val="0"/>
          <w:color w:val="auto"/>
          <w:spacing w:val="0"/>
          <w:w w:val="100"/>
          <w:kern w:val="0"/>
          <w:position w:val="0"/>
          <w:sz w:val="24"/>
          <w:szCs w:val="24"/>
          <w:u w:val="none" w:color="auto"/>
        </w:rPr>
        <w:t>地下水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土壤环境造成的影响以及采取的措施。</w:t>
      </w:r>
    </w:p>
    <w:p w14:paraId="4D8D549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27" w:name="bookmark36"/>
      <w:bookmarkStart w:id="28" w:name="bookmark37"/>
      <w:r>
        <w:rPr>
          <w:rFonts w:hint="default" w:ascii="Times New Roman" w:hAnsi="Times New Roman" w:eastAsia="宋体" w:cs="Times New Roman"/>
          <w:caps w:val="0"/>
          <w:smallCaps w:val="0"/>
          <w:color w:val="auto"/>
          <w:spacing w:val="0"/>
          <w:w w:val="100"/>
          <w:kern w:val="0"/>
          <w:position w:val="0"/>
          <w:sz w:val="24"/>
          <w:szCs w:val="24"/>
          <w:u w:val="none" w:color="auto"/>
        </w:rPr>
        <w:t>（6）生态环境</w:t>
      </w:r>
      <w:bookmarkEnd w:id="27"/>
      <w:bookmarkEnd w:id="28"/>
    </w:p>
    <w:p w14:paraId="275AC01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本工程生态环境方面主要关注项目施工期工程活动对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生态保护红线</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湖南华容东湖国家湿地</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公园</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等敏感区的影响，施工造成的生态影响以及减缓措施、</w:t>
      </w:r>
      <w:r>
        <w:rPr>
          <w:rFonts w:hint="default" w:ascii="Times New Roman" w:hAnsi="Times New Roman" w:eastAsia="宋体" w:cs="Times New Roman"/>
          <w:caps w:val="0"/>
          <w:smallCaps w:val="0"/>
          <w:color w:val="auto"/>
          <w:spacing w:val="0"/>
          <w:w w:val="100"/>
          <w:kern w:val="0"/>
          <w:position w:val="0"/>
          <w:sz w:val="24"/>
          <w:szCs w:val="24"/>
          <w:u w:val="none" w:color="auto"/>
        </w:rPr>
        <w:t>水土流失等生态因子的影响、减缓措施可行性</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等</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764E780A">
      <w:pPr>
        <w:pStyle w:val="3"/>
        <w:numPr>
          <w:ilvl w:val="1"/>
          <w:numId w:val="0"/>
        </w:numPr>
        <w:bidi w:val="0"/>
        <w:ind w:leftChars="0"/>
        <w:rPr>
          <w:rFonts w:hint="default" w:ascii="Times New Roman" w:hAnsi="Times New Roman" w:cs="Times New Roman"/>
          <w:u w:val="none" w:color="auto"/>
        </w:rPr>
      </w:pPr>
      <w:bookmarkStart w:id="29" w:name="_Toc25506"/>
      <w:bookmarkStart w:id="30" w:name="_Toc480"/>
      <w:r>
        <w:rPr>
          <w:rFonts w:hint="default" w:ascii="Times New Roman" w:hAnsi="Times New Roman" w:cs="Times New Roman"/>
          <w:u w:val="none" w:color="auto"/>
        </w:rPr>
        <w:t>6环境影响报告书主要结论</w:t>
      </w:r>
      <w:bookmarkEnd w:id="29"/>
      <w:bookmarkEnd w:id="30"/>
    </w:p>
    <w:p w14:paraId="5784EF19">
      <w:pPr>
        <w:pageBreakBefore w:val="0"/>
        <w:kinsoku w:val="0"/>
        <w:wordWrap w:val="0"/>
        <w:overflowPunct/>
        <w:topLinePunct/>
        <w:autoSpaceDE/>
        <w:autoSpaceDN/>
        <w:bidi w:val="0"/>
        <w:adjustRightInd w:val="0"/>
        <w:spacing w:line="500" w:lineRule="exact"/>
        <w:ind w:firstLine="480" w:firstLineChars="200"/>
        <w:rPr>
          <w:rFonts w:hint="eastAsia" w:ascii="Times New Roman" w:hAnsi="Times New Roman" w:eastAsia="宋体" w:cs="Times New Roman"/>
          <w:caps w:val="0"/>
          <w:smallCaps w:val="0"/>
          <w:color w:val="auto"/>
          <w:spacing w:val="0"/>
          <w:w w:val="100"/>
          <w:kern w:val="0"/>
          <w:position w:val="0"/>
          <w:sz w:val="24"/>
          <w:szCs w:val="24"/>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除险加固工程符合国家产业政策</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、相关法律法规</w:t>
      </w:r>
      <w:r>
        <w:rPr>
          <w:rFonts w:hint="default" w:ascii="Times New Roman" w:hAnsi="Times New Roman" w:eastAsia="宋体" w:cs="Times New Roman"/>
          <w:caps w:val="0"/>
          <w:smallCaps w:val="0"/>
          <w:color w:val="auto"/>
          <w:spacing w:val="0"/>
          <w:w w:val="100"/>
          <w:kern w:val="0"/>
          <w:position w:val="0"/>
          <w:sz w:val="24"/>
          <w:szCs w:val="24"/>
          <w:u w:val="none" w:color="auto"/>
        </w:rPr>
        <w:t>和相关规划</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rPr>
        <w:t>工程对环境的不利影响主要集中在施工期，但影响大部分是暂时，可以通过采取合理的生态保护及污染控制措施得到较大程度的减缓，使不利环境影响降低到最低可接受的程度。本次除险加固工程基本是在原址基础上进行除险加固，不改变水库的特性。在严格落实本环境影响报告提出的各项环境保护措施的前提下，可将工程实施对的影响降至最低。因此，从环境保护的角度而言，本工程建设是可行的。</w:t>
      </w:r>
    </w:p>
    <w:p w14:paraId="5BD3A57A">
      <w:pPr>
        <w:pageBreakBefore w:val="0"/>
        <w:kinsoku w:val="0"/>
        <w:wordWrap w:val="0"/>
        <w:overflowPunct/>
        <w:topLinePunct/>
        <w:autoSpaceDE/>
        <w:autoSpaceDN/>
        <w:bidi w:val="0"/>
        <w:adjustRightInd w:val="0"/>
        <w:spacing w:line="500" w:lineRule="exact"/>
        <w:ind w:firstLine="480" w:firstLineChars="200"/>
        <w:rPr>
          <w:rFonts w:hint="eastAsia" w:ascii="Times New Roman" w:hAnsi="Times New Roman" w:eastAsia="宋体" w:cs="Times New Roman"/>
          <w:caps w:val="0"/>
          <w:smallCaps w:val="0"/>
          <w:color w:val="auto"/>
          <w:spacing w:val="0"/>
          <w:w w:val="100"/>
          <w:kern w:val="0"/>
          <w:position w:val="0"/>
          <w:sz w:val="24"/>
          <w:szCs w:val="24"/>
        </w:rPr>
      </w:pPr>
    </w:p>
    <w:p w14:paraId="5C1FC6BD">
      <w:pPr>
        <w:pageBreakBefore w:val="0"/>
        <w:kinsoku w:val="0"/>
        <w:wordWrap w:val="0"/>
        <w:overflowPunct/>
        <w:topLinePunct/>
        <w:autoSpaceDE/>
        <w:autoSpaceDN/>
        <w:bidi w:val="0"/>
        <w:adjustRightInd w:val="0"/>
        <w:spacing w:line="500" w:lineRule="exact"/>
        <w:ind w:firstLine="480" w:firstLineChars="200"/>
        <w:rPr>
          <w:rFonts w:hint="eastAsia" w:ascii="Times New Roman" w:hAnsi="Times New Roman" w:eastAsia="宋体" w:cs="Times New Roman"/>
          <w:caps w:val="0"/>
          <w:smallCaps w:val="0"/>
          <w:color w:val="auto"/>
          <w:spacing w:val="0"/>
          <w:w w:val="100"/>
          <w:kern w:val="0"/>
          <w:position w:val="0"/>
          <w:sz w:val="24"/>
          <w:szCs w:val="24"/>
        </w:rPr>
      </w:pPr>
    </w:p>
    <w:p w14:paraId="184B7107">
      <w:pPr>
        <w:pageBreakBefore w:val="0"/>
        <w:kinsoku w:val="0"/>
        <w:wordWrap w:val="0"/>
        <w:overflowPunct/>
        <w:topLinePunct/>
        <w:autoSpaceDE/>
        <w:autoSpaceDN/>
        <w:bidi w:val="0"/>
        <w:adjustRightInd w:val="0"/>
        <w:spacing w:line="500" w:lineRule="exact"/>
        <w:ind w:firstLine="480" w:firstLineChars="200"/>
        <w:rPr>
          <w:rFonts w:hint="eastAsia" w:ascii="Times New Roman" w:hAnsi="Times New Roman" w:eastAsia="宋体" w:cs="Times New Roman"/>
          <w:caps w:val="0"/>
          <w:smallCaps w:val="0"/>
          <w:color w:val="auto"/>
          <w:spacing w:val="0"/>
          <w:w w:val="100"/>
          <w:kern w:val="0"/>
          <w:position w:val="0"/>
          <w:sz w:val="24"/>
          <w:szCs w:val="24"/>
          <w:lang w:val="en-US" w:eastAsia="zh-CN"/>
        </w:rPr>
      </w:pPr>
      <w:r>
        <w:rPr>
          <w:rFonts w:hint="eastAsia" w:ascii="Times New Roman" w:hAnsi="Times New Roman" w:eastAsia="宋体" w:cs="Times New Roman"/>
          <w:caps w:val="0"/>
          <w:smallCaps w:val="0"/>
          <w:color w:val="auto"/>
          <w:spacing w:val="0"/>
          <w:w w:val="100"/>
          <w:kern w:val="0"/>
          <w:position w:val="0"/>
          <w:sz w:val="24"/>
          <w:szCs w:val="24"/>
          <w:lang w:val="en-US" w:eastAsia="zh-CN"/>
        </w:rPr>
        <w:t xml:space="preserve"> </w:t>
      </w:r>
    </w:p>
    <w:p w14:paraId="08655B7B">
      <w:pPr>
        <w:pStyle w:val="2"/>
        <w:bidi w:val="0"/>
        <w:rPr>
          <w:rFonts w:hint="default" w:ascii="Times New Roman" w:hAnsi="Times New Roman" w:cs="Times New Roman"/>
          <w:u w:val="none" w:color="auto"/>
        </w:rPr>
      </w:pPr>
      <w:r>
        <w:rPr>
          <w:rFonts w:hint="default" w:ascii="Times New Roman" w:hAnsi="Times New Roman" w:cs="Times New Roman"/>
          <w:u w:val="none" w:color="auto"/>
        </w:rPr>
        <w:t xml:space="preserve"> </w:t>
      </w:r>
      <w:bookmarkStart w:id="31" w:name="_Toc2294"/>
      <w:r>
        <w:rPr>
          <w:rFonts w:hint="default" w:ascii="Times New Roman" w:hAnsi="Times New Roman" w:cs="Times New Roman"/>
          <w:u w:val="none" w:color="auto"/>
        </w:rPr>
        <w:t>总则</w:t>
      </w:r>
      <w:bookmarkEnd w:id="31"/>
    </w:p>
    <w:p w14:paraId="6A8C8251">
      <w:pPr>
        <w:pStyle w:val="3"/>
        <w:bidi w:val="0"/>
        <w:rPr>
          <w:rFonts w:hint="default" w:ascii="Times New Roman" w:hAnsi="Times New Roman" w:cs="Times New Roman"/>
          <w:u w:val="none" w:color="auto"/>
        </w:rPr>
      </w:pPr>
      <w:bookmarkStart w:id="32" w:name="bookmark42"/>
      <w:bookmarkStart w:id="33" w:name="_Toc9187"/>
      <w:bookmarkStart w:id="34" w:name="bookmark43"/>
      <w:r>
        <w:rPr>
          <w:rFonts w:hint="default" w:ascii="Times New Roman" w:hAnsi="Times New Roman" w:cs="Times New Roman"/>
          <w:u w:val="none" w:color="auto"/>
        </w:rPr>
        <w:t>编制依据</w:t>
      </w:r>
      <w:bookmarkEnd w:id="32"/>
      <w:bookmarkEnd w:id="33"/>
      <w:bookmarkEnd w:id="34"/>
    </w:p>
    <w:p w14:paraId="43FE14A7">
      <w:pPr>
        <w:pStyle w:val="4"/>
        <w:bidi w:val="0"/>
        <w:rPr>
          <w:rFonts w:hint="default" w:ascii="Times New Roman" w:hAnsi="Times New Roman" w:cs="Times New Roman"/>
          <w:u w:val="none" w:color="auto"/>
          <w:lang w:eastAsia="zh-CN"/>
        </w:rPr>
      </w:pPr>
      <w:bookmarkStart w:id="35" w:name="bookmark44"/>
      <w:bookmarkStart w:id="36" w:name="bookmark45"/>
      <w:bookmarkStart w:id="37" w:name="_Toc28492"/>
      <w:r>
        <w:rPr>
          <w:rFonts w:hint="default" w:ascii="Times New Roman" w:hAnsi="Times New Roman" w:cs="Times New Roman"/>
          <w:u w:val="none" w:color="auto"/>
        </w:rPr>
        <w:t>法律法规</w:t>
      </w:r>
      <w:bookmarkEnd w:id="35"/>
      <w:bookmarkEnd w:id="36"/>
      <w:r>
        <w:rPr>
          <w:rFonts w:hint="default" w:ascii="Times New Roman" w:hAnsi="Times New Roman" w:cs="Times New Roman"/>
          <w:u w:val="none" w:color="auto"/>
          <w:lang w:eastAsia="zh-CN"/>
        </w:rPr>
        <w:t>、部门规章</w:t>
      </w:r>
      <w:bookmarkEnd w:id="37"/>
    </w:p>
    <w:p w14:paraId="57F0E08A">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《中华人民共和国环境保护法》（2014月1月24日修订，2015年1月1日起实施）</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3E78D31">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《中华人民共和国环境影响评价法》（2018年12月29日修订，即日实施）</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93908A7">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《中华人民共和国长江保护法》</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2021年3月1日施行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22C27B9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《中华人民共和国水污染防治法》（2017年6月27日修订，2018年1月1日起施行）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1E13F38F">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《中华人民共和国噪声污染防治法》（20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22年6月5日施行</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AF1D3C7">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《中华人民共和国大气污染防治法》（2018年10月26日修订）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5C0F65D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《中华人民共和国固体废物污染环境防治法》（2020年4月29日修订）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0C4B44F">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《中华人民共和国水土保持法》（2010年12月25日修订）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555877B6">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《中华人民共和国土壤污染防治法》（2019年1月1日实施）</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83BFA07">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《中华人民共和国森林法》（</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2019年12月修订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6E21467">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《中华人民共和国土地管理法》</w:t>
      </w:r>
      <w:r>
        <w:rPr>
          <w:rFonts w:hint="default" w:ascii="Times New Roman" w:hAnsi="Times New Roman" w:eastAsia="宋体" w:cs="Times New Roman"/>
          <w:caps w:val="0"/>
          <w:smallCaps w:val="0"/>
          <w:color w:val="auto"/>
          <w:spacing w:val="0"/>
          <w:w w:val="100"/>
          <w:kern w:val="0"/>
          <w:position w:val="0"/>
          <w:sz w:val="24"/>
          <w:szCs w:val="24"/>
          <w:u w:val="none" w:color="auto"/>
        </w:rPr>
        <w:t>（20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w:t>
      </w:r>
      <w:r>
        <w:rPr>
          <w:rFonts w:hint="default" w:ascii="Times New Roman" w:hAnsi="Times New Roman" w:eastAsia="宋体" w:cs="Times New Roman"/>
          <w:caps w:val="0"/>
          <w:smallCaps w:val="0"/>
          <w:color w:val="auto"/>
          <w:spacing w:val="0"/>
          <w:w w:val="100"/>
          <w:kern w:val="0"/>
          <w:position w:val="0"/>
          <w:sz w:val="24"/>
          <w:szCs w:val="24"/>
          <w:u w:val="none" w:color="auto"/>
        </w:rPr>
        <w:t>年1月1日实施）</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1263B8BE">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《中华人民共和国湿地保护法》（</w:t>
      </w:r>
      <w:r>
        <w:rPr>
          <w:rFonts w:hint="default" w:ascii="Times New Roman" w:hAnsi="Times New Roman" w:eastAsia="宋体" w:cs="Times New Roman"/>
          <w:caps w:val="0"/>
          <w:smallCaps w:val="0"/>
          <w:color w:val="auto"/>
          <w:spacing w:val="0"/>
          <w:w w:val="100"/>
          <w:kern w:val="0"/>
          <w:position w:val="0"/>
          <w:sz w:val="24"/>
          <w:szCs w:val="24"/>
          <w:u w:val="none" w:color="auto"/>
        </w:rPr>
        <w:t>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日实施</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29D0C08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《中华人民共和国野生动物保护法》（2018年10月26日修订）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26227AD">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《中华人民共和国渔业法》（2013年12月28日修订）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32CE6B0E">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《中华人民共和国防洪法》（2016年7月2日修订）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AAFB35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《中华人民共和国矿产资源法》（2009年8月27日修订）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48FC989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《中华人民共和国野生植物保护条例》（2017年10月7日修订）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7215B901">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《中华人民共和国陆生野生动物保护实施条例》（2016年2月6日修订）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56FF23E1">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《中华人民共和国水生野生动物保护实施条例》（2013年12月7日修订）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EB243B7">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《基本农田保护条例》（1999年1月1日实施）</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5971C2EA">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《中华人民共和国河道管理条例》（2011年1月修订）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9F1E6E6">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《中华人民共和国土地管理法实施条例》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2021年9月1日起施行）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EDB05D1">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《中华人民共和国水土保持实施条例》（2011年1月8日修订）；</w:t>
      </w:r>
    </w:p>
    <w:p w14:paraId="07E5E8CE">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《中华人民共和国森林法实施条例》（2018</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年</w:t>
      </w:r>
      <w:r>
        <w:rPr>
          <w:rFonts w:hint="default" w:ascii="Times New Roman" w:hAnsi="Times New Roman" w:eastAsia="宋体" w:cs="Times New Roman"/>
          <w:caps w:val="0"/>
          <w:smallCaps w:val="0"/>
          <w:color w:val="auto"/>
          <w:spacing w:val="0"/>
          <w:w w:val="100"/>
          <w:kern w:val="0"/>
          <w:position w:val="0"/>
          <w:sz w:val="24"/>
          <w:szCs w:val="24"/>
          <w:u w:val="none" w:color="auto"/>
        </w:rPr>
        <w:t>3</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月</w:t>
      </w:r>
      <w:r>
        <w:rPr>
          <w:rFonts w:hint="default" w:ascii="Times New Roman" w:hAnsi="Times New Roman" w:eastAsia="宋体" w:cs="Times New Roman"/>
          <w:caps w:val="0"/>
          <w:smallCaps w:val="0"/>
          <w:color w:val="auto"/>
          <w:spacing w:val="0"/>
          <w:w w:val="100"/>
          <w:kern w:val="0"/>
          <w:position w:val="0"/>
          <w:sz w:val="24"/>
          <w:szCs w:val="24"/>
          <w:u w:val="none" w:color="auto"/>
        </w:rPr>
        <w:t>9</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日</w:t>
      </w:r>
      <w:r>
        <w:rPr>
          <w:rFonts w:hint="default" w:ascii="Times New Roman" w:hAnsi="Times New Roman" w:eastAsia="宋体" w:cs="Times New Roman"/>
          <w:caps w:val="0"/>
          <w:smallCaps w:val="0"/>
          <w:color w:val="auto"/>
          <w:spacing w:val="0"/>
          <w:w w:val="100"/>
          <w:kern w:val="0"/>
          <w:position w:val="0"/>
          <w:sz w:val="24"/>
          <w:szCs w:val="24"/>
          <w:u w:val="none" w:color="auto"/>
        </w:rPr>
        <w:t>修订施行）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1F365EA6">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《地下水管理条例》（国务院令第748号，2021年12月1日起施行）；</w:t>
      </w:r>
    </w:p>
    <w:p w14:paraId="3262D34F">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《大气污染防治行动计划》（国发〔2013〕37号，2013.9.10）</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4DF4D74F">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《关于落实大气污染防治行动计划严格环境影响评价准入的通知》（环办〔2014〕30号，2014年3月25日）</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734D733F">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《水污染防治行动计划》（国发〔2015〕17号，2015年4月16日）</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7E2C6D6">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《水污染防治实施细则》（</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2020年7月30日</w:t>
      </w:r>
      <w:r>
        <w:rPr>
          <w:rFonts w:hint="default" w:ascii="Times New Roman" w:hAnsi="Times New Roman" w:eastAsia="宋体" w:cs="Times New Roman"/>
          <w:caps w:val="0"/>
          <w:smallCaps w:val="0"/>
          <w:color w:val="auto"/>
          <w:spacing w:val="0"/>
          <w:w w:val="100"/>
          <w:kern w:val="0"/>
          <w:position w:val="0"/>
          <w:sz w:val="24"/>
          <w:szCs w:val="24"/>
          <w:u w:val="none" w:color="auto"/>
        </w:rPr>
        <w:t>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17401AE0">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《土壤污染防治行动计划》（国发〔2016〕31号，2016年5月28日）</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5F90C70C">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《国家危险废物名录》（2021年版）（2021年1月1日施行）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38E458C3">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国家重点保护野生动物名录》（国家林业和草原局 农业农村部，2021）；</w:t>
      </w:r>
    </w:p>
    <w:p w14:paraId="2B3E0390">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《国家重点保护野生植物名录》（国家林业和草原局 农业农村部，2021）；</w:t>
      </w:r>
    </w:p>
    <w:p w14:paraId="2F4DEB00">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《国务院办公厅关于切实加强水库除险加固和运行管护工作的通知》（国办发〔2021〕8号）；</w:t>
      </w:r>
    </w:p>
    <w:p w14:paraId="53C1C6A8">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《建设项目环境保护管理条例》（国务院令682号，2017年10月1日）；</w:t>
      </w:r>
    </w:p>
    <w:p w14:paraId="269A3984">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《建设项目环境影响评价分类管理名录（2021年版）》（2021年1月1日起施行）</w:t>
      </w:r>
    </w:p>
    <w:p w14:paraId="7860EC4A">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《产业结构调整指导目录（20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24</w:t>
      </w:r>
      <w:r>
        <w:rPr>
          <w:rFonts w:hint="default" w:ascii="Times New Roman" w:hAnsi="Times New Roman" w:eastAsia="宋体" w:cs="Times New Roman"/>
          <w:caps w:val="0"/>
          <w:smallCaps w:val="0"/>
          <w:color w:val="auto"/>
          <w:spacing w:val="0"/>
          <w:w w:val="100"/>
          <w:kern w:val="0"/>
          <w:position w:val="0"/>
          <w:sz w:val="24"/>
          <w:szCs w:val="24"/>
          <w:u w:val="none" w:color="auto"/>
        </w:rPr>
        <w:t>年本）》</w:t>
      </w:r>
    </w:p>
    <w:p w14:paraId="72541E1E">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《自然资源部 生态环境部 国家林业和草原局关于加强生态保护红线管理的通知（试行）》(自然资发〔2022〕142号)； </w:t>
      </w:r>
    </w:p>
    <w:p w14:paraId="7C4A0112">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《建设项目使用林地审核审批管理办法》（国家林业局令35号，2015年5月1日实施）</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3EAC56F9">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《自然资源部关于规范临时用地管理的通知》（自然资规〔2021〕2号）；</w:t>
      </w:r>
    </w:p>
    <w:p w14:paraId="62AE26EB">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《国家</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级自然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公园管理办法》</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林保规〔2023〕4号</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，2023年10月9日）；</w:t>
      </w:r>
    </w:p>
    <w:p w14:paraId="2BF105EC">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《湿地保护管理规定》</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w:t>
      </w:r>
      <w:r>
        <w:rPr>
          <w:rFonts w:hint="default" w:ascii="Times New Roman" w:hAnsi="Times New Roman" w:eastAsia="宋体" w:cs="Times New Roman"/>
          <w:caps w:val="0"/>
          <w:smallCaps w:val="0"/>
          <w:color w:val="auto"/>
          <w:spacing w:val="0"/>
          <w:w w:val="100"/>
          <w:kern w:val="0"/>
          <w:position w:val="0"/>
          <w:sz w:val="24"/>
          <w:szCs w:val="24"/>
          <w:u w:val="none" w:color="auto"/>
        </w:rPr>
        <w:t>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2FFE96F1">
      <w:pPr>
        <w:keepNext w:val="0"/>
        <w:keepLines w:val="0"/>
        <w:pageBreakBefore w:val="0"/>
        <w:widowControl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lang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《国家林业和草原局湿地管理司关于进步加强国家湿地公园征占用备案有关工作的通知》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林</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湿函</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号</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，2021年12月27日）</w:t>
      </w:r>
    </w:p>
    <w:p w14:paraId="15975C8C">
      <w:pPr>
        <w:keepNext w:val="0"/>
        <w:keepLines w:val="0"/>
        <w:pageBreakBefore w:val="0"/>
        <w:widowControl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《关于实施“三线一单”生态环境分区管控的指导意见（试行）》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环环评〔2021〕108号，2021年11月19日印发</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1B620492">
      <w:pPr>
        <w:keepNext w:val="0"/>
        <w:keepLines w:val="0"/>
        <w:pageBreakBefore w:val="0"/>
        <w:numPr>
          <w:ilvl w:val="0"/>
          <w:numId w:val="4"/>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《环境影响评价公众参与办法》（生态环境部令第4号，2019年1月1日起实施）。</w:t>
      </w:r>
    </w:p>
    <w:p w14:paraId="52CF2075">
      <w:pPr>
        <w:pStyle w:val="4"/>
        <w:bidi w:val="0"/>
        <w:rPr>
          <w:rFonts w:hint="default" w:ascii="Times New Roman" w:hAnsi="Times New Roman" w:cs="Times New Roman"/>
          <w:u w:val="none" w:color="auto"/>
        </w:rPr>
      </w:pPr>
      <w:bookmarkStart w:id="38" w:name="_Toc16817"/>
      <w:r>
        <w:rPr>
          <w:rFonts w:hint="default" w:ascii="Times New Roman" w:hAnsi="Times New Roman" w:cs="Times New Roman"/>
          <w:u w:val="none" w:color="auto"/>
        </w:rPr>
        <w:t>地方法规规章</w:t>
      </w:r>
      <w:bookmarkEnd w:id="38"/>
    </w:p>
    <w:p w14:paraId="5D864538">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《湖南省环境保护条例》（2020年1月1日实施）；</w:t>
      </w:r>
    </w:p>
    <w:p w14:paraId="2364A786">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《湖南省大气污染防治条例》（2017年6</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月</w:t>
      </w:r>
      <w:r>
        <w:rPr>
          <w:rFonts w:hint="default" w:ascii="Times New Roman" w:hAnsi="Times New Roman" w:eastAsia="宋体" w:cs="Times New Roman"/>
          <w:caps w:val="0"/>
          <w:smallCaps w:val="0"/>
          <w:color w:val="auto"/>
          <w:spacing w:val="0"/>
          <w:w w:val="100"/>
          <w:kern w:val="0"/>
          <w:position w:val="0"/>
          <w:sz w:val="24"/>
          <w:szCs w:val="24"/>
          <w:u w:val="none" w:color="auto"/>
        </w:rPr>
        <w:t>1日）；</w:t>
      </w:r>
    </w:p>
    <w:p w14:paraId="332BD50B">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《湖南省古树名木保护办法》（2022年3月12日起施行）；</w:t>
      </w:r>
    </w:p>
    <w:p w14:paraId="741F4D13">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《湖南省野生动植物资源保护条例》（2018年7月19日</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修正</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5DD36A2C">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《湖南省林业条例》（2012年3月31日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修正</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3AFA3C8A">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《湖南省公益林管理办法》（2020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26</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日施行</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323A585">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《湖南省人民政府关于印发〈湖南省污染防治攻坚战三年行动计划（2018—2020年）〉的通知》（湘政发〔2018〕17号）；</w:t>
      </w:r>
    </w:p>
    <w:p w14:paraId="5484248A">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《湖南省贯彻落实</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&lt;</w:t>
      </w:r>
      <w:r>
        <w:rPr>
          <w:rFonts w:hint="default" w:ascii="Times New Roman" w:hAnsi="Times New Roman" w:eastAsia="宋体" w:cs="Times New Roman"/>
          <w:caps w:val="0"/>
          <w:smallCaps w:val="0"/>
          <w:color w:val="auto"/>
          <w:spacing w:val="0"/>
          <w:w w:val="100"/>
          <w:kern w:val="0"/>
          <w:position w:val="0"/>
          <w:sz w:val="24"/>
          <w:szCs w:val="24"/>
          <w:u w:val="none" w:color="auto"/>
        </w:rPr>
        <w:t>大气污染防治行动计划</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&gt;</w:t>
      </w:r>
      <w:r>
        <w:rPr>
          <w:rFonts w:hint="default" w:ascii="Times New Roman" w:hAnsi="Times New Roman" w:eastAsia="宋体" w:cs="Times New Roman"/>
          <w:caps w:val="0"/>
          <w:smallCaps w:val="0"/>
          <w:color w:val="auto"/>
          <w:spacing w:val="0"/>
          <w:w w:val="100"/>
          <w:kern w:val="0"/>
          <w:position w:val="0"/>
          <w:sz w:val="24"/>
          <w:szCs w:val="24"/>
          <w:u w:val="none" w:color="auto"/>
        </w:rPr>
        <w:t>实施细则》，湘政办发〔2013〕77号；</w:t>
      </w:r>
    </w:p>
    <w:p w14:paraId="43C74FFA">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《湖南省贯彻落实</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&lt;</w:t>
      </w:r>
      <w:r>
        <w:rPr>
          <w:rFonts w:hint="default" w:ascii="Times New Roman" w:hAnsi="Times New Roman" w:eastAsia="宋体" w:cs="Times New Roman"/>
          <w:caps w:val="0"/>
          <w:smallCaps w:val="0"/>
          <w:color w:val="auto"/>
          <w:spacing w:val="0"/>
          <w:w w:val="100"/>
          <w:kern w:val="0"/>
          <w:position w:val="0"/>
          <w:sz w:val="24"/>
          <w:szCs w:val="24"/>
          <w:u w:val="none" w:color="auto"/>
        </w:rPr>
        <w:t>水污染防治行动计划</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&gt;</w:t>
      </w:r>
      <w:r>
        <w:rPr>
          <w:rFonts w:hint="default" w:ascii="Times New Roman" w:hAnsi="Times New Roman" w:eastAsia="宋体" w:cs="Times New Roman"/>
          <w:caps w:val="0"/>
          <w:smallCaps w:val="0"/>
          <w:color w:val="auto"/>
          <w:spacing w:val="0"/>
          <w:w w:val="100"/>
          <w:kern w:val="0"/>
          <w:position w:val="0"/>
          <w:sz w:val="24"/>
          <w:szCs w:val="24"/>
          <w:u w:val="none" w:color="auto"/>
        </w:rPr>
        <w:t>实施方案（2016-2020年）》，湘政发</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2015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53号；</w:t>
      </w:r>
    </w:p>
    <w:p w14:paraId="06A81E04">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关于调整《湖南省地方重点保护野生动物名录》《湖南省地方重点保护野生植物名录》（湘林护〔2023〕9号）；</w:t>
      </w:r>
    </w:p>
    <w:p w14:paraId="564829C7">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《湖南省国家重点生态功能区产业准入负面清单（试行）》（湘发改规划〔2016〕659号）；</w:t>
      </w:r>
    </w:p>
    <w:p w14:paraId="7D8F4F8A">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《湖南省新增19个国家重点生态功能区产业准入负面清单（试行）》（湘发改规划〔2018〕972号）；</w:t>
      </w:r>
    </w:p>
    <w:p w14:paraId="760F5E56">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《岳阳市人民政府关于实施岳阳市“三线一单”生态环境分区管控的意见》（岳政发〔2021〕2号）；</w:t>
      </w:r>
    </w:p>
    <w:p w14:paraId="260C2A67">
      <w:pPr>
        <w:keepNext w:val="0"/>
        <w:keepLines w:val="0"/>
        <w:pageBreakBefore w:val="0"/>
        <w:numPr>
          <w:ilvl w:val="0"/>
          <w:numId w:val="5"/>
        </w:numPr>
        <w:kinsoku/>
        <w:wordWrap w:val="0"/>
        <w:overflowPunct/>
        <w:topLinePunct/>
        <w:autoSpaceDE/>
        <w:autoSpaceDN/>
        <w:bidi w:val="0"/>
        <w:adjustRightInd w:val="0"/>
        <w:snapToGrid/>
        <w:spacing w:line="500" w:lineRule="exact"/>
        <w:ind w:left="0" w:leftChars="0" w:firstLine="420"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《岳阳市扬尘污染防治条例》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（2019年12月1日实施）</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A7EBF79">
      <w:pPr>
        <w:pStyle w:val="4"/>
        <w:bidi w:val="0"/>
        <w:rPr>
          <w:rFonts w:hint="default" w:ascii="Times New Roman" w:hAnsi="Times New Roman" w:cs="Times New Roman"/>
          <w:u w:val="none" w:color="auto"/>
          <w:lang w:val="en-US" w:eastAsia="zh-CN"/>
        </w:rPr>
      </w:pPr>
      <w:bookmarkStart w:id="39" w:name="_Toc20759"/>
      <w:bookmarkStart w:id="40" w:name="bookmark47"/>
      <w:bookmarkStart w:id="41" w:name="bookmark46"/>
      <w:r>
        <w:rPr>
          <w:rFonts w:hint="default" w:ascii="Times New Roman" w:hAnsi="Times New Roman" w:cs="Times New Roman"/>
          <w:u w:val="none" w:color="auto"/>
          <w:lang w:eastAsia="zh-CN"/>
        </w:rPr>
        <w:t>规划区划</w:t>
      </w:r>
      <w:bookmarkEnd w:id="39"/>
      <w:r>
        <w:rPr>
          <w:rFonts w:hint="default" w:ascii="Times New Roman" w:hAnsi="Times New Roman" w:cs="Times New Roman"/>
          <w:u w:val="none" w:color="auto"/>
          <w:lang w:val="en-US" w:eastAsia="zh-CN"/>
        </w:rPr>
        <w:t xml:space="preserve"> </w:t>
      </w:r>
    </w:p>
    <w:p w14:paraId="1F7BDFB5">
      <w:pPr>
        <w:pStyle w:val="95"/>
        <w:numPr>
          <w:ilvl w:val="0"/>
          <w:numId w:val="6"/>
        </w:numPr>
        <w:tabs>
          <w:tab w:val="left" w:pos="0"/>
        </w:tabs>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《全国主体功能区规划》（国发〔2010〕46号）； </w:t>
      </w:r>
    </w:p>
    <w:p w14:paraId="357933D6">
      <w:pPr>
        <w:pStyle w:val="95"/>
        <w:numPr>
          <w:ilvl w:val="0"/>
          <w:numId w:val="6"/>
        </w:numPr>
        <w:tabs>
          <w:tab w:val="left" w:pos="0"/>
        </w:tabs>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《全国生态功能区划（修编版）》（公告2015年第61号）； </w:t>
      </w:r>
    </w:p>
    <w:p w14:paraId="4058D657">
      <w:pPr>
        <w:pStyle w:val="95"/>
        <w:numPr>
          <w:ilvl w:val="0"/>
          <w:numId w:val="6"/>
        </w:numPr>
        <w:tabs>
          <w:tab w:val="left" w:pos="0"/>
        </w:tabs>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《全国重要江河湖泊水功能区划（2011～2030年）》（国函〔2011〕167号）； </w:t>
      </w:r>
    </w:p>
    <w:p w14:paraId="33B9E4B5">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caps w:val="0"/>
          <w:smallCaps w:val="0"/>
          <w:snapToGrid/>
          <w:color w:val="auto"/>
          <w:spacing w:val="0"/>
          <w:kern w:val="0"/>
          <w:highlight w:val="none"/>
          <w:u w:val="none" w:color="auto"/>
        </w:rPr>
        <w:t>《全国生态脆弱区保护规划纲要》</w:t>
      </w:r>
      <w:r>
        <w:rPr>
          <w:rFonts w:hint="default" w:ascii="Times New Roman" w:hAnsi="Times New Roman" w:eastAsia="宋体" w:cs="Times New Roman"/>
          <w:caps w:val="0"/>
          <w:smallCaps w:val="0"/>
          <w:snapToGrid/>
          <w:color w:val="auto"/>
          <w:spacing w:val="0"/>
          <w:kern w:val="0"/>
          <w:highlight w:val="none"/>
          <w:u w:val="none" w:color="auto"/>
          <w:lang w:eastAsia="zh-CN"/>
        </w:rPr>
        <w:t>（</w:t>
      </w:r>
      <w:r>
        <w:rPr>
          <w:rFonts w:hint="default" w:ascii="Times New Roman" w:hAnsi="Times New Roman" w:eastAsia="宋体" w:cs="Times New Roman"/>
          <w:caps w:val="0"/>
          <w:smallCaps w:val="0"/>
          <w:snapToGrid/>
          <w:color w:val="auto"/>
          <w:spacing w:val="0"/>
          <w:kern w:val="0"/>
          <w:highlight w:val="none"/>
          <w:u w:val="none" w:color="auto"/>
          <w:lang w:val="en-US" w:eastAsia="zh-CN"/>
        </w:rPr>
        <w:t>2008</w:t>
      </w:r>
      <w:r>
        <w:rPr>
          <w:rFonts w:hint="default" w:ascii="Times New Roman" w:hAnsi="Times New Roman" w:eastAsia="宋体" w:cs="Times New Roman"/>
          <w:caps w:val="0"/>
          <w:smallCaps w:val="0"/>
          <w:snapToGrid/>
          <w:color w:val="auto"/>
          <w:spacing w:val="0"/>
          <w:kern w:val="0"/>
          <w:highlight w:val="none"/>
          <w:u w:val="none" w:color="auto"/>
          <w:lang w:eastAsia="zh-CN"/>
        </w:rPr>
        <w:t>年</w:t>
      </w:r>
      <w:r>
        <w:rPr>
          <w:rFonts w:hint="default" w:ascii="Times New Roman" w:hAnsi="Times New Roman" w:eastAsia="宋体" w:cs="Times New Roman"/>
          <w:caps w:val="0"/>
          <w:smallCaps w:val="0"/>
          <w:snapToGrid/>
          <w:color w:val="auto"/>
          <w:spacing w:val="0"/>
          <w:kern w:val="0"/>
          <w:highlight w:val="none"/>
          <w:u w:val="none" w:color="auto"/>
          <w:lang w:val="en-US" w:eastAsia="zh-CN"/>
        </w:rPr>
        <w:t>9</w:t>
      </w:r>
      <w:r>
        <w:rPr>
          <w:rFonts w:hint="default" w:ascii="Times New Roman" w:hAnsi="Times New Roman" w:eastAsia="宋体" w:cs="Times New Roman"/>
          <w:caps w:val="0"/>
          <w:smallCaps w:val="0"/>
          <w:snapToGrid/>
          <w:color w:val="auto"/>
          <w:spacing w:val="0"/>
          <w:kern w:val="0"/>
          <w:highlight w:val="none"/>
          <w:u w:val="none" w:color="auto"/>
          <w:lang w:eastAsia="zh-CN"/>
        </w:rPr>
        <w:t>月）；</w:t>
      </w:r>
    </w:p>
    <w:p w14:paraId="4DD49DFA">
      <w:pPr>
        <w:pStyle w:val="95"/>
        <w:numPr>
          <w:ilvl w:val="0"/>
          <w:numId w:val="6"/>
        </w:numPr>
        <w:tabs>
          <w:tab w:val="left" w:pos="0"/>
        </w:tabs>
        <w:ind w:left="5" w:leftChars="0" w:firstLine="415" w:firstLineChars="0"/>
        <w:rPr>
          <w:rFonts w:hint="default" w:ascii="Times New Roman" w:hAnsi="Times New Roman" w:eastAsia="宋体" w:cs="Times New Roman"/>
          <w:b w:val="0"/>
          <w:bCs w:val="0"/>
          <w:color w:val="auto"/>
          <w:spacing w:val="0"/>
          <w:w w:val="100"/>
          <w:position w:val="0"/>
          <w:szCs w:val="22"/>
          <w:u w:val="none" w:color="auto"/>
          <w:lang w:val="en-US" w:eastAsia="zh-CN"/>
        </w:rPr>
      </w:pPr>
      <w:r>
        <w:rPr>
          <w:rFonts w:hint="default" w:ascii="Times New Roman" w:hAnsi="Times New Roman" w:eastAsia="宋体" w:cs="Times New Roman"/>
          <w:b w:val="0"/>
          <w:bCs w:val="0"/>
          <w:color w:val="auto"/>
          <w:spacing w:val="0"/>
          <w:w w:val="100"/>
          <w:position w:val="0"/>
          <w:szCs w:val="22"/>
          <w:u w:val="none" w:color="auto"/>
          <w:lang w:val="en-US" w:eastAsia="zh-CN"/>
        </w:rPr>
        <w:t>《中国生物多样性保护战略与行动计划》（2011~2030年）；</w:t>
      </w:r>
    </w:p>
    <w:p w14:paraId="3F2A6134">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b w:val="0"/>
          <w:bCs w:val="0"/>
          <w:color w:val="auto"/>
          <w:spacing w:val="0"/>
          <w:w w:val="100"/>
          <w:kern w:val="0"/>
          <w:position w:val="0"/>
          <w:sz w:val="24"/>
          <w:highlight w:val="none"/>
          <w:u w:val="none" w:color="auto"/>
        </w:rPr>
        <w:t>《长江流域综合规划》</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201</w:t>
      </w:r>
      <w:r>
        <w:rPr>
          <w:rFonts w:hint="default" w:ascii="Times New Roman" w:hAnsi="Times New Roman" w:cs="Times New Roman"/>
          <w:b w:val="0"/>
          <w:bCs w:val="0"/>
          <w:color w:val="auto"/>
          <w:spacing w:val="0"/>
          <w:w w:val="100"/>
          <w:kern w:val="0"/>
          <w:position w:val="0"/>
          <w:sz w:val="24"/>
          <w:highlight w:val="none"/>
          <w:u w:val="none" w:color="auto"/>
          <w:lang w:val="en-US" w:eastAsia="zh-CN"/>
        </w:rPr>
        <w:t>2</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-20</w:t>
      </w:r>
      <w:r>
        <w:rPr>
          <w:rFonts w:hint="default" w:ascii="Times New Roman" w:hAnsi="Times New Roman" w:cs="Times New Roman"/>
          <w:b w:val="0"/>
          <w:bCs w:val="0"/>
          <w:color w:val="auto"/>
          <w:spacing w:val="0"/>
          <w:w w:val="100"/>
          <w:kern w:val="0"/>
          <w:position w:val="0"/>
          <w:sz w:val="24"/>
          <w:highlight w:val="none"/>
          <w:u w:val="none" w:color="auto"/>
          <w:lang w:val="en-US" w:eastAsia="zh-CN"/>
        </w:rPr>
        <w:t>30</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年</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w:t>
      </w:r>
      <w:r>
        <w:rPr>
          <w:rFonts w:hint="default" w:ascii="Times New Roman" w:hAnsi="Times New Roman" w:cs="Times New Roman"/>
          <w:b w:val="0"/>
          <w:bCs w:val="0"/>
          <w:color w:val="auto"/>
          <w:spacing w:val="0"/>
          <w:w w:val="100"/>
          <w:kern w:val="0"/>
          <w:position w:val="0"/>
          <w:sz w:val="24"/>
          <w:highlight w:val="none"/>
          <w:u w:val="none" w:color="auto"/>
          <w:lang w:eastAsia="zh-CN"/>
        </w:rPr>
        <w:t>；</w:t>
      </w:r>
    </w:p>
    <w:p w14:paraId="30F8A1BC">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b w:val="0"/>
          <w:bCs w:val="0"/>
          <w:color w:val="auto"/>
          <w:spacing w:val="0"/>
          <w:w w:val="100"/>
          <w:kern w:val="0"/>
          <w:position w:val="0"/>
          <w:sz w:val="24"/>
          <w:highlight w:val="none"/>
          <w:u w:val="none" w:color="auto"/>
        </w:rPr>
        <w:t>《长江流域防洪规划》</w:t>
      </w:r>
      <w:r>
        <w:rPr>
          <w:rFonts w:hint="default" w:ascii="Times New Roman" w:hAnsi="Times New Roman" w:cs="Times New Roman"/>
          <w:b w:val="0"/>
          <w:bCs w:val="0"/>
          <w:color w:val="auto"/>
          <w:spacing w:val="0"/>
          <w:w w:val="100"/>
          <w:kern w:val="0"/>
          <w:position w:val="0"/>
          <w:sz w:val="24"/>
          <w:highlight w:val="none"/>
          <w:u w:val="none" w:color="auto"/>
          <w:lang w:eastAsia="zh-CN"/>
        </w:rPr>
        <w:t>（国函</w:t>
      </w:r>
      <w:r>
        <w:rPr>
          <w:rFonts w:hint="default" w:ascii="Times New Roman" w:hAnsi="Times New Roman" w:cs="Times New Roman"/>
          <w:color w:val="auto"/>
          <w:spacing w:val="0"/>
          <w:w w:val="100"/>
          <w:position w:val="0"/>
          <w:szCs w:val="22"/>
          <w:u w:val="none" w:color="auto"/>
          <w:lang w:val="en-US" w:eastAsia="zh-CN"/>
        </w:rPr>
        <w:t>〔2008〕62号</w:t>
      </w:r>
      <w:r>
        <w:rPr>
          <w:rFonts w:hint="default" w:ascii="Times New Roman" w:hAnsi="Times New Roman" w:cs="Times New Roman"/>
          <w:b w:val="0"/>
          <w:bCs w:val="0"/>
          <w:color w:val="auto"/>
          <w:spacing w:val="0"/>
          <w:w w:val="100"/>
          <w:kern w:val="0"/>
          <w:position w:val="0"/>
          <w:sz w:val="24"/>
          <w:highlight w:val="none"/>
          <w:u w:val="none" w:color="auto"/>
          <w:lang w:eastAsia="zh-CN"/>
        </w:rPr>
        <w:t>）；</w:t>
      </w:r>
    </w:p>
    <w:p w14:paraId="4D531A1C">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 xml:space="preserve">《长江经济带生态环境保护规划》（环规财〔2017〕88号）； </w:t>
      </w:r>
    </w:p>
    <w:p w14:paraId="1C07F96C">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 xml:space="preserve">《湖南省主体功能区规划》（2016年5月）； </w:t>
      </w:r>
    </w:p>
    <w:p w14:paraId="3DFA7C30">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《湖南省生态功能区划</w:t>
      </w:r>
      <w:r>
        <w:rPr>
          <w:rFonts w:hint="eastAsia" w:cs="Times New Roman"/>
          <w:b w:val="0"/>
          <w:bCs w:val="0"/>
          <w:color w:val="auto"/>
          <w:spacing w:val="0"/>
          <w:w w:val="100"/>
          <w:position w:val="0"/>
          <w:szCs w:val="22"/>
          <w:u w:val="none" w:color="auto"/>
          <w:lang w:val="en-US" w:eastAsia="zh-CN"/>
        </w:rPr>
        <w:t>》</w:t>
      </w:r>
      <w:r>
        <w:rPr>
          <w:rFonts w:hint="default" w:ascii="Times New Roman" w:hAnsi="Times New Roman" w:cs="Times New Roman"/>
          <w:b w:val="0"/>
          <w:bCs w:val="0"/>
          <w:color w:val="auto"/>
          <w:spacing w:val="0"/>
          <w:w w:val="100"/>
          <w:position w:val="0"/>
          <w:szCs w:val="22"/>
          <w:u w:val="none" w:color="auto"/>
          <w:lang w:val="en-US" w:eastAsia="zh-CN"/>
        </w:rPr>
        <w:t xml:space="preserve">（2005年11月）； </w:t>
      </w:r>
    </w:p>
    <w:p w14:paraId="699EE464">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 xml:space="preserve">《湖南省国土空间总体规划》（2021-2035年）； </w:t>
      </w:r>
    </w:p>
    <w:p w14:paraId="1823345D">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《湖南省“十四五”生态环境保护规划》</w:t>
      </w:r>
      <w:r>
        <w:rPr>
          <w:rFonts w:hint="default" w:ascii="Times New Roman" w:hAnsi="Times New Roman" w:cs="Times New Roman"/>
          <w:b w:val="0"/>
          <w:bCs w:val="0"/>
          <w:color w:val="auto"/>
          <w:spacing w:val="0"/>
          <w:w w:val="100"/>
          <w:kern w:val="0"/>
          <w:position w:val="0"/>
          <w:sz w:val="24"/>
          <w:highlight w:val="none"/>
          <w:u w:val="none" w:color="auto"/>
          <w:lang w:val="en-US" w:eastAsia="zh-CN"/>
        </w:rPr>
        <w:t>；</w:t>
      </w:r>
    </w:p>
    <w:p w14:paraId="0161A658">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 xml:space="preserve">《湖南省“十四五”水安全保障规划》； </w:t>
      </w:r>
    </w:p>
    <w:p w14:paraId="316D2B78">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val="en-US" w:eastAsia="zh-CN"/>
        </w:rPr>
        <w:t xml:space="preserve">《湖南省“十四五”水资源配置及供水规划》； </w:t>
      </w:r>
    </w:p>
    <w:p w14:paraId="273F1643">
      <w:pPr>
        <w:pStyle w:val="95"/>
        <w:numPr>
          <w:ilvl w:val="0"/>
          <w:numId w:val="6"/>
        </w:numPr>
        <w:tabs>
          <w:tab w:val="left" w:pos="0"/>
        </w:tabs>
        <w:ind w:left="5" w:leftChars="0" w:firstLine="415" w:firstLineChars="0"/>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pPr>
      <w:r>
        <w:rPr>
          <w:rFonts w:hint="default" w:ascii="Times New Roman" w:hAnsi="Times New Roman" w:cs="Times New Roman"/>
          <w:b w:val="0"/>
          <w:bCs w:val="0"/>
          <w:color w:val="auto"/>
          <w:spacing w:val="0"/>
          <w:w w:val="100"/>
          <w:position w:val="0"/>
          <w:szCs w:val="22"/>
          <w:u w:val="none" w:color="auto"/>
          <w:lang w:val="en-US" w:eastAsia="zh-CN"/>
        </w:rPr>
        <w:t xml:space="preserve">《湖南省主要地表水系水环境功能区划》（DB43/023-2005）；  </w:t>
      </w:r>
    </w:p>
    <w:p w14:paraId="4C5765EB">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《岳阳市“十四五”生态环境保护规划》</w:t>
      </w:r>
      <w:r>
        <w:rPr>
          <w:rFonts w:hint="default" w:ascii="Times New Roman" w:hAnsi="Times New Roman" w:cs="Times New Roman"/>
          <w:b w:val="0"/>
          <w:bCs w:val="0"/>
          <w:color w:val="auto"/>
          <w:spacing w:val="0"/>
          <w:w w:val="100"/>
          <w:kern w:val="0"/>
          <w:position w:val="0"/>
          <w:sz w:val="24"/>
          <w:highlight w:val="none"/>
          <w:u w:val="none" w:color="auto"/>
          <w:lang w:val="en-US" w:eastAsia="zh-CN"/>
        </w:rPr>
        <w:t>；</w:t>
      </w:r>
    </w:p>
    <w:p w14:paraId="2C34EADA">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《岳阳市“十四五”水资源配置规划》</w:t>
      </w:r>
      <w:r>
        <w:rPr>
          <w:rFonts w:hint="default" w:ascii="Times New Roman" w:hAnsi="Times New Roman" w:cs="Times New Roman"/>
          <w:b w:val="0"/>
          <w:bCs w:val="0"/>
          <w:color w:val="auto"/>
          <w:spacing w:val="0"/>
          <w:w w:val="100"/>
          <w:kern w:val="0"/>
          <w:position w:val="0"/>
          <w:sz w:val="24"/>
          <w:highlight w:val="none"/>
          <w:u w:val="none" w:color="auto"/>
          <w:lang w:val="en-US" w:eastAsia="zh-CN"/>
        </w:rPr>
        <w:t>；</w:t>
      </w:r>
    </w:p>
    <w:p w14:paraId="0B68A353">
      <w:pPr>
        <w:pStyle w:val="95"/>
        <w:numPr>
          <w:ilvl w:val="0"/>
          <w:numId w:val="6"/>
        </w:numPr>
        <w:tabs>
          <w:tab w:val="left" w:pos="0"/>
        </w:tabs>
        <w:ind w:left="5" w:leftChars="0" w:firstLine="415" w:firstLineChars="0"/>
        <w:rPr>
          <w:rFonts w:hint="default" w:ascii="Times New Roman" w:hAnsi="Times New Roman" w:cs="Times New Roman"/>
          <w:b w:val="0"/>
          <w:bCs w:val="0"/>
          <w:color w:val="auto"/>
          <w:spacing w:val="0"/>
          <w:w w:val="100"/>
          <w:position w:val="0"/>
          <w:szCs w:val="22"/>
          <w:u w:val="none" w:color="auto"/>
        </w:rPr>
      </w:pPr>
      <w:r>
        <w:rPr>
          <w:rFonts w:hint="default" w:ascii="Times New Roman" w:hAnsi="Times New Roman" w:cs="Times New Roman"/>
          <w:b w:val="0"/>
          <w:bCs w:val="0"/>
          <w:color w:val="auto"/>
          <w:spacing w:val="0"/>
          <w:w w:val="100"/>
          <w:position w:val="0"/>
          <w:szCs w:val="22"/>
          <w:u w:val="none" w:color="auto"/>
          <w:lang w:eastAsia="zh-CN"/>
        </w:rPr>
        <w:t>《岳阳市水功能区划》（</w:t>
      </w:r>
      <w:r>
        <w:rPr>
          <w:rFonts w:hint="default" w:ascii="Times New Roman" w:hAnsi="Times New Roman" w:cs="Times New Roman"/>
          <w:b w:val="0"/>
          <w:bCs w:val="0"/>
          <w:color w:val="auto"/>
          <w:spacing w:val="0"/>
          <w:w w:val="100"/>
          <w:position w:val="0"/>
          <w:szCs w:val="22"/>
          <w:u w:val="none" w:color="auto"/>
          <w:lang w:val="en-US" w:eastAsia="zh-CN"/>
        </w:rPr>
        <w:t>2009年</w:t>
      </w:r>
      <w:r>
        <w:rPr>
          <w:rFonts w:hint="default" w:ascii="Times New Roman" w:hAnsi="Times New Roman" w:cs="Times New Roman"/>
          <w:b w:val="0"/>
          <w:bCs w:val="0"/>
          <w:color w:val="auto"/>
          <w:spacing w:val="0"/>
          <w:w w:val="100"/>
          <w:position w:val="0"/>
          <w:szCs w:val="22"/>
          <w:u w:val="none" w:color="auto"/>
          <w:lang w:eastAsia="zh-CN"/>
        </w:rPr>
        <w:t>）；</w:t>
      </w:r>
    </w:p>
    <w:p w14:paraId="21043579">
      <w:pPr>
        <w:pStyle w:val="95"/>
        <w:numPr>
          <w:ilvl w:val="0"/>
          <w:numId w:val="6"/>
        </w:numPr>
        <w:tabs>
          <w:tab w:val="left" w:pos="0"/>
        </w:tabs>
        <w:ind w:left="5" w:leftChars="0" w:firstLine="415" w:firstLineChars="0"/>
        <w:rPr>
          <w:rFonts w:hint="default" w:ascii="Times New Roman" w:hAnsi="Times New Roman" w:cs="Times New Roman"/>
          <w:color w:val="auto"/>
          <w:spacing w:val="0"/>
          <w:w w:val="100"/>
          <w:position w:val="0"/>
          <w:szCs w:val="22"/>
          <w:u w:val="none" w:color="auto"/>
          <w:lang w:val="en-US" w:eastAsia="zh-CN"/>
        </w:rPr>
      </w:pP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《湖南华容</w:t>
      </w:r>
      <w:r>
        <w:rPr>
          <w:rFonts w:hint="eastAsia" w:cs="Times New Roman"/>
          <w:b w:val="0"/>
          <w:bCs w:val="0"/>
          <w:color w:val="auto"/>
          <w:spacing w:val="0"/>
          <w:w w:val="100"/>
          <w:kern w:val="0"/>
          <w:position w:val="0"/>
          <w:sz w:val="24"/>
          <w:highlight w:val="none"/>
          <w:u w:val="none" w:color="auto"/>
          <w:lang w:eastAsia="zh-CN"/>
        </w:rPr>
        <w:t>东湖国家湿地</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公园总体规划》（</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201</w:t>
      </w:r>
      <w:r>
        <w:rPr>
          <w:rFonts w:hint="eastAsia" w:cs="Times New Roman"/>
          <w:b w:val="0"/>
          <w:bCs w:val="0"/>
          <w:color w:val="auto"/>
          <w:spacing w:val="0"/>
          <w:w w:val="100"/>
          <w:kern w:val="0"/>
          <w:position w:val="0"/>
          <w:sz w:val="24"/>
          <w:highlight w:val="none"/>
          <w:u w:val="none" w:color="auto"/>
          <w:lang w:val="en-US" w:eastAsia="zh-CN"/>
        </w:rPr>
        <w:t>3</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-202</w:t>
      </w:r>
      <w:r>
        <w:rPr>
          <w:rFonts w:hint="eastAsia" w:cs="Times New Roman"/>
          <w:b w:val="0"/>
          <w:bCs w:val="0"/>
          <w:color w:val="auto"/>
          <w:spacing w:val="0"/>
          <w:w w:val="100"/>
          <w:kern w:val="0"/>
          <w:position w:val="0"/>
          <w:sz w:val="24"/>
          <w:highlight w:val="none"/>
          <w:u w:val="none" w:color="auto"/>
          <w:lang w:val="en-US" w:eastAsia="zh-CN"/>
        </w:rPr>
        <w:t>0</w:t>
      </w:r>
      <w:r>
        <w:rPr>
          <w:rFonts w:hint="default" w:ascii="Times New Roman" w:hAnsi="Times New Roman" w:eastAsia="宋体" w:cs="Times New Roman"/>
          <w:b w:val="0"/>
          <w:bCs w:val="0"/>
          <w:color w:val="auto"/>
          <w:spacing w:val="0"/>
          <w:w w:val="100"/>
          <w:kern w:val="0"/>
          <w:position w:val="0"/>
          <w:sz w:val="24"/>
          <w:highlight w:val="none"/>
          <w:u w:val="none" w:color="auto"/>
          <w:lang w:val="en-US" w:eastAsia="zh-CN"/>
        </w:rPr>
        <w:t>年</w:t>
      </w:r>
      <w:r>
        <w:rPr>
          <w:rFonts w:hint="default" w:ascii="Times New Roman" w:hAnsi="Times New Roman" w:eastAsia="宋体" w:cs="Times New Roman"/>
          <w:b w:val="0"/>
          <w:bCs w:val="0"/>
          <w:color w:val="auto"/>
          <w:spacing w:val="0"/>
          <w:w w:val="100"/>
          <w:kern w:val="0"/>
          <w:position w:val="0"/>
          <w:sz w:val="24"/>
          <w:highlight w:val="none"/>
          <w:u w:val="none" w:color="auto"/>
          <w:lang w:eastAsia="zh-CN"/>
        </w:rPr>
        <w:t>）</w:t>
      </w:r>
      <w:r>
        <w:rPr>
          <w:rFonts w:hint="default" w:ascii="Times New Roman" w:hAnsi="Times New Roman" w:cs="Times New Roman"/>
          <w:b w:val="0"/>
          <w:bCs w:val="0"/>
          <w:color w:val="auto"/>
          <w:spacing w:val="0"/>
          <w:w w:val="100"/>
          <w:kern w:val="0"/>
          <w:position w:val="0"/>
          <w:sz w:val="24"/>
          <w:highlight w:val="none"/>
          <w:u w:val="none" w:color="auto"/>
          <w:lang w:eastAsia="zh-CN"/>
        </w:rPr>
        <w:t>。</w:t>
      </w:r>
    </w:p>
    <w:p w14:paraId="22897AC8">
      <w:pPr>
        <w:pStyle w:val="4"/>
        <w:bidi w:val="0"/>
        <w:rPr>
          <w:rFonts w:hint="default" w:ascii="Times New Roman" w:hAnsi="Times New Roman" w:eastAsia="宋体" w:cs="Times New Roman"/>
          <w:b/>
          <w:caps w:val="0"/>
          <w:smallCaps w:val="0"/>
          <w:color w:val="auto"/>
          <w:spacing w:val="0"/>
          <w:w w:val="100"/>
          <w:position w:val="0"/>
          <w:sz w:val="28"/>
          <w:szCs w:val="28"/>
          <w:u w:val="none" w:color="auto"/>
        </w:rPr>
      </w:pPr>
      <w:bookmarkStart w:id="42" w:name="_Toc25046"/>
      <w:r>
        <w:rPr>
          <w:rFonts w:hint="default" w:ascii="Times New Roman" w:hAnsi="Times New Roman" w:eastAsia="宋体" w:cs="Times New Roman"/>
          <w:b/>
          <w:caps w:val="0"/>
          <w:smallCaps w:val="0"/>
          <w:color w:val="auto"/>
          <w:spacing w:val="0"/>
          <w:w w:val="100"/>
          <w:position w:val="0"/>
          <w:sz w:val="28"/>
          <w:szCs w:val="28"/>
          <w:u w:val="none" w:color="auto"/>
          <w:lang w:val="zh-CN"/>
        </w:rPr>
        <w:t>技术</w:t>
      </w:r>
      <w:bookmarkEnd w:id="40"/>
      <w:bookmarkEnd w:id="41"/>
      <w:r>
        <w:rPr>
          <w:rFonts w:hint="default" w:ascii="Times New Roman" w:hAnsi="Times New Roman" w:eastAsia="宋体" w:cs="Times New Roman"/>
          <w:b/>
          <w:caps w:val="0"/>
          <w:smallCaps w:val="0"/>
          <w:color w:val="auto"/>
          <w:spacing w:val="0"/>
          <w:w w:val="100"/>
          <w:position w:val="0"/>
          <w:sz w:val="28"/>
          <w:szCs w:val="28"/>
          <w:u w:val="none" w:color="auto"/>
          <w:lang w:val="zh-CN"/>
        </w:rPr>
        <w:t>规范及标准</w:t>
      </w:r>
      <w:bookmarkEnd w:id="42"/>
    </w:p>
    <w:p w14:paraId="731B5855">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bookmarkStart w:id="43" w:name="bookmark50"/>
      <w:bookmarkStart w:id="44" w:name="bookmark51"/>
      <w:r>
        <w:rPr>
          <w:rFonts w:hint="default" w:ascii="Times New Roman" w:hAnsi="Times New Roman" w:cs="Times New Roman"/>
          <w:color w:val="auto"/>
          <w:spacing w:val="0"/>
          <w:w w:val="100"/>
          <w:position w:val="0"/>
          <w:szCs w:val="22"/>
          <w:u w:val="none" w:color="auto"/>
        </w:rPr>
        <w:t>《建设项目环境影响评价技术导则  总纲》（HJ2.1—2016）；</w:t>
      </w:r>
    </w:p>
    <w:p w14:paraId="2D7E488D">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大气环境》（HJ2.2—2018）；</w:t>
      </w:r>
    </w:p>
    <w:p w14:paraId="346AA56F">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地表水环境》（HJ2.3—2018）；</w:t>
      </w:r>
    </w:p>
    <w:p w14:paraId="6CB0ED35">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声环境》（HJ2.4-2021）；</w:t>
      </w:r>
    </w:p>
    <w:p w14:paraId="0EC95CBA">
      <w:pPr>
        <w:pStyle w:val="95"/>
        <w:numPr>
          <w:ilvl w:val="0"/>
          <w:numId w:val="7"/>
        </w:numPr>
        <w:spacing w:line="360" w:lineRule="auto"/>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生态影响》（HJ19－2022）；</w:t>
      </w:r>
    </w:p>
    <w:p w14:paraId="3CCC1F43">
      <w:pPr>
        <w:pStyle w:val="95"/>
        <w:numPr>
          <w:ilvl w:val="0"/>
          <w:numId w:val="7"/>
        </w:numPr>
        <w:spacing w:line="360" w:lineRule="auto"/>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地下水环境》（HJ610-2016）；</w:t>
      </w:r>
    </w:p>
    <w:p w14:paraId="597EF41A">
      <w:pPr>
        <w:pStyle w:val="95"/>
        <w:numPr>
          <w:ilvl w:val="0"/>
          <w:numId w:val="7"/>
        </w:numPr>
        <w:spacing w:line="360" w:lineRule="auto"/>
        <w:ind w:left="5" w:leftChars="0" w:firstLine="415" w:firstLineChars="0"/>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《环境影响评价技术导则  土壤环境（试行）》（HJ964-2018）；</w:t>
      </w:r>
    </w:p>
    <w:p w14:paraId="40D490FB">
      <w:pPr>
        <w:pStyle w:val="95"/>
        <w:keepNext w:val="0"/>
        <w:keepLines w:val="0"/>
        <w:pageBreakBefore w:val="0"/>
        <w:widowControl w:val="0"/>
        <w:numPr>
          <w:ilvl w:val="0"/>
          <w:numId w:val="7"/>
        </w:numPr>
        <w:overflowPunct/>
        <w:autoSpaceDE/>
        <w:autoSpaceDN/>
        <w:bidi w:val="0"/>
        <w:adjustRightInd w:val="0"/>
        <w:spacing w:line="360" w:lineRule="auto"/>
        <w:ind w:left="0" w:leftChars="0" w:firstLine="414"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rPr>
        <w:t>《建设项目环境风险评价技术导则》（HJ169－2018）；</w:t>
      </w:r>
    </w:p>
    <w:p w14:paraId="5C225FA9">
      <w:pPr>
        <w:keepNext w:val="0"/>
        <w:keepLines w:val="0"/>
        <w:pageBreakBefore w:val="0"/>
        <w:widowControl w:val="0"/>
        <w:numPr>
          <w:ilvl w:val="0"/>
          <w:numId w:val="7"/>
        </w:numPr>
        <w:kinsoku w:val="0"/>
        <w:wordWrap w:val="0"/>
        <w:overflowPunct/>
        <w:topLinePunct/>
        <w:autoSpaceDE/>
        <w:autoSpaceDN/>
        <w:bidi w:val="0"/>
        <w:adjustRightInd w:val="0"/>
        <w:snapToGrid/>
        <w:spacing w:after="157" w:afterLines="50" w:line="360" w:lineRule="auto"/>
        <w:ind w:left="0"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《环境影响评价技术导则 水利水电工程》（HJ/T88-2003）</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806B490">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14"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《环境影响评价技术导则  生物多样性影响》（DB45/T-2017）；</w:t>
      </w:r>
    </w:p>
    <w:p w14:paraId="4A4B3086">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14"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《全国生态状况调查评估技术规范——生态系统遥感解译与野外核查》（HJ 1166-2021）；</w:t>
      </w:r>
    </w:p>
    <w:p w14:paraId="06B2C585">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rPr>
        <w:t>《土地利用现状分类》（GB/T21010</w:t>
      </w:r>
      <w:r>
        <w:rPr>
          <w:rFonts w:hint="default" w:ascii="Times New Roman" w:hAnsi="Times New Roman" w:eastAsia="宋体" w:cs="Times New Roman"/>
          <w:color w:val="auto"/>
          <w:spacing w:val="0"/>
          <w:w w:val="100"/>
          <w:position w:val="0"/>
          <w:szCs w:val="22"/>
          <w:u w:val="none" w:color="auto"/>
          <w:lang w:val="en-US" w:eastAsia="zh-CN"/>
        </w:rPr>
        <w:t>-2017</w:t>
      </w:r>
      <w:r>
        <w:rPr>
          <w:rFonts w:hint="default" w:ascii="Times New Roman" w:hAnsi="Times New Roman" w:eastAsia="宋体" w:cs="Times New Roman"/>
          <w:color w:val="auto"/>
          <w:spacing w:val="0"/>
          <w:w w:val="100"/>
          <w:position w:val="0"/>
          <w:szCs w:val="22"/>
          <w:u w:val="none" w:color="auto"/>
        </w:rPr>
        <w:t>）</w:t>
      </w:r>
      <w:r>
        <w:rPr>
          <w:rFonts w:hint="default" w:ascii="Times New Roman" w:hAnsi="Times New Roman" w:eastAsia="宋体" w:cs="Times New Roman"/>
          <w:color w:val="auto"/>
          <w:spacing w:val="0"/>
          <w:w w:val="100"/>
          <w:position w:val="0"/>
          <w:szCs w:val="22"/>
          <w:u w:val="none" w:color="auto"/>
          <w:lang w:eastAsia="zh-CN"/>
        </w:rPr>
        <w:t>；</w:t>
      </w:r>
    </w:p>
    <w:p w14:paraId="5B199CE0">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lang w:eastAsia="zh-CN"/>
        </w:rPr>
        <w:t>《</w:t>
      </w:r>
      <w:r>
        <w:rPr>
          <w:rFonts w:hint="default" w:ascii="Times New Roman" w:hAnsi="Times New Roman" w:eastAsia="宋体" w:cs="Times New Roman"/>
          <w:color w:val="auto"/>
          <w:spacing w:val="0"/>
          <w:w w:val="100"/>
          <w:position w:val="0"/>
          <w:szCs w:val="22"/>
          <w:u w:val="none" w:color="auto"/>
        </w:rPr>
        <w:t>生态环境状况评价技术规范</w:t>
      </w:r>
      <w:r>
        <w:rPr>
          <w:rFonts w:hint="default" w:ascii="Times New Roman" w:hAnsi="Times New Roman" w:eastAsia="宋体" w:cs="Times New Roman"/>
          <w:color w:val="auto"/>
          <w:spacing w:val="0"/>
          <w:w w:val="100"/>
          <w:position w:val="0"/>
          <w:szCs w:val="22"/>
          <w:u w:val="none" w:color="auto"/>
          <w:lang w:eastAsia="zh-CN"/>
        </w:rPr>
        <w:t>》（</w:t>
      </w:r>
      <w:r>
        <w:rPr>
          <w:rFonts w:hint="default" w:ascii="Times New Roman" w:hAnsi="Times New Roman" w:eastAsia="宋体" w:cs="Times New Roman"/>
          <w:color w:val="auto"/>
          <w:spacing w:val="0"/>
          <w:w w:val="100"/>
          <w:position w:val="0"/>
          <w:szCs w:val="22"/>
          <w:u w:val="none" w:color="auto"/>
        </w:rPr>
        <w:t>HJ 192-2015</w:t>
      </w:r>
      <w:r>
        <w:rPr>
          <w:rFonts w:hint="default" w:ascii="Times New Roman" w:hAnsi="Times New Roman" w:eastAsia="宋体" w:cs="Times New Roman"/>
          <w:color w:val="auto"/>
          <w:spacing w:val="0"/>
          <w:w w:val="100"/>
          <w:position w:val="0"/>
          <w:szCs w:val="22"/>
          <w:u w:val="none" w:color="auto"/>
          <w:lang w:eastAsia="zh-CN"/>
        </w:rPr>
        <w:t>）；</w:t>
      </w:r>
    </w:p>
    <w:p w14:paraId="0B838E62">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lang w:val="en-US" w:eastAsia="zh-CN"/>
        </w:rPr>
        <w:t>《生物多样性观测技术导则》（HJ710-2014）；</w:t>
      </w:r>
    </w:p>
    <w:p w14:paraId="090F8701">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lang w:val="en-US" w:eastAsia="zh-CN"/>
        </w:rPr>
        <w:t xml:space="preserve">《生物多样性观测技术导则》（HJ710-2014）； </w:t>
      </w:r>
    </w:p>
    <w:p w14:paraId="27348F2E">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lang w:eastAsia="zh-CN"/>
        </w:rPr>
        <w:t>《全国植物物种资源调查技术规定（试行）》（公告</w:t>
      </w:r>
      <w:r>
        <w:rPr>
          <w:rFonts w:hint="default" w:ascii="Times New Roman" w:hAnsi="Times New Roman" w:eastAsia="宋体" w:cs="Times New Roman"/>
          <w:color w:val="auto"/>
          <w:spacing w:val="0"/>
          <w:w w:val="100"/>
          <w:position w:val="0"/>
          <w:szCs w:val="22"/>
          <w:u w:val="none" w:color="auto"/>
          <w:lang w:val="en-US" w:eastAsia="zh-CN"/>
        </w:rPr>
        <w:t>2010年第27号）；</w:t>
      </w:r>
    </w:p>
    <w:p w14:paraId="49531673">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rPr>
      </w:pPr>
      <w:r>
        <w:rPr>
          <w:rFonts w:hint="default" w:ascii="Times New Roman" w:hAnsi="Times New Roman" w:eastAsia="宋体" w:cs="Times New Roman"/>
          <w:color w:val="auto"/>
          <w:spacing w:val="0"/>
          <w:w w:val="100"/>
          <w:position w:val="0"/>
          <w:szCs w:val="22"/>
          <w:u w:val="none" w:color="auto"/>
          <w:lang w:eastAsia="zh-CN"/>
        </w:rPr>
        <w:t>《全国动物物种资源调查技术规定（试行）》（公告</w:t>
      </w:r>
      <w:r>
        <w:rPr>
          <w:rFonts w:hint="default" w:ascii="Times New Roman" w:hAnsi="Times New Roman" w:eastAsia="宋体" w:cs="Times New Roman"/>
          <w:color w:val="auto"/>
          <w:spacing w:val="0"/>
          <w:w w:val="100"/>
          <w:position w:val="0"/>
          <w:szCs w:val="22"/>
          <w:u w:val="none" w:color="auto"/>
          <w:lang w:val="en-US" w:eastAsia="zh-CN"/>
        </w:rPr>
        <w:t>2010年第27号）；</w:t>
      </w:r>
    </w:p>
    <w:p w14:paraId="4BF5C25A">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《地表水环境质量标准》（GB3838-2002）； </w:t>
      </w:r>
    </w:p>
    <w:p w14:paraId="1147F49B">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《地下水质量标准》（GB/T14848-2017）； </w:t>
      </w:r>
    </w:p>
    <w:p w14:paraId="0405F0A3">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《环境空气质量标准》（GB3095-2012）；</w:t>
      </w:r>
    </w:p>
    <w:p w14:paraId="0D3327C6">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《声环境质量标准》（GB3096-2008）； </w:t>
      </w:r>
    </w:p>
    <w:p w14:paraId="4DBFBE6B">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《土壤环境质量 农用地土壤污染风险管控标准（试行）》（GB15618-2018）； </w:t>
      </w:r>
    </w:p>
    <w:p w14:paraId="71C69B4D">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《土壤环境质量 建设用地土壤污染风险管控标准（试行）》(GB36600-2018）； </w:t>
      </w:r>
    </w:p>
    <w:p w14:paraId="1DFEE77E">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《污水综合排放标准》（GB8978-1996）； </w:t>
      </w:r>
    </w:p>
    <w:p w14:paraId="1AE47106">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《大气污染物综合排放标准》（GB16297-1996）； </w:t>
      </w:r>
    </w:p>
    <w:p w14:paraId="34F07132">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《建筑施工场界环境噪声排放标准》（GB12523-2011）； </w:t>
      </w:r>
    </w:p>
    <w:p w14:paraId="3EFB29F9">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cs="Times New Roman"/>
          <w:color w:val="auto"/>
          <w:spacing w:val="0"/>
          <w:w w:val="100"/>
          <w:position w:val="0"/>
          <w:szCs w:val="22"/>
          <w:u w:val="none" w:color="auto"/>
        </w:rPr>
      </w:pPr>
      <w:r>
        <w:rPr>
          <w:rFonts w:hint="default" w:ascii="Times New Roman" w:hAnsi="Times New Roman" w:cs="Times New Roman"/>
          <w:color w:val="auto"/>
          <w:spacing w:val="0"/>
          <w:w w:val="100"/>
          <w:position w:val="0"/>
          <w:szCs w:val="22"/>
          <w:u w:val="none" w:color="auto"/>
          <w:lang w:val="en-US" w:eastAsia="zh-CN"/>
        </w:rPr>
        <w:t xml:space="preserve">《工业企业厂界环境噪声排放标准》（GB12348-2008）； </w:t>
      </w:r>
    </w:p>
    <w:p w14:paraId="60128E5C">
      <w:pPr>
        <w:pStyle w:val="9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cs="Times New Roman"/>
          <w:color w:val="auto"/>
          <w:spacing w:val="0"/>
          <w:w w:val="100"/>
          <w:position w:val="0"/>
          <w:szCs w:val="22"/>
          <w:u w:val="none" w:color="auto"/>
          <w:lang w:val="en-US" w:eastAsia="zh-CN"/>
        </w:rPr>
        <w:t>《一般工业固体废物贮存和填埋污染控制标准》（GB18599-2020）</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55499CC1">
      <w:pPr>
        <w:pStyle w:val="4"/>
        <w:bidi w:val="0"/>
        <w:rPr>
          <w:rFonts w:hint="default" w:ascii="Times New Roman" w:hAnsi="Times New Roman" w:cs="Times New Roman"/>
          <w:u w:val="none" w:color="auto"/>
        </w:rPr>
      </w:pPr>
      <w:bookmarkStart w:id="45" w:name="_Toc15030"/>
      <w:r>
        <w:rPr>
          <w:rFonts w:hint="eastAsia" w:ascii="Times New Roman" w:hAnsi="Times New Roman" w:cs="Times New Roman"/>
          <w:u w:val="none" w:color="auto"/>
          <w:lang w:eastAsia="zh-CN"/>
        </w:rPr>
        <w:t>参考资料</w:t>
      </w:r>
      <w:bookmarkEnd w:id="45"/>
    </w:p>
    <w:p w14:paraId="75B66CE6">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《中国植被》（科学出版社，1980</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6E049A1A">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《中国植物志》（科学出版社，1959-2004</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 xml:space="preserve">）； </w:t>
      </w:r>
    </w:p>
    <w:p w14:paraId="32F7A590">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《中国高等植物图鉴》（科学出版社，1972-1983</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0377E31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《中国动物地理区划》（科学出版社，2011</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5811E48B">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《中国动物志》（两栖纲、爬行纲、鸟纲、哺乳纲）（科学出版社，1978-2009</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1E9521F6">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《中国两栖动物图鉴》（</w:t>
      </w:r>
      <w:r>
        <w:rPr>
          <w:rFonts w:hint="eastAsia" w:ascii="Times New Roman" w:hAnsi="Times New Roman" w:eastAsia="宋体" w:cs="Times New Roman"/>
          <w:color w:val="auto"/>
          <w:spacing w:val="0"/>
          <w:w w:val="100"/>
          <w:position w:val="0"/>
          <w:szCs w:val="22"/>
          <w:u w:val="none" w:color="auto"/>
          <w:lang w:val="en-US" w:eastAsia="zh-CN"/>
        </w:rPr>
        <w:t>费梁</w:t>
      </w:r>
      <w:r>
        <w:rPr>
          <w:rFonts w:hint="default" w:ascii="Times New Roman" w:hAnsi="Times New Roman" w:eastAsia="宋体" w:cs="Times New Roman"/>
          <w:color w:val="auto"/>
          <w:spacing w:val="0"/>
          <w:w w:val="100"/>
          <w:position w:val="0"/>
          <w:szCs w:val="22"/>
          <w:u w:val="none" w:color="auto"/>
          <w:lang w:val="en-US" w:eastAsia="zh-CN"/>
        </w:rPr>
        <w:t>，1999</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5E0535DE">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《中国两栖纲和爬行纲动物校正名录》（</w:t>
      </w:r>
      <w:r>
        <w:rPr>
          <w:rFonts w:hint="eastAsia" w:ascii="Times New Roman" w:hAnsi="Times New Roman" w:eastAsia="宋体" w:cs="Times New Roman"/>
          <w:color w:val="auto"/>
          <w:spacing w:val="0"/>
          <w:w w:val="100"/>
          <w:position w:val="0"/>
          <w:szCs w:val="22"/>
          <w:u w:val="none" w:color="auto"/>
          <w:lang w:val="en-US" w:eastAsia="zh-CN"/>
        </w:rPr>
        <w:t>赵尔宓，张学文等</w:t>
      </w:r>
      <w:r>
        <w:rPr>
          <w:rFonts w:hint="default" w:ascii="Times New Roman" w:hAnsi="Times New Roman" w:eastAsia="宋体" w:cs="Times New Roman"/>
          <w:color w:val="auto"/>
          <w:spacing w:val="0"/>
          <w:w w:val="100"/>
          <w:position w:val="0"/>
          <w:szCs w:val="22"/>
          <w:u w:val="none" w:color="auto"/>
          <w:lang w:val="en-US" w:eastAsia="zh-CN"/>
        </w:rPr>
        <w:t>，2000</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411AC3CB">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《中国爬行动物图鉴》（</w:t>
      </w:r>
      <w:r>
        <w:rPr>
          <w:rFonts w:hint="eastAsia" w:ascii="Times New Roman" w:hAnsi="Times New Roman" w:eastAsia="宋体" w:cs="Times New Roman"/>
          <w:color w:val="auto"/>
          <w:spacing w:val="0"/>
          <w:w w:val="100"/>
          <w:position w:val="0"/>
          <w:szCs w:val="22"/>
          <w:u w:val="none" w:color="auto"/>
          <w:lang w:val="en-US" w:eastAsia="zh-CN"/>
        </w:rPr>
        <w:t>中国野生动物保护协会</w:t>
      </w:r>
      <w:r>
        <w:rPr>
          <w:rFonts w:hint="default" w:ascii="Times New Roman" w:hAnsi="Times New Roman" w:eastAsia="宋体" w:cs="Times New Roman"/>
          <w:color w:val="auto"/>
          <w:spacing w:val="0"/>
          <w:w w:val="100"/>
          <w:position w:val="0"/>
          <w:szCs w:val="22"/>
          <w:u w:val="none" w:color="auto"/>
          <w:lang w:val="en-US" w:eastAsia="zh-CN"/>
        </w:rPr>
        <w:t>，2002</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7F75FC2D">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《中国鸟类图鉴》（中国野生动物保护协会，1995</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3C7C587F">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《中国鸟类分类与分布名录（第二版）》（科学出版社，2011</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426A113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《中国兽类野外手册》（湖南教育出版社，2009</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7F000EF9">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《中国哺乳动物种和亚种分类名录与分布大全》（中国林业出版社，2003</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2661967C">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《中国珍稀濒危保护植物名录（第一册）》（1987年2月）；</w:t>
      </w:r>
    </w:p>
    <w:p w14:paraId="7576DF37">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《中国濒危珍惜动物名录》（2010年10月15日）；</w:t>
      </w:r>
    </w:p>
    <w:p w14:paraId="64AFF69F">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eastAsia"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《国家重点保护野生植物名录》（2021年8月7日施行）；</w:t>
      </w:r>
    </w:p>
    <w:p w14:paraId="69693BE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《国家重点保护野生动物名录》（2021年2月5日修订）。</w:t>
      </w:r>
    </w:p>
    <w:p w14:paraId="45A041E5">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eastAsia"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《湖南省地方重点保护野生动物名录》（2023年8月修订）；</w:t>
      </w:r>
    </w:p>
    <w:p w14:paraId="49FEFB8E">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《湖南省地方重点保护野生植物名录》（2023年8月修订）；</w:t>
      </w:r>
    </w:p>
    <w:p w14:paraId="1623137C">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《湖南植被》（湖南科学技术出版社，1990</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638793C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《湖南植物志》（湖南科学技术出版社，2000</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4C9CB88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《湖南树木志》（湖南科技出版社，2000</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5DCF0460">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《湖南种子植物总览》（湖南科学技术出版，2002</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0712ED58">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《湖南动物志·两栖纲》（湖南科学技术出版社，2014</w:t>
      </w:r>
      <w:r>
        <w:rPr>
          <w:rFonts w:hint="eastAsia" w:ascii="Times New Roman" w:hAnsi="Times New Roman" w:eastAsia="宋体" w:cs="Times New Roman"/>
          <w:color w:val="auto"/>
          <w:spacing w:val="0"/>
          <w:w w:val="100"/>
          <w:position w:val="0"/>
          <w:szCs w:val="22"/>
          <w:u w:val="none" w:color="auto"/>
          <w:lang w:val="en-US" w:eastAsia="zh-CN"/>
        </w:rPr>
        <w:t>年</w:t>
      </w:r>
      <w:r>
        <w:rPr>
          <w:rFonts w:hint="default" w:ascii="Times New Roman" w:hAnsi="Times New Roman" w:eastAsia="宋体" w:cs="Times New Roman"/>
          <w:color w:val="auto"/>
          <w:spacing w:val="0"/>
          <w:w w:val="100"/>
          <w:position w:val="0"/>
          <w:szCs w:val="22"/>
          <w:u w:val="none" w:color="auto"/>
          <w:lang w:val="en-US" w:eastAsia="zh-CN"/>
        </w:rPr>
        <w:t>）；</w:t>
      </w:r>
    </w:p>
    <w:p w14:paraId="0998E3F3">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《湖南动物志·爬行纲》（湖南科学技术出版社，2014年）；</w:t>
      </w:r>
    </w:p>
    <w:p w14:paraId="55F86940">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default" w:ascii="Times New Roman" w:hAnsi="Times New Roman" w:eastAsia="宋体" w:cs="Times New Roman"/>
          <w:color w:val="auto"/>
          <w:spacing w:val="0"/>
          <w:w w:val="100"/>
          <w:position w:val="0"/>
          <w:szCs w:val="22"/>
          <w:u w:val="none" w:color="auto"/>
          <w:lang w:val="en-US" w:eastAsia="zh-CN"/>
        </w:rPr>
        <w:t>《湖南动物志·鸟纲雀形目》（湖南科学技术出版社，2013年）</w:t>
      </w:r>
      <w:r>
        <w:rPr>
          <w:rFonts w:hint="eastAsia" w:ascii="Times New Roman" w:hAnsi="Times New Roman" w:eastAsia="宋体" w:cs="Times New Roman"/>
          <w:color w:val="auto"/>
          <w:spacing w:val="0"/>
          <w:w w:val="100"/>
          <w:position w:val="0"/>
          <w:szCs w:val="22"/>
          <w:u w:val="none" w:color="auto"/>
          <w:lang w:val="en-US" w:eastAsia="zh-CN"/>
        </w:rPr>
        <w:t>；</w:t>
      </w:r>
    </w:p>
    <w:p w14:paraId="0F2F6E14">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《湖南省野生动物资源概况》（张启湘，易伐桂，1996年）；</w:t>
      </w:r>
    </w:p>
    <w:p w14:paraId="20C23E30">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《湖南省生物多样性调查和评价研究报告》（长沙环境保护职业技术学院，2010年1月）；</w:t>
      </w:r>
    </w:p>
    <w:p w14:paraId="1763438D">
      <w:pPr>
        <w:pStyle w:val="95"/>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5" w:leftChars="0" w:firstLine="415" w:firstLineChars="0"/>
        <w:textAlignment w:val="auto"/>
        <w:rPr>
          <w:rFonts w:hint="default" w:ascii="Times New Roman" w:hAnsi="Times New Roman" w:eastAsia="宋体" w:cs="Times New Roman"/>
          <w:color w:val="auto"/>
          <w:spacing w:val="0"/>
          <w:w w:val="100"/>
          <w:position w:val="0"/>
          <w:szCs w:val="22"/>
          <w:u w:val="none" w:color="auto"/>
          <w:lang w:val="en-US" w:eastAsia="zh-CN"/>
        </w:rPr>
      </w:pPr>
      <w:r>
        <w:rPr>
          <w:rFonts w:hint="eastAsia" w:ascii="Times New Roman" w:hAnsi="Times New Roman" w:eastAsia="宋体" w:cs="Times New Roman"/>
          <w:color w:val="auto"/>
          <w:spacing w:val="0"/>
          <w:w w:val="100"/>
          <w:position w:val="0"/>
          <w:szCs w:val="22"/>
          <w:u w:val="none" w:color="auto"/>
          <w:lang w:val="en-US" w:eastAsia="zh-CN"/>
        </w:rPr>
        <w:t>《我国森林植被的生物量和净生产量》（方精云等，1996年）。</w:t>
      </w:r>
    </w:p>
    <w:p w14:paraId="010A424C">
      <w:pPr>
        <w:pStyle w:val="4"/>
        <w:bidi w:val="0"/>
        <w:rPr>
          <w:rFonts w:hint="default" w:ascii="Times New Roman" w:hAnsi="Times New Roman" w:eastAsia="宋体" w:cs="Times New Roman"/>
          <w:u w:val="none" w:color="auto"/>
          <w:lang w:eastAsia="zh-CN"/>
        </w:rPr>
      </w:pPr>
      <w:r>
        <w:rPr>
          <w:rFonts w:hint="eastAsia" w:ascii="Times New Roman" w:hAnsi="Times New Roman" w:eastAsia="宋体" w:cs="Times New Roman"/>
          <w:u w:val="none" w:color="auto"/>
          <w:lang w:val="en-US" w:eastAsia="zh-CN"/>
        </w:rPr>
        <w:t xml:space="preserve"> </w:t>
      </w:r>
      <w:bookmarkStart w:id="46" w:name="_Toc30448"/>
      <w:r>
        <w:rPr>
          <w:rFonts w:hint="default" w:ascii="Times New Roman" w:hAnsi="Times New Roman" w:eastAsia="宋体" w:cs="Times New Roman"/>
          <w:u w:val="none" w:color="auto"/>
          <w:lang w:eastAsia="zh-CN"/>
        </w:rPr>
        <w:t>项目有关报告和文件</w:t>
      </w:r>
      <w:bookmarkEnd w:id="43"/>
      <w:bookmarkEnd w:id="44"/>
      <w:bookmarkEnd w:id="46"/>
    </w:p>
    <w:p w14:paraId="7BE8E8B8">
      <w:pPr>
        <w:keepNext w:val="0"/>
        <w:keepLines w:val="0"/>
        <w:pageBreakBefore w:val="0"/>
        <w:widowControl w:val="0"/>
        <w:numPr>
          <w:ilvl w:val="0"/>
          <w:numId w:val="9"/>
        </w:numPr>
        <w:kinsoku/>
        <w:wordWrap w:val="0"/>
        <w:overflowPunct/>
        <w:topLinePunct/>
        <w:autoSpaceDE/>
        <w:autoSpaceDN/>
        <w:bidi w:val="0"/>
        <w:adjustRightInd w:val="0"/>
        <w:snapToGrid/>
        <w:spacing w:line="360" w:lineRule="auto"/>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环境影响评价委托书</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EC6697A">
      <w:pPr>
        <w:keepNext w:val="0"/>
        <w:keepLines w:val="0"/>
        <w:pageBreakBefore w:val="0"/>
        <w:widowControl w:val="0"/>
        <w:numPr>
          <w:ilvl w:val="0"/>
          <w:numId w:val="9"/>
        </w:numPr>
        <w:kinsoku/>
        <w:wordWrap w:val="0"/>
        <w:overflowPunct/>
        <w:topLinePunct/>
        <w:autoSpaceDE/>
        <w:autoSpaceDN/>
        <w:bidi w:val="0"/>
        <w:adjustRightInd w:val="0"/>
        <w:snapToGrid/>
        <w:spacing w:line="500" w:lineRule="exact"/>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《湖南省华容县大中型及重点小型水利工程管理与保护范围划界成果图集》；</w:t>
      </w:r>
    </w:p>
    <w:p w14:paraId="1C210D80">
      <w:pPr>
        <w:keepNext w:val="0"/>
        <w:keepLines w:val="0"/>
        <w:pageBreakBefore w:val="0"/>
        <w:widowControl w:val="0"/>
        <w:numPr>
          <w:ilvl w:val="0"/>
          <w:numId w:val="9"/>
        </w:numPr>
        <w:kinsoku/>
        <w:wordWrap w:val="0"/>
        <w:overflowPunct/>
        <w:topLinePunct/>
        <w:autoSpaceDE/>
        <w:autoSpaceDN/>
        <w:bidi w:val="0"/>
        <w:adjustRightInd w:val="0"/>
        <w:snapToGrid/>
        <w:spacing w:line="500" w:lineRule="exact"/>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《湖南省</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岳阳市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除险加固工程</w:t>
      </w:r>
      <w:r>
        <w:rPr>
          <w:rFonts w:hint="default" w:ascii="Times New Roman" w:hAnsi="Times New Roman" w:eastAsia="宋体" w:cs="Times New Roman"/>
          <w:caps w:val="0"/>
          <w:smallCaps w:val="0"/>
          <w:color w:val="auto"/>
          <w:spacing w:val="0"/>
          <w:w w:val="100"/>
          <w:kern w:val="0"/>
          <w:position w:val="0"/>
          <w:sz w:val="24"/>
          <w:szCs w:val="24"/>
          <w:u w:val="none" w:color="auto"/>
        </w:rPr>
        <w:t>初步设计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阶段工程地质勘察报告》；</w:t>
      </w:r>
    </w:p>
    <w:p w14:paraId="4DD5E968">
      <w:pPr>
        <w:keepNext w:val="0"/>
        <w:keepLines w:val="0"/>
        <w:pageBreakBefore w:val="0"/>
        <w:widowControl w:val="0"/>
        <w:numPr>
          <w:ilvl w:val="0"/>
          <w:numId w:val="9"/>
        </w:numPr>
        <w:kinsoku/>
        <w:wordWrap w:val="0"/>
        <w:overflowPunct/>
        <w:topLinePunct/>
        <w:autoSpaceDE/>
        <w:autoSpaceDN/>
        <w:bidi w:val="0"/>
        <w:adjustRightInd w:val="0"/>
        <w:snapToGrid/>
        <w:spacing w:line="500" w:lineRule="exact"/>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湖南省华容县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除险加固工程</w:t>
      </w:r>
      <w:r>
        <w:rPr>
          <w:rFonts w:hint="default" w:ascii="Times New Roman" w:hAnsi="Times New Roman" w:eastAsia="宋体" w:cs="Times New Roman"/>
          <w:caps w:val="0"/>
          <w:smallCaps w:val="0"/>
          <w:color w:val="auto"/>
          <w:spacing w:val="0"/>
          <w:w w:val="100"/>
          <w:kern w:val="0"/>
          <w:position w:val="0"/>
          <w:sz w:val="24"/>
          <w:szCs w:val="24"/>
          <w:u w:val="none" w:color="auto"/>
        </w:rPr>
        <w:t>初步设计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报告</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7AE2E83">
      <w:pPr>
        <w:keepNext w:val="0"/>
        <w:keepLines w:val="0"/>
        <w:pageBreakBefore w:val="0"/>
        <w:widowControl w:val="0"/>
        <w:numPr>
          <w:ilvl w:val="0"/>
          <w:numId w:val="9"/>
        </w:numPr>
        <w:kinsoku/>
        <w:wordWrap w:val="0"/>
        <w:overflowPunct/>
        <w:topLinePunct/>
        <w:autoSpaceDE/>
        <w:autoSpaceDN/>
        <w:bidi w:val="0"/>
        <w:adjustRightInd w:val="0"/>
        <w:snapToGrid/>
        <w:spacing w:line="500" w:lineRule="exact"/>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除险加固工程水土保持方案报告书</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A34CBD4">
      <w:pPr>
        <w:keepNext w:val="0"/>
        <w:keepLines w:val="0"/>
        <w:pageBreakBefore w:val="0"/>
        <w:widowControl w:val="0"/>
        <w:numPr>
          <w:ilvl w:val="0"/>
          <w:numId w:val="9"/>
        </w:numPr>
        <w:kinsoku/>
        <w:wordWrap w:val="0"/>
        <w:overflowPunct/>
        <w:topLinePunct/>
        <w:autoSpaceDE/>
        <w:autoSpaceDN/>
        <w:bidi w:val="0"/>
        <w:adjustRightInd w:val="0"/>
        <w:snapToGrid/>
        <w:spacing w:line="500" w:lineRule="exact"/>
        <w:ind w:left="6" w:leftChars="0" w:firstLine="414" w:firstLineChars="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建设单位提供的其他资料</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p>
    <w:p w14:paraId="6B36C7A0">
      <w:pPr>
        <w:pStyle w:val="3"/>
        <w:bidi w:val="0"/>
        <w:rPr>
          <w:rFonts w:hint="default" w:ascii="Times New Roman" w:hAnsi="Times New Roman" w:cs="Times New Roman"/>
          <w:u w:val="none" w:color="auto"/>
        </w:rPr>
      </w:pPr>
      <w:bookmarkStart w:id="47" w:name="_Toc29985"/>
      <w:r>
        <w:rPr>
          <w:rFonts w:hint="default" w:ascii="Times New Roman" w:hAnsi="Times New Roman" w:cs="Times New Roman"/>
          <w:u w:val="none" w:color="auto"/>
        </w:rPr>
        <w:t>评价目的及重点</w:t>
      </w:r>
      <w:bookmarkEnd w:id="47"/>
    </w:p>
    <w:p w14:paraId="7EB0C370">
      <w:pPr>
        <w:pStyle w:val="4"/>
        <w:bidi w:val="0"/>
        <w:rPr>
          <w:rFonts w:hint="default" w:ascii="Times New Roman" w:hAnsi="Times New Roman" w:cs="Times New Roman"/>
          <w:u w:val="none" w:color="auto"/>
        </w:rPr>
      </w:pPr>
      <w:bookmarkStart w:id="48" w:name="_Toc2978"/>
      <w:r>
        <w:rPr>
          <w:rFonts w:hint="default" w:ascii="Times New Roman" w:hAnsi="Times New Roman" w:cs="Times New Roman"/>
          <w:u w:val="none" w:color="auto"/>
        </w:rPr>
        <w:t>评价目的</w:t>
      </w:r>
      <w:bookmarkEnd w:id="48"/>
    </w:p>
    <w:p w14:paraId="76AB35C3">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w:t>
      </w:r>
      <w:r>
        <w:rPr>
          <w:rFonts w:hint="default" w:ascii="Times New Roman" w:hAnsi="Times New Roman" w:eastAsia="宋体" w:cs="Times New Roman"/>
          <w:color w:val="auto"/>
          <w:spacing w:val="0"/>
          <w:w w:val="100"/>
          <w:position w:val="0"/>
          <w:sz w:val="24"/>
          <w:szCs w:val="24"/>
          <w:u w:val="none" w:color="auto"/>
        </w:rPr>
        <w:t>据项目特点及水库周边的环境特征，本次评价主要目的为：</w:t>
      </w:r>
    </w:p>
    <w:p w14:paraId="665B3E10">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（1）通过实地调查，环境现状监测和背景资料的收集，分析</w:t>
      </w:r>
      <w:r>
        <w:rPr>
          <w:rFonts w:hint="eastAsia" w:ascii="Times New Roman" w:hAnsi="Times New Roman" w:eastAsia="宋体" w:cs="Times New Roman"/>
          <w:color w:val="auto"/>
          <w:spacing w:val="0"/>
          <w:w w:val="100"/>
          <w:position w:val="0"/>
          <w:sz w:val="24"/>
          <w:szCs w:val="24"/>
          <w:u w:val="none" w:color="auto"/>
          <w:lang w:val="en-US" w:eastAsia="zh-CN"/>
        </w:rPr>
        <w:t>北汊水库</w:t>
      </w:r>
      <w:r>
        <w:rPr>
          <w:rFonts w:hint="default" w:ascii="Times New Roman" w:hAnsi="Times New Roman" w:eastAsia="宋体" w:cs="Times New Roman"/>
          <w:color w:val="auto"/>
          <w:spacing w:val="0"/>
          <w:w w:val="100"/>
          <w:position w:val="0"/>
          <w:sz w:val="24"/>
          <w:szCs w:val="24"/>
          <w:u w:val="none" w:color="auto"/>
          <w:lang w:val="en-US" w:eastAsia="zh-CN"/>
        </w:rPr>
        <w:t xml:space="preserve">除险加固工程评价区的地表水环境、地下水环境、大气环境、声环境、生态环境和土壤环境现状，分析区域环境功能区划要求及区域存在的主要环境问题。 </w:t>
      </w:r>
    </w:p>
    <w:p w14:paraId="1E8D6781">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 xml:space="preserve">（2）根据工程建设内容、施工工艺、施工时段和运行特点，预测和评价工程施工、占地与拆迁安置、工程运行对环境的影响。 </w:t>
      </w:r>
    </w:p>
    <w:p w14:paraId="72310AE4">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 xml:space="preserve">（3）根据环境影响预测评价结论，提出减免不利影响的对策和措施，使区域环境质量不因工程建设和运行而下降，生态系统、生物多样性得到有效保护，充分发挥工程的社会效益、经济效益和环境效益，促进项目区社会、经济和环境的可持续发展。 </w:t>
      </w:r>
    </w:p>
    <w:p w14:paraId="33C45212">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 xml:space="preserve">（4）通过制定工程施工期和运行期的环境监测计划，及时掌握工程建设对环境的实际影响范围和程度，为工程的环境管理提供科学依据。 </w:t>
      </w:r>
    </w:p>
    <w:p w14:paraId="74CC00CE">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 xml:space="preserve">（5）制定工程环境管理计划，明确项目建设单位、施工单位的环境保护任务和职责，为环境保护措施的实施提供制度保证。 </w:t>
      </w:r>
    </w:p>
    <w:p w14:paraId="57A54324">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 xml:space="preserve">（6）分析工程影响区及周边地区生态与环境的整体变化趋势，论证工程建设的环境可行性，为工程施工和主管部门决策提供科学依据，为工程环境保护设计和工程建设环境管理提供依据。 </w:t>
      </w:r>
    </w:p>
    <w:p w14:paraId="7E66CEB8">
      <w:pPr>
        <w:pStyle w:val="4"/>
        <w:bidi w:val="0"/>
        <w:rPr>
          <w:rFonts w:hint="default" w:ascii="Times New Roman" w:hAnsi="Times New Roman" w:cs="Times New Roman"/>
          <w:u w:val="none" w:color="auto"/>
        </w:rPr>
      </w:pPr>
      <w:bookmarkStart w:id="49" w:name="_Toc22482"/>
      <w:r>
        <w:rPr>
          <w:rFonts w:hint="default" w:ascii="Times New Roman" w:hAnsi="Times New Roman" w:cs="Times New Roman"/>
          <w:u w:val="none" w:color="auto"/>
        </w:rPr>
        <w:t>评价重点</w:t>
      </w:r>
      <w:bookmarkEnd w:id="49"/>
    </w:p>
    <w:p w14:paraId="7798797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根据本工程环境影响识别，确定评价重点如下：</w:t>
      </w:r>
    </w:p>
    <w:p w14:paraId="1EAD16C5">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（1）生态环境</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现状调查与评价，</w:t>
      </w:r>
      <w:r>
        <w:rPr>
          <w:rFonts w:hint="default" w:ascii="Times New Roman" w:hAnsi="Times New Roman" w:eastAsia="宋体" w:cs="Times New Roman"/>
          <w:caps w:val="0"/>
          <w:smallCaps w:val="0"/>
          <w:color w:val="auto"/>
          <w:spacing w:val="0"/>
          <w:w w:val="100"/>
          <w:kern w:val="0"/>
          <w:position w:val="0"/>
          <w:sz w:val="24"/>
          <w:szCs w:val="24"/>
          <w:u w:val="none" w:color="auto"/>
        </w:rPr>
        <w:t>预测评价工程对所在区域生态环境的影响及采取的</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减缓</w:t>
      </w:r>
      <w:r>
        <w:rPr>
          <w:rFonts w:hint="default" w:ascii="Times New Roman" w:hAnsi="Times New Roman" w:eastAsia="宋体" w:cs="Times New Roman"/>
          <w:caps w:val="0"/>
          <w:smallCaps w:val="0"/>
          <w:color w:val="auto"/>
          <w:spacing w:val="0"/>
          <w:w w:val="100"/>
          <w:kern w:val="0"/>
          <w:position w:val="0"/>
          <w:sz w:val="24"/>
          <w:szCs w:val="24"/>
          <w:u w:val="none" w:color="auto"/>
        </w:rPr>
        <w:t>措施。</w:t>
      </w:r>
    </w:p>
    <w:p w14:paraId="71EBB8AB">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（2）水环境质量现状及影响预测评价</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水质</w:t>
      </w:r>
      <w:r>
        <w:rPr>
          <w:rFonts w:hint="default" w:ascii="Times New Roman" w:hAnsi="Times New Roman" w:eastAsia="宋体" w:cs="Times New Roman"/>
          <w:caps w:val="0"/>
          <w:smallCaps w:val="0"/>
          <w:color w:val="auto"/>
          <w:spacing w:val="0"/>
          <w:w w:val="100"/>
          <w:kern w:val="0"/>
          <w:position w:val="0"/>
          <w:sz w:val="24"/>
          <w:szCs w:val="24"/>
          <w:u w:val="none" w:color="auto"/>
        </w:rPr>
        <w:t>的影响分析</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及采取的措施</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A99C68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（3）施工环境影响及污染防治</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可行性</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51396592">
      <w:pPr>
        <w:keepNext w:val="0"/>
        <w:keepLines w:val="0"/>
        <w:pageBreakBefore w:val="0"/>
        <w:widowControl w:val="0"/>
        <w:overflowPunct/>
        <w:autoSpaceDE/>
        <w:autoSpaceDN/>
        <w:bidi w:val="0"/>
        <w:adjustRightInd/>
        <w:snapToGrid/>
        <w:spacing w:line="360" w:lineRule="auto"/>
        <w:ind w:left="0" w:leftChars="0" w:firstLine="420" w:firstLineChars="175"/>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val="en-US" w:eastAsia="zh-CN"/>
        </w:rPr>
        <w:t>工程评价区涉及湖南省生态保护红线、</w:t>
      </w:r>
      <w:r>
        <w:rPr>
          <w:rFonts w:hint="eastAsia" w:ascii="Times New Roman" w:hAnsi="Times New Roman" w:eastAsia="宋体" w:cs="Times New Roman"/>
          <w:color w:val="auto"/>
          <w:spacing w:val="0"/>
          <w:w w:val="100"/>
          <w:position w:val="0"/>
          <w:sz w:val="24"/>
          <w:szCs w:val="24"/>
          <w:u w:val="none" w:color="auto"/>
          <w:lang w:val="en-US" w:eastAsia="zh-CN"/>
        </w:rPr>
        <w:t>湖南</w:t>
      </w:r>
      <w:r>
        <w:rPr>
          <w:rFonts w:hint="default" w:ascii="Times New Roman" w:hAnsi="Times New Roman" w:eastAsia="宋体" w:cs="Times New Roman"/>
          <w:color w:val="auto"/>
          <w:spacing w:val="0"/>
          <w:w w:val="100"/>
          <w:position w:val="0"/>
          <w:sz w:val="24"/>
          <w:szCs w:val="24"/>
          <w:u w:val="none" w:color="auto"/>
          <w:lang w:val="en-US" w:eastAsia="zh-CN"/>
        </w:rPr>
        <w:t>华容</w:t>
      </w:r>
      <w:r>
        <w:rPr>
          <w:rFonts w:hint="eastAsia" w:ascii="Times New Roman" w:hAnsi="Times New Roman" w:eastAsia="宋体" w:cs="Times New Roman"/>
          <w:color w:val="auto"/>
          <w:spacing w:val="0"/>
          <w:w w:val="100"/>
          <w:position w:val="0"/>
          <w:sz w:val="24"/>
          <w:szCs w:val="24"/>
          <w:u w:val="none" w:color="auto"/>
          <w:lang w:val="en-US" w:eastAsia="zh-CN"/>
        </w:rPr>
        <w:t>东湖国家湿地</w:t>
      </w:r>
      <w:r>
        <w:rPr>
          <w:rFonts w:hint="default" w:ascii="Times New Roman" w:hAnsi="Times New Roman" w:eastAsia="宋体" w:cs="Times New Roman"/>
          <w:color w:val="auto"/>
          <w:spacing w:val="0"/>
          <w:w w:val="100"/>
          <w:position w:val="0"/>
          <w:sz w:val="24"/>
          <w:szCs w:val="24"/>
          <w:u w:val="none" w:color="auto"/>
          <w:lang w:val="en-US" w:eastAsia="zh-CN"/>
        </w:rPr>
        <w:t>公园</w:t>
      </w:r>
      <w:r>
        <w:rPr>
          <w:rFonts w:hint="eastAsia" w:ascii="Times New Roman" w:hAnsi="Times New Roman" w:eastAsia="宋体" w:cs="Times New Roman"/>
          <w:color w:val="auto"/>
          <w:spacing w:val="0"/>
          <w:w w:val="100"/>
          <w:position w:val="0"/>
          <w:sz w:val="24"/>
          <w:szCs w:val="24"/>
          <w:u w:val="none" w:color="auto"/>
          <w:lang w:val="en-US" w:eastAsia="zh-CN"/>
        </w:rPr>
        <w:t>（东湖省级重要湿地）等敏感区</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关注</w:t>
      </w:r>
      <w:r>
        <w:rPr>
          <w:rFonts w:hint="default" w:ascii="Times New Roman" w:hAnsi="Times New Roman" w:eastAsia="宋体" w:cs="Times New Roman"/>
          <w:color w:val="auto"/>
          <w:spacing w:val="0"/>
          <w:w w:val="100"/>
          <w:position w:val="0"/>
          <w:sz w:val="24"/>
          <w:szCs w:val="24"/>
          <w:u w:val="none" w:color="auto"/>
          <w:lang w:val="en-US" w:eastAsia="zh-CN"/>
        </w:rPr>
        <w:t>工程对环境敏感区的影响和减缓措施。</w:t>
      </w:r>
      <w:r>
        <w:rPr>
          <w:rFonts w:hint="eastAsia" w:ascii="Times New Roman" w:hAnsi="Times New Roman" w:eastAsia="宋体" w:cs="Times New Roman"/>
          <w:color w:val="auto"/>
          <w:spacing w:val="0"/>
          <w:w w:val="100"/>
          <w:position w:val="0"/>
          <w:sz w:val="24"/>
          <w:szCs w:val="24"/>
          <w:u w:val="none" w:color="auto"/>
          <w:lang w:val="en-US" w:eastAsia="zh-CN"/>
        </w:rPr>
        <w:t xml:space="preserve"> </w:t>
      </w:r>
      <w:r>
        <w:rPr>
          <w:rFonts w:hint="default" w:ascii="Times New Roman" w:hAnsi="Times New Roman" w:eastAsia="宋体" w:cs="Times New Roman"/>
          <w:color w:val="auto"/>
          <w:spacing w:val="0"/>
          <w:w w:val="10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p>
    <w:p w14:paraId="373CA6FB">
      <w:pPr>
        <w:pStyle w:val="3"/>
        <w:bidi w:val="0"/>
        <w:rPr>
          <w:rFonts w:hint="default" w:ascii="Times New Roman" w:hAnsi="Times New Roman" w:cs="Times New Roman"/>
          <w:u w:val="none" w:color="auto"/>
        </w:rPr>
      </w:pPr>
      <w:bookmarkStart w:id="50" w:name="_Toc15190"/>
      <w:r>
        <w:rPr>
          <w:rFonts w:hint="default" w:ascii="Times New Roman" w:hAnsi="Times New Roman" w:cs="Times New Roman"/>
          <w:u w:val="none" w:color="auto"/>
        </w:rPr>
        <w:t>环境影响识别与评价因子</w:t>
      </w:r>
      <w:bookmarkEnd w:id="50"/>
    </w:p>
    <w:p w14:paraId="2945659E">
      <w:pPr>
        <w:pStyle w:val="4"/>
        <w:bidi w:val="0"/>
        <w:rPr>
          <w:rFonts w:hint="default" w:ascii="Times New Roman" w:hAnsi="Times New Roman" w:cs="Times New Roman"/>
          <w:u w:val="none" w:color="auto"/>
        </w:rPr>
      </w:pPr>
      <w:bookmarkStart w:id="51" w:name="_Toc4862"/>
      <w:r>
        <w:rPr>
          <w:rFonts w:hint="default" w:ascii="Times New Roman" w:hAnsi="Times New Roman" w:cs="Times New Roman"/>
          <w:u w:val="none" w:color="auto"/>
        </w:rPr>
        <w:t>环境影响因素识别</w:t>
      </w:r>
      <w:bookmarkEnd w:id="51"/>
    </w:p>
    <w:p w14:paraId="688EEBF4">
      <w:pPr>
        <w:spacing w:before="78" w:line="358" w:lineRule="auto"/>
        <w:ind w:left="122" w:right="113" w:firstLine="479"/>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在开展工程区环境现状调查、发展规划资料搜集等工作基础上，根据工程区环境保护要求和保护目标特点，结合本工程的工程任务、影响范围以及开发方式等基本情况，并参考国内外同类项目环境影响及环境保护的实践经验，采用矩阵法对工程各</w:t>
      </w:r>
      <w:r>
        <w:rPr>
          <w:rFonts w:hint="default" w:ascii="Times New Roman" w:hAnsi="Times New Roman" w:eastAsia="宋体" w:cs="Times New Roman"/>
          <w:color w:val="auto"/>
          <w:spacing w:val="0"/>
          <w:w w:val="100"/>
          <w:position w:val="0"/>
          <w:sz w:val="24"/>
          <w:szCs w:val="24"/>
          <w:u w:val="none" w:color="auto"/>
          <w:lang w:eastAsia="zh-CN"/>
        </w:rPr>
        <w:t>阶段各工程活动对各</w:t>
      </w:r>
      <w:r>
        <w:rPr>
          <w:rFonts w:hint="default" w:ascii="Times New Roman" w:hAnsi="Times New Roman" w:eastAsia="宋体" w:cs="Times New Roman"/>
          <w:color w:val="auto"/>
          <w:spacing w:val="0"/>
          <w:w w:val="100"/>
          <w:position w:val="0"/>
          <w:sz w:val="24"/>
          <w:szCs w:val="24"/>
          <w:u w:val="none" w:color="auto"/>
        </w:rPr>
        <w:t>环境因素可能产生的影响进行识别分析，结果见表</w:t>
      </w:r>
      <w:r>
        <w:rPr>
          <w:rFonts w:hint="default" w:ascii="Times New Roman" w:hAnsi="Times New Roman" w:eastAsia="Times New Roman" w:cs="Times New Roman"/>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Times New Roman" w:cs="Times New Roman"/>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rPr>
        <w:t>。</w:t>
      </w:r>
      <w:r>
        <w:rPr>
          <w:rFonts w:hint="eastAsia" w:ascii="Times New Roman" w:hAnsi="Times New Roman" w:eastAsia="宋体" w:cs="Times New Roman"/>
          <w:color w:val="auto"/>
          <w:spacing w:val="0"/>
          <w:w w:val="100"/>
          <w:position w:val="0"/>
          <w:sz w:val="24"/>
          <w:szCs w:val="24"/>
          <w:u w:val="none" w:color="auto"/>
          <w:lang w:eastAsia="zh-CN"/>
        </w:rPr>
        <w:t>生态影响评价因子筛选表见表</w:t>
      </w:r>
      <w:r>
        <w:rPr>
          <w:rFonts w:hint="eastAsia" w:ascii="Times New Roman" w:hAnsi="Times New Roman" w:eastAsia="宋体" w:cs="Times New Roman"/>
          <w:color w:val="auto"/>
          <w:spacing w:val="0"/>
          <w:w w:val="100"/>
          <w:position w:val="0"/>
          <w:sz w:val="24"/>
          <w:szCs w:val="24"/>
          <w:u w:val="none" w:color="auto"/>
          <w:lang w:val="en-US" w:eastAsia="zh-CN"/>
        </w:rPr>
        <w:t>1.3-2。</w:t>
      </w:r>
    </w:p>
    <w:p w14:paraId="63CABF14">
      <w:pPr>
        <w:spacing w:line="214" w:lineRule="auto"/>
        <w:jc w:val="center"/>
        <w:rPr>
          <w:rFonts w:hint="default" w:ascii="Times New Roman" w:hAnsi="Times New Roman" w:eastAsia="宋体" w:cs="Times New Roman"/>
          <w:b/>
          <w:bCs/>
          <w:color w:val="auto"/>
          <w:spacing w:val="0"/>
          <w:w w:val="100"/>
          <w:position w:val="0"/>
          <w:sz w:val="24"/>
          <w:szCs w:val="24"/>
          <w:u w:val="none" w:color="auto"/>
        </w:rPr>
      </w:pPr>
      <w:r>
        <w:rPr>
          <w:rFonts w:hint="default" w:ascii="Times New Roman" w:hAnsi="Times New Roman" w:eastAsia="宋体" w:cs="Times New Roman"/>
          <w:b/>
          <w:bCs/>
          <w:color w:val="auto"/>
          <w:spacing w:val="0"/>
          <w:w w:val="100"/>
          <w:position w:val="0"/>
          <w:sz w:val="24"/>
          <w:szCs w:val="24"/>
          <w:u w:val="none" w:color="auto"/>
        </w:rPr>
        <w:t>表</w:t>
      </w:r>
      <w:r>
        <w:rPr>
          <w:rFonts w:hint="default" w:ascii="Times New Roman" w:hAnsi="Times New Roman" w:eastAsia="Times New Roman" w:cs="Times New Roman"/>
          <w:b/>
          <w:bCs/>
          <w:color w:val="auto"/>
          <w:spacing w:val="0"/>
          <w:w w:val="100"/>
          <w:position w:val="0"/>
          <w:sz w:val="24"/>
          <w:szCs w:val="24"/>
          <w:u w:val="none" w:color="auto"/>
        </w:rPr>
        <w:t>1.</w:t>
      </w:r>
      <w:r>
        <w:rPr>
          <w:rFonts w:hint="default" w:ascii="Times New Roman" w:hAnsi="Times New Roman" w:eastAsia="宋体" w:cs="Times New Roman"/>
          <w:b/>
          <w:bCs/>
          <w:color w:val="auto"/>
          <w:spacing w:val="0"/>
          <w:w w:val="100"/>
          <w:position w:val="0"/>
          <w:sz w:val="24"/>
          <w:szCs w:val="24"/>
          <w:u w:val="none" w:color="auto"/>
          <w:lang w:val="en-US" w:eastAsia="zh-CN"/>
        </w:rPr>
        <w:t>3</w:t>
      </w:r>
      <w:r>
        <w:rPr>
          <w:rFonts w:hint="default" w:ascii="Times New Roman" w:hAnsi="Times New Roman" w:eastAsia="Times New Roman" w:cs="Times New Roman"/>
          <w:b/>
          <w:bCs/>
          <w:color w:val="auto"/>
          <w:spacing w:val="0"/>
          <w:w w:val="100"/>
          <w:position w:val="0"/>
          <w:sz w:val="24"/>
          <w:szCs w:val="24"/>
          <w:u w:val="none" w:color="auto"/>
        </w:rPr>
        <w:t xml:space="preserve">-1    </w:t>
      </w:r>
      <w:r>
        <w:rPr>
          <w:rFonts w:hint="default" w:ascii="Times New Roman" w:hAnsi="Times New Roman" w:eastAsia="宋体" w:cs="Times New Roman"/>
          <w:b/>
          <w:bCs/>
          <w:color w:val="auto"/>
          <w:spacing w:val="0"/>
          <w:w w:val="100"/>
          <w:position w:val="0"/>
          <w:sz w:val="24"/>
          <w:szCs w:val="24"/>
          <w:u w:val="none" w:color="auto"/>
          <w:lang w:eastAsia="zh-CN"/>
        </w:rPr>
        <w:t>本</w:t>
      </w:r>
      <w:r>
        <w:rPr>
          <w:rFonts w:hint="default" w:ascii="Times New Roman" w:hAnsi="Times New Roman" w:eastAsia="宋体" w:cs="Times New Roman"/>
          <w:b/>
          <w:bCs/>
          <w:color w:val="auto"/>
          <w:spacing w:val="0"/>
          <w:w w:val="100"/>
          <w:position w:val="0"/>
          <w:sz w:val="24"/>
          <w:szCs w:val="24"/>
          <w:u w:val="none" w:color="auto"/>
        </w:rPr>
        <w:t>工程环境影响</w:t>
      </w:r>
      <w:r>
        <w:rPr>
          <w:rFonts w:hint="default" w:ascii="Times New Roman" w:hAnsi="Times New Roman" w:eastAsia="宋体" w:cs="Times New Roman"/>
          <w:b/>
          <w:bCs/>
          <w:color w:val="auto"/>
          <w:spacing w:val="0"/>
          <w:w w:val="100"/>
          <w:position w:val="0"/>
          <w:sz w:val="24"/>
          <w:szCs w:val="24"/>
          <w:u w:val="none" w:color="auto"/>
          <w:lang w:eastAsia="zh-CN"/>
        </w:rPr>
        <w:t>因子</w:t>
      </w:r>
      <w:r>
        <w:rPr>
          <w:rFonts w:hint="default" w:ascii="Times New Roman" w:hAnsi="Times New Roman" w:eastAsia="宋体" w:cs="Times New Roman"/>
          <w:b/>
          <w:bCs/>
          <w:color w:val="auto"/>
          <w:spacing w:val="0"/>
          <w:w w:val="100"/>
          <w:position w:val="0"/>
          <w:sz w:val="24"/>
          <w:szCs w:val="24"/>
          <w:u w:val="none" w:color="auto"/>
        </w:rPr>
        <w:t>识别</w:t>
      </w:r>
      <w:r>
        <w:rPr>
          <w:rFonts w:hint="default" w:ascii="Times New Roman" w:hAnsi="Times New Roman" w:eastAsia="宋体" w:cs="Times New Roman"/>
          <w:b/>
          <w:bCs/>
          <w:color w:val="auto"/>
          <w:spacing w:val="0"/>
          <w:w w:val="100"/>
          <w:position w:val="0"/>
          <w:sz w:val="24"/>
          <w:szCs w:val="24"/>
          <w:u w:val="none" w:color="auto"/>
          <w:lang w:eastAsia="zh-CN"/>
        </w:rPr>
        <w:t>矩阵</w:t>
      </w:r>
      <w:r>
        <w:rPr>
          <w:rFonts w:hint="default" w:ascii="Times New Roman" w:hAnsi="Times New Roman" w:eastAsia="宋体" w:cs="Times New Roman"/>
          <w:b/>
          <w:bCs/>
          <w:color w:val="auto"/>
          <w:spacing w:val="0"/>
          <w:w w:val="100"/>
          <w:position w:val="0"/>
          <w:sz w:val="24"/>
          <w:szCs w:val="24"/>
          <w:u w:val="none" w:color="auto"/>
        </w:rPr>
        <w:t>表</w:t>
      </w:r>
    </w:p>
    <w:tbl>
      <w:tblPr>
        <w:tblStyle w:val="96"/>
        <w:tblW w:w="501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9"/>
        <w:gridCol w:w="1108"/>
        <w:gridCol w:w="964"/>
        <w:gridCol w:w="926"/>
        <w:gridCol w:w="927"/>
        <w:gridCol w:w="927"/>
        <w:gridCol w:w="927"/>
        <w:gridCol w:w="927"/>
        <w:gridCol w:w="933"/>
      </w:tblGrid>
      <w:tr w14:paraId="15ED1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20" w:type="dxa"/>
            <w:gridSpan w:val="2"/>
            <w:vMerge w:val="restart"/>
            <w:tcBorders>
              <w:tl2br w:val="nil"/>
              <w:tr2bl w:val="nil"/>
            </w:tcBorders>
            <w:noWrap w:val="0"/>
            <w:vAlign w:val="center"/>
          </w:tcPr>
          <w:p w14:paraId="29C0172F">
            <w:pPr>
              <w:jc w:val="center"/>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环境要素</w:t>
            </w:r>
          </w:p>
        </w:tc>
        <w:tc>
          <w:tcPr>
            <w:tcW w:w="4656" w:type="dxa"/>
            <w:gridSpan w:val="5"/>
            <w:tcBorders>
              <w:tl2br w:val="nil"/>
              <w:tr2bl w:val="nil"/>
            </w:tcBorders>
            <w:noWrap w:val="0"/>
            <w:vAlign w:val="center"/>
          </w:tcPr>
          <w:p w14:paraId="34D4B0CA">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施工期</w:t>
            </w:r>
          </w:p>
        </w:tc>
        <w:tc>
          <w:tcPr>
            <w:tcW w:w="1854" w:type="dxa"/>
            <w:gridSpan w:val="2"/>
            <w:tcBorders>
              <w:tl2br w:val="nil"/>
              <w:tr2bl w:val="nil"/>
            </w:tcBorders>
            <w:noWrap w:val="0"/>
            <w:vAlign w:val="center"/>
          </w:tcPr>
          <w:p w14:paraId="5467F476">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运行期</w:t>
            </w:r>
          </w:p>
        </w:tc>
      </w:tr>
      <w:tr w14:paraId="1F6E3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20" w:type="dxa"/>
            <w:gridSpan w:val="2"/>
            <w:vMerge w:val="continue"/>
            <w:tcBorders>
              <w:tl2br w:val="nil"/>
              <w:tr2bl w:val="nil"/>
            </w:tcBorders>
            <w:noWrap w:val="0"/>
            <w:vAlign w:val="center"/>
          </w:tcPr>
          <w:p w14:paraId="655F9F72">
            <w:pPr>
              <w:jc w:val="center"/>
              <w:rPr>
                <w:rFonts w:hint="default" w:ascii="Times New Roman" w:hAnsi="Times New Roman" w:eastAsia="宋体" w:cs="Times New Roman"/>
                <w:b/>
                <w:bCs/>
                <w:color w:val="auto"/>
                <w:spacing w:val="0"/>
                <w:w w:val="100"/>
                <w:position w:val="0"/>
                <w:sz w:val="21"/>
                <w:szCs w:val="21"/>
                <w:u w:val="none" w:color="auto"/>
              </w:rPr>
            </w:pPr>
          </w:p>
        </w:tc>
        <w:tc>
          <w:tcPr>
            <w:tcW w:w="961" w:type="dxa"/>
            <w:tcBorders>
              <w:tl2br w:val="nil"/>
              <w:tr2bl w:val="nil"/>
            </w:tcBorders>
            <w:noWrap w:val="0"/>
            <w:vAlign w:val="center"/>
          </w:tcPr>
          <w:p w14:paraId="0AB4DEC8">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工程占地</w:t>
            </w:r>
          </w:p>
        </w:tc>
        <w:tc>
          <w:tcPr>
            <w:tcW w:w="923" w:type="dxa"/>
            <w:tcBorders>
              <w:tl2br w:val="nil"/>
              <w:tr2bl w:val="nil"/>
            </w:tcBorders>
            <w:noWrap w:val="0"/>
            <w:vAlign w:val="center"/>
          </w:tcPr>
          <w:p w14:paraId="005BC9BC">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施工道路</w:t>
            </w:r>
          </w:p>
        </w:tc>
        <w:tc>
          <w:tcPr>
            <w:tcW w:w="924" w:type="dxa"/>
            <w:tcBorders>
              <w:tl2br w:val="nil"/>
              <w:tr2bl w:val="nil"/>
            </w:tcBorders>
            <w:noWrap w:val="0"/>
            <w:vAlign w:val="center"/>
          </w:tcPr>
          <w:p w14:paraId="4B5BE2C1">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交通运输</w:t>
            </w:r>
          </w:p>
        </w:tc>
        <w:tc>
          <w:tcPr>
            <w:tcW w:w="924" w:type="dxa"/>
            <w:tcBorders>
              <w:tl2br w:val="nil"/>
              <w:tr2bl w:val="nil"/>
            </w:tcBorders>
            <w:noWrap w:val="0"/>
            <w:vAlign w:val="center"/>
          </w:tcPr>
          <w:p w14:paraId="77F83888">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工程施工</w:t>
            </w:r>
          </w:p>
        </w:tc>
        <w:tc>
          <w:tcPr>
            <w:tcW w:w="924" w:type="dxa"/>
            <w:tcBorders>
              <w:tl2br w:val="nil"/>
              <w:tr2bl w:val="nil"/>
            </w:tcBorders>
            <w:noWrap w:val="0"/>
            <w:vAlign w:val="center"/>
          </w:tcPr>
          <w:p w14:paraId="299C6C32">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施工人员生活</w:t>
            </w:r>
          </w:p>
        </w:tc>
        <w:tc>
          <w:tcPr>
            <w:tcW w:w="924" w:type="dxa"/>
            <w:tcBorders>
              <w:tl2br w:val="nil"/>
              <w:tr2bl w:val="nil"/>
            </w:tcBorders>
            <w:noWrap w:val="0"/>
            <w:vAlign w:val="center"/>
          </w:tcPr>
          <w:p w14:paraId="3F6F638A">
            <w:pPr>
              <w:jc w:val="center"/>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工程运行</w:t>
            </w:r>
          </w:p>
        </w:tc>
        <w:tc>
          <w:tcPr>
            <w:tcW w:w="930" w:type="dxa"/>
            <w:tcBorders>
              <w:tl2br w:val="nil"/>
              <w:tr2bl w:val="nil"/>
            </w:tcBorders>
            <w:noWrap w:val="0"/>
            <w:vAlign w:val="center"/>
          </w:tcPr>
          <w:p w14:paraId="654C56E5">
            <w:pPr>
              <w:jc w:val="center"/>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人员生活</w:t>
            </w:r>
          </w:p>
        </w:tc>
      </w:tr>
      <w:tr w14:paraId="6E545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tcBorders>
              <w:tl2br w:val="nil"/>
              <w:tr2bl w:val="nil"/>
            </w:tcBorders>
            <w:noWrap w:val="0"/>
            <w:vAlign w:val="center"/>
          </w:tcPr>
          <w:p w14:paraId="58D48201">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大气</w:t>
            </w:r>
          </w:p>
        </w:tc>
        <w:tc>
          <w:tcPr>
            <w:tcW w:w="1104" w:type="dxa"/>
            <w:tcBorders>
              <w:tl2br w:val="nil"/>
              <w:tr2bl w:val="nil"/>
            </w:tcBorders>
            <w:noWrap w:val="0"/>
            <w:vAlign w:val="center"/>
          </w:tcPr>
          <w:p w14:paraId="2DC589B8">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环境空气</w:t>
            </w:r>
          </w:p>
        </w:tc>
        <w:tc>
          <w:tcPr>
            <w:tcW w:w="961" w:type="dxa"/>
            <w:tcBorders>
              <w:tl2br w:val="nil"/>
              <w:tr2bl w:val="nil"/>
            </w:tcBorders>
            <w:noWrap w:val="0"/>
            <w:vAlign w:val="center"/>
          </w:tcPr>
          <w:p w14:paraId="51447D7A">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3F12A741">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76DC73C2">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254EC75F">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6094AA4A">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41BF17A6">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7E16FE8A">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r>
      <w:tr w14:paraId="31D46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restart"/>
            <w:tcBorders>
              <w:tl2br w:val="nil"/>
              <w:tr2bl w:val="nil"/>
            </w:tcBorders>
            <w:noWrap w:val="0"/>
            <w:vAlign w:val="center"/>
          </w:tcPr>
          <w:p w14:paraId="729BE82F">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w:t>
            </w:r>
          </w:p>
        </w:tc>
        <w:tc>
          <w:tcPr>
            <w:tcW w:w="1104" w:type="dxa"/>
            <w:tcBorders>
              <w:tl2br w:val="nil"/>
              <w:tr2bl w:val="nil"/>
            </w:tcBorders>
            <w:noWrap w:val="0"/>
            <w:vAlign w:val="center"/>
          </w:tcPr>
          <w:p w14:paraId="0E0C9777">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水质</w:t>
            </w:r>
          </w:p>
        </w:tc>
        <w:tc>
          <w:tcPr>
            <w:tcW w:w="961" w:type="dxa"/>
            <w:tcBorders>
              <w:tl2br w:val="nil"/>
              <w:tr2bl w:val="nil"/>
            </w:tcBorders>
            <w:noWrap w:val="0"/>
            <w:vAlign w:val="center"/>
          </w:tcPr>
          <w:p w14:paraId="071FD0B9">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1A1636B1">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006F401">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6F26EF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w:t>
            </w:r>
            <w:r>
              <w:rPr>
                <w:rFonts w:hint="eastAsia" w:ascii="Times New Roman" w:hAnsi="Times New Roman" w:eastAsia="宋体" w:cs="Times New Roman"/>
                <w:color w:val="auto"/>
                <w:spacing w:val="0"/>
                <w:w w:val="100"/>
                <w:position w:val="0"/>
                <w:sz w:val="21"/>
                <w:szCs w:val="21"/>
                <w:u w:val="none" w:color="auto"/>
                <w:lang w:val="en-US" w:eastAsia="zh-CN"/>
              </w:rPr>
              <w:t>2</w:t>
            </w:r>
          </w:p>
        </w:tc>
        <w:tc>
          <w:tcPr>
            <w:tcW w:w="924" w:type="dxa"/>
            <w:tcBorders>
              <w:tl2br w:val="nil"/>
              <w:tr2bl w:val="nil"/>
            </w:tcBorders>
            <w:noWrap w:val="0"/>
            <w:vAlign w:val="center"/>
          </w:tcPr>
          <w:p w14:paraId="1057FB65">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16886ADA">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0DC0111B">
            <w:pPr>
              <w:jc w:val="center"/>
              <w:rPr>
                <w:rFonts w:hint="default" w:ascii="Times New Roman" w:hAnsi="Times New Roman" w:eastAsia="宋体" w:cs="Times New Roman"/>
                <w:color w:val="auto"/>
                <w:spacing w:val="0"/>
                <w:w w:val="100"/>
                <w:position w:val="0"/>
                <w:sz w:val="21"/>
                <w:szCs w:val="21"/>
                <w:u w:val="none" w:color="auto"/>
                <w:lang w:val="en-US" w:eastAsia="zh-CN"/>
              </w:rPr>
            </w:pPr>
          </w:p>
        </w:tc>
      </w:tr>
      <w:tr w14:paraId="31A56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773C1FDD">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63A01AAA">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水文情势</w:t>
            </w:r>
          </w:p>
        </w:tc>
        <w:tc>
          <w:tcPr>
            <w:tcW w:w="961" w:type="dxa"/>
            <w:tcBorders>
              <w:tl2br w:val="nil"/>
              <w:tr2bl w:val="nil"/>
            </w:tcBorders>
            <w:noWrap w:val="0"/>
            <w:vAlign w:val="center"/>
          </w:tcPr>
          <w:p w14:paraId="7AFAF2CA">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173B5D25">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4E142BAB">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11E27169">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4783B625">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5C8FFC0B">
            <w:pPr>
              <w:jc w:val="center"/>
              <w:rPr>
                <w:rFonts w:hint="default" w:ascii="Times New Roman" w:hAnsi="Times New Roman" w:eastAsia="宋体" w:cs="Times New Roman"/>
                <w:color w:val="auto"/>
                <w:spacing w:val="0"/>
                <w:w w:val="100"/>
                <w:position w:val="0"/>
                <w:sz w:val="21"/>
                <w:szCs w:val="21"/>
                <w:u w:val="none" w:color="auto"/>
                <w:lang w:val="en-US" w:eastAsia="zh-CN"/>
              </w:rPr>
            </w:pPr>
          </w:p>
        </w:tc>
        <w:tc>
          <w:tcPr>
            <w:tcW w:w="930" w:type="dxa"/>
            <w:tcBorders>
              <w:tl2br w:val="nil"/>
              <w:tr2bl w:val="nil"/>
            </w:tcBorders>
            <w:noWrap w:val="0"/>
            <w:vAlign w:val="center"/>
          </w:tcPr>
          <w:p w14:paraId="3E4DA2C1">
            <w:pPr>
              <w:jc w:val="center"/>
              <w:rPr>
                <w:rFonts w:hint="default" w:ascii="Times New Roman" w:hAnsi="Times New Roman" w:eastAsia="宋体" w:cs="Times New Roman"/>
                <w:color w:val="auto"/>
                <w:spacing w:val="0"/>
                <w:w w:val="100"/>
                <w:position w:val="0"/>
                <w:sz w:val="21"/>
                <w:szCs w:val="21"/>
                <w:u w:val="none" w:color="auto"/>
              </w:rPr>
            </w:pPr>
          </w:p>
        </w:tc>
      </w:tr>
      <w:tr w14:paraId="382D4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restart"/>
            <w:tcBorders>
              <w:tl2br w:val="nil"/>
              <w:tr2bl w:val="nil"/>
            </w:tcBorders>
            <w:noWrap w:val="0"/>
            <w:vAlign w:val="center"/>
          </w:tcPr>
          <w:p w14:paraId="18567423">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地下水</w:t>
            </w:r>
          </w:p>
        </w:tc>
        <w:tc>
          <w:tcPr>
            <w:tcW w:w="1104" w:type="dxa"/>
            <w:tcBorders>
              <w:tl2br w:val="nil"/>
              <w:tr2bl w:val="nil"/>
            </w:tcBorders>
            <w:noWrap w:val="0"/>
            <w:vAlign w:val="center"/>
          </w:tcPr>
          <w:p w14:paraId="44A005AA">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水质</w:t>
            </w:r>
          </w:p>
        </w:tc>
        <w:tc>
          <w:tcPr>
            <w:tcW w:w="961" w:type="dxa"/>
            <w:tcBorders>
              <w:tl2br w:val="nil"/>
              <w:tr2bl w:val="nil"/>
            </w:tcBorders>
            <w:noWrap w:val="0"/>
            <w:vAlign w:val="center"/>
          </w:tcPr>
          <w:p w14:paraId="70E4C7E8">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4FD0C84E">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2009131A">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2A6A796D">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863778B">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601E00D">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29421C94">
            <w:pPr>
              <w:jc w:val="center"/>
              <w:rPr>
                <w:rFonts w:hint="default" w:ascii="Times New Roman" w:hAnsi="Times New Roman" w:eastAsia="宋体" w:cs="Times New Roman"/>
                <w:color w:val="auto"/>
                <w:spacing w:val="0"/>
                <w:w w:val="100"/>
                <w:position w:val="0"/>
                <w:sz w:val="21"/>
                <w:szCs w:val="21"/>
                <w:u w:val="none" w:color="auto"/>
              </w:rPr>
            </w:pPr>
          </w:p>
        </w:tc>
      </w:tr>
      <w:tr w14:paraId="40E03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286A2966">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59827065">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水位</w:t>
            </w:r>
          </w:p>
        </w:tc>
        <w:tc>
          <w:tcPr>
            <w:tcW w:w="961" w:type="dxa"/>
            <w:tcBorders>
              <w:tl2br w:val="nil"/>
              <w:tr2bl w:val="nil"/>
            </w:tcBorders>
            <w:noWrap w:val="0"/>
            <w:vAlign w:val="center"/>
          </w:tcPr>
          <w:p w14:paraId="4801FE29">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79E4E75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7A911262">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744AB205">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276FA7C1">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37BE7B47">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w:t>
            </w:r>
            <w:r>
              <w:rPr>
                <w:rFonts w:hint="eastAsia" w:ascii="Times New Roman" w:hAnsi="Times New Roman" w:eastAsia="宋体" w:cs="Times New Roman"/>
                <w:color w:val="auto"/>
                <w:spacing w:val="0"/>
                <w:w w:val="100"/>
                <w:position w:val="0"/>
                <w:sz w:val="21"/>
                <w:szCs w:val="21"/>
                <w:u w:val="none" w:color="auto"/>
                <w:lang w:val="en-US" w:eastAsia="zh-CN"/>
              </w:rPr>
              <w:t>1</w:t>
            </w:r>
          </w:p>
        </w:tc>
        <w:tc>
          <w:tcPr>
            <w:tcW w:w="930" w:type="dxa"/>
            <w:tcBorders>
              <w:tl2br w:val="nil"/>
              <w:tr2bl w:val="nil"/>
            </w:tcBorders>
            <w:noWrap w:val="0"/>
            <w:vAlign w:val="center"/>
          </w:tcPr>
          <w:p w14:paraId="5B370780">
            <w:pPr>
              <w:jc w:val="center"/>
              <w:rPr>
                <w:rFonts w:hint="default" w:ascii="Times New Roman" w:hAnsi="Times New Roman" w:eastAsia="宋体" w:cs="Times New Roman"/>
                <w:color w:val="auto"/>
                <w:spacing w:val="0"/>
                <w:w w:val="100"/>
                <w:position w:val="0"/>
                <w:sz w:val="21"/>
                <w:szCs w:val="21"/>
                <w:u w:val="none" w:color="auto"/>
              </w:rPr>
            </w:pPr>
          </w:p>
        </w:tc>
      </w:tr>
      <w:tr w14:paraId="742F7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tcBorders>
              <w:tl2br w:val="nil"/>
              <w:tr2bl w:val="nil"/>
            </w:tcBorders>
            <w:noWrap w:val="0"/>
            <w:vAlign w:val="center"/>
          </w:tcPr>
          <w:p w14:paraId="6E5A6BCD">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声环境</w:t>
            </w:r>
          </w:p>
        </w:tc>
        <w:tc>
          <w:tcPr>
            <w:tcW w:w="1104" w:type="dxa"/>
            <w:tcBorders>
              <w:tl2br w:val="nil"/>
              <w:tr2bl w:val="nil"/>
            </w:tcBorders>
            <w:noWrap w:val="0"/>
            <w:vAlign w:val="center"/>
          </w:tcPr>
          <w:p w14:paraId="20AFA680">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噪声</w:t>
            </w:r>
          </w:p>
        </w:tc>
        <w:tc>
          <w:tcPr>
            <w:tcW w:w="961" w:type="dxa"/>
            <w:tcBorders>
              <w:tl2br w:val="nil"/>
              <w:tr2bl w:val="nil"/>
            </w:tcBorders>
            <w:noWrap w:val="0"/>
            <w:vAlign w:val="center"/>
          </w:tcPr>
          <w:p w14:paraId="7861D1BE">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3A21C035">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1DF7659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24" w:type="dxa"/>
            <w:tcBorders>
              <w:tl2br w:val="nil"/>
              <w:tr2bl w:val="nil"/>
            </w:tcBorders>
            <w:noWrap w:val="0"/>
            <w:vAlign w:val="center"/>
          </w:tcPr>
          <w:p w14:paraId="23004405">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24" w:type="dxa"/>
            <w:tcBorders>
              <w:tl2br w:val="nil"/>
              <w:tr2bl w:val="nil"/>
            </w:tcBorders>
            <w:noWrap w:val="0"/>
            <w:vAlign w:val="center"/>
          </w:tcPr>
          <w:p w14:paraId="167F049F">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3A309D32">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3C19AF4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r>
      <w:tr w14:paraId="34290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restart"/>
            <w:tcBorders>
              <w:tl2br w:val="nil"/>
              <w:tr2bl w:val="nil"/>
            </w:tcBorders>
            <w:noWrap w:val="0"/>
            <w:vAlign w:val="center"/>
          </w:tcPr>
          <w:p w14:paraId="6B96F7F3">
            <w:pPr>
              <w:jc w:val="center"/>
              <w:rPr>
                <w:rFonts w:hint="default" w:ascii="Times New Roman" w:hAnsi="Times New Roman" w:eastAsia="宋体" w:cs="Times New Roman"/>
                <w:color w:val="auto"/>
                <w:spacing w:val="0"/>
                <w:w w:val="100"/>
                <w:position w:val="0"/>
                <w:sz w:val="21"/>
                <w:szCs w:val="21"/>
                <w:u w:val="none" w:color="auto"/>
              </w:rPr>
            </w:pPr>
          </w:p>
          <w:p w14:paraId="2690E0EC">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土壤</w:t>
            </w:r>
          </w:p>
        </w:tc>
        <w:tc>
          <w:tcPr>
            <w:tcW w:w="1104" w:type="dxa"/>
            <w:tcBorders>
              <w:tl2br w:val="nil"/>
              <w:tr2bl w:val="nil"/>
            </w:tcBorders>
            <w:noWrap w:val="0"/>
            <w:vAlign w:val="center"/>
          </w:tcPr>
          <w:p w14:paraId="78267E45">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土壤侵蚀</w:t>
            </w:r>
          </w:p>
        </w:tc>
        <w:tc>
          <w:tcPr>
            <w:tcW w:w="961" w:type="dxa"/>
            <w:tcBorders>
              <w:tl2br w:val="nil"/>
              <w:tr2bl w:val="nil"/>
            </w:tcBorders>
            <w:noWrap w:val="0"/>
            <w:vAlign w:val="center"/>
          </w:tcPr>
          <w:p w14:paraId="15DEBC03">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23" w:type="dxa"/>
            <w:tcBorders>
              <w:tl2br w:val="nil"/>
              <w:tr2bl w:val="nil"/>
            </w:tcBorders>
            <w:noWrap w:val="0"/>
            <w:vAlign w:val="center"/>
          </w:tcPr>
          <w:p w14:paraId="083984EC">
            <w:pPr>
              <w:jc w:val="center"/>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24" w:type="dxa"/>
            <w:tcBorders>
              <w:tl2br w:val="nil"/>
              <w:tr2bl w:val="nil"/>
            </w:tcBorders>
            <w:noWrap w:val="0"/>
            <w:vAlign w:val="center"/>
          </w:tcPr>
          <w:p w14:paraId="68BD1491">
            <w:pPr>
              <w:jc w:val="center"/>
              <w:rPr>
                <w:rFonts w:hint="default" w:ascii="Times New Roman" w:hAnsi="Times New Roman" w:eastAsia="宋体" w:cs="Times New Roman"/>
                <w:color w:val="auto"/>
                <w:spacing w:val="0"/>
                <w:w w:val="100"/>
                <w:position w:val="0"/>
                <w:sz w:val="21"/>
                <w:szCs w:val="21"/>
                <w:u w:val="none" w:color="auto"/>
                <w:lang w:val="en-US" w:eastAsia="zh-CN"/>
              </w:rPr>
            </w:pPr>
          </w:p>
        </w:tc>
        <w:tc>
          <w:tcPr>
            <w:tcW w:w="924" w:type="dxa"/>
            <w:tcBorders>
              <w:tl2br w:val="nil"/>
              <w:tr2bl w:val="nil"/>
            </w:tcBorders>
            <w:noWrap w:val="0"/>
            <w:vAlign w:val="center"/>
          </w:tcPr>
          <w:p w14:paraId="40479B53">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24" w:type="dxa"/>
            <w:tcBorders>
              <w:tl2br w:val="nil"/>
              <w:tr2bl w:val="nil"/>
            </w:tcBorders>
            <w:noWrap w:val="0"/>
            <w:vAlign w:val="center"/>
          </w:tcPr>
          <w:p w14:paraId="29C24FE1">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71EE9A58">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344B9233">
            <w:pPr>
              <w:jc w:val="center"/>
              <w:rPr>
                <w:rFonts w:hint="default" w:ascii="Times New Roman" w:hAnsi="Times New Roman" w:eastAsia="宋体" w:cs="Times New Roman"/>
                <w:color w:val="auto"/>
                <w:spacing w:val="0"/>
                <w:w w:val="100"/>
                <w:position w:val="0"/>
                <w:sz w:val="21"/>
                <w:szCs w:val="21"/>
                <w:u w:val="none" w:color="auto"/>
              </w:rPr>
            </w:pPr>
          </w:p>
        </w:tc>
      </w:tr>
      <w:tr w14:paraId="3D853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6871BBD6">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2D3FDC81">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土壤类型与理化性质</w:t>
            </w:r>
          </w:p>
        </w:tc>
        <w:tc>
          <w:tcPr>
            <w:tcW w:w="961" w:type="dxa"/>
            <w:tcBorders>
              <w:tl2br w:val="nil"/>
              <w:tr2bl w:val="nil"/>
            </w:tcBorders>
            <w:noWrap w:val="0"/>
            <w:vAlign w:val="center"/>
          </w:tcPr>
          <w:p w14:paraId="00055638">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279CFCF8">
            <w:pPr>
              <w:jc w:val="center"/>
              <w:rPr>
                <w:rFonts w:hint="default" w:ascii="Times New Roman" w:hAnsi="Times New Roman" w:eastAsia="宋体" w:cs="Times New Roman"/>
                <w:color w:val="auto"/>
                <w:spacing w:val="0"/>
                <w:w w:val="100"/>
                <w:kern w:val="2"/>
                <w:position w:val="0"/>
                <w:sz w:val="21"/>
                <w:szCs w:val="21"/>
                <w:u w:val="none" w:color="auto"/>
                <w:lang w:val="en-US" w:eastAsia="zh-CN" w:bidi="ar-SA"/>
              </w:rPr>
            </w:pPr>
          </w:p>
        </w:tc>
        <w:tc>
          <w:tcPr>
            <w:tcW w:w="924" w:type="dxa"/>
            <w:tcBorders>
              <w:tl2br w:val="nil"/>
              <w:tr2bl w:val="nil"/>
            </w:tcBorders>
            <w:noWrap w:val="0"/>
            <w:vAlign w:val="center"/>
          </w:tcPr>
          <w:p w14:paraId="57F8A500">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554EC7B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677D2A4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1BB73F01">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709D480D">
            <w:pPr>
              <w:jc w:val="center"/>
              <w:rPr>
                <w:rFonts w:hint="default" w:ascii="Times New Roman" w:hAnsi="Times New Roman" w:eastAsia="宋体" w:cs="Times New Roman"/>
                <w:color w:val="auto"/>
                <w:spacing w:val="0"/>
                <w:w w:val="100"/>
                <w:position w:val="0"/>
                <w:sz w:val="21"/>
                <w:szCs w:val="21"/>
                <w:u w:val="none" w:color="auto"/>
              </w:rPr>
            </w:pPr>
          </w:p>
        </w:tc>
      </w:tr>
      <w:tr w14:paraId="56B3D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20" w:type="dxa"/>
            <w:gridSpan w:val="2"/>
            <w:tcBorders>
              <w:tl2br w:val="nil"/>
              <w:tr2bl w:val="nil"/>
            </w:tcBorders>
            <w:noWrap w:val="0"/>
            <w:vAlign w:val="center"/>
          </w:tcPr>
          <w:p w14:paraId="2FB3F1A2">
            <w:pPr>
              <w:jc w:val="center"/>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风险</w:t>
            </w:r>
          </w:p>
        </w:tc>
        <w:tc>
          <w:tcPr>
            <w:tcW w:w="961" w:type="dxa"/>
            <w:tcBorders>
              <w:tl2br w:val="nil"/>
              <w:tr2bl w:val="nil"/>
            </w:tcBorders>
            <w:noWrap w:val="0"/>
            <w:vAlign w:val="center"/>
          </w:tcPr>
          <w:p w14:paraId="5E5E8EE8">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5C62B5F8">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46BBF10F">
            <w:pPr>
              <w:jc w:val="center"/>
              <w:rPr>
                <w:rFonts w:hint="default" w:ascii="Times New Roman" w:hAnsi="Times New Roman" w:eastAsia="宋体" w:cs="Times New Roman"/>
                <w:color w:val="auto"/>
                <w:spacing w:val="0"/>
                <w:w w:val="100"/>
                <w:kern w:val="2"/>
                <w:position w:val="0"/>
                <w:sz w:val="21"/>
                <w:szCs w:val="21"/>
                <w:u w:val="none" w:color="auto"/>
                <w:lang w:val="en-US" w:eastAsia="zh-CN" w:bidi="ar-SA"/>
              </w:rPr>
            </w:pPr>
          </w:p>
        </w:tc>
        <w:tc>
          <w:tcPr>
            <w:tcW w:w="924" w:type="dxa"/>
            <w:tcBorders>
              <w:tl2br w:val="nil"/>
              <w:tr2bl w:val="nil"/>
            </w:tcBorders>
            <w:noWrap w:val="0"/>
            <w:vAlign w:val="center"/>
          </w:tcPr>
          <w:p w14:paraId="741D728E">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06067EA8">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0ED0D35">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30" w:type="dxa"/>
            <w:tcBorders>
              <w:tl2br w:val="nil"/>
              <w:tr2bl w:val="nil"/>
            </w:tcBorders>
            <w:noWrap w:val="0"/>
            <w:vAlign w:val="center"/>
          </w:tcPr>
          <w:p w14:paraId="651CB04D">
            <w:pPr>
              <w:jc w:val="center"/>
              <w:rPr>
                <w:rFonts w:hint="default" w:ascii="Times New Roman" w:hAnsi="Times New Roman" w:eastAsia="宋体" w:cs="Times New Roman"/>
                <w:color w:val="auto"/>
                <w:spacing w:val="0"/>
                <w:w w:val="100"/>
                <w:position w:val="0"/>
                <w:sz w:val="21"/>
                <w:szCs w:val="21"/>
                <w:u w:val="none" w:color="auto"/>
              </w:rPr>
            </w:pPr>
          </w:p>
        </w:tc>
      </w:tr>
      <w:tr w14:paraId="24E01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restart"/>
            <w:tcBorders>
              <w:tl2br w:val="nil"/>
              <w:tr2bl w:val="nil"/>
            </w:tcBorders>
            <w:noWrap w:val="0"/>
            <w:vAlign w:val="center"/>
          </w:tcPr>
          <w:p w14:paraId="3696CF10">
            <w:pPr>
              <w:jc w:val="center"/>
              <w:rPr>
                <w:rFonts w:hint="default" w:ascii="Times New Roman" w:hAnsi="Times New Roman" w:eastAsia="宋体" w:cs="Times New Roman"/>
                <w:color w:val="auto"/>
                <w:spacing w:val="0"/>
                <w:w w:val="100"/>
                <w:position w:val="0"/>
                <w:sz w:val="21"/>
                <w:szCs w:val="21"/>
                <w:u w:val="none" w:color="auto"/>
              </w:rPr>
            </w:pPr>
          </w:p>
          <w:p w14:paraId="20844009">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社会环境</w:t>
            </w:r>
          </w:p>
        </w:tc>
        <w:tc>
          <w:tcPr>
            <w:tcW w:w="1104" w:type="dxa"/>
            <w:tcBorders>
              <w:tl2br w:val="nil"/>
              <w:tr2bl w:val="nil"/>
            </w:tcBorders>
            <w:noWrap w:val="0"/>
            <w:vAlign w:val="center"/>
          </w:tcPr>
          <w:p w14:paraId="006CDC26">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社会经济</w:t>
            </w:r>
          </w:p>
        </w:tc>
        <w:tc>
          <w:tcPr>
            <w:tcW w:w="961" w:type="dxa"/>
            <w:tcBorders>
              <w:tl2br w:val="nil"/>
              <w:tr2bl w:val="nil"/>
            </w:tcBorders>
            <w:noWrap w:val="0"/>
            <w:vAlign w:val="center"/>
          </w:tcPr>
          <w:p w14:paraId="17F0941C">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612EBFA7">
            <w:pPr>
              <w:jc w:val="center"/>
              <w:rPr>
                <w:rFonts w:hint="default" w:ascii="Times New Roman" w:hAnsi="Times New Roman" w:eastAsia="宋体" w:cs="Times New Roman"/>
                <w:color w:val="auto"/>
                <w:spacing w:val="0"/>
                <w:w w:val="100"/>
                <w:kern w:val="2"/>
                <w:position w:val="0"/>
                <w:sz w:val="21"/>
                <w:szCs w:val="21"/>
                <w:u w:val="none" w:color="auto"/>
                <w:lang w:val="en-US" w:eastAsia="zh-CN" w:bidi="ar-SA"/>
              </w:rPr>
            </w:pPr>
          </w:p>
        </w:tc>
        <w:tc>
          <w:tcPr>
            <w:tcW w:w="924" w:type="dxa"/>
            <w:tcBorders>
              <w:tl2br w:val="nil"/>
              <w:tr2bl w:val="nil"/>
            </w:tcBorders>
            <w:noWrap w:val="0"/>
            <w:vAlign w:val="center"/>
          </w:tcPr>
          <w:p w14:paraId="1FFC1E6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1B7D63E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5475FA36">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5E57C179">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799E3809">
            <w:pPr>
              <w:jc w:val="center"/>
              <w:rPr>
                <w:rFonts w:hint="default" w:ascii="Times New Roman" w:hAnsi="Times New Roman" w:eastAsia="宋体" w:cs="Times New Roman"/>
                <w:color w:val="auto"/>
                <w:spacing w:val="0"/>
                <w:w w:val="100"/>
                <w:position w:val="0"/>
                <w:sz w:val="21"/>
                <w:szCs w:val="21"/>
                <w:u w:val="none" w:color="auto"/>
              </w:rPr>
            </w:pPr>
          </w:p>
        </w:tc>
      </w:tr>
      <w:tr w14:paraId="12857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72F4E75E">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74CD5586">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土地利用</w:t>
            </w:r>
          </w:p>
        </w:tc>
        <w:tc>
          <w:tcPr>
            <w:tcW w:w="961" w:type="dxa"/>
            <w:tcBorders>
              <w:tl2br w:val="nil"/>
              <w:tr2bl w:val="nil"/>
            </w:tcBorders>
            <w:noWrap w:val="0"/>
            <w:vAlign w:val="center"/>
          </w:tcPr>
          <w:p w14:paraId="3F730FCA">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3" w:type="dxa"/>
            <w:tcBorders>
              <w:tl2br w:val="nil"/>
              <w:tr2bl w:val="nil"/>
            </w:tcBorders>
            <w:noWrap w:val="0"/>
            <w:vAlign w:val="center"/>
          </w:tcPr>
          <w:p w14:paraId="6546CCD4">
            <w:pPr>
              <w:jc w:val="center"/>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1B486C7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16DA6AF3">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67F0D4C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059F4D67">
            <w:pPr>
              <w:jc w:val="center"/>
              <w:rPr>
                <w:rFonts w:hint="default" w:ascii="Times New Roman" w:hAnsi="Times New Roman" w:eastAsia="宋体" w:cs="Times New Roman"/>
                <w:color w:val="auto"/>
                <w:spacing w:val="0"/>
                <w:w w:val="100"/>
                <w:position w:val="0"/>
                <w:sz w:val="21"/>
                <w:szCs w:val="21"/>
                <w:u w:val="none" w:color="auto"/>
              </w:rPr>
            </w:pPr>
          </w:p>
        </w:tc>
        <w:tc>
          <w:tcPr>
            <w:tcW w:w="930" w:type="dxa"/>
            <w:tcBorders>
              <w:tl2br w:val="nil"/>
              <w:tr2bl w:val="nil"/>
            </w:tcBorders>
            <w:noWrap w:val="0"/>
            <w:vAlign w:val="center"/>
          </w:tcPr>
          <w:p w14:paraId="5FC1B43B">
            <w:pPr>
              <w:jc w:val="center"/>
              <w:rPr>
                <w:rFonts w:hint="default" w:ascii="Times New Roman" w:hAnsi="Times New Roman" w:eastAsia="宋体" w:cs="Times New Roman"/>
                <w:color w:val="auto"/>
                <w:spacing w:val="0"/>
                <w:w w:val="100"/>
                <w:position w:val="0"/>
                <w:sz w:val="21"/>
                <w:szCs w:val="21"/>
                <w:u w:val="none" w:color="auto"/>
              </w:rPr>
            </w:pPr>
          </w:p>
        </w:tc>
      </w:tr>
      <w:tr w14:paraId="2D1B9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07E03E51">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7468285D">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水资源利用</w:t>
            </w:r>
          </w:p>
        </w:tc>
        <w:tc>
          <w:tcPr>
            <w:tcW w:w="961" w:type="dxa"/>
            <w:tcBorders>
              <w:tl2br w:val="nil"/>
              <w:tr2bl w:val="nil"/>
            </w:tcBorders>
            <w:noWrap w:val="0"/>
            <w:vAlign w:val="center"/>
          </w:tcPr>
          <w:p w14:paraId="5C75F69D">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0FA156E9">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4A233813">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595A517A">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4EB9E6E6">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76669350">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+2</w:t>
            </w:r>
          </w:p>
        </w:tc>
        <w:tc>
          <w:tcPr>
            <w:tcW w:w="930" w:type="dxa"/>
            <w:tcBorders>
              <w:tl2br w:val="nil"/>
              <w:tr2bl w:val="nil"/>
            </w:tcBorders>
            <w:noWrap w:val="0"/>
            <w:vAlign w:val="center"/>
          </w:tcPr>
          <w:p w14:paraId="407E7D30">
            <w:pPr>
              <w:jc w:val="center"/>
              <w:rPr>
                <w:rFonts w:hint="default" w:ascii="Times New Roman" w:hAnsi="Times New Roman" w:eastAsia="宋体" w:cs="Times New Roman"/>
                <w:color w:val="auto"/>
                <w:spacing w:val="0"/>
                <w:w w:val="100"/>
                <w:position w:val="0"/>
                <w:sz w:val="21"/>
                <w:szCs w:val="21"/>
                <w:u w:val="none" w:color="auto"/>
              </w:rPr>
            </w:pPr>
          </w:p>
        </w:tc>
      </w:tr>
      <w:tr w14:paraId="6ADD8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6" w:type="dxa"/>
            <w:vMerge w:val="continue"/>
            <w:tcBorders>
              <w:tl2br w:val="nil"/>
              <w:tr2bl w:val="nil"/>
            </w:tcBorders>
            <w:noWrap w:val="0"/>
            <w:vAlign w:val="center"/>
          </w:tcPr>
          <w:p w14:paraId="6F1CCF23">
            <w:pPr>
              <w:jc w:val="center"/>
              <w:rPr>
                <w:rFonts w:hint="default" w:ascii="Times New Roman" w:hAnsi="Times New Roman" w:eastAsia="宋体" w:cs="Times New Roman"/>
                <w:color w:val="auto"/>
                <w:spacing w:val="0"/>
                <w:w w:val="100"/>
                <w:position w:val="0"/>
                <w:sz w:val="21"/>
                <w:szCs w:val="21"/>
                <w:u w:val="none" w:color="auto"/>
              </w:rPr>
            </w:pPr>
          </w:p>
        </w:tc>
        <w:tc>
          <w:tcPr>
            <w:tcW w:w="1104" w:type="dxa"/>
            <w:tcBorders>
              <w:tl2br w:val="nil"/>
              <w:tr2bl w:val="nil"/>
            </w:tcBorders>
            <w:noWrap w:val="0"/>
            <w:vAlign w:val="center"/>
          </w:tcPr>
          <w:p w14:paraId="58F63071">
            <w:pPr>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人群健康</w:t>
            </w:r>
          </w:p>
        </w:tc>
        <w:tc>
          <w:tcPr>
            <w:tcW w:w="961" w:type="dxa"/>
            <w:tcBorders>
              <w:tl2br w:val="nil"/>
              <w:tr2bl w:val="nil"/>
            </w:tcBorders>
            <w:noWrap w:val="0"/>
            <w:vAlign w:val="center"/>
          </w:tcPr>
          <w:p w14:paraId="7B0984FB">
            <w:pPr>
              <w:jc w:val="center"/>
              <w:rPr>
                <w:rFonts w:hint="default" w:ascii="Times New Roman" w:hAnsi="Times New Roman" w:eastAsia="宋体" w:cs="Times New Roman"/>
                <w:color w:val="auto"/>
                <w:spacing w:val="0"/>
                <w:w w:val="100"/>
                <w:position w:val="0"/>
                <w:sz w:val="21"/>
                <w:szCs w:val="21"/>
                <w:u w:val="none" w:color="auto"/>
              </w:rPr>
            </w:pPr>
          </w:p>
        </w:tc>
        <w:tc>
          <w:tcPr>
            <w:tcW w:w="923" w:type="dxa"/>
            <w:tcBorders>
              <w:tl2br w:val="nil"/>
              <w:tr2bl w:val="nil"/>
            </w:tcBorders>
            <w:noWrap w:val="0"/>
            <w:vAlign w:val="center"/>
          </w:tcPr>
          <w:p w14:paraId="3D8BCFF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33145D2E">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221205A5">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24" w:type="dxa"/>
            <w:tcBorders>
              <w:tl2br w:val="nil"/>
              <w:tr2bl w:val="nil"/>
            </w:tcBorders>
            <w:noWrap w:val="0"/>
            <w:vAlign w:val="center"/>
          </w:tcPr>
          <w:p w14:paraId="7FCAE777">
            <w:pPr>
              <w:jc w:val="center"/>
              <w:rPr>
                <w:rFonts w:hint="default" w:ascii="Times New Roman" w:hAnsi="Times New Roman" w:eastAsia="宋体" w:cs="Times New Roman"/>
                <w:color w:val="auto"/>
                <w:spacing w:val="0"/>
                <w:w w:val="100"/>
                <w:position w:val="0"/>
                <w:sz w:val="21"/>
                <w:szCs w:val="21"/>
                <w:u w:val="none" w:color="auto"/>
              </w:rPr>
            </w:pPr>
          </w:p>
        </w:tc>
        <w:tc>
          <w:tcPr>
            <w:tcW w:w="924" w:type="dxa"/>
            <w:tcBorders>
              <w:tl2br w:val="nil"/>
              <w:tr2bl w:val="nil"/>
            </w:tcBorders>
            <w:noWrap w:val="0"/>
            <w:vAlign w:val="center"/>
          </w:tcPr>
          <w:p w14:paraId="17592A7A">
            <w:pPr>
              <w:jc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w:t>
            </w:r>
          </w:p>
        </w:tc>
        <w:tc>
          <w:tcPr>
            <w:tcW w:w="930" w:type="dxa"/>
            <w:tcBorders>
              <w:tl2br w:val="nil"/>
              <w:tr2bl w:val="nil"/>
            </w:tcBorders>
            <w:noWrap w:val="0"/>
            <w:vAlign w:val="center"/>
          </w:tcPr>
          <w:p w14:paraId="4E32D633">
            <w:pPr>
              <w:jc w:val="center"/>
              <w:rPr>
                <w:rFonts w:hint="default" w:ascii="Times New Roman" w:hAnsi="Times New Roman" w:eastAsia="宋体" w:cs="Times New Roman"/>
                <w:color w:val="auto"/>
                <w:spacing w:val="0"/>
                <w:w w:val="100"/>
                <w:position w:val="0"/>
                <w:sz w:val="21"/>
                <w:szCs w:val="21"/>
                <w:u w:val="none" w:color="auto"/>
              </w:rPr>
            </w:pPr>
          </w:p>
        </w:tc>
      </w:tr>
    </w:tbl>
    <w:p w14:paraId="2619038A">
      <w:pPr>
        <w:keepNext w:val="0"/>
        <w:keepLines w:val="0"/>
        <w:pageBreakBefore w:val="0"/>
        <w:widowControl w:val="0"/>
        <w:kinsoku/>
        <w:wordWrap/>
        <w:overflowPunct/>
        <w:topLinePunct w:val="0"/>
        <w:autoSpaceDE/>
        <w:autoSpaceDN/>
        <w:bidi w:val="0"/>
        <w:adjustRightInd/>
        <w:snapToGrid/>
        <w:spacing w:beforeAutospacing="0" w:after="157" w:afterLines="50" w:afterAutospacing="0" w:line="240" w:lineRule="auto"/>
        <w:ind w:left="0"/>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说明：</w:t>
      </w:r>
      <w:r>
        <w:rPr>
          <w:rFonts w:hint="default" w:ascii="Times New Roman" w:hAnsi="Times New Roman" w:eastAsia="宋体" w:cs="Times New Roman"/>
          <w:b/>
          <w:bCs/>
          <w:color w:val="auto"/>
          <w:spacing w:val="0"/>
          <w:w w:val="100"/>
          <w:position w:val="0"/>
          <w:sz w:val="21"/>
          <w:szCs w:val="21"/>
          <w:u w:val="none" w:color="auto"/>
          <w:lang w:val="en-US" w:eastAsia="zh-CN"/>
        </w:rPr>
        <w:t>+</w:t>
      </w:r>
      <w:r>
        <w:rPr>
          <w:rFonts w:hint="default" w:ascii="Times New Roman" w:hAnsi="Times New Roman" w:eastAsia="Times New Roman" w:cs="Times New Roman"/>
          <w:b/>
          <w:bCs/>
          <w:color w:val="auto"/>
          <w:spacing w:val="0"/>
          <w:w w:val="100"/>
          <w:position w:val="0"/>
          <w:sz w:val="21"/>
          <w:szCs w:val="21"/>
          <w:u w:val="none" w:color="auto"/>
        </w:rPr>
        <w:t>/</w:t>
      </w:r>
      <w:r>
        <w:rPr>
          <w:rFonts w:hint="default" w:ascii="Times New Roman" w:hAnsi="Times New Roman" w:eastAsia="宋体" w:cs="Times New Roman"/>
          <w:b/>
          <w:bCs/>
          <w:color w:val="auto"/>
          <w:spacing w:val="0"/>
          <w:w w:val="100"/>
          <w:position w:val="0"/>
          <w:sz w:val="21"/>
          <w:szCs w:val="21"/>
          <w:u w:val="none" w:color="auto"/>
          <w:lang w:val="en-US" w:eastAsia="zh-CN"/>
        </w:rPr>
        <w:t>-</w:t>
      </w:r>
      <w:r>
        <w:rPr>
          <w:rFonts w:hint="default" w:ascii="Times New Roman" w:hAnsi="Times New Roman" w:eastAsia="宋体" w:cs="Times New Roman"/>
          <w:b/>
          <w:bCs/>
          <w:color w:val="auto"/>
          <w:spacing w:val="0"/>
          <w:w w:val="100"/>
          <w:position w:val="0"/>
          <w:sz w:val="21"/>
          <w:szCs w:val="21"/>
          <w:u w:val="none" w:color="auto"/>
        </w:rPr>
        <w:t>：不利</w:t>
      </w:r>
      <w:r>
        <w:rPr>
          <w:rFonts w:hint="default" w:ascii="Times New Roman" w:hAnsi="Times New Roman" w:eastAsia="Times New Roman" w:cs="Times New Roman"/>
          <w:b/>
          <w:bCs/>
          <w:color w:val="auto"/>
          <w:spacing w:val="0"/>
          <w:w w:val="100"/>
          <w:position w:val="0"/>
          <w:sz w:val="21"/>
          <w:szCs w:val="21"/>
          <w:u w:val="none" w:color="auto"/>
        </w:rPr>
        <w:t>/</w:t>
      </w:r>
      <w:r>
        <w:rPr>
          <w:rFonts w:hint="default" w:ascii="Times New Roman" w:hAnsi="Times New Roman" w:eastAsia="宋体" w:cs="Times New Roman"/>
          <w:b/>
          <w:bCs/>
          <w:color w:val="auto"/>
          <w:spacing w:val="0"/>
          <w:w w:val="100"/>
          <w:position w:val="0"/>
          <w:sz w:val="21"/>
          <w:szCs w:val="21"/>
          <w:u w:val="none" w:color="auto"/>
        </w:rPr>
        <w:t>有利影响。</w:t>
      </w:r>
      <w:r>
        <w:rPr>
          <w:rFonts w:hint="default" w:ascii="Times New Roman" w:hAnsi="Times New Roman" w:eastAsia="Times New Roman" w:cs="Times New Roman"/>
          <w:b/>
          <w:bCs/>
          <w:color w:val="auto"/>
          <w:spacing w:val="0"/>
          <w:w w:val="100"/>
          <w:position w:val="0"/>
          <w:sz w:val="21"/>
          <w:szCs w:val="21"/>
          <w:u w:val="none" w:color="auto"/>
        </w:rPr>
        <w:t>“1”</w:t>
      </w:r>
      <w:r>
        <w:rPr>
          <w:rFonts w:hint="default" w:ascii="Times New Roman" w:hAnsi="Times New Roman" w:eastAsia="宋体" w:cs="Times New Roman"/>
          <w:b/>
          <w:bCs/>
          <w:color w:val="auto"/>
          <w:spacing w:val="0"/>
          <w:w w:val="100"/>
          <w:position w:val="0"/>
          <w:sz w:val="21"/>
          <w:szCs w:val="21"/>
          <w:u w:val="none" w:color="auto"/>
        </w:rPr>
        <w:t>表示影响较小；</w:t>
      </w:r>
      <w:r>
        <w:rPr>
          <w:rFonts w:hint="default" w:ascii="Times New Roman" w:hAnsi="Times New Roman" w:eastAsia="Times New Roman" w:cs="Times New Roman"/>
          <w:b/>
          <w:bCs/>
          <w:color w:val="auto"/>
          <w:spacing w:val="0"/>
          <w:w w:val="100"/>
          <w:position w:val="0"/>
          <w:sz w:val="21"/>
          <w:szCs w:val="21"/>
          <w:u w:val="none" w:color="auto"/>
        </w:rPr>
        <w:t>“2”</w:t>
      </w:r>
      <w:r>
        <w:rPr>
          <w:rFonts w:hint="default" w:ascii="Times New Roman" w:hAnsi="Times New Roman" w:eastAsia="宋体" w:cs="Times New Roman"/>
          <w:b/>
          <w:bCs/>
          <w:color w:val="auto"/>
          <w:spacing w:val="0"/>
          <w:w w:val="100"/>
          <w:position w:val="0"/>
          <w:sz w:val="21"/>
          <w:szCs w:val="21"/>
          <w:u w:val="none" w:color="auto"/>
        </w:rPr>
        <w:t>表示影响中等；</w:t>
      </w:r>
      <w:r>
        <w:rPr>
          <w:rFonts w:hint="default" w:ascii="Times New Roman" w:hAnsi="Times New Roman" w:eastAsia="Times New Roman" w:cs="Times New Roman"/>
          <w:b/>
          <w:bCs/>
          <w:color w:val="auto"/>
          <w:spacing w:val="0"/>
          <w:w w:val="100"/>
          <w:position w:val="0"/>
          <w:sz w:val="21"/>
          <w:szCs w:val="21"/>
          <w:u w:val="none" w:color="auto"/>
        </w:rPr>
        <w:t>“3”</w:t>
      </w:r>
      <w:r>
        <w:rPr>
          <w:rFonts w:hint="default" w:ascii="Times New Roman" w:hAnsi="Times New Roman" w:eastAsia="宋体" w:cs="Times New Roman"/>
          <w:b/>
          <w:bCs/>
          <w:color w:val="auto"/>
          <w:spacing w:val="0"/>
          <w:w w:val="100"/>
          <w:position w:val="0"/>
          <w:sz w:val="21"/>
          <w:szCs w:val="21"/>
          <w:u w:val="none" w:color="auto"/>
        </w:rPr>
        <w:t>表示影响较大</w:t>
      </w:r>
      <w:r>
        <w:rPr>
          <w:rFonts w:hint="default" w:ascii="Times New Roman" w:hAnsi="Times New Roman" w:eastAsia="宋体" w:cs="Times New Roman"/>
          <w:b/>
          <w:bCs/>
          <w:color w:val="auto"/>
          <w:spacing w:val="0"/>
          <w:w w:val="100"/>
          <w:position w:val="0"/>
          <w:sz w:val="21"/>
          <w:szCs w:val="21"/>
          <w:u w:val="none" w:color="auto"/>
          <w:lang w:eastAsia="zh-CN"/>
        </w:rPr>
        <w:t>；空白：无影响或基本无影响</w:t>
      </w:r>
      <w:r>
        <w:rPr>
          <w:rFonts w:hint="default" w:ascii="Times New Roman" w:hAnsi="Times New Roman" w:eastAsia="宋体" w:cs="Times New Roman"/>
          <w:b/>
          <w:bCs/>
          <w:color w:val="auto"/>
          <w:spacing w:val="0"/>
          <w:w w:val="100"/>
          <w:position w:val="0"/>
          <w:sz w:val="21"/>
          <w:szCs w:val="21"/>
          <w:u w:val="none" w:color="auto"/>
        </w:rPr>
        <w:t>。</w:t>
      </w:r>
    </w:p>
    <w:p w14:paraId="364C812A">
      <w:pPr>
        <w:spacing w:line="214" w:lineRule="auto"/>
        <w:jc w:val="center"/>
        <w:rPr>
          <w:rFonts w:hint="default" w:ascii="Times New Roman" w:hAnsi="Times New Roman" w:eastAsia="宋体" w:cs="Times New Roman"/>
          <w:b/>
          <w:bCs/>
          <w:color w:val="auto"/>
          <w:spacing w:val="0"/>
          <w:w w:val="100"/>
          <w:position w:val="0"/>
          <w:sz w:val="24"/>
          <w:szCs w:val="24"/>
          <w:u w:val="none" w:color="auto"/>
        </w:rPr>
      </w:pPr>
      <w:r>
        <w:rPr>
          <w:rFonts w:hint="eastAsia" w:ascii="Times New Roman" w:hAnsi="Times New Roman" w:eastAsia="宋体" w:cs="Times New Roman"/>
          <w:b/>
          <w:bCs/>
          <w:color w:val="auto"/>
          <w:spacing w:val="0"/>
          <w:w w:val="100"/>
          <w:position w:val="0"/>
          <w:sz w:val="24"/>
          <w:szCs w:val="24"/>
          <w:u w:val="none" w:color="auto"/>
          <w:lang w:eastAsia="zh-CN"/>
        </w:rPr>
        <w:t>表</w:t>
      </w:r>
      <w:r>
        <w:rPr>
          <w:rFonts w:hint="default" w:ascii="Times New Roman" w:hAnsi="Times New Roman" w:eastAsia="宋体" w:cs="Times New Roman"/>
          <w:b/>
          <w:bCs/>
          <w:color w:val="auto"/>
          <w:spacing w:val="0"/>
          <w:w w:val="100"/>
          <w:position w:val="0"/>
          <w:sz w:val="24"/>
          <w:szCs w:val="24"/>
          <w:u w:val="none" w:color="auto"/>
        </w:rPr>
        <w:fldChar w:fldCharType="begin"/>
      </w:r>
      <w:r>
        <w:rPr>
          <w:rFonts w:hint="default" w:ascii="Times New Roman" w:hAnsi="Times New Roman" w:eastAsia="宋体" w:cs="Times New Roman"/>
          <w:b/>
          <w:bCs/>
          <w:color w:val="auto"/>
          <w:spacing w:val="0"/>
          <w:w w:val="100"/>
          <w:position w:val="0"/>
          <w:sz w:val="24"/>
          <w:szCs w:val="24"/>
          <w:u w:val="none" w:color="auto"/>
        </w:rPr>
        <w:instrText xml:space="preserve"> STYLEREF 1 \s </w:instrText>
      </w:r>
      <w:r>
        <w:rPr>
          <w:rFonts w:hint="default" w:ascii="Times New Roman" w:hAnsi="Times New Roman" w:eastAsia="宋体" w:cs="Times New Roman"/>
          <w:b/>
          <w:bCs/>
          <w:color w:val="auto"/>
          <w:spacing w:val="0"/>
          <w:w w:val="100"/>
          <w:position w:val="0"/>
          <w:sz w:val="24"/>
          <w:szCs w:val="24"/>
          <w:u w:val="none" w:color="auto"/>
        </w:rPr>
        <w:fldChar w:fldCharType="separate"/>
      </w:r>
      <w:r>
        <w:rPr>
          <w:rFonts w:hint="default" w:ascii="Times New Roman" w:hAnsi="Times New Roman" w:eastAsia="宋体" w:cs="Times New Roman"/>
          <w:b/>
          <w:bCs/>
          <w:color w:val="auto"/>
          <w:spacing w:val="0"/>
          <w:w w:val="100"/>
          <w:position w:val="0"/>
          <w:sz w:val="24"/>
          <w:szCs w:val="24"/>
          <w:u w:val="none" w:color="auto"/>
        </w:rPr>
        <w:t>1</w:t>
      </w:r>
      <w:r>
        <w:rPr>
          <w:rFonts w:hint="default" w:ascii="Times New Roman" w:hAnsi="Times New Roman" w:eastAsia="宋体" w:cs="Times New Roman"/>
          <w:b/>
          <w:bCs/>
          <w:color w:val="auto"/>
          <w:spacing w:val="0"/>
          <w:w w:val="100"/>
          <w:position w:val="0"/>
          <w:sz w:val="24"/>
          <w:szCs w:val="24"/>
          <w:u w:val="none" w:color="auto"/>
        </w:rPr>
        <w:fldChar w:fldCharType="end"/>
      </w:r>
      <w:r>
        <w:rPr>
          <w:rFonts w:hint="eastAsia" w:ascii="Times New Roman" w:hAnsi="Times New Roman" w:eastAsia="宋体" w:cs="Times New Roman"/>
          <w:b/>
          <w:bCs/>
          <w:color w:val="auto"/>
          <w:spacing w:val="0"/>
          <w:w w:val="100"/>
          <w:position w:val="0"/>
          <w:sz w:val="24"/>
          <w:szCs w:val="24"/>
          <w:u w:val="none" w:color="auto"/>
          <w:lang w:val="en-US" w:eastAsia="zh-CN"/>
        </w:rPr>
        <w:t>.3</w:t>
      </w:r>
      <w:r>
        <w:rPr>
          <w:rFonts w:hint="eastAsia" w:ascii="Times New Roman" w:hAnsi="Times New Roman" w:eastAsia="宋体" w:cs="Times New Roman"/>
          <w:b/>
          <w:bCs/>
          <w:color w:val="auto"/>
          <w:spacing w:val="0"/>
          <w:w w:val="100"/>
          <w:position w:val="0"/>
          <w:sz w:val="24"/>
          <w:szCs w:val="24"/>
          <w:u w:val="none" w:color="auto"/>
          <w:lang w:eastAsia="zh-CN"/>
        </w:rPr>
        <w:t>-</w:t>
      </w:r>
      <w:r>
        <w:rPr>
          <w:rFonts w:hint="default" w:ascii="Times New Roman" w:hAnsi="Times New Roman" w:eastAsia="宋体" w:cs="Times New Roman"/>
          <w:b/>
          <w:bCs/>
          <w:color w:val="auto"/>
          <w:spacing w:val="0"/>
          <w:w w:val="100"/>
          <w:position w:val="0"/>
          <w:sz w:val="24"/>
          <w:szCs w:val="24"/>
          <w:u w:val="none" w:color="auto"/>
        </w:rPr>
        <w:fldChar w:fldCharType="begin"/>
      </w:r>
      <w:r>
        <w:rPr>
          <w:rFonts w:hint="default" w:ascii="Times New Roman" w:hAnsi="Times New Roman" w:eastAsia="宋体" w:cs="Times New Roman"/>
          <w:b/>
          <w:bCs/>
          <w:color w:val="auto"/>
          <w:spacing w:val="0"/>
          <w:w w:val="100"/>
          <w:position w:val="0"/>
          <w:sz w:val="24"/>
          <w:szCs w:val="24"/>
          <w:u w:val="none" w:color="auto"/>
        </w:rPr>
        <w:instrText xml:space="preserve"> SEQ 表 \* ARABIC \s 1 </w:instrText>
      </w:r>
      <w:r>
        <w:rPr>
          <w:rFonts w:hint="default" w:ascii="Times New Roman" w:hAnsi="Times New Roman" w:eastAsia="宋体" w:cs="Times New Roman"/>
          <w:b/>
          <w:bCs/>
          <w:color w:val="auto"/>
          <w:spacing w:val="0"/>
          <w:w w:val="100"/>
          <w:position w:val="0"/>
          <w:sz w:val="24"/>
          <w:szCs w:val="24"/>
          <w:u w:val="none" w:color="auto"/>
        </w:rPr>
        <w:fldChar w:fldCharType="separate"/>
      </w:r>
      <w:r>
        <w:rPr>
          <w:rFonts w:hint="default" w:ascii="Times New Roman" w:hAnsi="Times New Roman" w:eastAsia="宋体" w:cs="Times New Roman"/>
          <w:b/>
          <w:bCs/>
          <w:color w:val="auto"/>
          <w:spacing w:val="0"/>
          <w:w w:val="100"/>
          <w:position w:val="0"/>
          <w:sz w:val="24"/>
          <w:szCs w:val="24"/>
          <w:u w:val="none" w:color="auto"/>
        </w:rPr>
        <w:t>2</w:t>
      </w:r>
      <w:r>
        <w:rPr>
          <w:rFonts w:hint="default" w:ascii="Times New Roman" w:hAnsi="Times New Roman" w:eastAsia="宋体" w:cs="Times New Roman"/>
          <w:b/>
          <w:bCs/>
          <w:color w:val="auto"/>
          <w:spacing w:val="0"/>
          <w:w w:val="100"/>
          <w:position w:val="0"/>
          <w:sz w:val="24"/>
          <w:szCs w:val="24"/>
          <w:u w:val="none" w:color="auto"/>
        </w:rPr>
        <w:fldChar w:fldCharType="end"/>
      </w:r>
      <w:r>
        <w:rPr>
          <w:rFonts w:hint="eastAsia" w:ascii="Times New Roman" w:hAnsi="Times New Roman" w:eastAsia="宋体" w:cs="Times New Roman"/>
          <w:b/>
          <w:bCs/>
          <w:color w:val="auto"/>
          <w:spacing w:val="0"/>
          <w:w w:val="100"/>
          <w:position w:val="0"/>
          <w:sz w:val="24"/>
          <w:szCs w:val="24"/>
          <w:u w:val="none" w:color="auto"/>
          <w:lang w:val="en-US" w:eastAsia="zh-CN"/>
        </w:rPr>
        <w:t xml:space="preserve"> </w:t>
      </w:r>
      <w:r>
        <w:rPr>
          <w:rFonts w:hint="default" w:ascii="Times New Roman" w:hAnsi="Times New Roman" w:eastAsia="宋体" w:cs="Times New Roman"/>
          <w:b/>
          <w:bCs/>
          <w:color w:val="auto"/>
          <w:spacing w:val="0"/>
          <w:w w:val="100"/>
          <w:position w:val="0"/>
          <w:sz w:val="24"/>
          <w:szCs w:val="24"/>
          <w:u w:val="none" w:color="auto"/>
        </w:rPr>
        <w:t>生态影响评价因子筛选表</w:t>
      </w:r>
    </w:p>
    <w:tbl>
      <w:tblPr>
        <w:tblStyle w:val="39"/>
        <w:tblW w:w="852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685"/>
        <w:gridCol w:w="3382"/>
        <w:gridCol w:w="1068"/>
        <w:gridCol w:w="1088"/>
      </w:tblGrid>
      <w:tr w14:paraId="3A410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301" w:type="dxa"/>
            <w:tcBorders>
              <w:tl2br w:val="nil"/>
              <w:tr2bl w:val="nil"/>
            </w:tcBorders>
            <w:noWrap w:val="0"/>
            <w:vAlign w:val="center"/>
          </w:tcPr>
          <w:p w14:paraId="6C616230">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kern w:val="0"/>
                <w:sz w:val="21"/>
              </w:rPr>
            </w:pPr>
            <w:r>
              <w:rPr>
                <w:rFonts w:hint="default" w:ascii="Times New Roman" w:hAnsi="Times New Roman" w:eastAsia="宋体" w:cs="Times New Roman"/>
                <w:b/>
                <w:caps w:val="0"/>
                <w:smallCaps w:val="0"/>
                <w:color w:val="auto"/>
                <w:kern w:val="0"/>
                <w:sz w:val="21"/>
              </w:rPr>
              <w:t>受影响对象</w:t>
            </w:r>
          </w:p>
        </w:tc>
        <w:tc>
          <w:tcPr>
            <w:tcW w:w="1685" w:type="dxa"/>
            <w:tcBorders>
              <w:tl2br w:val="nil"/>
              <w:tr2bl w:val="nil"/>
            </w:tcBorders>
            <w:noWrap w:val="0"/>
            <w:vAlign w:val="center"/>
          </w:tcPr>
          <w:p w14:paraId="351B8563">
            <w:pPr>
              <w:keepNext w:val="0"/>
              <w:keepLines w:val="0"/>
              <w:suppressLineNumbers w:val="0"/>
              <w:adjustRightInd w:val="0"/>
              <w:snapToGrid w:val="0"/>
              <w:spacing w:before="0" w:beforeAutospacing="0" w:after="0" w:afterAutospacing="0" w:line="250" w:lineRule="exact"/>
              <w:ind w:left="0" w:right="0" w:firstLine="0" w:firstLineChars="0"/>
              <w:jc w:val="center"/>
              <w:rPr>
                <w:rFonts w:hint="default" w:ascii="Times New Roman" w:hAnsi="Times New Roman" w:eastAsia="宋体" w:cs="Times New Roman"/>
                <w:b/>
                <w:bCs/>
                <w:caps w:val="0"/>
                <w:smallCaps w:val="0"/>
                <w:color w:val="auto"/>
                <w:sz w:val="21"/>
              </w:rPr>
            </w:pPr>
            <w:r>
              <w:rPr>
                <w:rFonts w:hint="default" w:ascii="Times New Roman" w:hAnsi="Times New Roman" w:eastAsia="宋体" w:cs="Times New Roman"/>
                <w:b/>
                <w:bCs/>
                <w:caps w:val="0"/>
                <w:smallCaps w:val="0"/>
                <w:color w:val="auto"/>
                <w:sz w:val="21"/>
              </w:rPr>
              <w:t>评价因子</w:t>
            </w:r>
          </w:p>
        </w:tc>
        <w:tc>
          <w:tcPr>
            <w:tcW w:w="3382" w:type="dxa"/>
            <w:tcBorders>
              <w:tl2br w:val="nil"/>
              <w:tr2bl w:val="nil"/>
            </w:tcBorders>
            <w:noWrap w:val="0"/>
            <w:vAlign w:val="center"/>
          </w:tcPr>
          <w:p w14:paraId="7400AB10">
            <w:pPr>
              <w:keepNext w:val="0"/>
              <w:keepLines w:val="0"/>
              <w:suppressLineNumbers w:val="0"/>
              <w:adjustRightInd w:val="0"/>
              <w:snapToGrid w:val="0"/>
              <w:spacing w:before="0" w:beforeAutospacing="0" w:after="0" w:afterAutospacing="0" w:line="250" w:lineRule="exact"/>
              <w:ind w:left="0" w:right="0" w:firstLine="0" w:firstLineChars="0"/>
              <w:jc w:val="center"/>
              <w:rPr>
                <w:rFonts w:hint="default" w:ascii="Times New Roman" w:hAnsi="Times New Roman" w:eastAsia="宋体" w:cs="Times New Roman"/>
                <w:b/>
                <w:bCs/>
                <w:caps w:val="0"/>
                <w:smallCaps w:val="0"/>
                <w:color w:val="auto"/>
                <w:sz w:val="21"/>
              </w:rPr>
            </w:pPr>
            <w:r>
              <w:rPr>
                <w:rFonts w:hint="default" w:ascii="Times New Roman" w:hAnsi="Times New Roman" w:eastAsia="宋体" w:cs="Times New Roman"/>
                <w:b/>
                <w:bCs/>
                <w:caps w:val="0"/>
                <w:smallCaps w:val="0"/>
                <w:color w:val="auto"/>
                <w:sz w:val="21"/>
              </w:rPr>
              <w:t>工程内容及影响方式</w:t>
            </w:r>
          </w:p>
        </w:tc>
        <w:tc>
          <w:tcPr>
            <w:tcW w:w="1068" w:type="dxa"/>
            <w:tcBorders>
              <w:tl2br w:val="nil"/>
              <w:tr2bl w:val="nil"/>
            </w:tcBorders>
            <w:noWrap w:val="0"/>
            <w:vAlign w:val="center"/>
          </w:tcPr>
          <w:p w14:paraId="185BBA1A">
            <w:pPr>
              <w:keepNext w:val="0"/>
              <w:keepLines w:val="0"/>
              <w:suppressLineNumbers w:val="0"/>
              <w:adjustRightInd w:val="0"/>
              <w:snapToGrid w:val="0"/>
              <w:spacing w:before="0" w:beforeAutospacing="0" w:after="0" w:afterAutospacing="0" w:line="250" w:lineRule="exact"/>
              <w:ind w:left="0" w:right="0" w:firstLine="0" w:firstLineChars="0"/>
              <w:jc w:val="center"/>
              <w:rPr>
                <w:rFonts w:hint="default" w:ascii="Times New Roman" w:hAnsi="Times New Roman" w:eastAsia="宋体" w:cs="Times New Roman"/>
                <w:b/>
                <w:bCs/>
                <w:caps w:val="0"/>
                <w:smallCaps w:val="0"/>
                <w:color w:val="auto"/>
                <w:sz w:val="21"/>
              </w:rPr>
            </w:pPr>
            <w:r>
              <w:rPr>
                <w:rFonts w:hint="default" w:ascii="Times New Roman" w:hAnsi="Times New Roman" w:eastAsia="宋体" w:cs="Times New Roman"/>
                <w:b/>
                <w:caps w:val="0"/>
                <w:smallCaps w:val="0"/>
                <w:color w:val="auto"/>
                <w:kern w:val="0"/>
                <w:sz w:val="21"/>
              </w:rPr>
              <w:t>影响性质</w:t>
            </w:r>
          </w:p>
        </w:tc>
        <w:tc>
          <w:tcPr>
            <w:tcW w:w="1088" w:type="dxa"/>
            <w:tcBorders>
              <w:tl2br w:val="nil"/>
              <w:tr2bl w:val="nil"/>
            </w:tcBorders>
            <w:noWrap w:val="0"/>
            <w:vAlign w:val="center"/>
          </w:tcPr>
          <w:p w14:paraId="7AC9841D">
            <w:pPr>
              <w:keepNext w:val="0"/>
              <w:keepLines w:val="0"/>
              <w:suppressLineNumbers w:val="0"/>
              <w:adjustRightInd w:val="0"/>
              <w:snapToGrid w:val="0"/>
              <w:spacing w:before="0" w:beforeAutospacing="0" w:after="0" w:afterAutospacing="0" w:line="250" w:lineRule="exact"/>
              <w:ind w:left="0" w:right="0" w:firstLine="0" w:firstLineChars="0"/>
              <w:jc w:val="center"/>
              <w:rPr>
                <w:rFonts w:hint="default" w:ascii="Times New Roman" w:hAnsi="Times New Roman" w:eastAsia="宋体" w:cs="Times New Roman"/>
                <w:b/>
                <w:bCs/>
                <w:caps w:val="0"/>
                <w:smallCaps w:val="0"/>
                <w:color w:val="auto"/>
                <w:sz w:val="21"/>
              </w:rPr>
            </w:pPr>
            <w:r>
              <w:rPr>
                <w:rFonts w:hint="default" w:ascii="Times New Roman" w:hAnsi="Times New Roman" w:eastAsia="宋体" w:cs="Times New Roman"/>
                <w:b/>
                <w:bCs/>
                <w:caps w:val="0"/>
                <w:smallCaps w:val="0"/>
                <w:color w:val="auto"/>
                <w:sz w:val="21"/>
              </w:rPr>
              <w:t>影响程度</w:t>
            </w:r>
          </w:p>
        </w:tc>
      </w:tr>
      <w:tr w14:paraId="41B78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01" w:type="dxa"/>
            <w:tcBorders>
              <w:tl2br w:val="nil"/>
              <w:tr2bl w:val="nil"/>
            </w:tcBorders>
            <w:noWrap w:val="0"/>
            <w:vAlign w:val="center"/>
          </w:tcPr>
          <w:p w14:paraId="44001484">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eastAsia="zh-CN"/>
              </w:rPr>
              <w:t>物种</w:t>
            </w:r>
          </w:p>
        </w:tc>
        <w:tc>
          <w:tcPr>
            <w:tcW w:w="1685" w:type="dxa"/>
            <w:tcBorders>
              <w:tl2br w:val="nil"/>
              <w:tr2bl w:val="nil"/>
            </w:tcBorders>
            <w:noWrap w:val="0"/>
            <w:vAlign w:val="center"/>
          </w:tcPr>
          <w:p w14:paraId="27EBE928">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eastAsia="zh-CN"/>
              </w:rPr>
              <w:t>分布范围、种群数量、</w:t>
            </w:r>
            <w:r>
              <w:rPr>
                <w:rFonts w:hint="eastAsia" w:ascii="Times New Roman" w:hAnsi="Times New Roman" w:eastAsia="宋体" w:cs="Times New Roman"/>
                <w:caps w:val="0"/>
                <w:smallCaps w:val="0"/>
                <w:color w:val="auto"/>
                <w:kern w:val="0"/>
                <w:sz w:val="21"/>
                <w:lang w:val="en-US" w:eastAsia="zh-CN"/>
              </w:rPr>
              <w:t>种群结构、行为等</w:t>
            </w:r>
          </w:p>
        </w:tc>
        <w:tc>
          <w:tcPr>
            <w:tcW w:w="3382" w:type="dxa"/>
            <w:tcBorders>
              <w:tl2br w:val="nil"/>
              <w:tr2bl w:val="nil"/>
            </w:tcBorders>
            <w:noWrap w:val="0"/>
            <w:vAlign w:val="center"/>
          </w:tcPr>
          <w:p w14:paraId="4E61AA69">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施工时仅少部分工程施工范围内植被造成影响，对物种分布范围、种群数量、种群结构、行为影响很小。</w:t>
            </w:r>
          </w:p>
        </w:tc>
        <w:tc>
          <w:tcPr>
            <w:tcW w:w="1068" w:type="dxa"/>
            <w:tcBorders>
              <w:tl2br w:val="nil"/>
              <w:tr2bl w:val="nil"/>
            </w:tcBorders>
            <w:noWrap w:val="0"/>
            <w:vAlign w:val="center"/>
          </w:tcPr>
          <w:p w14:paraId="352E72EC">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eastAsia="zh-CN"/>
              </w:rPr>
              <w:t>短期</w:t>
            </w:r>
            <w:r>
              <w:rPr>
                <w:rFonts w:hint="eastAsia" w:ascii="Times New Roman" w:hAnsi="Times New Roman" w:eastAsia="宋体" w:cs="Times New Roman"/>
                <w:caps w:val="0"/>
                <w:smallCaps w:val="0"/>
                <w:color w:val="auto"/>
                <w:kern w:val="0"/>
                <w:sz w:val="21"/>
                <w:lang w:val="en-US" w:eastAsia="zh-CN"/>
              </w:rPr>
              <w:t>/可逆</w:t>
            </w:r>
          </w:p>
        </w:tc>
        <w:tc>
          <w:tcPr>
            <w:tcW w:w="1088" w:type="dxa"/>
            <w:tcBorders>
              <w:tl2br w:val="nil"/>
              <w:tr2bl w:val="nil"/>
            </w:tcBorders>
            <w:noWrap w:val="0"/>
            <w:vAlign w:val="center"/>
          </w:tcPr>
          <w:p w14:paraId="732AAD0A">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无</w:t>
            </w:r>
          </w:p>
        </w:tc>
      </w:tr>
      <w:tr w14:paraId="54D21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01" w:type="dxa"/>
            <w:tcBorders>
              <w:tl2br w:val="nil"/>
              <w:tr2bl w:val="nil"/>
            </w:tcBorders>
            <w:noWrap w:val="0"/>
            <w:vAlign w:val="center"/>
          </w:tcPr>
          <w:p w14:paraId="590D05D4">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eastAsia="zh-CN"/>
              </w:rPr>
            </w:pPr>
            <w:r>
              <w:rPr>
                <w:rFonts w:hint="default" w:ascii="Times New Roman" w:hAnsi="Times New Roman" w:eastAsia="宋体" w:cs="Times New Roman"/>
                <w:caps w:val="0"/>
                <w:smallCaps w:val="0"/>
                <w:color w:val="auto"/>
                <w:kern w:val="0"/>
                <w:sz w:val="21"/>
                <w:lang w:eastAsia="zh-CN"/>
              </w:rPr>
              <w:t>生物群落</w:t>
            </w:r>
          </w:p>
        </w:tc>
        <w:tc>
          <w:tcPr>
            <w:tcW w:w="1685" w:type="dxa"/>
            <w:tcBorders>
              <w:tl2br w:val="nil"/>
              <w:tr2bl w:val="nil"/>
            </w:tcBorders>
            <w:noWrap w:val="0"/>
            <w:vAlign w:val="center"/>
          </w:tcPr>
          <w:p w14:paraId="18096D4F">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eastAsia="zh-CN"/>
              </w:rPr>
              <w:t>物种组成、</w:t>
            </w:r>
            <w:r>
              <w:rPr>
                <w:rFonts w:hint="eastAsia" w:ascii="Times New Roman" w:hAnsi="Times New Roman" w:eastAsia="宋体" w:cs="Times New Roman"/>
                <w:caps w:val="0"/>
                <w:smallCaps w:val="0"/>
                <w:color w:val="auto"/>
                <w:kern w:val="0"/>
                <w:sz w:val="21"/>
                <w:lang w:val="en-US" w:eastAsia="zh-CN"/>
              </w:rPr>
              <w:t>群落结构等</w:t>
            </w:r>
          </w:p>
        </w:tc>
        <w:tc>
          <w:tcPr>
            <w:tcW w:w="3382" w:type="dxa"/>
            <w:tcBorders>
              <w:tl2br w:val="nil"/>
              <w:tr2bl w:val="nil"/>
            </w:tcBorders>
            <w:noWrap w:val="0"/>
            <w:vAlign w:val="center"/>
          </w:tcPr>
          <w:p w14:paraId="56B3AE06">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施工时仅少部分工程施工范围内植被造成影响，施工范围基本在大坝附近，对水库沿线物种组成、群落结构等基本无影响。</w:t>
            </w:r>
          </w:p>
        </w:tc>
        <w:tc>
          <w:tcPr>
            <w:tcW w:w="1068" w:type="dxa"/>
            <w:tcBorders>
              <w:tl2br w:val="nil"/>
              <w:tr2bl w:val="nil"/>
            </w:tcBorders>
            <w:noWrap w:val="0"/>
            <w:vAlign w:val="center"/>
          </w:tcPr>
          <w:p w14:paraId="6F14DF63">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短期/可逆</w:t>
            </w:r>
          </w:p>
        </w:tc>
        <w:tc>
          <w:tcPr>
            <w:tcW w:w="1088" w:type="dxa"/>
            <w:tcBorders>
              <w:tl2br w:val="nil"/>
              <w:tr2bl w:val="nil"/>
            </w:tcBorders>
            <w:noWrap w:val="0"/>
            <w:vAlign w:val="center"/>
          </w:tcPr>
          <w:p w14:paraId="39BAD223">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弱</w:t>
            </w:r>
          </w:p>
        </w:tc>
      </w:tr>
      <w:tr w14:paraId="73DBF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01" w:type="dxa"/>
            <w:tcBorders>
              <w:tl2br w:val="nil"/>
              <w:tr2bl w:val="nil"/>
            </w:tcBorders>
            <w:noWrap w:val="0"/>
            <w:vAlign w:val="center"/>
          </w:tcPr>
          <w:p w14:paraId="35C6D3C3">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eastAsia="zh-CN"/>
              </w:rPr>
            </w:pPr>
            <w:r>
              <w:rPr>
                <w:rFonts w:hint="default" w:ascii="Times New Roman" w:hAnsi="Times New Roman" w:eastAsia="宋体" w:cs="Times New Roman"/>
                <w:caps w:val="0"/>
                <w:smallCaps w:val="0"/>
                <w:color w:val="auto"/>
                <w:kern w:val="0"/>
                <w:sz w:val="21"/>
                <w:lang w:eastAsia="zh-CN"/>
              </w:rPr>
              <w:t>生态系统</w:t>
            </w:r>
          </w:p>
        </w:tc>
        <w:tc>
          <w:tcPr>
            <w:tcW w:w="1685" w:type="dxa"/>
            <w:tcBorders>
              <w:tl2br w:val="nil"/>
              <w:tr2bl w:val="nil"/>
            </w:tcBorders>
            <w:noWrap w:val="0"/>
            <w:vAlign w:val="center"/>
          </w:tcPr>
          <w:p w14:paraId="53E8F76D">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eastAsia="zh-CN"/>
              </w:rPr>
              <w:t>植被覆盖度、生物量、生态系统功能</w:t>
            </w:r>
            <w:r>
              <w:rPr>
                <w:rFonts w:hint="eastAsia" w:ascii="Times New Roman" w:hAnsi="Times New Roman" w:eastAsia="宋体" w:cs="Times New Roman"/>
                <w:caps w:val="0"/>
                <w:smallCaps w:val="0"/>
                <w:color w:val="auto"/>
                <w:kern w:val="0"/>
                <w:sz w:val="21"/>
                <w:lang w:val="en-US" w:eastAsia="zh-CN"/>
              </w:rPr>
              <w:t>等</w:t>
            </w:r>
          </w:p>
        </w:tc>
        <w:tc>
          <w:tcPr>
            <w:tcW w:w="3382" w:type="dxa"/>
            <w:tcBorders>
              <w:tl2br w:val="nil"/>
              <w:tr2bl w:val="nil"/>
            </w:tcBorders>
            <w:noWrap w:val="0"/>
            <w:vAlign w:val="center"/>
          </w:tcPr>
          <w:p w14:paraId="1E1D176C">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施工时仅施工范围内植被造成影响，施工期结束后绿化可恢复</w:t>
            </w:r>
            <w:r>
              <w:rPr>
                <w:rFonts w:hint="eastAsia" w:ascii="Times New Roman" w:hAnsi="Times New Roman" w:eastAsia="宋体" w:cs="Times New Roman"/>
                <w:caps w:val="0"/>
                <w:smallCaps w:val="0"/>
                <w:color w:val="auto"/>
                <w:kern w:val="0"/>
                <w:sz w:val="21"/>
                <w:lang w:eastAsia="zh-CN"/>
              </w:rPr>
              <w:t>。</w:t>
            </w:r>
          </w:p>
        </w:tc>
        <w:tc>
          <w:tcPr>
            <w:tcW w:w="1068" w:type="dxa"/>
            <w:tcBorders>
              <w:tl2br w:val="nil"/>
              <w:tr2bl w:val="nil"/>
            </w:tcBorders>
            <w:noWrap w:val="0"/>
            <w:vAlign w:val="center"/>
          </w:tcPr>
          <w:p w14:paraId="714CF5BB">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短期/可逆</w:t>
            </w:r>
          </w:p>
        </w:tc>
        <w:tc>
          <w:tcPr>
            <w:tcW w:w="1088" w:type="dxa"/>
            <w:tcBorders>
              <w:tl2br w:val="nil"/>
              <w:tr2bl w:val="nil"/>
            </w:tcBorders>
            <w:noWrap w:val="0"/>
            <w:vAlign w:val="center"/>
          </w:tcPr>
          <w:p w14:paraId="78CAFD7A">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弱</w:t>
            </w:r>
          </w:p>
        </w:tc>
      </w:tr>
      <w:tr w14:paraId="2CC81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301" w:type="dxa"/>
            <w:tcBorders>
              <w:tl2br w:val="nil"/>
              <w:tr2bl w:val="nil"/>
            </w:tcBorders>
            <w:noWrap w:val="0"/>
            <w:vAlign w:val="center"/>
          </w:tcPr>
          <w:p w14:paraId="0D4849A2">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eastAsia="zh-CN"/>
              </w:rPr>
            </w:pPr>
            <w:r>
              <w:rPr>
                <w:rFonts w:hint="default" w:ascii="Times New Roman" w:hAnsi="Times New Roman" w:eastAsia="宋体" w:cs="Times New Roman"/>
                <w:caps w:val="0"/>
                <w:smallCaps w:val="0"/>
                <w:color w:val="auto"/>
                <w:kern w:val="0"/>
                <w:sz w:val="21"/>
                <w:lang w:eastAsia="zh-CN"/>
              </w:rPr>
              <w:t>生物多样性</w:t>
            </w:r>
          </w:p>
        </w:tc>
        <w:tc>
          <w:tcPr>
            <w:tcW w:w="1685" w:type="dxa"/>
            <w:tcBorders>
              <w:tl2br w:val="nil"/>
              <w:tr2bl w:val="nil"/>
            </w:tcBorders>
            <w:noWrap w:val="0"/>
            <w:vAlign w:val="center"/>
          </w:tcPr>
          <w:p w14:paraId="7FAFF235">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eastAsia="zh-CN"/>
              </w:rPr>
              <w:t>物种丰富度、</w:t>
            </w:r>
            <w:r>
              <w:rPr>
                <w:rFonts w:hint="eastAsia" w:ascii="Times New Roman" w:hAnsi="Times New Roman" w:eastAsia="宋体" w:cs="Times New Roman"/>
                <w:caps w:val="0"/>
                <w:smallCaps w:val="0"/>
                <w:color w:val="auto"/>
                <w:kern w:val="0"/>
                <w:sz w:val="21"/>
                <w:lang w:val="en-US" w:eastAsia="zh-CN"/>
              </w:rPr>
              <w:t>生物多样性指数</w:t>
            </w:r>
          </w:p>
        </w:tc>
        <w:tc>
          <w:tcPr>
            <w:tcW w:w="3382" w:type="dxa"/>
            <w:tcBorders>
              <w:tl2br w:val="nil"/>
              <w:tr2bl w:val="nil"/>
            </w:tcBorders>
            <w:noWrap w:val="0"/>
            <w:vAlign w:val="center"/>
          </w:tcPr>
          <w:p w14:paraId="520A09A4">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施工时仅施工范围内植被造成影响，施工期结束后绿化可恢复。</w:t>
            </w:r>
          </w:p>
        </w:tc>
        <w:tc>
          <w:tcPr>
            <w:tcW w:w="1068" w:type="dxa"/>
            <w:tcBorders>
              <w:tl2br w:val="nil"/>
              <w:tr2bl w:val="nil"/>
            </w:tcBorders>
            <w:noWrap w:val="0"/>
            <w:vAlign w:val="center"/>
          </w:tcPr>
          <w:p w14:paraId="62EE41E5">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短期/可逆</w:t>
            </w:r>
          </w:p>
        </w:tc>
        <w:tc>
          <w:tcPr>
            <w:tcW w:w="1088" w:type="dxa"/>
            <w:tcBorders>
              <w:tl2br w:val="nil"/>
              <w:tr2bl w:val="nil"/>
            </w:tcBorders>
            <w:noWrap w:val="0"/>
            <w:vAlign w:val="center"/>
          </w:tcPr>
          <w:p w14:paraId="61EB309E">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eastAsia="zh-CN"/>
              </w:rPr>
            </w:pPr>
            <w:r>
              <w:rPr>
                <w:rFonts w:hint="eastAsia" w:ascii="Times New Roman" w:hAnsi="Times New Roman" w:eastAsia="宋体" w:cs="Times New Roman"/>
                <w:caps w:val="0"/>
                <w:smallCaps w:val="0"/>
                <w:color w:val="auto"/>
                <w:kern w:val="0"/>
                <w:sz w:val="21"/>
                <w:lang w:val="en-US" w:eastAsia="zh-CN"/>
              </w:rPr>
              <w:t>无</w:t>
            </w:r>
          </w:p>
        </w:tc>
      </w:tr>
      <w:tr w14:paraId="029BE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301" w:type="dxa"/>
            <w:tcBorders>
              <w:tl2br w:val="nil"/>
              <w:tr2bl w:val="nil"/>
            </w:tcBorders>
            <w:noWrap w:val="0"/>
            <w:vAlign w:val="center"/>
          </w:tcPr>
          <w:p w14:paraId="151C65AD">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生态敏感区</w:t>
            </w:r>
          </w:p>
        </w:tc>
        <w:tc>
          <w:tcPr>
            <w:tcW w:w="1685" w:type="dxa"/>
            <w:tcBorders>
              <w:tl2br w:val="nil"/>
              <w:tr2bl w:val="nil"/>
            </w:tcBorders>
            <w:noWrap w:val="0"/>
            <w:vAlign w:val="center"/>
          </w:tcPr>
          <w:p w14:paraId="096B876E">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生态功能</w:t>
            </w:r>
          </w:p>
        </w:tc>
        <w:tc>
          <w:tcPr>
            <w:tcW w:w="3382" w:type="dxa"/>
            <w:tcBorders>
              <w:tl2br w:val="nil"/>
              <w:tr2bl w:val="nil"/>
            </w:tcBorders>
            <w:noWrap w:val="0"/>
            <w:vAlign w:val="center"/>
          </w:tcPr>
          <w:p w14:paraId="51811436">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施工</w:t>
            </w:r>
          </w:p>
        </w:tc>
        <w:tc>
          <w:tcPr>
            <w:tcW w:w="1068" w:type="dxa"/>
            <w:tcBorders>
              <w:tl2br w:val="nil"/>
              <w:tr2bl w:val="nil"/>
            </w:tcBorders>
            <w:noWrap w:val="0"/>
            <w:vAlign w:val="center"/>
          </w:tcPr>
          <w:p w14:paraId="6171DA49">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eastAsia"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短期/可逆</w:t>
            </w:r>
          </w:p>
        </w:tc>
        <w:tc>
          <w:tcPr>
            <w:tcW w:w="1088" w:type="dxa"/>
            <w:tcBorders>
              <w:tl2br w:val="nil"/>
              <w:tr2bl w:val="nil"/>
            </w:tcBorders>
            <w:noWrap w:val="0"/>
            <w:vAlign w:val="center"/>
          </w:tcPr>
          <w:p w14:paraId="55FE5C4C">
            <w:pPr>
              <w:keepNext w:val="0"/>
              <w:keepLines w:val="0"/>
              <w:suppressLineNumbers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aps w:val="0"/>
                <w:smallCaps w:val="0"/>
                <w:color w:val="auto"/>
                <w:kern w:val="0"/>
                <w:sz w:val="21"/>
                <w:lang w:val="en-US" w:eastAsia="zh-CN"/>
              </w:rPr>
            </w:pPr>
            <w:r>
              <w:rPr>
                <w:rFonts w:hint="eastAsia" w:ascii="Times New Roman" w:hAnsi="Times New Roman" w:eastAsia="宋体" w:cs="Times New Roman"/>
                <w:caps w:val="0"/>
                <w:smallCaps w:val="0"/>
                <w:color w:val="auto"/>
                <w:kern w:val="0"/>
                <w:sz w:val="21"/>
                <w:lang w:val="en-US" w:eastAsia="zh-CN"/>
              </w:rPr>
              <w:t>无</w:t>
            </w:r>
          </w:p>
        </w:tc>
      </w:tr>
    </w:tbl>
    <w:p w14:paraId="43670D83">
      <w:pPr>
        <w:pStyle w:val="4"/>
        <w:bidi w:val="0"/>
        <w:rPr>
          <w:rFonts w:hint="default" w:ascii="Times New Roman" w:hAnsi="Times New Roman" w:cs="Times New Roman"/>
          <w:u w:val="none" w:color="auto"/>
        </w:rPr>
      </w:pPr>
      <w:bookmarkStart w:id="52" w:name="bookmark70"/>
      <w:bookmarkStart w:id="53" w:name="_Toc13850"/>
      <w:bookmarkStart w:id="54" w:name="bookmark71"/>
      <w:r>
        <w:rPr>
          <w:rFonts w:hint="default" w:ascii="Times New Roman" w:hAnsi="Times New Roman" w:cs="Times New Roman"/>
          <w:u w:val="none" w:color="auto"/>
        </w:rPr>
        <w:t>评价因子确定</w:t>
      </w:r>
      <w:bookmarkEnd w:id="52"/>
      <w:bookmarkEnd w:id="53"/>
      <w:bookmarkEnd w:id="54"/>
    </w:p>
    <w:p w14:paraId="3040D6BE">
      <w:pPr>
        <w:pStyle w:val="19"/>
        <w:keepNext w:val="0"/>
        <w:keepLines w:val="0"/>
        <w:pageBreakBefore w:val="0"/>
        <w:widowControl w:val="0"/>
        <w:kinsoku w:val="0"/>
        <w:wordWrap w:val="0"/>
        <w:overflowPunct/>
        <w:topLinePunct/>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pPr>
      <w:r>
        <w:rPr>
          <w:rFonts w:hint="default" w:ascii="Times New Roman" w:hAnsi="Times New Roman" w:eastAsia="宋体" w:cs="Times New Roman"/>
          <w:color w:val="auto"/>
          <w:spacing w:val="0"/>
          <w:w w:val="100"/>
          <w:position w:val="0"/>
          <w:sz w:val="24"/>
          <w:szCs w:val="24"/>
          <w:u w:val="none" w:color="auto"/>
        </w:rPr>
        <w:t>通过对工程环境影响识别，结合区域环境敏感性，以及相互影响关系的初步分析，确定本项目各环境要素影响评价因子见表</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1.3-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w:t>
      </w:r>
    </w:p>
    <w:p w14:paraId="7F24AD9E">
      <w:pPr>
        <w:pageBreakBefore w:val="0"/>
        <w:kinsoku w:val="0"/>
        <w:wordWrap w:val="0"/>
        <w:overflowPunct/>
        <w:topLinePunct/>
        <w:autoSpaceDE/>
        <w:autoSpaceDN/>
        <w:bidi w:val="0"/>
        <w:jc w:val="center"/>
        <w:rPr>
          <w:rFonts w:hint="default" w:ascii="Times New Roman" w:hAnsi="Times New Roman" w:eastAsia="宋体" w:cs="Times New Roman"/>
          <w:b/>
          <w:caps w:val="0"/>
          <w:smallCaps w:val="0"/>
          <w:color w:val="auto"/>
          <w:spacing w:val="0"/>
          <w:w w:val="100"/>
          <w:position w:val="0"/>
          <w:sz w:val="24"/>
          <w:szCs w:val="24"/>
          <w:u w:val="none" w:color="auto"/>
        </w:rPr>
      </w:pPr>
      <w:r>
        <w:rPr>
          <w:rFonts w:hint="default" w:ascii="Times New Roman" w:hAnsi="Times New Roman" w:eastAsia="宋体" w:cs="Times New Roman"/>
          <w:b/>
          <w:caps w:val="0"/>
          <w:smallCaps w:val="0"/>
          <w:color w:val="auto"/>
          <w:spacing w:val="0"/>
          <w:w w:val="100"/>
          <w:position w:val="0"/>
          <w:sz w:val="24"/>
          <w:szCs w:val="24"/>
          <w:u w:val="none" w:color="auto"/>
        </w:rPr>
        <w:t>表1.</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3-</w:t>
      </w:r>
      <w: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t xml:space="preserve">3 </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position w:val="0"/>
          <w:sz w:val="24"/>
          <w:szCs w:val="24"/>
          <w:u w:val="none" w:color="auto"/>
        </w:rPr>
        <w:t>评价因子一览表</w:t>
      </w:r>
    </w:p>
    <w:tbl>
      <w:tblPr>
        <w:tblStyle w:val="9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45"/>
        <w:gridCol w:w="4725"/>
        <w:gridCol w:w="2360"/>
      </w:tblGrid>
      <w:tr w14:paraId="37FF9A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37E46025">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环境要素</w:t>
            </w:r>
          </w:p>
        </w:tc>
        <w:tc>
          <w:tcPr>
            <w:tcW w:w="4742" w:type="dxa"/>
            <w:tcBorders>
              <w:tl2br w:val="nil"/>
              <w:tr2bl w:val="nil"/>
            </w:tcBorders>
            <w:noWrap w:val="0"/>
            <w:vAlign w:val="center"/>
          </w:tcPr>
          <w:p w14:paraId="35C686C9">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现状评价因子</w:t>
            </w:r>
          </w:p>
        </w:tc>
        <w:tc>
          <w:tcPr>
            <w:tcW w:w="2368" w:type="dxa"/>
            <w:tcBorders>
              <w:tl2br w:val="nil"/>
              <w:tr2bl w:val="nil"/>
            </w:tcBorders>
            <w:noWrap w:val="0"/>
            <w:vAlign w:val="center"/>
          </w:tcPr>
          <w:p w14:paraId="69D42828">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预测评价因子</w:t>
            </w:r>
          </w:p>
        </w:tc>
      </w:tr>
      <w:tr w14:paraId="13A7A8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761D842E">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lang w:eastAsia="zh-CN"/>
              </w:rPr>
              <w:t>大</w:t>
            </w:r>
            <w:r>
              <w:rPr>
                <w:rFonts w:hint="default" w:ascii="Times New Roman" w:hAnsi="Times New Roman" w:eastAsia="宋体" w:cs="Times New Roman"/>
                <w:color w:val="auto"/>
                <w:spacing w:val="0"/>
                <w:w w:val="100"/>
                <w:position w:val="0"/>
                <w:sz w:val="21"/>
                <w:szCs w:val="21"/>
                <w:u w:val="none" w:color="auto"/>
              </w:rPr>
              <w:t>气环境</w:t>
            </w:r>
          </w:p>
        </w:tc>
        <w:tc>
          <w:tcPr>
            <w:tcW w:w="4742" w:type="dxa"/>
            <w:tcBorders>
              <w:tl2br w:val="nil"/>
              <w:tr2bl w:val="nil"/>
            </w:tcBorders>
            <w:noWrap w:val="0"/>
            <w:vAlign w:val="center"/>
          </w:tcPr>
          <w:p w14:paraId="2D4A7868">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SO</w:t>
            </w:r>
            <w:r>
              <w:rPr>
                <w:rFonts w:hint="default" w:ascii="Times New Roman" w:hAnsi="Times New Roman" w:eastAsia="Times New Roman" w:cs="Times New Roman"/>
                <w:color w:val="auto"/>
                <w:spacing w:val="0"/>
                <w:w w:val="100"/>
                <w:position w:val="0"/>
                <w:sz w:val="13"/>
                <w:szCs w:val="13"/>
                <w:u w:val="none" w:color="auto"/>
              </w:rPr>
              <w:t>2</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NO</w:t>
            </w:r>
            <w:r>
              <w:rPr>
                <w:rFonts w:hint="default" w:ascii="Times New Roman" w:hAnsi="Times New Roman" w:eastAsia="Times New Roman" w:cs="Times New Roman"/>
                <w:color w:val="auto"/>
                <w:spacing w:val="0"/>
                <w:w w:val="100"/>
                <w:position w:val="0"/>
                <w:sz w:val="13"/>
                <w:szCs w:val="13"/>
                <w:u w:val="none" w:color="auto"/>
              </w:rPr>
              <w:t>2</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PM</w:t>
            </w:r>
            <w:r>
              <w:rPr>
                <w:rFonts w:hint="default" w:ascii="Times New Roman" w:hAnsi="Times New Roman" w:eastAsia="Times New Roman" w:cs="Times New Roman"/>
                <w:color w:val="auto"/>
                <w:spacing w:val="0"/>
                <w:w w:val="100"/>
                <w:position w:val="0"/>
                <w:sz w:val="13"/>
                <w:szCs w:val="13"/>
                <w:u w:val="none" w:color="auto"/>
              </w:rPr>
              <w:t>10</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PM</w:t>
            </w:r>
            <w:r>
              <w:rPr>
                <w:rFonts w:hint="default" w:ascii="Times New Roman" w:hAnsi="Times New Roman" w:eastAsia="Times New Roman" w:cs="Times New Roman"/>
                <w:color w:val="auto"/>
                <w:spacing w:val="0"/>
                <w:w w:val="100"/>
                <w:position w:val="0"/>
                <w:sz w:val="13"/>
                <w:szCs w:val="13"/>
                <w:u w:val="none" w:color="auto"/>
              </w:rPr>
              <w:t>2.5</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CO</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O</w:t>
            </w:r>
            <w:r>
              <w:rPr>
                <w:rFonts w:hint="default" w:ascii="Times New Roman" w:hAnsi="Times New Roman" w:eastAsia="Times New Roman" w:cs="Times New Roman"/>
                <w:color w:val="auto"/>
                <w:spacing w:val="0"/>
                <w:w w:val="100"/>
                <w:position w:val="0"/>
                <w:sz w:val="13"/>
                <w:szCs w:val="13"/>
                <w:u w:val="none" w:color="auto"/>
              </w:rPr>
              <w:t>3</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TSP</w:t>
            </w:r>
          </w:p>
        </w:tc>
        <w:tc>
          <w:tcPr>
            <w:tcW w:w="2368" w:type="dxa"/>
            <w:tcBorders>
              <w:tl2br w:val="nil"/>
              <w:tr2bl w:val="nil"/>
            </w:tcBorders>
            <w:noWrap w:val="0"/>
            <w:vAlign w:val="center"/>
          </w:tcPr>
          <w:p w14:paraId="03643871">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val="en-US" w:eastAsia="zh-CN"/>
              </w:rPr>
              <w:t>/</w:t>
            </w:r>
          </w:p>
        </w:tc>
      </w:tr>
      <w:tr w14:paraId="1E2519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62AE2CDF">
            <w:pPr>
              <w:keepNext w:val="0"/>
              <w:keepLines w:val="0"/>
              <w:pageBreakBefore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地表水环境</w:t>
            </w:r>
          </w:p>
        </w:tc>
        <w:tc>
          <w:tcPr>
            <w:tcW w:w="4742" w:type="dxa"/>
            <w:tcBorders>
              <w:tl2br w:val="nil"/>
              <w:tr2bl w:val="nil"/>
            </w:tcBorders>
            <w:noWrap w:val="0"/>
            <w:vAlign w:val="center"/>
          </w:tcPr>
          <w:p w14:paraId="02677D9F">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color w:val="auto"/>
                <w:spacing w:val="0"/>
                <w:w w:val="100"/>
                <w:position w:val="0"/>
                <w:sz w:val="21"/>
                <w:szCs w:val="21"/>
                <w:u w:val="none" w:color="auto"/>
                <w:lang w:eastAsia="zh-CN"/>
              </w:rPr>
            </w:pPr>
            <w:r>
              <w:rPr>
                <w:rFonts w:hint="eastAsia" w:ascii="宋体" w:hAnsi="宋体" w:eastAsia="宋体" w:cs="宋体"/>
                <w:caps w:val="0"/>
                <w:spacing w:val="0"/>
                <w:kern w:val="0"/>
                <w:sz w:val="21"/>
                <w:szCs w:val="21"/>
                <w:lang w:val="en-US" w:eastAsia="zh-CN" w:bidi="ar"/>
              </w:rPr>
              <w:t>水温、水位、</w:t>
            </w:r>
            <w:r>
              <w:rPr>
                <w:rFonts w:hint="default" w:ascii="Times New Roman" w:hAnsi="Times New Roman" w:eastAsia="宋体" w:cs="Times New Roman"/>
                <w:caps w:val="0"/>
                <w:spacing w:val="0"/>
                <w:kern w:val="0"/>
                <w:sz w:val="21"/>
                <w:szCs w:val="21"/>
                <w:lang w:val="en-US" w:eastAsia="zh-CN" w:bidi="ar"/>
              </w:rPr>
              <w:t>pH</w:t>
            </w:r>
            <w:r>
              <w:rPr>
                <w:rFonts w:hint="eastAsia" w:ascii="宋体" w:hAnsi="宋体" w:eastAsia="宋体" w:cs="宋体"/>
                <w:caps w:val="0"/>
                <w:spacing w:val="0"/>
                <w:kern w:val="0"/>
                <w:sz w:val="21"/>
                <w:szCs w:val="21"/>
                <w:lang w:val="en-US" w:eastAsia="zh-CN" w:bidi="ar"/>
              </w:rPr>
              <w:t>值、溶解氧、高锰酸盐指数、化学需氧量、五日生化需氧量、氨氮、总磷</w:t>
            </w:r>
            <w:r>
              <w:rPr>
                <w:rFonts w:hint="default" w:ascii="Times New Roman" w:hAnsi="Times New Roman" w:eastAsia="宋体" w:cs="Times New Roman"/>
                <w:caps w:val="0"/>
                <w:spacing w:val="0"/>
                <w:kern w:val="0"/>
                <w:sz w:val="21"/>
                <w:szCs w:val="21"/>
                <w:lang w:val="en-US" w:eastAsia="zh-CN" w:bidi="ar"/>
              </w:rPr>
              <w:t>(</w:t>
            </w:r>
            <w:r>
              <w:rPr>
                <w:rFonts w:hint="eastAsia" w:ascii="宋体" w:hAnsi="宋体" w:eastAsia="宋体" w:cs="宋体"/>
                <w:caps w:val="0"/>
                <w:spacing w:val="0"/>
                <w:kern w:val="0"/>
                <w:sz w:val="21"/>
                <w:szCs w:val="21"/>
                <w:lang w:val="en-US" w:eastAsia="zh-CN" w:bidi="ar"/>
              </w:rPr>
              <w:t>以</w:t>
            </w:r>
            <w:r>
              <w:rPr>
                <w:rFonts w:hint="default" w:ascii="Times New Roman" w:hAnsi="Times New Roman" w:eastAsia="宋体" w:cs="Times New Roman"/>
                <w:caps w:val="0"/>
                <w:spacing w:val="0"/>
                <w:kern w:val="0"/>
                <w:sz w:val="21"/>
                <w:szCs w:val="21"/>
                <w:lang w:val="en-US" w:eastAsia="zh-CN" w:bidi="ar"/>
              </w:rPr>
              <w:t>P</w:t>
            </w:r>
            <w:r>
              <w:rPr>
                <w:rFonts w:hint="eastAsia" w:ascii="宋体" w:hAnsi="宋体" w:eastAsia="宋体" w:cs="宋体"/>
                <w:caps w:val="0"/>
                <w:spacing w:val="0"/>
                <w:kern w:val="0"/>
                <w:sz w:val="21"/>
                <w:szCs w:val="21"/>
                <w:lang w:val="en-US" w:eastAsia="zh-CN" w:bidi="ar"/>
              </w:rPr>
              <w:t>计</w:t>
            </w:r>
            <w:r>
              <w:rPr>
                <w:rFonts w:hint="default" w:ascii="Times New Roman" w:hAnsi="Times New Roman" w:eastAsia="宋体" w:cs="Times New Roman"/>
                <w:caps w:val="0"/>
                <w:spacing w:val="0"/>
                <w:kern w:val="0"/>
                <w:sz w:val="21"/>
                <w:szCs w:val="21"/>
                <w:lang w:val="en-US" w:eastAsia="zh-CN" w:bidi="ar"/>
              </w:rPr>
              <w:t>)</w:t>
            </w:r>
            <w:r>
              <w:rPr>
                <w:rFonts w:hint="eastAsia" w:ascii="宋体" w:hAnsi="宋体" w:eastAsia="宋体" w:cs="宋体"/>
                <w:caps w:val="0"/>
                <w:spacing w:val="0"/>
                <w:kern w:val="0"/>
                <w:sz w:val="21"/>
                <w:szCs w:val="21"/>
                <w:lang w:val="en-US" w:eastAsia="zh-CN" w:bidi="ar"/>
              </w:rPr>
              <w:t>、总氮、铬</w:t>
            </w:r>
            <w:r>
              <w:rPr>
                <w:rFonts w:hint="default" w:ascii="Times New Roman" w:hAnsi="Times New Roman" w:eastAsia="宋体" w:cs="Times New Roman"/>
                <w:caps w:val="0"/>
                <w:spacing w:val="0"/>
                <w:kern w:val="0"/>
                <w:sz w:val="21"/>
                <w:szCs w:val="21"/>
                <w:lang w:val="en-US" w:eastAsia="zh-CN" w:bidi="ar"/>
              </w:rPr>
              <w:t>(</w:t>
            </w:r>
            <w:r>
              <w:rPr>
                <w:rFonts w:hint="eastAsia" w:ascii="宋体" w:hAnsi="宋体" w:eastAsia="宋体" w:cs="宋体"/>
                <w:caps w:val="0"/>
                <w:spacing w:val="0"/>
                <w:kern w:val="0"/>
                <w:sz w:val="21"/>
                <w:szCs w:val="21"/>
                <w:lang w:val="en-US" w:eastAsia="zh-CN" w:bidi="ar"/>
              </w:rPr>
              <w:t>六价</w:t>
            </w:r>
            <w:r>
              <w:rPr>
                <w:rFonts w:hint="default" w:ascii="Times New Roman" w:hAnsi="Times New Roman" w:eastAsia="宋体" w:cs="Times New Roman"/>
                <w:caps w:val="0"/>
                <w:spacing w:val="0"/>
                <w:kern w:val="0"/>
                <w:sz w:val="21"/>
                <w:szCs w:val="21"/>
                <w:lang w:val="en-US" w:eastAsia="zh-CN" w:bidi="ar"/>
              </w:rPr>
              <w:t>)</w:t>
            </w:r>
            <w:r>
              <w:rPr>
                <w:rFonts w:hint="eastAsia" w:ascii="宋体" w:hAnsi="宋体" w:eastAsia="宋体" w:cs="宋体"/>
                <w:caps w:val="0"/>
                <w:spacing w:val="0"/>
                <w:kern w:val="0"/>
                <w:sz w:val="21"/>
                <w:szCs w:val="21"/>
                <w:lang w:val="en-US" w:eastAsia="zh-CN" w:bidi="ar"/>
              </w:rPr>
              <w:t>、石油类、叶绿素</w:t>
            </w:r>
            <w:r>
              <w:rPr>
                <w:rFonts w:hint="default" w:ascii="Times New Roman" w:hAnsi="Times New Roman" w:eastAsia="宋体" w:cs="Times New Roman"/>
                <w:caps w:val="0"/>
                <w:spacing w:val="0"/>
                <w:kern w:val="0"/>
                <w:sz w:val="21"/>
                <w:szCs w:val="21"/>
                <w:lang w:val="en-US" w:eastAsia="zh-CN" w:bidi="ar"/>
              </w:rPr>
              <w:t>a</w:t>
            </w:r>
            <w:r>
              <w:rPr>
                <w:rFonts w:hint="eastAsia" w:ascii="宋体" w:hAnsi="宋体" w:eastAsia="宋体" w:cs="宋体"/>
                <w:caps w:val="0"/>
                <w:spacing w:val="0"/>
                <w:kern w:val="0"/>
                <w:sz w:val="21"/>
                <w:szCs w:val="21"/>
                <w:lang w:val="en-US" w:eastAsia="zh-CN" w:bidi="ar"/>
              </w:rPr>
              <w:t>、悬浮物、透明度</w:t>
            </w:r>
          </w:p>
        </w:tc>
        <w:tc>
          <w:tcPr>
            <w:tcW w:w="2368" w:type="dxa"/>
            <w:tcBorders>
              <w:tl2br w:val="nil"/>
              <w:tr2bl w:val="nil"/>
            </w:tcBorders>
            <w:noWrap w:val="0"/>
            <w:vAlign w:val="center"/>
          </w:tcPr>
          <w:p w14:paraId="3FBB035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eastAsia" w:ascii="宋体" w:hAnsi="宋体" w:eastAsia="宋体" w:cs="宋体"/>
                <w:caps w:val="0"/>
                <w:spacing w:val="0"/>
                <w:kern w:val="0"/>
                <w:sz w:val="21"/>
                <w:szCs w:val="21"/>
                <w:lang w:val="en-US" w:eastAsia="zh-CN" w:bidi="ar"/>
              </w:rPr>
              <w:t>悬浮物</w:t>
            </w:r>
          </w:p>
        </w:tc>
      </w:tr>
      <w:tr w14:paraId="4DE85D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47B03341">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pacing w:val="0"/>
                <w:w w:val="100"/>
                <w:position w:val="0"/>
                <w:sz w:val="21"/>
                <w:u w:val="none" w:color="auto"/>
              </w:rPr>
            </w:pPr>
          </w:p>
          <w:p w14:paraId="50724A95">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地下水环境</w:t>
            </w:r>
          </w:p>
        </w:tc>
        <w:tc>
          <w:tcPr>
            <w:tcW w:w="4742" w:type="dxa"/>
            <w:tcBorders>
              <w:tl2br w:val="nil"/>
              <w:tr2bl w:val="nil"/>
            </w:tcBorders>
            <w:noWrap w:val="0"/>
            <w:vAlign w:val="center"/>
          </w:tcPr>
          <w:p w14:paraId="520CEE67">
            <w:pPr>
              <w:keepNext w:val="0"/>
              <w:keepLines w:val="0"/>
              <w:pageBreakBefore w:val="0"/>
              <w:widowControl w:val="0"/>
              <w:kinsoku/>
              <w:wordWrap/>
              <w:overflowPunct/>
              <w:topLinePunct w:val="0"/>
              <w:autoSpaceDE/>
              <w:autoSpaceDN/>
              <w:bidi w:val="0"/>
              <w:adjustRightInd/>
              <w:snapToGrid/>
              <w:spacing w:line="240" w:lineRule="auto"/>
              <w:ind w:left="0" w:right="0" w:hanging="6"/>
              <w:jc w:val="left"/>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cs="Times New Roman"/>
                <w:spacing w:val="0"/>
                <w:w w:val="100"/>
                <w:position w:val="0"/>
                <w:sz w:val="21"/>
                <w:szCs w:val="21"/>
                <w:u w:val="none" w:color="auto"/>
                <w:lang w:val="en-US" w:eastAsia="zh-CN"/>
              </w:rPr>
              <w:t>K</w:t>
            </w:r>
            <w:r>
              <w:rPr>
                <w:rFonts w:hint="default" w:ascii="Times New Roman" w:hAnsi="Times New Roman" w:cs="Times New Roman"/>
                <w:spacing w:val="0"/>
                <w:w w:val="100"/>
                <w:position w:val="0"/>
                <w:sz w:val="21"/>
                <w:szCs w:val="21"/>
                <w:u w:val="none" w:color="auto"/>
                <w:vertAlign w:val="superscript"/>
                <w:lang w:val="en-US" w:eastAsia="zh-CN"/>
              </w:rPr>
              <w:t>+</w:t>
            </w:r>
            <w:r>
              <w:rPr>
                <w:rFonts w:hint="default" w:ascii="Times New Roman" w:hAnsi="Times New Roman" w:cs="Times New Roman"/>
                <w:spacing w:val="0"/>
                <w:w w:val="100"/>
                <w:position w:val="0"/>
                <w:sz w:val="21"/>
                <w:szCs w:val="21"/>
                <w:u w:val="none" w:color="auto"/>
                <w:lang w:val="en-US" w:eastAsia="zh-CN"/>
              </w:rPr>
              <w:t>、Na</w:t>
            </w:r>
            <w:r>
              <w:rPr>
                <w:rFonts w:hint="default" w:ascii="Times New Roman" w:hAnsi="Times New Roman" w:cs="Times New Roman"/>
                <w:spacing w:val="0"/>
                <w:w w:val="100"/>
                <w:position w:val="0"/>
                <w:sz w:val="21"/>
                <w:szCs w:val="21"/>
                <w:u w:val="none" w:color="auto"/>
                <w:vertAlign w:val="superscript"/>
                <w:lang w:val="en-US" w:eastAsia="zh-CN"/>
              </w:rPr>
              <w:t>+</w:t>
            </w:r>
            <w:r>
              <w:rPr>
                <w:rFonts w:hint="default" w:ascii="Times New Roman" w:hAnsi="Times New Roman" w:cs="Times New Roman"/>
                <w:spacing w:val="0"/>
                <w:w w:val="100"/>
                <w:position w:val="0"/>
                <w:sz w:val="21"/>
                <w:szCs w:val="21"/>
                <w:u w:val="none" w:color="auto"/>
                <w:lang w:val="en-US" w:eastAsia="zh-CN"/>
              </w:rPr>
              <w:t>、Ca</w:t>
            </w:r>
            <w:r>
              <w:rPr>
                <w:rFonts w:hint="default" w:ascii="Times New Roman" w:hAnsi="Times New Roman" w:cs="Times New Roman"/>
                <w:spacing w:val="0"/>
                <w:w w:val="100"/>
                <w:position w:val="0"/>
                <w:sz w:val="21"/>
                <w:szCs w:val="21"/>
                <w:u w:val="none" w:color="auto"/>
                <w:vertAlign w:val="superscript"/>
                <w:lang w:val="en-US" w:eastAsia="zh-CN"/>
              </w:rPr>
              <w:t>2+</w:t>
            </w:r>
            <w:r>
              <w:rPr>
                <w:rFonts w:hint="default" w:ascii="Times New Roman" w:hAnsi="Times New Roman" w:cs="Times New Roman"/>
                <w:spacing w:val="0"/>
                <w:w w:val="100"/>
                <w:position w:val="0"/>
                <w:sz w:val="21"/>
                <w:szCs w:val="21"/>
                <w:u w:val="none" w:color="auto"/>
                <w:lang w:val="en-US" w:eastAsia="zh-CN"/>
              </w:rPr>
              <w:t>、Mg</w:t>
            </w:r>
            <w:r>
              <w:rPr>
                <w:rFonts w:hint="default" w:ascii="Times New Roman" w:hAnsi="Times New Roman" w:cs="Times New Roman"/>
                <w:spacing w:val="0"/>
                <w:w w:val="100"/>
                <w:position w:val="0"/>
                <w:sz w:val="21"/>
                <w:szCs w:val="21"/>
                <w:u w:val="none" w:color="auto"/>
                <w:vertAlign w:val="superscript"/>
                <w:lang w:val="en-US" w:eastAsia="zh-CN"/>
              </w:rPr>
              <w:t>2+</w:t>
            </w:r>
            <w:r>
              <w:rPr>
                <w:rFonts w:hint="default" w:ascii="Times New Roman" w:hAnsi="Times New Roman" w:cs="Times New Roman"/>
                <w:spacing w:val="0"/>
                <w:w w:val="100"/>
                <w:position w:val="0"/>
                <w:sz w:val="21"/>
                <w:szCs w:val="21"/>
                <w:u w:val="none" w:color="auto"/>
                <w:lang w:val="en-US" w:eastAsia="zh-CN"/>
              </w:rPr>
              <w:t>、CO</w:t>
            </w:r>
            <w:r>
              <w:rPr>
                <w:rFonts w:hint="default" w:ascii="Times New Roman" w:hAnsi="Times New Roman" w:cs="Times New Roman"/>
                <w:spacing w:val="0"/>
                <w:w w:val="100"/>
                <w:position w:val="0"/>
                <w:sz w:val="21"/>
                <w:szCs w:val="21"/>
                <w:u w:val="none" w:color="auto"/>
                <w:vertAlign w:val="subscript"/>
                <w:lang w:val="en-US" w:eastAsia="zh-CN"/>
              </w:rPr>
              <w:t>3</w:t>
            </w:r>
            <w:r>
              <w:rPr>
                <w:rFonts w:hint="default" w:ascii="Times New Roman" w:hAnsi="Times New Roman" w:cs="Times New Roman"/>
                <w:spacing w:val="0"/>
                <w:w w:val="100"/>
                <w:position w:val="0"/>
                <w:sz w:val="21"/>
                <w:szCs w:val="21"/>
                <w:u w:val="none" w:color="auto"/>
                <w:vertAlign w:val="superscript"/>
                <w:lang w:val="en-US" w:eastAsia="zh-CN"/>
              </w:rPr>
              <w:t>2-</w:t>
            </w:r>
            <w:r>
              <w:rPr>
                <w:rFonts w:hint="default" w:ascii="Times New Roman" w:hAnsi="Times New Roman" w:cs="Times New Roman"/>
                <w:spacing w:val="0"/>
                <w:w w:val="100"/>
                <w:position w:val="0"/>
                <w:sz w:val="21"/>
                <w:szCs w:val="21"/>
                <w:u w:val="none" w:color="auto"/>
                <w:lang w:val="en-US" w:eastAsia="zh-CN"/>
              </w:rPr>
              <w:t>、HCO</w:t>
            </w:r>
            <w:r>
              <w:rPr>
                <w:rFonts w:hint="default" w:ascii="Times New Roman" w:hAnsi="Times New Roman" w:cs="Times New Roman"/>
                <w:spacing w:val="0"/>
                <w:w w:val="100"/>
                <w:position w:val="0"/>
                <w:sz w:val="21"/>
                <w:szCs w:val="21"/>
                <w:u w:val="none" w:color="auto"/>
                <w:vertAlign w:val="subscript"/>
                <w:lang w:val="en-US" w:eastAsia="zh-CN"/>
              </w:rPr>
              <w:t>3</w:t>
            </w:r>
            <w:r>
              <w:rPr>
                <w:rFonts w:hint="default" w:ascii="Times New Roman" w:hAnsi="Times New Roman" w:cs="Times New Roman"/>
                <w:spacing w:val="0"/>
                <w:w w:val="100"/>
                <w:position w:val="0"/>
                <w:sz w:val="21"/>
                <w:szCs w:val="21"/>
                <w:u w:val="none" w:color="auto"/>
                <w:vertAlign w:val="superscript"/>
                <w:lang w:val="en-US" w:eastAsia="zh-CN"/>
              </w:rPr>
              <w:t>-</w:t>
            </w:r>
            <w:r>
              <w:rPr>
                <w:rFonts w:hint="default" w:ascii="Times New Roman" w:hAnsi="Times New Roman" w:cs="Times New Roman"/>
                <w:spacing w:val="0"/>
                <w:w w:val="100"/>
                <w:position w:val="0"/>
                <w:sz w:val="21"/>
                <w:szCs w:val="21"/>
                <w:u w:val="none" w:color="auto"/>
                <w:lang w:val="en-US" w:eastAsia="zh-CN"/>
              </w:rPr>
              <w:t>、Cl</w:t>
            </w:r>
            <w:r>
              <w:rPr>
                <w:rFonts w:hint="default" w:ascii="Times New Roman" w:hAnsi="Times New Roman" w:cs="Times New Roman"/>
                <w:spacing w:val="0"/>
                <w:w w:val="100"/>
                <w:position w:val="0"/>
                <w:sz w:val="21"/>
                <w:szCs w:val="21"/>
                <w:u w:val="none" w:color="auto"/>
                <w:vertAlign w:val="superscript"/>
                <w:lang w:val="en-US" w:eastAsia="zh-CN"/>
              </w:rPr>
              <w:t>-</w:t>
            </w:r>
            <w:r>
              <w:rPr>
                <w:rFonts w:hint="default" w:ascii="Times New Roman" w:hAnsi="Times New Roman" w:cs="Times New Roman"/>
                <w:spacing w:val="0"/>
                <w:w w:val="100"/>
                <w:position w:val="0"/>
                <w:sz w:val="21"/>
                <w:szCs w:val="21"/>
                <w:u w:val="none" w:color="auto"/>
                <w:lang w:val="en-US" w:eastAsia="zh-CN"/>
              </w:rPr>
              <w:t>、SO</w:t>
            </w:r>
            <w:r>
              <w:rPr>
                <w:rFonts w:hint="default" w:ascii="Times New Roman" w:hAnsi="Times New Roman" w:cs="Times New Roman"/>
                <w:spacing w:val="0"/>
                <w:w w:val="100"/>
                <w:position w:val="0"/>
                <w:sz w:val="21"/>
                <w:szCs w:val="21"/>
                <w:u w:val="none" w:color="auto"/>
                <w:vertAlign w:val="subscript"/>
                <w:lang w:val="en-US" w:eastAsia="zh-CN"/>
              </w:rPr>
              <w:t>4</w:t>
            </w:r>
            <w:r>
              <w:rPr>
                <w:rFonts w:hint="default" w:ascii="Times New Roman" w:hAnsi="Times New Roman" w:cs="Times New Roman"/>
                <w:spacing w:val="0"/>
                <w:w w:val="100"/>
                <w:position w:val="0"/>
                <w:sz w:val="21"/>
                <w:szCs w:val="21"/>
                <w:u w:val="none" w:color="auto"/>
                <w:vertAlign w:val="superscript"/>
                <w:lang w:val="en-US" w:eastAsia="zh-CN"/>
              </w:rPr>
              <w:t>2-</w:t>
            </w:r>
            <w:r>
              <w:rPr>
                <w:rFonts w:hint="default" w:ascii="Times New Roman" w:hAnsi="Times New Roman" w:cs="Times New Roman"/>
                <w:spacing w:val="0"/>
                <w:w w:val="100"/>
                <w:position w:val="0"/>
                <w:sz w:val="21"/>
                <w:szCs w:val="21"/>
                <w:u w:val="none" w:color="auto"/>
                <w:lang w:val="en-US" w:eastAsia="zh-CN"/>
              </w:rPr>
              <w:t>、</w:t>
            </w:r>
            <w:r>
              <w:rPr>
                <w:rFonts w:hint="default" w:ascii="Times New Roman" w:hAnsi="Times New Roman" w:eastAsia="宋体" w:cs="Times New Roman"/>
                <w:color w:val="000000"/>
                <w:spacing w:val="0"/>
                <w:w w:val="100"/>
                <w:kern w:val="0"/>
                <w:position w:val="0"/>
                <w:sz w:val="21"/>
                <w:szCs w:val="21"/>
                <w:u w:val="none" w:color="auto"/>
                <w:lang w:val="en-US" w:eastAsia="zh-CN" w:bidi="ar"/>
              </w:rPr>
              <w:t>pH</w:t>
            </w:r>
            <w:r>
              <w:rPr>
                <w:rFonts w:hint="default" w:ascii="Times New Roman" w:hAnsi="Times New Roman" w:eastAsia="仿宋" w:cs="Times New Roman"/>
                <w:color w:val="000000"/>
                <w:spacing w:val="0"/>
                <w:w w:val="100"/>
                <w:kern w:val="0"/>
                <w:position w:val="0"/>
                <w:sz w:val="21"/>
                <w:szCs w:val="21"/>
                <w:u w:val="none" w:color="auto"/>
                <w:lang w:val="en-US" w:eastAsia="zh-CN" w:bidi="ar"/>
              </w:rPr>
              <w:t>、</w:t>
            </w:r>
            <w:r>
              <w:rPr>
                <w:rFonts w:hint="default" w:ascii="Times New Roman" w:hAnsi="Times New Roman" w:eastAsia="宋体" w:cs="Times New Roman"/>
                <w:spacing w:val="0"/>
                <w:w w:val="100"/>
                <w:position w:val="0"/>
                <w:sz w:val="21"/>
                <w:szCs w:val="21"/>
                <w:highlight w:val="none"/>
                <w:u w:val="none" w:color="auto"/>
                <w:lang w:val="en-US" w:eastAsia="zh-CN"/>
              </w:rPr>
              <w:t>氨氮、硝酸盐、亚硝酸盐、挥发性酚类、氰化物、砷、汞、铬（六价）、总硬度、铅、氟、镉、铁、锰、溶解性总固体、</w:t>
            </w:r>
            <w:r>
              <w:rPr>
                <w:rFonts w:hint="eastAsia" w:ascii="Times New Roman" w:hAnsi="Times New Roman" w:eastAsia="宋体" w:cs="Times New Roman"/>
                <w:spacing w:val="0"/>
                <w:w w:val="100"/>
                <w:position w:val="0"/>
                <w:sz w:val="21"/>
                <w:szCs w:val="21"/>
                <w:highlight w:val="none"/>
                <w:u w:val="none" w:color="auto"/>
                <w:lang w:val="en-US" w:eastAsia="zh-CN"/>
              </w:rPr>
              <w:t>耗氧量</w:t>
            </w:r>
            <w:r>
              <w:rPr>
                <w:rFonts w:hint="default" w:ascii="Times New Roman" w:hAnsi="Times New Roman" w:eastAsia="宋体" w:cs="Times New Roman"/>
                <w:spacing w:val="0"/>
                <w:w w:val="100"/>
                <w:position w:val="0"/>
                <w:sz w:val="21"/>
                <w:szCs w:val="21"/>
                <w:highlight w:val="none"/>
                <w:u w:val="none" w:color="auto"/>
                <w:lang w:val="en-US" w:eastAsia="zh-CN"/>
              </w:rPr>
              <w:t>、硫酸盐、氯化物、总大肠菌群、细菌总数、水位</w:t>
            </w:r>
          </w:p>
        </w:tc>
        <w:tc>
          <w:tcPr>
            <w:tcW w:w="2368" w:type="dxa"/>
            <w:tcBorders>
              <w:tl2br w:val="nil"/>
              <w:tr2bl w:val="nil"/>
            </w:tcBorders>
            <w:noWrap w:val="0"/>
            <w:vAlign w:val="center"/>
          </w:tcPr>
          <w:p w14:paraId="78C8E6C0">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pacing w:val="0"/>
                <w:w w:val="100"/>
                <w:position w:val="0"/>
                <w:sz w:val="21"/>
                <w:u w:val="none" w:color="auto"/>
              </w:rPr>
            </w:pPr>
          </w:p>
          <w:p w14:paraId="03D4A28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水质、水位</w:t>
            </w:r>
          </w:p>
        </w:tc>
      </w:tr>
      <w:tr w14:paraId="641FB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7920F671">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声环境</w:t>
            </w:r>
          </w:p>
        </w:tc>
        <w:tc>
          <w:tcPr>
            <w:tcW w:w="4742" w:type="dxa"/>
            <w:tcBorders>
              <w:tl2br w:val="nil"/>
              <w:tr2bl w:val="nil"/>
            </w:tcBorders>
            <w:noWrap w:val="0"/>
            <w:vAlign w:val="center"/>
          </w:tcPr>
          <w:p w14:paraId="34018CC9">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等效连续</w:t>
            </w:r>
            <w:r>
              <w:rPr>
                <w:rFonts w:hint="default" w:ascii="Times New Roman" w:hAnsi="Times New Roman" w:eastAsia="Times New Roman" w:cs="Times New Roman"/>
                <w:color w:val="auto"/>
                <w:spacing w:val="0"/>
                <w:w w:val="100"/>
                <w:position w:val="0"/>
                <w:sz w:val="21"/>
                <w:szCs w:val="21"/>
                <w:u w:val="none" w:color="auto"/>
              </w:rPr>
              <w:t>A</w:t>
            </w:r>
            <w:r>
              <w:rPr>
                <w:rFonts w:hint="default" w:ascii="Times New Roman" w:hAnsi="Times New Roman" w:eastAsia="宋体" w:cs="Times New Roman"/>
                <w:color w:val="auto"/>
                <w:spacing w:val="0"/>
                <w:w w:val="100"/>
                <w:position w:val="0"/>
                <w:sz w:val="21"/>
                <w:szCs w:val="21"/>
                <w:u w:val="none" w:color="auto"/>
              </w:rPr>
              <w:t>声级</w:t>
            </w:r>
          </w:p>
        </w:tc>
        <w:tc>
          <w:tcPr>
            <w:tcW w:w="2368" w:type="dxa"/>
            <w:tcBorders>
              <w:tl2br w:val="nil"/>
              <w:tr2bl w:val="nil"/>
            </w:tcBorders>
            <w:noWrap w:val="0"/>
            <w:vAlign w:val="center"/>
          </w:tcPr>
          <w:p w14:paraId="2F16357B">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等效连续</w:t>
            </w:r>
            <w:r>
              <w:rPr>
                <w:rFonts w:hint="default" w:ascii="Times New Roman" w:hAnsi="Times New Roman" w:eastAsia="Times New Roman" w:cs="Times New Roman"/>
                <w:color w:val="auto"/>
                <w:spacing w:val="0"/>
                <w:w w:val="100"/>
                <w:position w:val="0"/>
                <w:sz w:val="21"/>
                <w:szCs w:val="21"/>
                <w:u w:val="none" w:color="auto"/>
              </w:rPr>
              <w:t>A</w:t>
            </w:r>
            <w:r>
              <w:rPr>
                <w:rFonts w:hint="default" w:ascii="Times New Roman" w:hAnsi="Times New Roman" w:eastAsia="宋体" w:cs="Times New Roman"/>
                <w:color w:val="auto"/>
                <w:spacing w:val="0"/>
                <w:w w:val="100"/>
                <w:position w:val="0"/>
                <w:sz w:val="21"/>
                <w:szCs w:val="21"/>
                <w:u w:val="none" w:color="auto"/>
              </w:rPr>
              <w:t>声级</w:t>
            </w:r>
          </w:p>
        </w:tc>
      </w:tr>
      <w:tr w14:paraId="58FCDC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538554E8">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土壤环境</w:t>
            </w:r>
          </w:p>
        </w:tc>
        <w:tc>
          <w:tcPr>
            <w:tcW w:w="4742" w:type="dxa"/>
            <w:tcBorders>
              <w:tl2br w:val="nil"/>
              <w:tr2bl w:val="nil"/>
            </w:tcBorders>
            <w:noWrap w:val="0"/>
            <w:vAlign w:val="center"/>
          </w:tcPr>
          <w:p w14:paraId="4049750E">
            <w:pPr>
              <w:keepNext w:val="0"/>
              <w:keepLines w:val="0"/>
              <w:pageBreakBefore w:val="0"/>
              <w:widowControl/>
              <w:suppressLineNumbers w:val="0"/>
              <w:kinsoku/>
              <w:wordWrap/>
              <w:overflowPunct/>
              <w:topLinePunct w:val="0"/>
              <w:autoSpaceDE/>
              <w:autoSpaceDN/>
              <w:bidi w:val="0"/>
              <w:adjustRightInd/>
              <w:snapToGrid/>
              <w:spacing w:line="240" w:lineRule="auto"/>
              <w:ind w:left="0" w:right="0"/>
              <w:jc w:val="left"/>
              <w:textAlignment w:val="auto"/>
              <w:rPr>
                <w:rFonts w:hint="default" w:ascii="Times New Roman" w:hAnsi="Times New Roman" w:cs="Times New Roman"/>
                <w:color w:val="auto"/>
                <w:spacing w:val="0"/>
                <w:w w:val="100"/>
                <w:position w:val="0"/>
                <w:u w:val="none" w:color="auto"/>
              </w:rPr>
            </w:pPr>
            <w:r>
              <w:rPr>
                <w:rFonts w:hint="default" w:ascii="Times New Roman" w:hAnsi="Times New Roman" w:eastAsia="瀹嬩綋" w:cs="Times New Roman"/>
                <w:color w:val="auto"/>
                <w:spacing w:val="0"/>
                <w:w w:val="100"/>
                <w:kern w:val="0"/>
                <w:position w:val="0"/>
                <w:sz w:val="21"/>
                <w:szCs w:val="21"/>
                <w:u w:val="none" w:color="auto"/>
                <w:lang w:val="en-US" w:eastAsia="zh-CN" w:bidi="ar"/>
              </w:rPr>
              <w:t>建设用地：</w:t>
            </w:r>
            <w:r>
              <w:rPr>
                <w:rFonts w:hint="default" w:ascii="Times New Roman" w:hAnsi="Times New Roman" w:eastAsia="宋体" w:cs="Times New Roman"/>
                <w:color w:val="auto"/>
                <w:spacing w:val="0"/>
                <w:w w:val="100"/>
                <w:position w:val="0"/>
                <w:sz w:val="21"/>
                <w:szCs w:val="21"/>
                <w:u w:val="none" w:color="auto"/>
                <w:lang w:val="en-US" w:eastAsia="zh-CN"/>
              </w:rPr>
              <w:t>GB36600-2018中45项指标、pH、含盐量（SSC）</w:t>
            </w:r>
          </w:p>
          <w:p w14:paraId="19F2BCE7">
            <w:pPr>
              <w:keepNext w:val="0"/>
              <w:keepLines w:val="0"/>
              <w:pageBreakBefore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lang w:val="en-US" w:eastAsia="zh-CN"/>
              </w:rPr>
              <w:t>农用地：pH、镉、汞、砷、铅、铬、铜、锌、镍、含盐量（SSC）</w:t>
            </w:r>
          </w:p>
        </w:tc>
        <w:tc>
          <w:tcPr>
            <w:tcW w:w="2368" w:type="dxa"/>
            <w:tcBorders>
              <w:tl2br w:val="nil"/>
              <w:tr2bl w:val="nil"/>
            </w:tcBorders>
            <w:noWrap w:val="0"/>
            <w:vAlign w:val="center"/>
          </w:tcPr>
          <w:p w14:paraId="5D9709C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pH</w:t>
            </w:r>
            <w:r>
              <w:rPr>
                <w:rFonts w:hint="default" w:ascii="Times New Roman" w:hAnsi="Times New Roman" w:eastAsia="宋体" w:cs="Times New Roman"/>
                <w:color w:val="auto"/>
                <w:spacing w:val="0"/>
                <w:w w:val="100"/>
                <w:position w:val="0"/>
                <w:sz w:val="21"/>
                <w:szCs w:val="21"/>
                <w:u w:val="none" w:color="auto"/>
              </w:rPr>
              <w:t>值、土壤类型、理化性质</w:t>
            </w:r>
          </w:p>
        </w:tc>
      </w:tr>
      <w:tr w14:paraId="17CB4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0" w:type="dxa"/>
            <w:tcBorders>
              <w:tl2br w:val="nil"/>
              <w:tr2bl w:val="nil"/>
            </w:tcBorders>
            <w:noWrap w:val="0"/>
            <w:vAlign w:val="center"/>
          </w:tcPr>
          <w:p w14:paraId="1CF55F8C">
            <w:pPr>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生态环境</w:t>
            </w:r>
          </w:p>
        </w:tc>
        <w:tc>
          <w:tcPr>
            <w:tcW w:w="4742" w:type="dxa"/>
            <w:tcBorders>
              <w:tl2br w:val="nil"/>
              <w:tr2bl w:val="nil"/>
            </w:tcBorders>
            <w:noWrap w:val="0"/>
            <w:vAlign w:val="center"/>
          </w:tcPr>
          <w:p w14:paraId="0D564DE5">
            <w:pPr>
              <w:keepNext w:val="0"/>
              <w:keepLines w:val="0"/>
              <w:pageBreakBefore w:val="0"/>
              <w:widowControl w:val="0"/>
              <w:kinsoku/>
              <w:wordWrap/>
              <w:overflowPunct/>
              <w:topLinePunct w:val="0"/>
              <w:autoSpaceDE/>
              <w:autoSpaceDN/>
              <w:bidi w:val="0"/>
              <w:adjustRightInd/>
              <w:snapToGrid/>
              <w:spacing w:line="240" w:lineRule="auto"/>
              <w:ind w:left="0" w:right="0" w:hanging="6"/>
              <w:jc w:val="left"/>
              <w:textAlignment w:val="auto"/>
              <w:rPr>
                <w:rFonts w:hint="default" w:ascii="Times New Roman" w:hAnsi="Times New Roman" w:eastAsia="宋体" w:cs="Times New Roman"/>
                <w:spacing w:val="0"/>
                <w:w w:val="100"/>
                <w:position w:val="0"/>
                <w:sz w:val="21"/>
                <w:szCs w:val="21"/>
                <w:highlight w:val="none"/>
                <w:u w:val="none" w:color="auto"/>
                <w:lang w:val="en-US" w:eastAsia="zh-CN"/>
              </w:rPr>
            </w:pPr>
            <w:r>
              <w:rPr>
                <w:rFonts w:hint="default" w:ascii="Times New Roman" w:hAnsi="Times New Roman" w:eastAsia="宋体" w:cs="Times New Roman"/>
                <w:spacing w:val="0"/>
                <w:w w:val="100"/>
                <w:position w:val="0"/>
                <w:sz w:val="21"/>
                <w:szCs w:val="21"/>
                <w:highlight w:val="none"/>
                <w:u w:val="none" w:color="auto"/>
                <w:lang w:val="en-US" w:eastAsia="zh-CN"/>
              </w:rPr>
              <w:t>土地利用类型及面积、动植物物种及分布范围、动植物物种组成和群落结构、植被覆盖度、生物量、生态系统功能、物种丰富度、生物多样性指数、生态敏感区生态功能。</w:t>
            </w:r>
          </w:p>
          <w:p w14:paraId="5547A002">
            <w:pPr>
              <w:keepNext w:val="0"/>
              <w:keepLines w:val="0"/>
              <w:pageBreakBefore w:val="0"/>
              <w:widowControl w:val="0"/>
              <w:kinsoku/>
              <w:wordWrap/>
              <w:overflowPunct/>
              <w:topLinePunct w:val="0"/>
              <w:autoSpaceDE/>
              <w:autoSpaceDN/>
              <w:bidi w:val="0"/>
              <w:adjustRightInd/>
              <w:snapToGrid/>
              <w:spacing w:line="240" w:lineRule="auto"/>
              <w:ind w:left="0" w:right="0" w:hanging="6"/>
              <w:jc w:val="left"/>
              <w:textAlignment w:val="auto"/>
              <w:rPr>
                <w:rFonts w:hint="default" w:ascii="Times New Roman" w:hAnsi="Times New Roman" w:eastAsia="宋体" w:cs="Times New Roman"/>
                <w:spacing w:val="0"/>
                <w:w w:val="100"/>
                <w:position w:val="0"/>
                <w:sz w:val="21"/>
                <w:szCs w:val="21"/>
                <w:highlight w:val="none"/>
                <w:u w:val="none" w:color="auto"/>
                <w:lang w:val="en-US" w:eastAsia="zh-CN"/>
              </w:rPr>
            </w:pPr>
          </w:p>
        </w:tc>
        <w:tc>
          <w:tcPr>
            <w:tcW w:w="2368" w:type="dxa"/>
            <w:tcBorders>
              <w:tl2br w:val="nil"/>
              <w:tr2bl w:val="nil"/>
            </w:tcBorders>
            <w:noWrap w:val="0"/>
            <w:vAlign w:val="center"/>
          </w:tcPr>
          <w:p w14:paraId="1A42B403">
            <w:pPr>
              <w:keepNext w:val="0"/>
              <w:keepLines w:val="0"/>
              <w:pageBreakBefore w:val="0"/>
              <w:widowControl w:val="0"/>
              <w:kinsoku/>
              <w:wordWrap/>
              <w:overflowPunct/>
              <w:topLinePunct w:val="0"/>
              <w:autoSpaceDE/>
              <w:autoSpaceDN/>
              <w:bidi w:val="0"/>
              <w:adjustRightInd/>
              <w:snapToGrid/>
              <w:spacing w:line="240" w:lineRule="auto"/>
              <w:ind w:left="0" w:right="0" w:hanging="6"/>
              <w:jc w:val="left"/>
              <w:textAlignment w:val="auto"/>
              <w:rPr>
                <w:rFonts w:hint="default" w:ascii="Times New Roman" w:hAnsi="Times New Roman" w:eastAsia="宋体" w:cs="Times New Roman"/>
                <w:spacing w:val="0"/>
                <w:w w:val="100"/>
                <w:position w:val="0"/>
                <w:sz w:val="21"/>
                <w:szCs w:val="21"/>
                <w:highlight w:val="none"/>
                <w:u w:val="none" w:color="auto"/>
                <w:lang w:val="en-US" w:eastAsia="zh-CN"/>
              </w:rPr>
            </w:pPr>
            <w:r>
              <w:rPr>
                <w:rFonts w:hint="default" w:ascii="Times New Roman" w:hAnsi="Times New Roman" w:eastAsia="宋体" w:cs="Times New Roman"/>
                <w:spacing w:val="0"/>
                <w:w w:val="100"/>
                <w:position w:val="0"/>
                <w:sz w:val="21"/>
                <w:szCs w:val="21"/>
                <w:highlight w:val="none"/>
                <w:u w:val="none" w:color="auto"/>
                <w:lang w:val="en-US" w:eastAsia="zh-CN"/>
              </w:rPr>
              <w:t>土地利用类型及面积、动植物物种及分布范围、动植物物种组成和群落结构、植被覆盖度、生物量、生态系统功能、生态敏感区生态功能。</w:t>
            </w:r>
          </w:p>
        </w:tc>
      </w:tr>
    </w:tbl>
    <w:p w14:paraId="1E6641D6">
      <w:pPr>
        <w:pStyle w:val="3"/>
        <w:bidi w:val="0"/>
        <w:rPr>
          <w:rFonts w:hint="default" w:ascii="Times New Roman" w:hAnsi="Times New Roman" w:cs="Times New Roman"/>
          <w:u w:val="none" w:color="auto"/>
        </w:rPr>
      </w:pPr>
      <w:bookmarkStart w:id="55" w:name="_Toc15319394"/>
      <w:bookmarkStart w:id="56" w:name="_Toc72569624"/>
      <w:bookmarkStart w:id="57" w:name="_Toc31870"/>
      <w:r>
        <w:rPr>
          <w:rFonts w:hint="default" w:ascii="Times New Roman" w:hAnsi="Times New Roman" w:cs="Times New Roman"/>
          <w:u w:val="none" w:color="auto"/>
        </w:rPr>
        <w:t>环境功能区划</w:t>
      </w:r>
      <w:bookmarkEnd w:id="55"/>
      <w:bookmarkEnd w:id="56"/>
      <w:bookmarkEnd w:id="57"/>
    </w:p>
    <w:p w14:paraId="17BB8D32">
      <w:pPr>
        <w:pStyle w:val="4"/>
        <w:bidi w:val="0"/>
        <w:rPr>
          <w:rFonts w:hint="default" w:ascii="Times New Roman" w:hAnsi="Times New Roman" w:cs="Times New Roman"/>
          <w:u w:val="none" w:color="auto"/>
        </w:rPr>
      </w:pPr>
      <w:bookmarkStart w:id="58" w:name="_Toc20571"/>
      <w:r>
        <w:rPr>
          <w:rFonts w:hint="default" w:ascii="Times New Roman" w:hAnsi="Times New Roman" w:cs="Times New Roman"/>
          <w:u w:val="none" w:color="auto"/>
        </w:rPr>
        <w:t>大气环境功能区划</w:t>
      </w:r>
      <w:bookmarkEnd w:id="58"/>
    </w:p>
    <w:p w14:paraId="67190FA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本项目位于华容县</w:t>
      </w:r>
      <w:r>
        <w:rPr>
          <w:rFonts w:hint="eastAsia" w:ascii="Times New Roman" w:hAnsi="Times New Roman" w:eastAsia="宋体" w:cs="Times New Roman"/>
          <w:color w:val="auto"/>
          <w:spacing w:val="0"/>
          <w:w w:val="100"/>
          <w:position w:val="0"/>
          <w:sz w:val="24"/>
          <w:szCs w:val="24"/>
          <w:u w:val="none" w:color="auto"/>
          <w:lang w:eastAsia="zh-CN"/>
        </w:rPr>
        <w:t>禹山</w:t>
      </w:r>
      <w:r>
        <w:rPr>
          <w:rFonts w:hint="default" w:ascii="Times New Roman" w:hAnsi="Times New Roman" w:eastAsia="宋体" w:cs="Times New Roman"/>
          <w:color w:val="auto"/>
          <w:spacing w:val="0"/>
          <w:w w:val="100"/>
          <w:position w:val="0"/>
          <w:sz w:val="24"/>
          <w:szCs w:val="24"/>
          <w:u w:val="none" w:color="auto"/>
          <w:lang w:eastAsia="zh-CN"/>
        </w:rPr>
        <w:t>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，属于农村地区，</w:t>
      </w:r>
      <w:r>
        <w:rPr>
          <w:rFonts w:hint="default" w:ascii="Times New Roman" w:hAnsi="Times New Roman" w:eastAsia="宋体" w:cs="Times New Roman"/>
          <w:color w:val="auto"/>
          <w:spacing w:val="0"/>
          <w:w w:val="100"/>
          <w:position w:val="0"/>
          <w:sz w:val="24"/>
          <w:szCs w:val="24"/>
          <w:u w:val="none" w:color="auto"/>
        </w:rPr>
        <w:t>目前该区域尚</w:t>
      </w:r>
      <w:r>
        <w:rPr>
          <w:rFonts w:hint="default" w:ascii="Times New Roman" w:hAnsi="Times New Roman" w:eastAsia="宋体" w:cs="Times New Roman"/>
          <w:color w:val="auto"/>
          <w:spacing w:val="0"/>
          <w:w w:val="100"/>
          <w:position w:val="0"/>
          <w:sz w:val="24"/>
          <w:szCs w:val="24"/>
          <w:u w:val="none" w:color="auto"/>
          <w:lang w:eastAsia="zh-CN"/>
        </w:rPr>
        <w:t>未划定大气</w:t>
      </w:r>
      <w:r>
        <w:rPr>
          <w:rFonts w:hint="default" w:ascii="Times New Roman" w:hAnsi="Times New Roman" w:eastAsia="宋体" w:cs="Times New Roman"/>
          <w:color w:val="auto"/>
          <w:spacing w:val="0"/>
          <w:w w:val="100"/>
          <w:position w:val="0"/>
          <w:sz w:val="24"/>
          <w:szCs w:val="24"/>
          <w:u w:val="none" w:color="auto"/>
        </w:rPr>
        <w:t>环境功能区划</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w:t>
      </w:r>
      <w:r>
        <w:rPr>
          <w:rFonts w:hint="default" w:ascii="Times New Roman" w:hAnsi="Times New Roman" w:eastAsia="宋体" w:cs="Times New Roman"/>
          <w:caps w:val="0"/>
          <w:smallCaps w:val="0"/>
          <w:color w:val="auto"/>
          <w:spacing w:val="0"/>
          <w:w w:val="100"/>
          <w:kern w:val="0"/>
          <w:position w:val="0"/>
          <w:sz w:val="24"/>
          <w:szCs w:val="24"/>
          <w:u w:val="none" w:color="auto"/>
        </w:rPr>
        <w:t>《环境空气质</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量标准》（GB3095-2012）</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，项目所在区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为环境空气二类功能区，环境空气质量执行</w:t>
      </w:r>
      <w:r>
        <w:rPr>
          <w:rFonts w:hint="default" w:ascii="Times New Roman" w:hAnsi="Times New Roman" w:eastAsia="宋体" w:cs="Times New Roman"/>
          <w:caps w:val="0"/>
          <w:smallCaps w:val="0"/>
          <w:color w:val="auto"/>
          <w:spacing w:val="0"/>
          <w:w w:val="100"/>
          <w:kern w:val="0"/>
          <w:position w:val="0"/>
          <w:sz w:val="24"/>
          <w:szCs w:val="24"/>
          <w:u w:val="none" w:color="auto"/>
        </w:rPr>
        <w:t>《环境空气质</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量标准》（GB3095-2012）</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二类标准</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w:t>
      </w:r>
    </w:p>
    <w:p w14:paraId="0CCCEC14">
      <w:pPr>
        <w:pStyle w:val="4"/>
        <w:bidi w:val="0"/>
        <w:rPr>
          <w:rFonts w:hint="default" w:ascii="Times New Roman" w:hAnsi="Times New Roman" w:cs="Times New Roman"/>
          <w:u w:val="none" w:color="auto"/>
        </w:rPr>
      </w:pPr>
      <w:bookmarkStart w:id="59" w:name="_Toc32024"/>
      <w:r>
        <w:rPr>
          <w:rFonts w:hint="default" w:ascii="Times New Roman" w:hAnsi="Times New Roman" w:cs="Times New Roman"/>
          <w:u w:val="none" w:color="auto"/>
        </w:rPr>
        <w:t>水环境功能区划</w:t>
      </w:r>
      <w:bookmarkEnd w:id="59"/>
    </w:p>
    <w:p w14:paraId="1A8B05E9">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（1）地表水</w:t>
      </w:r>
    </w:p>
    <w:p w14:paraId="40B89060">
      <w:pPr>
        <w:pStyle w:val="3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color w:val="auto"/>
          <w:spacing w:val="0"/>
          <w:w w:val="100"/>
          <w:position w:val="0"/>
          <w:u w:val="none" w:color="auto"/>
        </w:rPr>
      </w:pPr>
      <w:bookmarkStart w:id="60" w:name="_Toc15319408"/>
      <w:bookmarkStart w:id="61" w:name="_Toc72275677"/>
      <w:r>
        <w:rPr>
          <w:rFonts w:hint="eastAsia" w:ascii="Times New Roman" w:hAnsi="Times New Roman" w:eastAsia="宋体" w:cs="Times New Roman"/>
          <w:color w:val="auto"/>
          <w:spacing w:val="0"/>
          <w:w w:val="100"/>
          <w:position w:val="0"/>
          <w:sz w:val="24"/>
          <w:szCs w:val="24"/>
          <w:u w:val="none" w:color="auto"/>
          <w:lang w:eastAsia="zh-CN"/>
        </w:rPr>
        <w:t>北汊水库未划定水环境功能区，北汊水库具有养殖功能，地表水</w:t>
      </w:r>
      <w:r>
        <w:rPr>
          <w:rFonts w:hint="default" w:ascii="Times New Roman" w:hAnsi="Times New Roman" w:eastAsia="宋体" w:cs="Times New Roman"/>
          <w:color w:val="auto"/>
          <w:spacing w:val="0"/>
          <w:w w:val="100"/>
          <w:position w:val="0"/>
          <w:sz w:val="24"/>
          <w:szCs w:val="24"/>
          <w:u w:val="none" w:color="auto"/>
        </w:rPr>
        <w:t>执行《地表水环境质量标准》(</w:t>
      </w:r>
      <w:r>
        <w:rPr>
          <w:rFonts w:hint="default" w:ascii="Times New Roman" w:hAnsi="Times New Roman" w:eastAsia="Times New Roman" w:cs="Times New Roman"/>
          <w:color w:val="auto"/>
          <w:spacing w:val="0"/>
          <w:w w:val="100"/>
          <w:position w:val="0"/>
          <w:sz w:val="24"/>
          <w:szCs w:val="24"/>
          <w:u w:val="none" w:color="auto"/>
        </w:rPr>
        <w:t>GB3838-2002</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III</w:t>
      </w:r>
      <w:r>
        <w:rPr>
          <w:rFonts w:hint="default" w:ascii="Times New Roman" w:hAnsi="Times New Roman" w:eastAsia="宋体" w:cs="Times New Roman"/>
          <w:color w:val="auto"/>
          <w:spacing w:val="0"/>
          <w:w w:val="100"/>
          <w:position w:val="0"/>
          <w:sz w:val="24"/>
          <w:szCs w:val="24"/>
          <w:u w:val="none" w:color="auto"/>
        </w:rPr>
        <w:t>类水质标准。</w:t>
      </w:r>
    </w:p>
    <w:bookmarkEnd w:id="60"/>
    <w:bookmarkEnd w:id="61"/>
    <w:p w14:paraId="308F5E85">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（2）地下水</w:t>
      </w:r>
    </w:p>
    <w:p w14:paraId="0FAF20BD">
      <w:pPr>
        <w:keepNext w:val="0"/>
        <w:keepLines w:val="0"/>
        <w:pageBreakBefore w:val="0"/>
        <w:widowControl w:val="0"/>
        <w:tabs>
          <w:tab w:val="left" w:pos="247"/>
        </w:tabs>
        <w:overflowPunct/>
        <w:autoSpaceDE/>
        <w:autoSpaceDN/>
        <w:bidi w:val="0"/>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目前该区域尚</w:t>
      </w:r>
      <w:r>
        <w:rPr>
          <w:rFonts w:hint="default" w:ascii="Times New Roman" w:hAnsi="Times New Roman" w:eastAsia="宋体" w:cs="Times New Roman"/>
          <w:color w:val="auto"/>
          <w:spacing w:val="0"/>
          <w:w w:val="100"/>
          <w:position w:val="0"/>
          <w:sz w:val="24"/>
          <w:szCs w:val="24"/>
          <w:u w:val="none" w:color="auto"/>
          <w:lang w:eastAsia="zh-CN"/>
        </w:rPr>
        <w:t>未划定地下水</w:t>
      </w:r>
      <w:r>
        <w:rPr>
          <w:rFonts w:hint="default" w:ascii="Times New Roman" w:hAnsi="Times New Roman" w:eastAsia="宋体" w:cs="Times New Roman"/>
          <w:color w:val="auto"/>
          <w:spacing w:val="0"/>
          <w:w w:val="100"/>
          <w:position w:val="0"/>
          <w:sz w:val="24"/>
          <w:szCs w:val="24"/>
          <w:u w:val="none" w:color="auto"/>
        </w:rPr>
        <w:t>环境功能区划</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根据《地下水质量标准》(</w:t>
      </w:r>
      <w:r>
        <w:rPr>
          <w:rFonts w:hint="default" w:ascii="Times New Roman" w:hAnsi="Times New Roman" w:eastAsia="Times New Roman" w:cs="Times New Roman"/>
          <w:color w:val="auto"/>
          <w:spacing w:val="0"/>
          <w:w w:val="100"/>
          <w:position w:val="0"/>
          <w:sz w:val="24"/>
          <w:szCs w:val="24"/>
          <w:u w:val="none" w:color="auto"/>
        </w:rPr>
        <w:t>GB/T14848-2017</w:t>
      </w:r>
      <w:r>
        <w:rPr>
          <w:rFonts w:hint="default" w:ascii="Times New Roman" w:hAnsi="Times New Roman" w:eastAsia="宋体" w:cs="Times New Roman"/>
          <w:color w:val="auto"/>
          <w:spacing w:val="0"/>
          <w:w w:val="100"/>
          <w:position w:val="0"/>
          <w:sz w:val="24"/>
          <w:szCs w:val="24"/>
          <w:u w:val="none" w:color="auto"/>
        </w:rPr>
        <w:t>)，区域地下水是以人体健康基准值为依据，主要用途为饮用、农业用水，区域地下水水质执行《地下水质量标准》(</w:t>
      </w:r>
      <w:r>
        <w:rPr>
          <w:rFonts w:hint="default" w:ascii="Times New Roman" w:hAnsi="Times New Roman" w:eastAsia="Times New Roman" w:cs="Times New Roman"/>
          <w:color w:val="auto"/>
          <w:spacing w:val="0"/>
          <w:w w:val="100"/>
          <w:position w:val="0"/>
          <w:sz w:val="24"/>
          <w:szCs w:val="24"/>
          <w:u w:val="none" w:color="auto"/>
        </w:rPr>
        <w:t>GB/T14848-2017</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Ⅲ</w:t>
      </w:r>
      <w:r>
        <w:rPr>
          <w:rFonts w:hint="default" w:ascii="Times New Roman" w:hAnsi="Times New Roman" w:eastAsia="宋体" w:cs="Times New Roman"/>
          <w:color w:val="auto"/>
          <w:spacing w:val="0"/>
          <w:w w:val="100"/>
          <w:position w:val="0"/>
          <w:sz w:val="24"/>
          <w:szCs w:val="24"/>
          <w:u w:val="none" w:color="auto"/>
        </w:rPr>
        <w:t>类标准。</w:t>
      </w:r>
    </w:p>
    <w:p w14:paraId="094FDE8D">
      <w:pPr>
        <w:pStyle w:val="4"/>
        <w:bidi w:val="0"/>
        <w:rPr>
          <w:rFonts w:hint="default" w:ascii="Times New Roman" w:hAnsi="Times New Roman" w:cs="Times New Roman"/>
          <w:u w:val="none" w:color="auto"/>
        </w:rPr>
      </w:pPr>
      <w:bookmarkStart w:id="62" w:name="_Toc26000"/>
      <w:r>
        <w:rPr>
          <w:rFonts w:hint="default" w:ascii="Times New Roman" w:hAnsi="Times New Roman" w:cs="Times New Roman"/>
          <w:u w:val="none" w:color="auto"/>
        </w:rPr>
        <w:t>声环境功能区划</w:t>
      </w:r>
      <w:bookmarkEnd w:id="62"/>
    </w:p>
    <w:p w14:paraId="2FAE03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pacing w:val="0"/>
          <w:w w:val="100"/>
          <w:kern w:val="0"/>
          <w:position w:val="0"/>
          <w:sz w:val="24"/>
          <w:szCs w:val="24"/>
          <w:highlight w:val="none"/>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kern w:val="0"/>
          <w:position w:val="0"/>
          <w:sz w:val="24"/>
          <w:szCs w:val="24"/>
          <w:highlight w:val="none"/>
          <w:u w:val="none" w:color="auto"/>
          <w:lang w:eastAsia="zh-CN"/>
          <w14:textFill>
            <w14:solidFill>
              <w14:schemeClr w14:val="tx1"/>
            </w14:solidFill>
          </w14:textFill>
        </w:rPr>
        <w:t>北汊水库</w:t>
      </w:r>
      <w:r>
        <w:rPr>
          <w:rFonts w:hint="default" w:ascii="Times New Roman" w:hAnsi="Times New Roman" w:eastAsia="宋体" w:cs="Times New Roman"/>
          <w:color w:val="000000" w:themeColor="text1"/>
          <w:spacing w:val="0"/>
          <w:w w:val="100"/>
          <w:kern w:val="0"/>
          <w:position w:val="0"/>
          <w:sz w:val="24"/>
          <w:szCs w:val="24"/>
          <w:highlight w:val="none"/>
          <w:u w:val="none" w:color="auto"/>
          <w:lang w:eastAsia="zh-CN"/>
          <w14:textFill>
            <w14:solidFill>
              <w14:schemeClr w14:val="tx1"/>
            </w14:solidFill>
          </w14:textFill>
        </w:rPr>
        <w:t xml:space="preserve">所在地属于农村地区，目前该区域尚未划定声环境功能区划。根据《声环境质量标准》(GB3096-2008)、《声环境功能区划分技术规范》(GB/T15190-2014)中的声环境功能区分类，农村区域原则上执行1类声环境功能区要求，项目区无工业活动分布，也没有交通干线经过。因此，本项目所在区域声环境执行《声环境质量标准》(GB3096-2008)中的1类标准。 </w:t>
      </w:r>
    </w:p>
    <w:p w14:paraId="27EE9CB9">
      <w:pPr>
        <w:pStyle w:val="4"/>
        <w:bidi w:val="0"/>
        <w:rPr>
          <w:rFonts w:hint="default" w:ascii="Times New Roman" w:hAnsi="Times New Roman" w:cs="Times New Roman"/>
          <w:u w:val="none" w:color="auto"/>
        </w:rPr>
      </w:pPr>
      <w:bookmarkStart w:id="63" w:name="_Toc26895"/>
      <w:r>
        <w:rPr>
          <w:rFonts w:hint="default" w:ascii="Times New Roman" w:hAnsi="Times New Roman" w:cs="Times New Roman"/>
          <w:u w:val="none" w:color="auto"/>
          <w:lang w:val="en-US" w:eastAsia="zh-CN"/>
        </w:rPr>
        <w:t>生</w:t>
      </w:r>
      <w:r>
        <w:rPr>
          <w:rFonts w:hint="default" w:ascii="Times New Roman" w:hAnsi="Times New Roman" w:cs="Times New Roman"/>
          <w:u w:val="none" w:color="auto"/>
        </w:rPr>
        <w:t>环境功能区划</w:t>
      </w:r>
      <w:bookmarkEnd w:id="63"/>
    </w:p>
    <w:p w14:paraId="4D1DAC24">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kern w:val="0"/>
          <w:sz w:val="24"/>
          <w:szCs w:val="24"/>
          <w:u w:val="none" w:color="auto"/>
          <w:lang w:val="en-US" w:eastAsia="zh-CN" w:bidi="ar"/>
        </w:rPr>
      </w:pPr>
      <w:bookmarkStart w:id="64" w:name="_Toc72569625"/>
      <w:bookmarkStart w:id="65" w:name="_Toc15319395"/>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根据《全国生态功能区划》（2015年修编版）和《湖南省主体功能区规划》，</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除险加固工程</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处于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洞庭湖洪水调蓄与生物多样性保护功能区。该区主要生态问题是湖泊围垦和泥沙淤积导致湖泊面积和容积缩小，洪水调蓄能力降低；迁徙鸟类等重要物种的栖息地受到损害；随着洞庭湖流域经济发展与城市化，水环境质量面临威胁。该区的生态保护与建设重点：以湿地生物多样性保护为核心，加强区内湿地自然保护区的建设与管理，处理好湿地生态保护与经济发展关系，保护渔业资源与水生生物多样性；控制点源和面源污染，加强江湖关系演变的监测和研究，实施长江干流水利工程的生态调度，保护与恢复洞庭湖生态系统结构与功能。</w:t>
      </w:r>
      <w:r>
        <w:rPr>
          <w:rFonts w:hint="default" w:ascii="Times New Roman" w:hAnsi="Times New Roman" w:eastAsia="宋体" w:cs="Times New Roman"/>
          <w:color w:val="000000"/>
          <w:kern w:val="0"/>
          <w:sz w:val="24"/>
          <w:szCs w:val="24"/>
          <w:u w:val="none" w:color="auto"/>
          <w:lang w:val="en-US" w:eastAsia="zh-CN" w:bidi="ar"/>
        </w:rPr>
        <w:t xml:space="preserve"> </w:t>
      </w:r>
    </w:p>
    <w:p w14:paraId="68658023">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根据《湖南省主体功能区规划》，项目位于华容县</w:t>
      </w:r>
      <w:r>
        <w:rPr>
          <w:rFonts w:hint="eastAsia" w:ascii="Times New Roman" w:hAnsi="Times New Roman" w:eastAsia="宋体" w:cs="Times New Roman"/>
          <w:color w:val="auto"/>
          <w:spacing w:val="0"/>
          <w:w w:val="100"/>
          <w:kern w:val="0"/>
          <w:position w:val="0"/>
          <w:sz w:val="24"/>
          <w:highlight w:val="none"/>
          <w:u w:val="none" w:color="auto"/>
          <w:lang w:val="en-US" w:eastAsia="zh-CN"/>
        </w:rPr>
        <w:t>禹</w:t>
      </w:r>
      <w:r>
        <w:rPr>
          <w:rFonts w:hint="default" w:ascii="Times New Roman" w:hAnsi="Times New Roman" w:eastAsia="宋体" w:cs="Times New Roman"/>
          <w:color w:val="auto"/>
          <w:spacing w:val="0"/>
          <w:w w:val="100"/>
          <w:kern w:val="0"/>
          <w:position w:val="0"/>
          <w:sz w:val="24"/>
          <w:highlight w:val="none"/>
          <w:u w:val="none" w:color="auto"/>
          <w:lang w:val="en-US" w:eastAsia="zh-CN"/>
        </w:rPr>
        <w:t>山镇，项目工程区域所在</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湖南华容东湖国家湿地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公园</w:t>
      </w:r>
      <w:r>
        <w:rPr>
          <w:rFonts w:hint="eastAsia" w:ascii="Times New Roman" w:hAnsi="Times New Roman" w:eastAsia="宋体" w:cs="Times New Roman"/>
          <w:color w:val="auto"/>
          <w:spacing w:val="0"/>
          <w:w w:val="100"/>
          <w:kern w:val="0"/>
          <w:position w:val="0"/>
          <w:sz w:val="24"/>
          <w:highlight w:val="none"/>
          <w:u w:val="none" w:color="auto"/>
          <w:lang w:val="en-US" w:eastAsia="zh-CN"/>
        </w:rPr>
        <w:t>（东湖省级重要湿地）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属于湖南省主体功能区规划中“禁止开发区域（禁止进行工业化城镇化开发的特定区域）”，主要包括：各级各类自然保护区、风景名胜区、森林公园、地质公园、重要湿地、历史文化自然遗产、基本农田、蓄滞洪区、重要水源地等）”。禁止开发区功能定位：</w:t>
      </w:r>
      <w:r>
        <w:rPr>
          <w:rFonts w:hint="default" w:ascii="Times New Roman" w:hAnsi="Times New Roman" w:eastAsia="宋体" w:cs="Times New Roman"/>
          <w:color w:val="auto"/>
          <w:spacing w:val="0"/>
          <w:w w:val="100"/>
          <w:kern w:val="0"/>
          <w:position w:val="0"/>
          <w:sz w:val="24"/>
          <w:highlight w:val="none"/>
          <w:u w:val="none" w:color="auto"/>
        </w:rPr>
        <w:t>保护自然文化资源的重要区域，点状分布的重要生态功能区，珍贵动植物基因资源保护地，防洪减灾、确保流域安全的重要区域。管制原则</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依据法律法规和相关规划实行强制性保护，控制人为因素对自然生态和文化自然遗产原真性、完整性的干扰，严禁不符合主体功能定位的各类开发活动，引导人口逐步有序转移，实行污染物“零排放”，提高环境质量。</w:t>
      </w:r>
    </w:p>
    <w:p w14:paraId="635EEBD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本项目所在区域环境功能区划见表</w:t>
      </w:r>
      <w:r>
        <w:rPr>
          <w:rFonts w:hint="default" w:ascii="Times New Roman" w:hAnsi="Times New Roman" w:eastAsia="Times New Roman" w:cs="Times New Roman"/>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Times New Roman" w:cs="Times New Roman"/>
          <w:color w:val="auto"/>
          <w:spacing w:val="0"/>
          <w:w w:val="100"/>
          <w:position w:val="0"/>
          <w:sz w:val="24"/>
          <w:szCs w:val="24"/>
          <w:u w:val="none" w:color="auto"/>
        </w:rPr>
        <w:t>-</w:t>
      </w: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rPr>
        <w:t>。</w:t>
      </w:r>
    </w:p>
    <w:p w14:paraId="3FF78E8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p>
    <w:p w14:paraId="2C01D376">
      <w:pPr>
        <w:jc w:val="center"/>
        <w:rPr>
          <w:rFonts w:hint="default" w:ascii="Times New Roman" w:hAnsi="Times New Roman" w:eastAsia="宋体" w:cs="Times New Roman"/>
          <w:b/>
          <w:color w:val="auto"/>
          <w:spacing w:val="0"/>
          <w:w w:val="100"/>
          <w:position w:val="0"/>
          <w:sz w:val="24"/>
          <w:szCs w:val="24"/>
          <w:u w:val="none" w:color="auto"/>
        </w:rPr>
      </w:pPr>
      <w:r>
        <w:rPr>
          <w:rFonts w:hint="default" w:ascii="Times New Roman" w:hAnsi="Times New Roman" w:eastAsia="宋体" w:cs="Times New Roman"/>
          <w:b/>
          <w:color w:val="auto"/>
          <w:spacing w:val="0"/>
          <w:w w:val="100"/>
          <w:position w:val="0"/>
          <w:sz w:val="24"/>
          <w:szCs w:val="24"/>
          <w:u w:val="none" w:color="auto"/>
        </w:rPr>
        <w:t>表1.</w:t>
      </w:r>
      <w:r>
        <w:rPr>
          <w:rFonts w:hint="default" w:ascii="Times New Roman" w:hAnsi="Times New Roman" w:eastAsia="宋体" w:cs="Times New Roman"/>
          <w:b/>
          <w:color w:val="auto"/>
          <w:spacing w:val="0"/>
          <w:w w:val="100"/>
          <w:position w:val="0"/>
          <w:sz w:val="24"/>
          <w:szCs w:val="24"/>
          <w:u w:val="none" w:color="auto"/>
          <w:lang w:val="en-US" w:eastAsia="zh-CN"/>
        </w:rPr>
        <w:t>4</w:t>
      </w:r>
      <w:r>
        <w:rPr>
          <w:rFonts w:hint="default" w:ascii="Times New Roman" w:hAnsi="Times New Roman" w:eastAsia="宋体" w:cs="Times New Roman"/>
          <w:b/>
          <w:color w:val="auto"/>
          <w:spacing w:val="0"/>
          <w:w w:val="100"/>
          <w:position w:val="0"/>
          <w:sz w:val="24"/>
          <w:szCs w:val="24"/>
          <w:u w:val="none" w:color="auto"/>
        </w:rPr>
        <w:noBreakHyphen/>
      </w:r>
      <w:r>
        <w:rPr>
          <w:rFonts w:hint="eastAsia" w:ascii="Times New Roman" w:hAnsi="Times New Roman" w:eastAsia="宋体" w:cs="Times New Roman"/>
          <w:b/>
          <w:color w:val="auto"/>
          <w:spacing w:val="0"/>
          <w:w w:val="100"/>
          <w:position w:val="0"/>
          <w:sz w:val="24"/>
          <w:szCs w:val="24"/>
          <w:u w:val="none" w:color="auto"/>
          <w:lang w:val="en-US" w:eastAsia="zh-CN"/>
        </w:rPr>
        <w:t xml:space="preserve">1  </w:t>
      </w:r>
      <w:r>
        <w:rPr>
          <w:rFonts w:hint="default" w:ascii="Times New Roman" w:hAnsi="Times New Roman" w:eastAsia="宋体" w:cs="Times New Roman"/>
          <w:b/>
          <w:color w:val="auto"/>
          <w:spacing w:val="0"/>
          <w:w w:val="100"/>
          <w:position w:val="0"/>
          <w:sz w:val="24"/>
          <w:szCs w:val="24"/>
          <w:u w:val="none" w:color="auto"/>
        </w:rPr>
        <w:t>环境功能区划表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09"/>
        <w:gridCol w:w="2770"/>
        <w:gridCol w:w="4937"/>
      </w:tblGrid>
      <w:tr w14:paraId="3E81D3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62BEE23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pacing w:val="0"/>
                <w:w w:val="100"/>
                <w:position w:val="0"/>
                <w:sz w:val="21"/>
                <w:szCs w:val="21"/>
                <w:u w:val="none" w:color="auto"/>
              </w:rPr>
            </w:pPr>
            <w:r>
              <w:rPr>
                <w:rStyle w:val="97"/>
                <w:rFonts w:hint="default" w:ascii="Times New Roman" w:hAnsi="Times New Roman" w:eastAsia="宋体" w:cs="Times New Roman"/>
                <w:b/>
                <w:bCs/>
                <w:color w:val="auto"/>
                <w:spacing w:val="0"/>
                <w:w w:val="100"/>
                <w:position w:val="0"/>
                <w:sz w:val="21"/>
                <w:szCs w:val="21"/>
                <w:u w:val="none" w:color="auto"/>
              </w:rPr>
              <w:t>编号</w:t>
            </w:r>
          </w:p>
        </w:tc>
        <w:tc>
          <w:tcPr>
            <w:tcW w:w="2770" w:type="dxa"/>
            <w:noWrap w:val="0"/>
            <w:vAlign w:val="center"/>
          </w:tcPr>
          <w:p w14:paraId="06010BB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环境要素</w:t>
            </w:r>
          </w:p>
        </w:tc>
        <w:tc>
          <w:tcPr>
            <w:tcW w:w="4937" w:type="dxa"/>
            <w:noWrap w:val="0"/>
            <w:vAlign w:val="center"/>
          </w:tcPr>
          <w:p w14:paraId="5BF2212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环境功能属性</w:t>
            </w:r>
          </w:p>
        </w:tc>
      </w:tr>
      <w:tr w14:paraId="034E34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73C1F9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w:t>
            </w:r>
          </w:p>
        </w:tc>
        <w:tc>
          <w:tcPr>
            <w:tcW w:w="2770" w:type="dxa"/>
            <w:noWrap w:val="0"/>
            <w:vAlign w:val="center"/>
          </w:tcPr>
          <w:p w14:paraId="5AAFD2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环境空气</w:t>
            </w:r>
          </w:p>
        </w:tc>
        <w:tc>
          <w:tcPr>
            <w:tcW w:w="4937" w:type="dxa"/>
            <w:noWrap w:val="0"/>
            <w:vAlign w:val="center"/>
          </w:tcPr>
          <w:p w14:paraId="29DD93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二类区，执行（GB3095-2012）二级标准</w:t>
            </w:r>
          </w:p>
        </w:tc>
      </w:tr>
      <w:tr w14:paraId="6FCDD6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447419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2</w:t>
            </w:r>
          </w:p>
        </w:tc>
        <w:tc>
          <w:tcPr>
            <w:tcW w:w="2770" w:type="dxa"/>
            <w:noWrap w:val="0"/>
            <w:vAlign w:val="center"/>
          </w:tcPr>
          <w:p w14:paraId="33D094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w:t>
            </w:r>
          </w:p>
        </w:tc>
        <w:tc>
          <w:tcPr>
            <w:tcW w:w="4937" w:type="dxa"/>
            <w:noWrap w:val="0"/>
            <w:vAlign w:val="center"/>
          </w:tcPr>
          <w:p w14:paraId="6B4F06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III</w:t>
            </w:r>
            <w:r>
              <w:rPr>
                <w:rFonts w:hint="default" w:ascii="Times New Roman" w:hAnsi="Times New Roman" w:eastAsia="宋体" w:cs="Times New Roman"/>
                <w:color w:val="auto"/>
                <w:spacing w:val="0"/>
                <w:w w:val="100"/>
                <w:position w:val="0"/>
                <w:sz w:val="21"/>
                <w:szCs w:val="21"/>
                <w:u w:val="none" w:color="auto"/>
              </w:rPr>
              <w:t>类</w:t>
            </w:r>
            <w:r>
              <w:rPr>
                <w:rFonts w:hint="default" w:ascii="Times New Roman" w:hAnsi="Times New Roman" w:eastAsia="宋体" w:cs="Times New Roman"/>
                <w:color w:val="auto"/>
                <w:spacing w:val="0"/>
                <w:w w:val="100"/>
                <w:position w:val="0"/>
                <w:sz w:val="21"/>
                <w:szCs w:val="21"/>
                <w:u w:val="none" w:color="auto"/>
                <w:lang w:eastAsia="zh-CN"/>
              </w:rPr>
              <w:t>，执行</w:t>
            </w:r>
            <w:r>
              <w:rPr>
                <w:rFonts w:hint="default" w:ascii="Times New Roman" w:hAnsi="Times New Roman" w:eastAsia="宋体" w:cs="Times New Roman"/>
                <w:color w:val="auto"/>
                <w:spacing w:val="0"/>
                <w:w w:val="100"/>
                <w:position w:val="0"/>
                <w:sz w:val="21"/>
                <w:szCs w:val="21"/>
                <w:u w:val="none" w:color="auto"/>
              </w:rPr>
              <w:t>《地表水环境质量标准》(</w:t>
            </w:r>
            <w:r>
              <w:rPr>
                <w:rFonts w:hint="default" w:ascii="Times New Roman" w:hAnsi="Times New Roman" w:eastAsia="Times New Roman" w:cs="Times New Roman"/>
                <w:color w:val="auto"/>
                <w:spacing w:val="0"/>
                <w:w w:val="100"/>
                <w:position w:val="0"/>
                <w:sz w:val="21"/>
                <w:szCs w:val="21"/>
                <w:u w:val="none" w:color="auto"/>
              </w:rPr>
              <w:t>GB3838-2002</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III</w:t>
            </w:r>
            <w:r>
              <w:rPr>
                <w:rFonts w:hint="default" w:ascii="Times New Roman" w:hAnsi="Times New Roman" w:eastAsia="宋体" w:cs="Times New Roman"/>
                <w:color w:val="auto"/>
                <w:spacing w:val="0"/>
                <w:w w:val="100"/>
                <w:position w:val="0"/>
                <w:sz w:val="21"/>
                <w:szCs w:val="21"/>
                <w:u w:val="none" w:color="auto"/>
              </w:rPr>
              <w:t>类标准</w:t>
            </w:r>
          </w:p>
        </w:tc>
      </w:tr>
      <w:tr w14:paraId="1A85B9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0E34DD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3</w:t>
            </w:r>
          </w:p>
        </w:tc>
        <w:tc>
          <w:tcPr>
            <w:tcW w:w="2770" w:type="dxa"/>
            <w:noWrap w:val="0"/>
            <w:vAlign w:val="center"/>
          </w:tcPr>
          <w:p w14:paraId="367C9D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地下水</w:t>
            </w:r>
          </w:p>
        </w:tc>
        <w:tc>
          <w:tcPr>
            <w:tcW w:w="4937" w:type="dxa"/>
            <w:noWrap w:val="0"/>
            <w:vAlign w:val="center"/>
          </w:tcPr>
          <w:p w14:paraId="7BE218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《地下水质量标准》（GB/T14848-2017）中的Ⅲ类标准</w:t>
            </w:r>
          </w:p>
        </w:tc>
      </w:tr>
      <w:tr w14:paraId="07C21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6B7F8C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4</w:t>
            </w:r>
          </w:p>
        </w:tc>
        <w:tc>
          <w:tcPr>
            <w:tcW w:w="2770" w:type="dxa"/>
            <w:noWrap w:val="0"/>
            <w:vAlign w:val="center"/>
          </w:tcPr>
          <w:p w14:paraId="3C1B25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声环境</w:t>
            </w:r>
          </w:p>
        </w:tc>
        <w:tc>
          <w:tcPr>
            <w:tcW w:w="4937" w:type="dxa"/>
            <w:noWrap w:val="0"/>
            <w:vAlign w:val="center"/>
          </w:tcPr>
          <w:p w14:paraId="25A03D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lang w:val="en-US" w:eastAsia="zh-CN"/>
              </w:rPr>
              <w:t>1类区，</w:t>
            </w:r>
            <w:r>
              <w:rPr>
                <w:rFonts w:hint="default" w:ascii="Times New Roman" w:hAnsi="Times New Roman" w:eastAsia="宋体" w:cs="Times New Roman"/>
                <w:color w:val="auto"/>
                <w:spacing w:val="0"/>
                <w:w w:val="100"/>
                <w:position w:val="0"/>
                <w:sz w:val="21"/>
                <w:szCs w:val="21"/>
                <w:u w:val="none" w:color="auto"/>
              </w:rPr>
              <w:t>执行</w:t>
            </w:r>
            <w:r>
              <w:rPr>
                <w:rFonts w:hint="default" w:ascii="Times New Roman" w:hAnsi="Times New Roman" w:eastAsia="宋体" w:cs="Times New Roman"/>
                <w:color w:val="000000" w:themeColor="text1"/>
                <w:spacing w:val="0"/>
                <w:w w:val="100"/>
                <w:kern w:val="0"/>
                <w:position w:val="0"/>
                <w:sz w:val="21"/>
                <w:szCs w:val="21"/>
                <w:highlight w:val="none"/>
                <w:u w:val="none" w:color="auto"/>
                <w:lang w:eastAsia="zh-CN"/>
                <w14:textFill>
                  <w14:solidFill>
                    <w14:schemeClr w14:val="tx1"/>
                  </w14:solidFill>
                </w14:textFill>
              </w:rPr>
              <w:t>《声环境质量标准》</w:t>
            </w:r>
            <w:r>
              <w:rPr>
                <w:rFonts w:hint="default" w:ascii="Times New Roman" w:hAnsi="Times New Roman" w:eastAsia="宋体" w:cs="Times New Roman"/>
                <w:color w:val="auto"/>
                <w:spacing w:val="0"/>
                <w:w w:val="100"/>
                <w:position w:val="0"/>
                <w:sz w:val="21"/>
                <w:szCs w:val="21"/>
                <w:u w:val="none" w:color="auto"/>
              </w:rPr>
              <w:t>（GB3096-2008）</w:t>
            </w:r>
            <w:r>
              <w:rPr>
                <w:rFonts w:hint="default" w:ascii="Times New Roman" w:hAnsi="Times New Roman" w:eastAsia="宋体" w:cs="Times New Roman"/>
                <w:color w:val="auto"/>
                <w:spacing w:val="0"/>
                <w:w w:val="100"/>
                <w:position w:val="0"/>
                <w:sz w:val="21"/>
                <w:szCs w:val="21"/>
                <w:u w:val="none" w:color="auto"/>
                <w:lang w:val="en-US" w:eastAsia="zh-CN"/>
              </w:rPr>
              <w:t>1</w:t>
            </w:r>
            <w:r>
              <w:rPr>
                <w:rFonts w:hint="default" w:ascii="Times New Roman" w:hAnsi="Times New Roman" w:eastAsia="宋体" w:cs="Times New Roman"/>
                <w:color w:val="auto"/>
                <w:spacing w:val="0"/>
                <w:w w:val="100"/>
                <w:position w:val="0"/>
                <w:sz w:val="21"/>
                <w:szCs w:val="21"/>
                <w:u w:val="none" w:color="auto"/>
              </w:rPr>
              <w:t>类标准</w:t>
            </w:r>
          </w:p>
        </w:tc>
      </w:tr>
      <w:tr w14:paraId="690B21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5CB760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5</w:t>
            </w:r>
          </w:p>
        </w:tc>
        <w:tc>
          <w:tcPr>
            <w:tcW w:w="2770" w:type="dxa"/>
            <w:noWrap w:val="0"/>
            <w:vAlign w:val="center"/>
          </w:tcPr>
          <w:p w14:paraId="5476BD54">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是否基本农田保护区</w:t>
            </w:r>
          </w:p>
        </w:tc>
        <w:tc>
          <w:tcPr>
            <w:tcW w:w="4937" w:type="dxa"/>
            <w:noWrap w:val="0"/>
            <w:vAlign w:val="center"/>
          </w:tcPr>
          <w:p w14:paraId="6E38BA3C">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否</w:t>
            </w:r>
          </w:p>
        </w:tc>
      </w:tr>
      <w:tr w14:paraId="0102CB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776E21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6</w:t>
            </w:r>
          </w:p>
        </w:tc>
        <w:tc>
          <w:tcPr>
            <w:tcW w:w="2770" w:type="dxa"/>
            <w:noWrap w:val="0"/>
            <w:vAlign w:val="center"/>
          </w:tcPr>
          <w:p w14:paraId="5049D5C3">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是否森林公园</w:t>
            </w:r>
          </w:p>
        </w:tc>
        <w:tc>
          <w:tcPr>
            <w:tcW w:w="4937" w:type="dxa"/>
            <w:noWrap w:val="0"/>
            <w:vAlign w:val="center"/>
          </w:tcPr>
          <w:p w14:paraId="15B0D205">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rPr>
              <w:t>否</w:t>
            </w:r>
          </w:p>
        </w:tc>
      </w:tr>
      <w:tr w14:paraId="4D8FB8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6BA5D9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7</w:t>
            </w:r>
          </w:p>
        </w:tc>
        <w:tc>
          <w:tcPr>
            <w:tcW w:w="2770" w:type="dxa"/>
            <w:noWrap w:val="0"/>
            <w:vAlign w:val="center"/>
          </w:tcPr>
          <w:p w14:paraId="2902E4B9">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highlight w:val="none"/>
                <w:u w:val="none" w:color="auto"/>
              </w:rPr>
            </w:pPr>
            <w:r>
              <w:rPr>
                <w:rFonts w:hint="default" w:ascii="Times New Roman" w:hAnsi="Times New Roman" w:eastAsia="宋体" w:cs="Times New Roman"/>
                <w:color w:val="auto"/>
                <w:spacing w:val="0"/>
                <w:w w:val="100"/>
                <w:position w:val="0"/>
                <w:sz w:val="21"/>
                <w:szCs w:val="21"/>
                <w:highlight w:val="none"/>
                <w:u w:val="none" w:color="auto"/>
              </w:rPr>
              <w:t>是否生态功能保护区</w:t>
            </w:r>
          </w:p>
        </w:tc>
        <w:tc>
          <w:tcPr>
            <w:tcW w:w="4937" w:type="dxa"/>
            <w:noWrap w:val="0"/>
            <w:vAlign w:val="center"/>
          </w:tcPr>
          <w:p w14:paraId="00A38587">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highlight w:val="none"/>
                <w:u w:val="none" w:color="auto"/>
                <w:lang w:eastAsia="zh-CN"/>
              </w:rPr>
            </w:pPr>
            <w:r>
              <w:rPr>
                <w:rFonts w:hint="default" w:ascii="Times New Roman" w:hAnsi="Times New Roman" w:eastAsia="宋体" w:cs="Times New Roman"/>
                <w:color w:val="auto"/>
                <w:spacing w:val="0"/>
                <w:w w:val="100"/>
                <w:position w:val="0"/>
                <w:sz w:val="21"/>
                <w:szCs w:val="21"/>
                <w:highlight w:val="none"/>
                <w:u w:val="none" w:color="auto"/>
                <w:lang w:eastAsia="zh-CN"/>
              </w:rPr>
              <w:t>是</w:t>
            </w:r>
          </w:p>
        </w:tc>
      </w:tr>
      <w:tr w14:paraId="0A145A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29E832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8</w:t>
            </w:r>
          </w:p>
        </w:tc>
        <w:tc>
          <w:tcPr>
            <w:tcW w:w="2770" w:type="dxa"/>
            <w:noWrap w:val="0"/>
            <w:vAlign w:val="center"/>
          </w:tcPr>
          <w:p w14:paraId="760C964B">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是否水土流失重点防治区</w:t>
            </w:r>
          </w:p>
        </w:tc>
        <w:tc>
          <w:tcPr>
            <w:tcW w:w="4937" w:type="dxa"/>
            <w:noWrap w:val="0"/>
            <w:vAlign w:val="center"/>
          </w:tcPr>
          <w:p w14:paraId="04A6D36B">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是</w:t>
            </w:r>
          </w:p>
        </w:tc>
      </w:tr>
      <w:tr w14:paraId="15D8F0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5DBB94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9</w:t>
            </w:r>
          </w:p>
        </w:tc>
        <w:tc>
          <w:tcPr>
            <w:tcW w:w="2770" w:type="dxa"/>
            <w:noWrap w:val="0"/>
            <w:vAlign w:val="center"/>
          </w:tcPr>
          <w:p w14:paraId="3C0DBDD5">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是否人口密集区</w:t>
            </w:r>
          </w:p>
        </w:tc>
        <w:tc>
          <w:tcPr>
            <w:tcW w:w="4937" w:type="dxa"/>
            <w:noWrap w:val="0"/>
            <w:vAlign w:val="center"/>
          </w:tcPr>
          <w:p w14:paraId="79802752">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否</w:t>
            </w:r>
          </w:p>
        </w:tc>
      </w:tr>
      <w:tr w14:paraId="4F1EEC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38465D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10</w:t>
            </w:r>
          </w:p>
        </w:tc>
        <w:tc>
          <w:tcPr>
            <w:tcW w:w="2770" w:type="dxa"/>
            <w:noWrap w:val="0"/>
            <w:vAlign w:val="center"/>
          </w:tcPr>
          <w:p w14:paraId="378AC7F2">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是否重点文物保护单位</w:t>
            </w:r>
          </w:p>
        </w:tc>
        <w:tc>
          <w:tcPr>
            <w:tcW w:w="4937" w:type="dxa"/>
            <w:noWrap w:val="0"/>
            <w:vAlign w:val="center"/>
          </w:tcPr>
          <w:p w14:paraId="11953C49">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否</w:t>
            </w:r>
          </w:p>
        </w:tc>
      </w:tr>
      <w:tr w14:paraId="7E8B7C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065897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11</w:t>
            </w:r>
          </w:p>
        </w:tc>
        <w:tc>
          <w:tcPr>
            <w:tcW w:w="2770" w:type="dxa"/>
            <w:noWrap w:val="0"/>
            <w:vAlign w:val="center"/>
          </w:tcPr>
          <w:p w14:paraId="1EFA86DC">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是否三河、三湖、两控区</w:t>
            </w:r>
          </w:p>
        </w:tc>
        <w:tc>
          <w:tcPr>
            <w:tcW w:w="4937" w:type="dxa"/>
            <w:noWrap w:val="0"/>
            <w:vAlign w:val="center"/>
          </w:tcPr>
          <w:p w14:paraId="1CF106AC">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是（两控区）</w:t>
            </w:r>
          </w:p>
        </w:tc>
      </w:tr>
      <w:tr w14:paraId="7B593D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1FDCE2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12</w:t>
            </w:r>
          </w:p>
        </w:tc>
        <w:tc>
          <w:tcPr>
            <w:tcW w:w="2770" w:type="dxa"/>
            <w:noWrap w:val="0"/>
            <w:vAlign w:val="center"/>
          </w:tcPr>
          <w:p w14:paraId="2B0C6CF2">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是否水库库区</w:t>
            </w:r>
          </w:p>
        </w:tc>
        <w:tc>
          <w:tcPr>
            <w:tcW w:w="4937" w:type="dxa"/>
            <w:noWrap w:val="0"/>
            <w:vAlign w:val="center"/>
          </w:tcPr>
          <w:p w14:paraId="018AD2F4">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是</w:t>
            </w:r>
          </w:p>
        </w:tc>
      </w:tr>
      <w:tr w14:paraId="3DEE50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128784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13</w:t>
            </w:r>
          </w:p>
        </w:tc>
        <w:tc>
          <w:tcPr>
            <w:tcW w:w="2770" w:type="dxa"/>
            <w:noWrap w:val="0"/>
            <w:vAlign w:val="center"/>
          </w:tcPr>
          <w:p w14:paraId="0DA513A2">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是否污水处理厂集水范围</w:t>
            </w:r>
          </w:p>
        </w:tc>
        <w:tc>
          <w:tcPr>
            <w:tcW w:w="4937" w:type="dxa"/>
            <w:noWrap w:val="0"/>
            <w:vAlign w:val="center"/>
          </w:tcPr>
          <w:p w14:paraId="1F2B1E5C">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否</w:t>
            </w:r>
          </w:p>
        </w:tc>
      </w:tr>
      <w:tr w14:paraId="65C1A1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9" w:type="dxa"/>
            <w:noWrap w:val="0"/>
            <w:vAlign w:val="center"/>
          </w:tcPr>
          <w:p w14:paraId="24C274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14</w:t>
            </w:r>
          </w:p>
        </w:tc>
        <w:tc>
          <w:tcPr>
            <w:tcW w:w="2770" w:type="dxa"/>
            <w:noWrap w:val="0"/>
            <w:vAlign w:val="center"/>
          </w:tcPr>
          <w:p w14:paraId="4F37BA0F">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是否属于生态敏感与脆弱区</w:t>
            </w:r>
          </w:p>
        </w:tc>
        <w:tc>
          <w:tcPr>
            <w:tcW w:w="4937" w:type="dxa"/>
            <w:noWrap w:val="0"/>
            <w:vAlign w:val="center"/>
          </w:tcPr>
          <w:p w14:paraId="1CEFB9CF">
            <w:pPr>
              <w:keepNext w:val="0"/>
              <w:keepLines w:val="0"/>
              <w:suppressLineNumbers w:val="0"/>
              <w:spacing w:before="0" w:beforeAutospacing="0" w:after="0" w:afterAutospacing="0"/>
              <w:ind w:left="0" w:right="0"/>
              <w:jc w:val="center"/>
              <w:rPr>
                <w:rStyle w:val="97"/>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是</w:t>
            </w:r>
          </w:p>
        </w:tc>
      </w:tr>
    </w:tbl>
    <w:p w14:paraId="5982DCC8">
      <w:pPr>
        <w:pStyle w:val="3"/>
        <w:bidi w:val="0"/>
        <w:rPr>
          <w:rFonts w:hint="default" w:ascii="Times New Roman" w:hAnsi="Times New Roman" w:cs="Times New Roman"/>
          <w:u w:val="none" w:color="auto"/>
        </w:rPr>
      </w:pPr>
      <w:bookmarkStart w:id="66" w:name="_Toc19723"/>
      <w:r>
        <w:rPr>
          <w:rFonts w:hint="default" w:ascii="Times New Roman" w:hAnsi="Times New Roman" w:cs="Times New Roman"/>
          <w:u w:val="none" w:color="auto"/>
        </w:rPr>
        <w:t>评价标准</w:t>
      </w:r>
      <w:bookmarkEnd w:id="64"/>
      <w:bookmarkEnd w:id="65"/>
      <w:bookmarkEnd w:id="66"/>
    </w:p>
    <w:p w14:paraId="0D5E0CA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67" w:name="_Toc517710658"/>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根据岳阳市生态环境局华容分局《关于湖南省华容县</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除险加固工程环境影响评价执行标准的复函》（附件</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），本次评价执行标准如下：</w:t>
      </w:r>
    </w:p>
    <w:p w14:paraId="5DD16F35">
      <w:pPr>
        <w:pStyle w:val="4"/>
        <w:bidi w:val="0"/>
        <w:rPr>
          <w:rFonts w:hint="default" w:ascii="Times New Roman" w:hAnsi="Times New Roman" w:cs="Times New Roman"/>
          <w:u w:val="none" w:color="auto"/>
        </w:rPr>
      </w:pPr>
      <w:bookmarkStart w:id="68" w:name="_Toc9756"/>
      <w:r>
        <w:rPr>
          <w:rFonts w:hint="default" w:ascii="Times New Roman" w:hAnsi="Times New Roman" w:cs="Times New Roman"/>
          <w:u w:val="none" w:color="auto"/>
        </w:rPr>
        <w:t>环境质量标准</w:t>
      </w:r>
      <w:bookmarkEnd w:id="67"/>
      <w:bookmarkEnd w:id="68"/>
    </w:p>
    <w:p w14:paraId="358C6420">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（1）环境空气质量标准</w:t>
      </w:r>
    </w:p>
    <w:p w14:paraId="12B866B6">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项目所在区域属于环境空气质量二类功能区，SO</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2</w:t>
      </w:r>
      <w:r>
        <w:rPr>
          <w:rFonts w:hint="default" w:ascii="Times New Roman" w:hAnsi="Times New Roman" w:eastAsia="宋体" w:cs="Times New Roman"/>
          <w:caps w:val="0"/>
          <w:smallCaps w:val="0"/>
          <w:color w:val="auto"/>
          <w:spacing w:val="0"/>
          <w:w w:val="100"/>
          <w:kern w:val="0"/>
          <w:position w:val="0"/>
          <w:sz w:val="24"/>
          <w:szCs w:val="24"/>
          <w:u w:val="none" w:color="auto"/>
        </w:rPr>
        <w:t>、NO</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2</w:t>
      </w:r>
      <w:r>
        <w:rPr>
          <w:rFonts w:hint="default" w:ascii="Times New Roman" w:hAnsi="Times New Roman" w:eastAsia="宋体" w:cs="Times New Roman"/>
          <w:caps w:val="0"/>
          <w:smallCaps w:val="0"/>
          <w:color w:val="auto"/>
          <w:spacing w:val="0"/>
          <w:w w:val="100"/>
          <w:kern w:val="0"/>
          <w:position w:val="0"/>
          <w:sz w:val="24"/>
          <w:szCs w:val="24"/>
          <w:u w:val="none" w:color="auto"/>
        </w:rPr>
        <w:t>、PM</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10</w:t>
      </w:r>
      <w:r>
        <w:rPr>
          <w:rFonts w:hint="default" w:ascii="Times New Roman" w:hAnsi="Times New Roman" w:eastAsia="宋体" w:cs="Times New Roman"/>
          <w:caps w:val="0"/>
          <w:smallCaps w:val="0"/>
          <w:color w:val="auto"/>
          <w:spacing w:val="0"/>
          <w:w w:val="100"/>
          <w:kern w:val="0"/>
          <w:position w:val="0"/>
          <w:sz w:val="24"/>
          <w:szCs w:val="24"/>
          <w:u w:val="none" w:color="auto"/>
        </w:rPr>
        <w:t>、PM</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2.5</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1D541B8B">
      <w:pPr>
        <w:keepNext w:val="0"/>
        <w:keepLines w:val="0"/>
        <w:pageBreakBefore w:val="0"/>
        <w:widowControl w:val="0"/>
        <w:kinsoku/>
        <w:wordWrap w:val="0"/>
        <w:overflowPunct/>
        <w:topLinePunct/>
        <w:autoSpaceDE/>
        <w:autoSpaceDN/>
        <w:bidi w:val="0"/>
        <w:adjustRightInd w:val="0"/>
        <w:snapToGrid/>
        <w:spacing w:line="360" w:lineRule="auto"/>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CO、O</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TSP</w:t>
      </w:r>
      <w:r>
        <w:rPr>
          <w:rFonts w:hint="default" w:ascii="Times New Roman" w:hAnsi="Times New Roman" w:eastAsia="宋体" w:cs="Times New Roman"/>
          <w:caps w:val="0"/>
          <w:smallCaps w:val="0"/>
          <w:color w:val="auto"/>
          <w:spacing w:val="0"/>
          <w:w w:val="100"/>
          <w:kern w:val="0"/>
          <w:position w:val="0"/>
          <w:sz w:val="24"/>
          <w:szCs w:val="24"/>
          <w:u w:val="none" w:color="auto"/>
        </w:rPr>
        <w:t>执行《环境空气质量标准》（GB3095-2012）二级标准。</w:t>
      </w:r>
    </w:p>
    <w:p w14:paraId="5C60C51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项目大气环境质量评价标准值具体详见表1.5-1。</w:t>
      </w:r>
    </w:p>
    <w:p w14:paraId="66CE33D8">
      <w:pPr>
        <w:pageBreakBefore w:val="0"/>
        <w:kinsoku w:val="0"/>
        <w:wordWrap w:val="0"/>
        <w:overflowPunct/>
        <w:topLinePunct/>
        <w:autoSpaceDE/>
        <w:autoSpaceDN/>
        <w:bidi w:val="0"/>
        <w:adjustRightInd w:val="0"/>
        <w:spacing w:line="360" w:lineRule="auto"/>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表1.5-1  环境空气质量标准</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3120"/>
        <w:gridCol w:w="3317"/>
      </w:tblGrid>
      <w:tr w14:paraId="7A078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079" w:type="dxa"/>
            <w:tcBorders>
              <w:tl2br w:val="nil"/>
              <w:tr2bl w:val="nil"/>
            </w:tcBorders>
            <w:vAlign w:val="center"/>
          </w:tcPr>
          <w:p w14:paraId="581FEC8C">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污染物名称</w:t>
            </w:r>
          </w:p>
        </w:tc>
        <w:tc>
          <w:tcPr>
            <w:tcW w:w="3120" w:type="dxa"/>
            <w:tcBorders>
              <w:tl2br w:val="nil"/>
              <w:tr2bl w:val="nil"/>
            </w:tcBorders>
            <w:vAlign w:val="center"/>
          </w:tcPr>
          <w:p w14:paraId="2228D62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取值时间</w:t>
            </w:r>
          </w:p>
        </w:tc>
        <w:tc>
          <w:tcPr>
            <w:tcW w:w="3317" w:type="dxa"/>
            <w:tcBorders>
              <w:tl2br w:val="nil"/>
              <w:tr2bl w:val="nil"/>
            </w:tcBorders>
            <w:vAlign w:val="center"/>
          </w:tcPr>
          <w:p w14:paraId="3B5D2345">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浓度限值</w:t>
            </w:r>
          </w:p>
        </w:tc>
      </w:tr>
      <w:tr w14:paraId="5D43F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18637958">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SO</w:t>
            </w:r>
            <w:r>
              <w:rPr>
                <w:rFonts w:hint="default" w:ascii="Times New Roman" w:hAnsi="Times New Roman" w:eastAsia="宋体" w:cs="Times New Roman"/>
                <w:bCs/>
                <w:caps w:val="0"/>
                <w:smallCaps w:val="0"/>
                <w:color w:val="auto"/>
                <w:spacing w:val="0"/>
                <w:w w:val="100"/>
                <w:position w:val="0"/>
                <w:szCs w:val="21"/>
                <w:u w:val="none" w:color="auto"/>
                <w:vertAlign w:val="subscript"/>
              </w:rPr>
              <w:t>2</w:t>
            </w:r>
          </w:p>
        </w:tc>
        <w:tc>
          <w:tcPr>
            <w:tcW w:w="3120" w:type="dxa"/>
            <w:tcBorders>
              <w:tl2br w:val="nil"/>
              <w:tr2bl w:val="nil"/>
            </w:tcBorders>
            <w:vAlign w:val="center"/>
          </w:tcPr>
          <w:p w14:paraId="0AB7D780">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1小时平均</w:t>
            </w:r>
          </w:p>
        </w:tc>
        <w:tc>
          <w:tcPr>
            <w:tcW w:w="3317" w:type="dxa"/>
            <w:tcBorders>
              <w:tl2br w:val="nil"/>
              <w:tr2bl w:val="nil"/>
            </w:tcBorders>
            <w:vAlign w:val="center"/>
          </w:tcPr>
          <w:p w14:paraId="3EDAAFEB">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500μg/m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5EC57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779C0F3A">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7051CD04">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1B441B45">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150μg/m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57E05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4B9884DA">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26E94DA3">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年平均</w:t>
            </w:r>
          </w:p>
        </w:tc>
        <w:tc>
          <w:tcPr>
            <w:tcW w:w="3317" w:type="dxa"/>
            <w:tcBorders>
              <w:tl2br w:val="nil"/>
              <w:tr2bl w:val="nil"/>
            </w:tcBorders>
            <w:vAlign w:val="center"/>
          </w:tcPr>
          <w:p w14:paraId="126B1F2F">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60μg/m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1C3F7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36983179">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NO</w:t>
            </w:r>
            <w:r>
              <w:rPr>
                <w:rFonts w:hint="default" w:ascii="Times New Roman" w:hAnsi="Times New Roman" w:eastAsia="宋体" w:cs="Times New Roman"/>
                <w:bCs/>
                <w:caps w:val="0"/>
                <w:smallCaps w:val="0"/>
                <w:color w:val="auto"/>
                <w:spacing w:val="0"/>
                <w:w w:val="100"/>
                <w:position w:val="0"/>
                <w:szCs w:val="21"/>
                <w:u w:val="none" w:color="auto"/>
                <w:vertAlign w:val="subscript"/>
              </w:rPr>
              <w:t>2</w:t>
            </w:r>
          </w:p>
        </w:tc>
        <w:tc>
          <w:tcPr>
            <w:tcW w:w="3120" w:type="dxa"/>
            <w:tcBorders>
              <w:tl2br w:val="nil"/>
              <w:tr2bl w:val="nil"/>
            </w:tcBorders>
            <w:vAlign w:val="center"/>
          </w:tcPr>
          <w:p w14:paraId="0F84E6A3">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1小时平均</w:t>
            </w:r>
          </w:p>
        </w:tc>
        <w:tc>
          <w:tcPr>
            <w:tcW w:w="3317" w:type="dxa"/>
            <w:tcBorders>
              <w:tl2br w:val="nil"/>
              <w:tr2bl w:val="nil"/>
            </w:tcBorders>
            <w:vAlign w:val="center"/>
          </w:tcPr>
          <w:p w14:paraId="212D651A">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200μg/m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463AF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31A58218">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68DB3801">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43386AE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80μg/m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6CD29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3B2AC6EC">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325B4CEE">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年平均</w:t>
            </w:r>
          </w:p>
        </w:tc>
        <w:tc>
          <w:tcPr>
            <w:tcW w:w="3317" w:type="dxa"/>
            <w:tcBorders>
              <w:tl2br w:val="nil"/>
              <w:tr2bl w:val="nil"/>
            </w:tcBorders>
            <w:vAlign w:val="center"/>
          </w:tcPr>
          <w:p w14:paraId="7A383851">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40μg/m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0D904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2E62A34A">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PM</w:t>
            </w:r>
            <w:r>
              <w:rPr>
                <w:rFonts w:hint="default" w:ascii="Times New Roman" w:hAnsi="Times New Roman" w:eastAsia="宋体" w:cs="Times New Roman"/>
                <w:bCs/>
                <w:caps w:val="0"/>
                <w:smallCaps w:val="0"/>
                <w:color w:val="auto"/>
                <w:spacing w:val="0"/>
                <w:w w:val="100"/>
                <w:position w:val="0"/>
                <w:szCs w:val="21"/>
                <w:u w:val="none" w:color="auto"/>
                <w:vertAlign w:val="subscript"/>
              </w:rPr>
              <w:t>10</w:t>
            </w:r>
          </w:p>
        </w:tc>
        <w:tc>
          <w:tcPr>
            <w:tcW w:w="3120" w:type="dxa"/>
            <w:tcBorders>
              <w:tl2br w:val="nil"/>
              <w:tr2bl w:val="nil"/>
            </w:tcBorders>
            <w:vAlign w:val="center"/>
          </w:tcPr>
          <w:p w14:paraId="258E68FB">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4098367A">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150μg/m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399C5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67D11B87">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39711329">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年平均</w:t>
            </w:r>
          </w:p>
        </w:tc>
        <w:tc>
          <w:tcPr>
            <w:tcW w:w="3317" w:type="dxa"/>
            <w:tcBorders>
              <w:tl2br w:val="nil"/>
              <w:tr2bl w:val="nil"/>
            </w:tcBorders>
            <w:vAlign w:val="center"/>
          </w:tcPr>
          <w:p w14:paraId="6C499E07">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70μg/m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04CA3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22BB5AB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PM</w:t>
            </w:r>
            <w:r>
              <w:rPr>
                <w:rFonts w:hint="default" w:ascii="Times New Roman" w:hAnsi="Times New Roman" w:eastAsia="宋体" w:cs="Times New Roman"/>
                <w:bCs/>
                <w:caps w:val="0"/>
                <w:smallCaps w:val="0"/>
                <w:color w:val="auto"/>
                <w:spacing w:val="0"/>
                <w:w w:val="100"/>
                <w:kern w:val="0"/>
                <w:position w:val="0"/>
                <w:szCs w:val="21"/>
                <w:u w:val="none" w:color="auto"/>
                <w:vertAlign w:val="subscript"/>
              </w:rPr>
              <w:t>2.5</w:t>
            </w:r>
          </w:p>
        </w:tc>
        <w:tc>
          <w:tcPr>
            <w:tcW w:w="3120" w:type="dxa"/>
            <w:tcBorders>
              <w:tl2br w:val="nil"/>
              <w:tr2bl w:val="nil"/>
            </w:tcBorders>
            <w:vAlign w:val="center"/>
          </w:tcPr>
          <w:p w14:paraId="389C4CEF">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7575EAC7">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75μg/m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02C09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207E91E6">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7E50930C">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年平均</w:t>
            </w:r>
          </w:p>
        </w:tc>
        <w:tc>
          <w:tcPr>
            <w:tcW w:w="3317" w:type="dxa"/>
            <w:tcBorders>
              <w:tl2br w:val="nil"/>
              <w:tr2bl w:val="nil"/>
            </w:tcBorders>
            <w:vAlign w:val="center"/>
          </w:tcPr>
          <w:p w14:paraId="1579B529">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35μg/m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47A76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714479B1">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CO</w:t>
            </w:r>
          </w:p>
        </w:tc>
        <w:tc>
          <w:tcPr>
            <w:tcW w:w="3120" w:type="dxa"/>
            <w:tcBorders>
              <w:tl2br w:val="nil"/>
              <w:tr2bl w:val="nil"/>
            </w:tcBorders>
            <w:vAlign w:val="center"/>
          </w:tcPr>
          <w:p w14:paraId="48211D8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1小时平均</w:t>
            </w:r>
          </w:p>
        </w:tc>
        <w:tc>
          <w:tcPr>
            <w:tcW w:w="3317" w:type="dxa"/>
            <w:tcBorders>
              <w:tl2br w:val="nil"/>
              <w:tr2bl w:val="nil"/>
            </w:tcBorders>
            <w:vAlign w:val="center"/>
          </w:tcPr>
          <w:p w14:paraId="5EEB24CB">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lang w:val="en-US" w:eastAsia="zh-CN"/>
              </w:rPr>
              <w:t>10</w:t>
            </w:r>
            <w:r>
              <w:rPr>
                <w:rFonts w:hint="default" w:ascii="Times New Roman" w:hAnsi="Times New Roman" w:eastAsia="宋体" w:cs="Times New Roman"/>
                <w:bCs/>
                <w:caps w:val="0"/>
                <w:smallCaps w:val="0"/>
                <w:color w:val="auto"/>
                <w:spacing w:val="0"/>
                <w:w w:val="100"/>
                <w:position w:val="0"/>
                <w:szCs w:val="21"/>
                <w:u w:val="none" w:color="auto"/>
              </w:rPr>
              <w:t>mg/m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16E59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7BB9821E">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187EF751">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7B00D0D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lang w:val="en-US" w:eastAsia="zh-CN"/>
              </w:rPr>
              <w:t>4</w:t>
            </w:r>
            <w:r>
              <w:rPr>
                <w:rFonts w:hint="default" w:ascii="Times New Roman" w:hAnsi="Times New Roman" w:eastAsia="宋体" w:cs="Times New Roman"/>
                <w:bCs/>
                <w:caps w:val="0"/>
                <w:smallCaps w:val="0"/>
                <w:color w:val="auto"/>
                <w:spacing w:val="0"/>
                <w:w w:val="100"/>
                <w:position w:val="0"/>
                <w:szCs w:val="21"/>
                <w:u w:val="none" w:color="auto"/>
              </w:rPr>
              <w:t>mg/m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57948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6FD90AF5">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O</w:t>
            </w:r>
            <w:r>
              <w:rPr>
                <w:rFonts w:hint="default" w:ascii="Times New Roman" w:hAnsi="Times New Roman" w:eastAsia="宋体" w:cs="Times New Roman"/>
                <w:bCs/>
                <w:caps w:val="0"/>
                <w:smallCaps w:val="0"/>
                <w:color w:val="auto"/>
                <w:spacing w:val="0"/>
                <w:w w:val="100"/>
                <w:position w:val="0"/>
                <w:szCs w:val="21"/>
                <w:u w:val="none" w:color="auto"/>
                <w:vertAlign w:val="subscript"/>
              </w:rPr>
              <w:t>3</w:t>
            </w:r>
          </w:p>
        </w:tc>
        <w:tc>
          <w:tcPr>
            <w:tcW w:w="3120" w:type="dxa"/>
            <w:tcBorders>
              <w:tl2br w:val="nil"/>
              <w:tr2bl w:val="nil"/>
            </w:tcBorders>
            <w:vAlign w:val="center"/>
          </w:tcPr>
          <w:p w14:paraId="36F5B923">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1小时平均</w:t>
            </w:r>
          </w:p>
        </w:tc>
        <w:tc>
          <w:tcPr>
            <w:tcW w:w="3317" w:type="dxa"/>
            <w:tcBorders>
              <w:tl2br w:val="nil"/>
              <w:tr2bl w:val="nil"/>
            </w:tcBorders>
            <w:vAlign w:val="center"/>
          </w:tcPr>
          <w:p w14:paraId="2ED10B56">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200μg/m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221F58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1A27B012">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4FB70773">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日最大8小时平均</w:t>
            </w:r>
          </w:p>
        </w:tc>
        <w:tc>
          <w:tcPr>
            <w:tcW w:w="3317" w:type="dxa"/>
            <w:tcBorders>
              <w:tl2br w:val="nil"/>
              <w:tr2bl w:val="nil"/>
            </w:tcBorders>
            <w:vAlign w:val="center"/>
          </w:tcPr>
          <w:p w14:paraId="18B48F7E">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160μg/m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79230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restart"/>
            <w:tcBorders>
              <w:tl2br w:val="nil"/>
              <w:tr2bl w:val="nil"/>
            </w:tcBorders>
            <w:vAlign w:val="center"/>
          </w:tcPr>
          <w:p w14:paraId="142AB14F">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lang w:val="en-US" w:eastAsia="zh-CN"/>
              </w:rPr>
            </w:pPr>
            <w:r>
              <w:rPr>
                <w:rFonts w:hint="default" w:ascii="Times New Roman" w:hAnsi="Times New Roman" w:eastAsia="宋体" w:cs="Times New Roman"/>
                <w:bCs/>
                <w:caps w:val="0"/>
                <w:smallCaps w:val="0"/>
                <w:color w:val="auto"/>
                <w:spacing w:val="0"/>
                <w:w w:val="100"/>
                <w:position w:val="0"/>
                <w:szCs w:val="21"/>
                <w:u w:val="none" w:color="auto"/>
                <w:lang w:val="en-US" w:eastAsia="zh-CN"/>
              </w:rPr>
              <w:t>TSP</w:t>
            </w:r>
          </w:p>
        </w:tc>
        <w:tc>
          <w:tcPr>
            <w:tcW w:w="3120" w:type="dxa"/>
            <w:tcBorders>
              <w:tl2br w:val="nil"/>
              <w:tr2bl w:val="nil"/>
            </w:tcBorders>
            <w:vAlign w:val="center"/>
          </w:tcPr>
          <w:p w14:paraId="51EE2971">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Cs/>
                <w:caps w:val="0"/>
                <w:smallCaps w:val="0"/>
                <w:color w:val="auto"/>
                <w:spacing w:val="0"/>
                <w:w w:val="100"/>
                <w:position w:val="0"/>
                <w:szCs w:val="21"/>
                <w:u w:val="none" w:color="auto"/>
              </w:rPr>
              <w:t>24小时平均</w:t>
            </w:r>
          </w:p>
        </w:tc>
        <w:tc>
          <w:tcPr>
            <w:tcW w:w="3317" w:type="dxa"/>
            <w:tcBorders>
              <w:tl2br w:val="nil"/>
              <w:tr2bl w:val="nil"/>
            </w:tcBorders>
            <w:vAlign w:val="center"/>
          </w:tcPr>
          <w:p w14:paraId="0243CF3F">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Cs/>
                <w:caps w:val="0"/>
                <w:smallCaps w:val="0"/>
                <w:color w:val="auto"/>
                <w:spacing w:val="0"/>
                <w:w w:val="100"/>
                <w:position w:val="0"/>
                <w:szCs w:val="21"/>
                <w:u w:val="none" w:color="auto"/>
                <w:lang w:val="en-US" w:eastAsia="zh-CN"/>
              </w:rPr>
              <w:t>300</w:t>
            </w:r>
            <w:r>
              <w:rPr>
                <w:rFonts w:hint="default" w:ascii="Times New Roman" w:hAnsi="Times New Roman" w:eastAsia="宋体" w:cs="Times New Roman"/>
                <w:bCs/>
                <w:caps w:val="0"/>
                <w:smallCaps w:val="0"/>
                <w:color w:val="auto"/>
                <w:spacing w:val="0"/>
                <w:w w:val="100"/>
                <w:position w:val="0"/>
                <w:szCs w:val="21"/>
                <w:u w:val="none" w:color="auto"/>
              </w:rPr>
              <w:t>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r w14:paraId="0B3DB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79" w:type="dxa"/>
            <w:vMerge w:val="continue"/>
            <w:tcBorders>
              <w:tl2br w:val="nil"/>
              <w:tr2bl w:val="nil"/>
            </w:tcBorders>
            <w:vAlign w:val="center"/>
          </w:tcPr>
          <w:p w14:paraId="068C943D">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position w:val="0"/>
                <w:szCs w:val="21"/>
                <w:u w:val="none" w:color="auto"/>
              </w:rPr>
            </w:pPr>
          </w:p>
        </w:tc>
        <w:tc>
          <w:tcPr>
            <w:tcW w:w="3120" w:type="dxa"/>
            <w:tcBorders>
              <w:tl2br w:val="nil"/>
              <w:tr2bl w:val="nil"/>
            </w:tcBorders>
            <w:vAlign w:val="center"/>
          </w:tcPr>
          <w:p w14:paraId="5D3D2B88">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Cs/>
                <w:caps w:val="0"/>
                <w:smallCaps w:val="0"/>
                <w:color w:val="auto"/>
                <w:spacing w:val="0"/>
                <w:w w:val="100"/>
                <w:position w:val="0"/>
                <w:szCs w:val="21"/>
                <w:u w:val="none" w:color="auto"/>
              </w:rPr>
              <w:t>年平均</w:t>
            </w:r>
          </w:p>
        </w:tc>
        <w:tc>
          <w:tcPr>
            <w:tcW w:w="3317" w:type="dxa"/>
            <w:tcBorders>
              <w:tl2br w:val="nil"/>
              <w:tr2bl w:val="nil"/>
            </w:tcBorders>
            <w:vAlign w:val="center"/>
          </w:tcPr>
          <w:p w14:paraId="045657FB">
            <w:pPr>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Cs/>
                <w:caps w:val="0"/>
                <w:smallCaps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Cs/>
                <w:caps w:val="0"/>
                <w:smallCaps w:val="0"/>
                <w:color w:val="auto"/>
                <w:spacing w:val="0"/>
                <w:w w:val="100"/>
                <w:position w:val="0"/>
                <w:szCs w:val="21"/>
                <w:u w:val="none" w:color="auto"/>
                <w:lang w:val="en-US" w:eastAsia="zh-CN"/>
              </w:rPr>
              <w:t>200</w:t>
            </w:r>
            <w:r>
              <w:rPr>
                <w:rFonts w:hint="default" w:ascii="Times New Roman" w:hAnsi="Times New Roman" w:eastAsia="宋体" w:cs="Times New Roman"/>
                <w:bCs/>
                <w:caps w:val="0"/>
                <w:smallCaps w:val="0"/>
                <w:color w:val="auto"/>
                <w:spacing w:val="0"/>
                <w:w w:val="100"/>
                <w:position w:val="0"/>
                <w:szCs w:val="21"/>
                <w:u w:val="none" w:color="auto"/>
              </w:rPr>
              <w:t>μg/m</w:t>
            </w:r>
            <w:r>
              <w:rPr>
                <w:rFonts w:hint="default" w:ascii="Times New Roman" w:hAnsi="Times New Roman" w:eastAsia="宋体" w:cs="Times New Roman"/>
                <w:bCs/>
                <w:caps w:val="0"/>
                <w:smallCaps w:val="0"/>
                <w:color w:val="auto"/>
                <w:spacing w:val="0"/>
                <w:w w:val="100"/>
                <w:position w:val="0"/>
                <w:szCs w:val="21"/>
                <w:u w:val="none" w:color="auto"/>
                <w:vertAlign w:val="superscript"/>
              </w:rPr>
              <w:t>3</w:t>
            </w:r>
          </w:p>
        </w:tc>
      </w:tr>
    </w:tbl>
    <w:p w14:paraId="3DDC3934">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（2）地表水环境质量标准</w:t>
      </w:r>
    </w:p>
    <w:p w14:paraId="4E23E3E8">
      <w:pPr>
        <w:keepNext w:val="0"/>
        <w:keepLines w:val="0"/>
        <w:pageBreakBefore w:val="0"/>
        <w:widowControl w:val="0"/>
        <w:overflowPunct/>
        <w:autoSpaceDE/>
        <w:autoSpaceDN/>
        <w:bidi w:val="0"/>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eastAsia="zh-CN"/>
        </w:rPr>
        <w:t>北汊水库</w:t>
      </w:r>
      <w:r>
        <w:rPr>
          <w:rFonts w:hint="default" w:ascii="Times New Roman" w:hAnsi="Times New Roman" w:eastAsia="宋体" w:cs="Times New Roman"/>
          <w:color w:val="auto"/>
          <w:spacing w:val="0"/>
          <w:w w:val="100"/>
          <w:position w:val="0"/>
          <w:sz w:val="24"/>
          <w:szCs w:val="24"/>
          <w:u w:val="none" w:color="auto"/>
        </w:rPr>
        <w:t>执行《地表水环境质量标准》</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Times New Roman" w:cs="Times New Roman"/>
          <w:color w:val="auto"/>
          <w:spacing w:val="0"/>
          <w:w w:val="100"/>
          <w:position w:val="0"/>
          <w:sz w:val="24"/>
          <w:szCs w:val="24"/>
          <w:u w:val="none" w:color="auto"/>
        </w:rPr>
        <w:t>GB3838-2002</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val="en-US" w:eastAsia="zh-CN"/>
        </w:rPr>
        <w:t>III</w:t>
      </w:r>
      <w:r>
        <w:rPr>
          <w:rFonts w:hint="default" w:ascii="Times New Roman" w:hAnsi="Times New Roman" w:eastAsia="宋体" w:cs="Times New Roman"/>
          <w:color w:val="auto"/>
          <w:spacing w:val="0"/>
          <w:w w:val="100"/>
          <w:position w:val="0"/>
          <w:sz w:val="24"/>
          <w:szCs w:val="24"/>
          <w:u w:val="none" w:color="auto"/>
        </w:rPr>
        <w:t>类标准，具体标准限值见表</w:t>
      </w:r>
      <w:r>
        <w:rPr>
          <w:rFonts w:hint="default" w:ascii="Times New Roman" w:hAnsi="Times New Roman" w:eastAsia="Times New Roman" w:cs="Times New Roman"/>
          <w:color w:val="auto"/>
          <w:spacing w:val="0"/>
          <w:w w:val="100"/>
          <w:position w:val="0"/>
          <w:sz w:val="24"/>
          <w:szCs w:val="24"/>
          <w:u w:val="none" w:color="auto"/>
        </w:rPr>
        <w:t>1.5-</w:t>
      </w:r>
      <w:r>
        <w:rPr>
          <w:rFonts w:hint="default"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rPr>
        <w:t>。</w:t>
      </w:r>
    </w:p>
    <w:p w14:paraId="4448FAF8">
      <w:pPr>
        <w:pageBreakBefore w:val="0"/>
        <w:kinsoku w:val="0"/>
        <w:wordWrap w:val="0"/>
        <w:overflowPunct/>
        <w:topLinePunct/>
        <w:autoSpaceDE/>
        <w:autoSpaceDN/>
        <w:bidi w:val="0"/>
        <w:jc w:val="righ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表1.5-2</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地表水环境质量标准</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单位：mg/L</w:t>
      </w:r>
    </w:p>
    <w:tbl>
      <w:tblPr>
        <w:tblStyle w:val="9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07"/>
        <w:gridCol w:w="3099"/>
        <w:gridCol w:w="3224"/>
      </w:tblGrid>
      <w:tr w14:paraId="6B1507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4AF6CF62">
            <w:pPr>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序号</w:t>
            </w:r>
          </w:p>
        </w:tc>
        <w:tc>
          <w:tcPr>
            <w:tcW w:w="3110" w:type="dxa"/>
            <w:tcBorders>
              <w:tl2br w:val="nil"/>
              <w:tr2bl w:val="nil"/>
            </w:tcBorders>
            <w:noWrap w:val="0"/>
            <w:vAlign w:val="center"/>
          </w:tcPr>
          <w:p w14:paraId="0013882A">
            <w:pPr>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水质指标</w:t>
            </w:r>
          </w:p>
        </w:tc>
        <w:tc>
          <w:tcPr>
            <w:tcW w:w="3236" w:type="dxa"/>
            <w:tcBorders>
              <w:tl2br w:val="nil"/>
              <w:tr2bl w:val="nil"/>
            </w:tcBorders>
            <w:noWrap w:val="0"/>
            <w:vAlign w:val="center"/>
          </w:tcPr>
          <w:p w14:paraId="76030C06">
            <w:pPr>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Times New Roman" w:cs="Times New Roman"/>
                <w:b/>
                <w:bCs/>
                <w:color w:val="auto"/>
                <w:spacing w:val="0"/>
                <w:w w:val="100"/>
                <w:position w:val="0"/>
                <w:sz w:val="21"/>
                <w:szCs w:val="21"/>
                <w:u w:val="none" w:color="auto"/>
              </w:rPr>
              <w:t>Ⅲ</w:t>
            </w:r>
            <w:r>
              <w:rPr>
                <w:rFonts w:hint="default" w:ascii="Times New Roman" w:hAnsi="Times New Roman" w:eastAsia="宋体" w:cs="Times New Roman"/>
                <w:b/>
                <w:bCs/>
                <w:color w:val="auto"/>
                <w:spacing w:val="0"/>
                <w:w w:val="100"/>
                <w:position w:val="0"/>
                <w:sz w:val="21"/>
                <w:szCs w:val="21"/>
                <w:u w:val="none" w:color="auto"/>
              </w:rPr>
              <w:t>类</w:t>
            </w:r>
          </w:p>
        </w:tc>
      </w:tr>
      <w:tr w14:paraId="148DC3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124FED09">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1</w:t>
            </w:r>
          </w:p>
        </w:tc>
        <w:tc>
          <w:tcPr>
            <w:tcW w:w="3110" w:type="dxa"/>
            <w:tcBorders>
              <w:tl2br w:val="nil"/>
              <w:tr2bl w:val="nil"/>
            </w:tcBorders>
            <w:noWrap w:val="0"/>
            <w:vAlign w:val="center"/>
          </w:tcPr>
          <w:p w14:paraId="07D2BD3F">
            <w:pPr>
              <w:keepNext w:val="0"/>
              <w:keepLines w:val="0"/>
              <w:pageBreakBefore w:val="0"/>
              <w:widowControl w:val="0"/>
              <w:kinsoku/>
              <w:wordWrap/>
              <w:overflowPunct/>
              <w:topLinePunct w:val="0"/>
              <w:autoSpaceDE/>
              <w:autoSpaceDN/>
              <w:bidi w:val="0"/>
              <w:adjustRightInd/>
              <w:snapToGrid/>
              <w:spacing w:line="283" w:lineRule="exact"/>
              <w:ind w:lef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pH</w:t>
            </w:r>
            <w:r>
              <w:rPr>
                <w:rFonts w:hint="default" w:ascii="Times New Roman" w:hAnsi="Times New Roman" w:eastAsia="宋体" w:cs="Times New Roman"/>
                <w:color w:val="auto"/>
                <w:spacing w:val="0"/>
                <w:w w:val="100"/>
                <w:position w:val="0"/>
                <w:sz w:val="21"/>
                <w:szCs w:val="21"/>
                <w:u w:val="none" w:color="auto"/>
              </w:rPr>
              <w:t>值</w:t>
            </w:r>
            <w:r>
              <w:rPr>
                <w:rFonts w:hint="default" w:ascii="Times New Roman" w:hAnsi="Times New Roman" w:eastAsia="Times New Roman" w:cs="Times New Roman"/>
                <w:color w:val="auto"/>
                <w:spacing w:val="0"/>
                <w:w w:val="100"/>
                <w:position w:val="0"/>
                <w:sz w:val="21"/>
                <w:szCs w:val="21"/>
                <w:u w:val="none" w:color="auto"/>
              </w:rPr>
              <w:t>(</w:t>
            </w:r>
            <w:r>
              <w:rPr>
                <w:rFonts w:hint="default" w:ascii="Times New Roman" w:hAnsi="Times New Roman" w:eastAsia="宋体" w:cs="Times New Roman"/>
                <w:color w:val="auto"/>
                <w:spacing w:val="0"/>
                <w:w w:val="100"/>
                <w:position w:val="0"/>
                <w:sz w:val="21"/>
                <w:szCs w:val="21"/>
                <w:u w:val="none" w:color="auto"/>
              </w:rPr>
              <w:t>无量纲</w:t>
            </w:r>
            <w:r>
              <w:rPr>
                <w:rFonts w:hint="default" w:ascii="Times New Roman" w:hAnsi="Times New Roman" w:eastAsia="Times New Roman" w:cs="Times New Roman"/>
                <w:color w:val="auto"/>
                <w:spacing w:val="0"/>
                <w:w w:val="100"/>
                <w:position w:val="0"/>
                <w:sz w:val="21"/>
                <w:szCs w:val="21"/>
                <w:u w:val="none" w:color="auto"/>
              </w:rPr>
              <w:t>)</w:t>
            </w:r>
          </w:p>
        </w:tc>
        <w:tc>
          <w:tcPr>
            <w:tcW w:w="3236" w:type="dxa"/>
            <w:tcBorders>
              <w:tl2br w:val="nil"/>
              <w:tr2bl w:val="nil"/>
            </w:tcBorders>
            <w:noWrap w:val="0"/>
            <w:vAlign w:val="center"/>
          </w:tcPr>
          <w:p w14:paraId="5EC0C775">
            <w:pPr>
              <w:keepNext w:val="0"/>
              <w:keepLines w:val="0"/>
              <w:pageBreakBefore w:val="0"/>
              <w:widowControl w:val="0"/>
              <w:kinsoku/>
              <w:wordWrap/>
              <w:overflowPunct/>
              <w:topLinePunct w:val="0"/>
              <w:autoSpaceDE/>
              <w:autoSpaceDN/>
              <w:bidi w:val="0"/>
              <w:adjustRightInd/>
              <w:snapToGrid/>
              <w:spacing w:line="236" w:lineRule="auto"/>
              <w:ind w:lef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6</w:t>
            </w: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9</w:t>
            </w:r>
          </w:p>
        </w:tc>
      </w:tr>
      <w:tr w14:paraId="191ACE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79A57F32">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2</w:t>
            </w:r>
          </w:p>
        </w:tc>
        <w:tc>
          <w:tcPr>
            <w:tcW w:w="3110" w:type="dxa"/>
            <w:tcBorders>
              <w:tl2br w:val="nil"/>
              <w:tr2bl w:val="nil"/>
            </w:tcBorders>
            <w:noWrap w:val="0"/>
            <w:vAlign w:val="center"/>
          </w:tcPr>
          <w:p w14:paraId="100AAD54">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DO</w:t>
            </w:r>
          </w:p>
        </w:tc>
        <w:tc>
          <w:tcPr>
            <w:tcW w:w="3236" w:type="dxa"/>
            <w:tcBorders>
              <w:tl2br w:val="nil"/>
              <w:tr2bl w:val="nil"/>
            </w:tcBorders>
            <w:noWrap w:val="0"/>
            <w:vAlign w:val="center"/>
          </w:tcPr>
          <w:p w14:paraId="605AB678">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≥5</w:t>
            </w:r>
          </w:p>
        </w:tc>
      </w:tr>
      <w:tr w14:paraId="24BB4C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47E34733">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3</w:t>
            </w:r>
          </w:p>
        </w:tc>
        <w:tc>
          <w:tcPr>
            <w:tcW w:w="3110" w:type="dxa"/>
            <w:tcBorders>
              <w:tl2br w:val="nil"/>
              <w:tr2bl w:val="nil"/>
            </w:tcBorders>
            <w:shd w:val="clear" w:color="auto" w:fill="auto"/>
            <w:noWrap w:val="0"/>
            <w:vAlign w:val="center"/>
          </w:tcPr>
          <w:p w14:paraId="7ACA554D">
            <w:pPr>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lang w:eastAsia="zh-CN"/>
              </w:rPr>
              <w:t>高锰酸盐指数</w:t>
            </w:r>
          </w:p>
        </w:tc>
        <w:tc>
          <w:tcPr>
            <w:tcW w:w="3236" w:type="dxa"/>
            <w:tcBorders>
              <w:tl2br w:val="nil"/>
              <w:tr2bl w:val="nil"/>
            </w:tcBorders>
            <w:shd w:val="clear" w:color="auto" w:fill="auto"/>
            <w:noWrap w:val="0"/>
            <w:vAlign w:val="center"/>
          </w:tcPr>
          <w:p w14:paraId="672101A9">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6</w:t>
            </w:r>
          </w:p>
        </w:tc>
      </w:tr>
      <w:tr w14:paraId="54E27F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6F8A91B7">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4</w:t>
            </w:r>
          </w:p>
        </w:tc>
        <w:tc>
          <w:tcPr>
            <w:tcW w:w="3110" w:type="dxa"/>
            <w:tcBorders>
              <w:tl2br w:val="nil"/>
              <w:tr2bl w:val="nil"/>
            </w:tcBorders>
            <w:shd w:val="clear" w:color="auto" w:fill="auto"/>
            <w:noWrap w:val="0"/>
            <w:vAlign w:val="center"/>
          </w:tcPr>
          <w:p w14:paraId="744E1E81">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COD</w:t>
            </w:r>
          </w:p>
        </w:tc>
        <w:tc>
          <w:tcPr>
            <w:tcW w:w="3236" w:type="dxa"/>
            <w:tcBorders>
              <w:tl2br w:val="nil"/>
              <w:tr2bl w:val="nil"/>
            </w:tcBorders>
            <w:shd w:val="clear" w:color="auto" w:fill="auto"/>
            <w:noWrap w:val="0"/>
            <w:vAlign w:val="center"/>
          </w:tcPr>
          <w:p w14:paraId="0B18A37A">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20</w:t>
            </w:r>
          </w:p>
        </w:tc>
      </w:tr>
      <w:tr w14:paraId="1BB6A9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3E393414">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5</w:t>
            </w:r>
          </w:p>
        </w:tc>
        <w:tc>
          <w:tcPr>
            <w:tcW w:w="3110" w:type="dxa"/>
            <w:tcBorders>
              <w:tl2br w:val="nil"/>
              <w:tr2bl w:val="nil"/>
            </w:tcBorders>
            <w:shd w:val="clear" w:color="auto" w:fill="auto"/>
            <w:noWrap w:val="0"/>
            <w:vAlign w:val="center"/>
          </w:tcPr>
          <w:p w14:paraId="0471C53C">
            <w:pPr>
              <w:keepNext w:val="0"/>
              <w:keepLines w:val="0"/>
              <w:pageBreakBefore w:val="0"/>
              <w:widowControl w:val="0"/>
              <w:kinsoku/>
              <w:wordWrap/>
              <w:overflowPunct/>
              <w:topLinePunct w:val="0"/>
              <w:autoSpaceDE/>
              <w:autoSpaceDN/>
              <w:bidi w:val="0"/>
              <w:adjustRightInd/>
              <w:snapToGrid/>
              <w:spacing w:line="196"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BOD5</w:t>
            </w:r>
          </w:p>
        </w:tc>
        <w:tc>
          <w:tcPr>
            <w:tcW w:w="3236" w:type="dxa"/>
            <w:tcBorders>
              <w:tl2br w:val="nil"/>
              <w:tr2bl w:val="nil"/>
            </w:tcBorders>
            <w:shd w:val="clear" w:color="auto" w:fill="auto"/>
            <w:noWrap w:val="0"/>
            <w:vAlign w:val="center"/>
          </w:tcPr>
          <w:p w14:paraId="0E6BBD3C">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4</w:t>
            </w:r>
          </w:p>
        </w:tc>
      </w:tr>
      <w:tr w14:paraId="1E035A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64223458">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6</w:t>
            </w:r>
          </w:p>
        </w:tc>
        <w:tc>
          <w:tcPr>
            <w:tcW w:w="3110" w:type="dxa"/>
            <w:tcBorders>
              <w:tl2br w:val="nil"/>
              <w:tr2bl w:val="nil"/>
            </w:tcBorders>
            <w:shd w:val="clear" w:color="auto" w:fill="auto"/>
            <w:noWrap w:val="0"/>
            <w:vAlign w:val="center"/>
          </w:tcPr>
          <w:p w14:paraId="2A10D768">
            <w:pPr>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氨氮</w:t>
            </w:r>
          </w:p>
        </w:tc>
        <w:tc>
          <w:tcPr>
            <w:tcW w:w="3236" w:type="dxa"/>
            <w:tcBorders>
              <w:tl2br w:val="nil"/>
              <w:tr2bl w:val="nil"/>
            </w:tcBorders>
            <w:shd w:val="clear" w:color="auto" w:fill="auto"/>
            <w:noWrap w:val="0"/>
            <w:vAlign w:val="center"/>
          </w:tcPr>
          <w:p w14:paraId="2CA4AEFE">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1.0</w:t>
            </w:r>
          </w:p>
        </w:tc>
      </w:tr>
      <w:tr w14:paraId="5835DD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263AA865">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7</w:t>
            </w:r>
          </w:p>
        </w:tc>
        <w:tc>
          <w:tcPr>
            <w:tcW w:w="3110" w:type="dxa"/>
            <w:tcBorders>
              <w:tl2br w:val="nil"/>
              <w:tr2bl w:val="nil"/>
            </w:tcBorders>
            <w:shd w:val="clear" w:color="auto" w:fill="auto"/>
            <w:noWrap w:val="0"/>
            <w:vAlign w:val="center"/>
          </w:tcPr>
          <w:p w14:paraId="19FFD409">
            <w:pPr>
              <w:keepNext w:val="0"/>
              <w:keepLines w:val="0"/>
              <w:pageBreakBefore w:val="0"/>
              <w:widowControl w:val="0"/>
              <w:kinsoku/>
              <w:wordWrap/>
              <w:overflowPunct/>
              <w:topLinePunct w:val="0"/>
              <w:autoSpaceDE/>
              <w:autoSpaceDN/>
              <w:bidi w:val="0"/>
              <w:adjustRightInd/>
              <w:snapToGrid/>
              <w:spacing w:line="22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总磷</w:t>
            </w:r>
          </w:p>
        </w:tc>
        <w:tc>
          <w:tcPr>
            <w:tcW w:w="3236" w:type="dxa"/>
            <w:tcBorders>
              <w:tl2br w:val="nil"/>
              <w:tr2bl w:val="nil"/>
            </w:tcBorders>
            <w:shd w:val="clear" w:color="auto" w:fill="auto"/>
            <w:noWrap w:val="0"/>
            <w:vAlign w:val="center"/>
          </w:tcPr>
          <w:p w14:paraId="2339D9E2">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0.05</w:t>
            </w:r>
          </w:p>
        </w:tc>
      </w:tr>
      <w:tr w14:paraId="04D4A3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5EDD7F3A">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8</w:t>
            </w:r>
          </w:p>
        </w:tc>
        <w:tc>
          <w:tcPr>
            <w:tcW w:w="3110" w:type="dxa"/>
            <w:tcBorders>
              <w:tl2br w:val="nil"/>
              <w:tr2bl w:val="nil"/>
            </w:tcBorders>
            <w:shd w:val="clear" w:color="auto" w:fill="auto"/>
            <w:noWrap w:val="0"/>
            <w:vAlign w:val="center"/>
          </w:tcPr>
          <w:p w14:paraId="4240FE4B">
            <w:pPr>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总氮</w:t>
            </w:r>
          </w:p>
        </w:tc>
        <w:tc>
          <w:tcPr>
            <w:tcW w:w="3236" w:type="dxa"/>
            <w:tcBorders>
              <w:tl2br w:val="nil"/>
              <w:tr2bl w:val="nil"/>
            </w:tcBorders>
            <w:shd w:val="clear" w:color="auto" w:fill="auto"/>
            <w:noWrap w:val="0"/>
            <w:vAlign w:val="center"/>
          </w:tcPr>
          <w:p w14:paraId="0C887450">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1.0</w:t>
            </w:r>
          </w:p>
        </w:tc>
      </w:tr>
      <w:tr w14:paraId="54C572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301A649E">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9</w:t>
            </w:r>
          </w:p>
        </w:tc>
        <w:tc>
          <w:tcPr>
            <w:tcW w:w="3110" w:type="dxa"/>
            <w:tcBorders>
              <w:tl2br w:val="nil"/>
              <w:tr2bl w:val="nil"/>
            </w:tcBorders>
            <w:shd w:val="clear" w:color="auto" w:fill="auto"/>
            <w:noWrap w:val="0"/>
            <w:vAlign w:val="center"/>
          </w:tcPr>
          <w:p w14:paraId="278BB46F">
            <w:pPr>
              <w:keepNext w:val="0"/>
              <w:keepLines w:val="0"/>
              <w:pageBreakBefore w:val="0"/>
              <w:widowControl w:val="0"/>
              <w:kinsoku/>
              <w:wordWrap/>
              <w:overflowPunct/>
              <w:topLinePunct w:val="0"/>
              <w:autoSpaceDE/>
              <w:autoSpaceDN/>
              <w:bidi w:val="0"/>
              <w:adjustRightInd/>
              <w:snapToGrid/>
              <w:spacing w:line="228"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铬(六价)</w:t>
            </w:r>
          </w:p>
        </w:tc>
        <w:tc>
          <w:tcPr>
            <w:tcW w:w="3236" w:type="dxa"/>
            <w:tcBorders>
              <w:tl2br w:val="nil"/>
              <w:tr2bl w:val="nil"/>
            </w:tcBorders>
            <w:shd w:val="clear" w:color="auto" w:fill="auto"/>
            <w:noWrap w:val="0"/>
            <w:vAlign w:val="center"/>
          </w:tcPr>
          <w:p w14:paraId="60042C05">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0.05</w:t>
            </w:r>
          </w:p>
        </w:tc>
      </w:tr>
      <w:tr w14:paraId="6394E5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4" w:type="dxa"/>
            <w:tcBorders>
              <w:tl2br w:val="nil"/>
              <w:tr2bl w:val="nil"/>
            </w:tcBorders>
            <w:noWrap w:val="0"/>
            <w:vAlign w:val="center"/>
          </w:tcPr>
          <w:p w14:paraId="0C6C7E7D">
            <w:pPr>
              <w:keepNext w:val="0"/>
              <w:keepLines w:val="0"/>
              <w:pageBreakBefore w:val="0"/>
              <w:widowControl w:val="0"/>
              <w:kinsoku/>
              <w:wordWrap/>
              <w:overflowPunct/>
              <w:topLinePunct w:val="0"/>
              <w:autoSpaceDE/>
              <w:autoSpaceDN/>
              <w:bidi w:val="0"/>
              <w:adjustRightInd/>
              <w:snapToGrid/>
              <w:spacing w:line="188" w:lineRule="auto"/>
              <w:ind w:left="0"/>
              <w:jc w:val="center"/>
              <w:textAlignment w:val="auto"/>
              <w:rPr>
                <w:rFonts w:hint="default" w:ascii="Times New Roman" w:hAnsi="Times New Roman" w:eastAsia="Times New Roman" w:cs="Times New Roman"/>
                <w:b w:val="0"/>
                <w:bCs w:val="0"/>
                <w:color w:val="auto"/>
                <w:spacing w:val="0"/>
                <w:w w:val="100"/>
                <w:position w:val="0"/>
                <w:sz w:val="21"/>
                <w:szCs w:val="21"/>
                <w:u w:val="none" w:color="auto"/>
              </w:rPr>
            </w:pPr>
            <w:r>
              <w:rPr>
                <w:rFonts w:hint="default" w:ascii="Times New Roman" w:hAnsi="Times New Roman" w:eastAsia="Times New Roman" w:cs="Times New Roman"/>
                <w:b w:val="0"/>
                <w:bCs w:val="0"/>
                <w:color w:val="auto"/>
                <w:spacing w:val="0"/>
                <w:w w:val="100"/>
                <w:position w:val="0"/>
                <w:sz w:val="21"/>
                <w:szCs w:val="21"/>
                <w:u w:val="none" w:color="auto"/>
              </w:rPr>
              <w:t>10</w:t>
            </w:r>
          </w:p>
        </w:tc>
        <w:tc>
          <w:tcPr>
            <w:tcW w:w="3110" w:type="dxa"/>
            <w:tcBorders>
              <w:tl2br w:val="nil"/>
              <w:tr2bl w:val="nil"/>
            </w:tcBorders>
            <w:shd w:val="clear" w:color="auto" w:fill="auto"/>
            <w:noWrap w:val="0"/>
            <w:vAlign w:val="center"/>
          </w:tcPr>
          <w:p w14:paraId="444D3CE2">
            <w:pPr>
              <w:keepNext w:val="0"/>
              <w:keepLines w:val="0"/>
              <w:pageBreakBefore w:val="0"/>
              <w:widowControl w:val="0"/>
              <w:kinsoku/>
              <w:wordWrap/>
              <w:overflowPunct/>
              <w:topLinePunct w:val="0"/>
              <w:autoSpaceDE/>
              <w:autoSpaceDN/>
              <w:bidi w:val="0"/>
              <w:adjustRightInd/>
              <w:snapToGrid/>
              <w:spacing w:line="229"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石油类</w:t>
            </w:r>
          </w:p>
        </w:tc>
        <w:tc>
          <w:tcPr>
            <w:tcW w:w="3236" w:type="dxa"/>
            <w:tcBorders>
              <w:tl2br w:val="nil"/>
              <w:tr2bl w:val="nil"/>
            </w:tcBorders>
            <w:shd w:val="clear" w:color="auto" w:fill="auto"/>
            <w:noWrap w:val="0"/>
            <w:vAlign w:val="center"/>
          </w:tcPr>
          <w:p w14:paraId="2B746781">
            <w:pPr>
              <w:keepNext w:val="0"/>
              <w:keepLines w:val="0"/>
              <w:pageBreakBefore w:val="0"/>
              <w:widowControl w:val="0"/>
              <w:kinsoku/>
              <w:wordWrap/>
              <w:overflowPunct/>
              <w:topLinePunct w:val="0"/>
              <w:autoSpaceDE/>
              <w:autoSpaceDN/>
              <w:bidi w:val="0"/>
              <w:adjustRightInd/>
              <w:snapToGrid/>
              <w:spacing w:line="188" w:lineRule="auto"/>
              <w:ind w:left="0" w:left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default" w:ascii="Times New Roman" w:hAnsi="Times New Roman" w:eastAsia="Times New Roman" w:cs="Times New Roman"/>
                <w:color w:val="auto"/>
                <w:spacing w:val="0"/>
                <w:w w:val="100"/>
                <w:position w:val="0"/>
                <w:sz w:val="21"/>
                <w:szCs w:val="21"/>
                <w:u w:val="none" w:color="auto"/>
              </w:rPr>
              <w:t>0.05</w:t>
            </w:r>
          </w:p>
        </w:tc>
      </w:tr>
    </w:tbl>
    <w:p w14:paraId="50B07E56">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（3）地下水环境</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质量</w:t>
      </w:r>
      <w:r>
        <w:rPr>
          <w:rFonts w:hint="default" w:ascii="Times New Roman" w:hAnsi="Times New Roman" w:eastAsia="宋体" w:cs="Times New Roman"/>
          <w:caps w:val="0"/>
          <w:smallCaps w:val="0"/>
          <w:color w:val="auto"/>
          <w:spacing w:val="0"/>
          <w:w w:val="100"/>
          <w:kern w:val="0"/>
          <w:position w:val="0"/>
          <w:sz w:val="24"/>
          <w:szCs w:val="24"/>
          <w:u w:val="none" w:color="auto"/>
        </w:rPr>
        <w:t>标准</w:t>
      </w:r>
    </w:p>
    <w:p w14:paraId="59B9DBA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项目地下水水质执行《地下水质量标准》（GB/T14848-2017）中的Ⅲ类标准，各水质指标详见表1.5-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1EB5C103">
      <w:pPr>
        <w:pageBreakBefore w:val="0"/>
        <w:kinsoku w:val="0"/>
        <w:wordWrap w:val="0"/>
        <w:overflowPunct/>
        <w:topLinePunct/>
        <w:autoSpaceDE/>
        <w:autoSpaceDN/>
        <w:bidi w:val="0"/>
        <w:adjustRightInd w:val="0"/>
        <w:spacing w:line="500" w:lineRule="exact"/>
        <w:jc w:val="center"/>
        <w:rPr>
          <w:rFonts w:hint="default" w:ascii="Times New Roman" w:hAnsi="Times New Roman" w:eastAsia="宋体" w:cs="Times New Roman"/>
          <w:b/>
          <w:caps w:val="0"/>
          <w:smallCaps w:val="0"/>
          <w:color w:val="auto"/>
          <w:spacing w:val="0"/>
          <w:w w:val="100"/>
          <w:kern w:val="0"/>
          <w:position w:val="0"/>
          <w:szCs w:val="21"/>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地下水环境质量标准</w:t>
      </w:r>
      <w:r>
        <w:rPr>
          <w:rFonts w:hint="default" w:ascii="Times New Roman" w:hAnsi="Times New Roman" w:eastAsia="宋体" w:cs="Times New Roman"/>
          <w:b/>
          <w:caps w:val="0"/>
          <w:smallCaps w:val="0"/>
          <w:color w:val="auto"/>
          <w:spacing w:val="0"/>
          <w:w w:val="100"/>
          <w:kern w:val="0"/>
          <w:position w:val="0"/>
          <w:szCs w:val="21"/>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Cs w:val="21"/>
          <w:u w:val="none" w:color="auto"/>
        </w:rPr>
        <w:t>单位：mg/L</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16"/>
        <w:gridCol w:w="3396"/>
      </w:tblGrid>
      <w:tr w14:paraId="32073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04" w:type="dxa"/>
            <w:tcBorders>
              <w:tl2br w:val="nil"/>
              <w:tr2bl w:val="nil"/>
            </w:tcBorders>
            <w:vAlign w:val="center"/>
          </w:tcPr>
          <w:p w14:paraId="353D04F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序号</w:t>
            </w:r>
          </w:p>
        </w:tc>
        <w:tc>
          <w:tcPr>
            <w:tcW w:w="3416" w:type="dxa"/>
            <w:tcBorders>
              <w:tl2br w:val="nil"/>
              <w:tr2bl w:val="nil"/>
            </w:tcBorders>
            <w:vAlign w:val="center"/>
          </w:tcPr>
          <w:p w14:paraId="10D6451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项目</w:t>
            </w:r>
          </w:p>
        </w:tc>
        <w:tc>
          <w:tcPr>
            <w:tcW w:w="3396" w:type="dxa"/>
            <w:tcBorders>
              <w:tl2br w:val="nil"/>
              <w:tr2bl w:val="nil"/>
            </w:tcBorders>
            <w:vAlign w:val="center"/>
          </w:tcPr>
          <w:p w14:paraId="6919A02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标准值</w:t>
            </w:r>
          </w:p>
        </w:tc>
      </w:tr>
      <w:tr w14:paraId="13819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FE6CA3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w:t>
            </w:r>
          </w:p>
        </w:tc>
        <w:tc>
          <w:tcPr>
            <w:tcW w:w="3416" w:type="dxa"/>
            <w:tcBorders>
              <w:tl2br w:val="nil"/>
              <w:tr2bl w:val="nil"/>
            </w:tcBorders>
            <w:vAlign w:val="center"/>
          </w:tcPr>
          <w:p w14:paraId="121E51D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pH值（无量纲）</w:t>
            </w:r>
          </w:p>
        </w:tc>
        <w:tc>
          <w:tcPr>
            <w:tcW w:w="3396" w:type="dxa"/>
            <w:tcBorders>
              <w:tl2br w:val="nil"/>
              <w:tr2bl w:val="nil"/>
            </w:tcBorders>
            <w:vAlign w:val="center"/>
          </w:tcPr>
          <w:p w14:paraId="0DD4FD1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6.5～8.5</w:t>
            </w:r>
          </w:p>
        </w:tc>
      </w:tr>
      <w:tr w14:paraId="12444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3797E42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w:t>
            </w:r>
          </w:p>
        </w:tc>
        <w:tc>
          <w:tcPr>
            <w:tcW w:w="3416" w:type="dxa"/>
            <w:tcBorders>
              <w:tl2br w:val="nil"/>
              <w:tr2bl w:val="nil"/>
            </w:tcBorders>
            <w:vAlign w:val="center"/>
          </w:tcPr>
          <w:p w14:paraId="59388B1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氨氮</w:t>
            </w:r>
          </w:p>
        </w:tc>
        <w:tc>
          <w:tcPr>
            <w:tcW w:w="3396" w:type="dxa"/>
            <w:tcBorders>
              <w:tl2br w:val="nil"/>
              <w:tr2bl w:val="nil"/>
            </w:tcBorders>
            <w:vAlign w:val="center"/>
          </w:tcPr>
          <w:p w14:paraId="51DBD77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0.5</w:t>
            </w:r>
          </w:p>
        </w:tc>
      </w:tr>
      <w:tr w14:paraId="38478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72CFA7E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3</w:t>
            </w:r>
          </w:p>
        </w:tc>
        <w:tc>
          <w:tcPr>
            <w:tcW w:w="3416" w:type="dxa"/>
            <w:tcBorders>
              <w:tl2br w:val="nil"/>
              <w:tr2bl w:val="nil"/>
            </w:tcBorders>
            <w:vAlign w:val="center"/>
          </w:tcPr>
          <w:p w14:paraId="0175214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硝酸盐</w:t>
            </w:r>
          </w:p>
        </w:tc>
        <w:tc>
          <w:tcPr>
            <w:tcW w:w="3396" w:type="dxa"/>
            <w:tcBorders>
              <w:tl2br w:val="nil"/>
              <w:tr2bl w:val="nil"/>
            </w:tcBorders>
            <w:vAlign w:val="center"/>
          </w:tcPr>
          <w:p w14:paraId="27AFF46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20</w:t>
            </w:r>
          </w:p>
        </w:tc>
      </w:tr>
      <w:tr w14:paraId="4A82F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00949F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4</w:t>
            </w:r>
          </w:p>
        </w:tc>
        <w:tc>
          <w:tcPr>
            <w:tcW w:w="3416" w:type="dxa"/>
            <w:tcBorders>
              <w:tl2br w:val="nil"/>
              <w:tr2bl w:val="nil"/>
            </w:tcBorders>
            <w:vAlign w:val="center"/>
          </w:tcPr>
          <w:p w14:paraId="2BE4C84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亚硝酸盐</w:t>
            </w:r>
          </w:p>
        </w:tc>
        <w:tc>
          <w:tcPr>
            <w:tcW w:w="3396" w:type="dxa"/>
            <w:tcBorders>
              <w:tl2br w:val="nil"/>
              <w:tr2bl w:val="nil"/>
            </w:tcBorders>
            <w:vAlign w:val="center"/>
          </w:tcPr>
          <w:p w14:paraId="017A31C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w:t>
            </w:r>
          </w:p>
        </w:tc>
      </w:tr>
      <w:tr w14:paraId="49751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3E666A7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5</w:t>
            </w:r>
          </w:p>
        </w:tc>
        <w:tc>
          <w:tcPr>
            <w:tcW w:w="3416" w:type="dxa"/>
            <w:tcBorders>
              <w:tl2br w:val="nil"/>
              <w:tr2bl w:val="nil"/>
            </w:tcBorders>
            <w:vAlign w:val="center"/>
          </w:tcPr>
          <w:p w14:paraId="5163355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挥发酚</w:t>
            </w:r>
          </w:p>
        </w:tc>
        <w:tc>
          <w:tcPr>
            <w:tcW w:w="3396" w:type="dxa"/>
            <w:tcBorders>
              <w:tl2br w:val="nil"/>
              <w:tr2bl w:val="nil"/>
            </w:tcBorders>
            <w:vAlign w:val="center"/>
          </w:tcPr>
          <w:p w14:paraId="7E8CBFF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0.002</w:t>
            </w:r>
          </w:p>
        </w:tc>
      </w:tr>
      <w:tr w14:paraId="24AC4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6FAB04A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6</w:t>
            </w:r>
          </w:p>
        </w:tc>
        <w:tc>
          <w:tcPr>
            <w:tcW w:w="3416" w:type="dxa"/>
            <w:tcBorders>
              <w:tl2br w:val="nil"/>
              <w:tr2bl w:val="nil"/>
            </w:tcBorders>
            <w:vAlign w:val="center"/>
          </w:tcPr>
          <w:p w14:paraId="16B0113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氰化物</w:t>
            </w:r>
          </w:p>
        </w:tc>
        <w:tc>
          <w:tcPr>
            <w:tcW w:w="3396" w:type="dxa"/>
            <w:tcBorders>
              <w:tl2br w:val="nil"/>
              <w:tr2bl w:val="nil"/>
            </w:tcBorders>
            <w:vAlign w:val="center"/>
          </w:tcPr>
          <w:p w14:paraId="4342591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0.05</w:t>
            </w:r>
          </w:p>
        </w:tc>
      </w:tr>
      <w:tr w14:paraId="3F108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4EBFC94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7</w:t>
            </w:r>
          </w:p>
        </w:tc>
        <w:tc>
          <w:tcPr>
            <w:tcW w:w="3416" w:type="dxa"/>
            <w:tcBorders>
              <w:tl2br w:val="nil"/>
              <w:tr2bl w:val="nil"/>
            </w:tcBorders>
            <w:vAlign w:val="center"/>
          </w:tcPr>
          <w:p w14:paraId="014D93B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砷</w:t>
            </w:r>
          </w:p>
        </w:tc>
        <w:tc>
          <w:tcPr>
            <w:tcW w:w="3396" w:type="dxa"/>
            <w:tcBorders>
              <w:tl2br w:val="nil"/>
              <w:tr2bl w:val="nil"/>
            </w:tcBorders>
            <w:vAlign w:val="center"/>
          </w:tcPr>
          <w:p w14:paraId="41A5E12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0.01</w:t>
            </w:r>
          </w:p>
        </w:tc>
      </w:tr>
      <w:tr w14:paraId="07727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286C93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8</w:t>
            </w:r>
          </w:p>
        </w:tc>
        <w:tc>
          <w:tcPr>
            <w:tcW w:w="3416" w:type="dxa"/>
            <w:tcBorders>
              <w:tl2br w:val="nil"/>
              <w:tr2bl w:val="nil"/>
            </w:tcBorders>
            <w:vAlign w:val="center"/>
          </w:tcPr>
          <w:p w14:paraId="35056E2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汞</w:t>
            </w:r>
          </w:p>
        </w:tc>
        <w:tc>
          <w:tcPr>
            <w:tcW w:w="3396" w:type="dxa"/>
            <w:tcBorders>
              <w:tl2br w:val="nil"/>
              <w:tr2bl w:val="nil"/>
            </w:tcBorders>
            <w:vAlign w:val="center"/>
          </w:tcPr>
          <w:p w14:paraId="76289F3B">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0.001</w:t>
            </w:r>
          </w:p>
        </w:tc>
      </w:tr>
      <w:tr w14:paraId="517B6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051405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9</w:t>
            </w:r>
          </w:p>
        </w:tc>
        <w:tc>
          <w:tcPr>
            <w:tcW w:w="3416" w:type="dxa"/>
            <w:tcBorders>
              <w:tl2br w:val="nil"/>
              <w:tr2bl w:val="nil"/>
            </w:tcBorders>
            <w:vAlign w:val="center"/>
          </w:tcPr>
          <w:p w14:paraId="7BC29F9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六价铬</w:t>
            </w:r>
          </w:p>
        </w:tc>
        <w:tc>
          <w:tcPr>
            <w:tcW w:w="3396" w:type="dxa"/>
            <w:tcBorders>
              <w:tl2br w:val="nil"/>
              <w:tr2bl w:val="nil"/>
            </w:tcBorders>
            <w:vAlign w:val="center"/>
          </w:tcPr>
          <w:p w14:paraId="5E98D3F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0.05</w:t>
            </w:r>
          </w:p>
        </w:tc>
      </w:tr>
      <w:tr w14:paraId="679D9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0FE4DFE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10</w:t>
            </w:r>
          </w:p>
        </w:tc>
        <w:tc>
          <w:tcPr>
            <w:tcW w:w="3416" w:type="dxa"/>
            <w:tcBorders>
              <w:tl2br w:val="nil"/>
              <w:tr2bl w:val="nil"/>
            </w:tcBorders>
            <w:vAlign w:val="center"/>
          </w:tcPr>
          <w:p w14:paraId="157457A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总硬度</w:t>
            </w:r>
          </w:p>
        </w:tc>
        <w:tc>
          <w:tcPr>
            <w:tcW w:w="3396" w:type="dxa"/>
            <w:tcBorders>
              <w:tl2br w:val="nil"/>
              <w:tr2bl w:val="nil"/>
            </w:tcBorders>
            <w:vAlign w:val="center"/>
          </w:tcPr>
          <w:p w14:paraId="7F40B5A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450</w:t>
            </w:r>
          </w:p>
        </w:tc>
      </w:tr>
      <w:tr w14:paraId="00153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7E8DD49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11</w:t>
            </w:r>
          </w:p>
        </w:tc>
        <w:tc>
          <w:tcPr>
            <w:tcW w:w="3416" w:type="dxa"/>
            <w:tcBorders>
              <w:tl2br w:val="nil"/>
              <w:tr2bl w:val="nil"/>
            </w:tcBorders>
            <w:vAlign w:val="center"/>
          </w:tcPr>
          <w:p w14:paraId="2ECC48C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铅</w:t>
            </w:r>
          </w:p>
        </w:tc>
        <w:tc>
          <w:tcPr>
            <w:tcW w:w="3396" w:type="dxa"/>
            <w:tcBorders>
              <w:tl2br w:val="nil"/>
              <w:tr2bl w:val="nil"/>
            </w:tcBorders>
            <w:vAlign w:val="center"/>
          </w:tcPr>
          <w:p w14:paraId="4B1B8CE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0.01</w:t>
            </w:r>
          </w:p>
        </w:tc>
      </w:tr>
      <w:tr w14:paraId="5E46D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79EF109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12</w:t>
            </w:r>
          </w:p>
        </w:tc>
        <w:tc>
          <w:tcPr>
            <w:tcW w:w="3416" w:type="dxa"/>
            <w:tcBorders>
              <w:tl2br w:val="nil"/>
              <w:tr2bl w:val="nil"/>
            </w:tcBorders>
            <w:vAlign w:val="center"/>
          </w:tcPr>
          <w:p w14:paraId="37E7D5B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氟化物</w:t>
            </w:r>
          </w:p>
        </w:tc>
        <w:tc>
          <w:tcPr>
            <w:tcW w:w="3396" w:type="dxa"/>
            <w:tcBorders>
              <w:tl2br w:val="nil"/>
              <w:tr2bl w:val="nil"/>
            </w:tcBorders>
            <w:vAlign w:val="center"/>
          </w:tcPr>
          <w:p w14:paraId="0EA7E74B">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1.0</w:t>
            </w:r>
          </w:p>
        </w:tc>
      </w:tr>
      <w:tr w14:paraId="6BE1A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66F25CB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13</w:t>
            </w:r>
          </w:p>
        </w:tc>
        <w:tc>
          <w:tcPr>
            <w:tcW w:w="3416" w:type="dxa"/>
            <w:tcBorders>
              <w:tl2br w:val="nil"/>
              <w:tr2bl w:val="nil"/>
            </w:tcBorders>
            <w:vAlign w:val="center"/>
          </w:tcPr>
          <w:p w14:paraId="24752F4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镉</w:t>
            </w:r>
          </w:p>
        </w:tc>
        <w:tc>
          <w:tcPr>
            <w:tcW w:w="3396" w:type="dxa"/>
            <w:tcBorders>
              <w:tl2br w:val="nil"/>
              <w:tr2bl w:val="nil"/>
            </w:tcBorders>
            <w:vAlign w:val="center"/>
          </w:tcPr>
          <w:p w14:paraId="35AFD5D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0.005</w:t>
            </w:r>
          </w:p>
        </w:tc>
      </w:tr>
      <w:tr w14:paraId="2F863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6F4B929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14</w:t>
            </w:r>
          </w:p>
        </w:tc>
        <w:tc>
          <w:tcPr>
            <w:tcW w:w="3416" w:type="dxa"/>
            <w:tcBorders>
              <w:tl2br w:val="nil"/>
              <w:tr2bl w:val="nil"/>
            </w:tcBorders>
            <w:vAlign w:val="center"/>
          </w:tcPr>
          <w:p w14:paraId="3D0534A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铁</w:t>
            </w:r>
          </w:p>
        </w:tc>
        <w:tc>
          <w:tcPr>
            <w:tcW w:w="3396" w:type="dxa"/>
            <w:tcBorders>
              <w:tl2br w:val="nil"/>
              <w:tr2bl w:val="nil"/>
            </w:tcBorders>
            <w:vAlign w:val="center"/>
          </w:tcPr>
          <w:p w14:paraId="364EA0A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0.3</w:t>
            </w:r>
          </w:p>
        </w:tc>
      </w:tr>
      <w:tr w14:paraId="43149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89E9FE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15</w:t>
            </w:r>
          </w:p>
        </w:tc>
        <w:tc>
          <w:tcPr>
            <w:tcW w:w="3416" w:type="dxa"/>
            <w:tcBorders>
              <w:tl2br w:val="nil"/>
              <w:tr2bl w:val="nil"/>
            </w:tcBorders>
            <w:vAlign w:val="center"/>
          </w:tcPr>
          <w:p w14:paraId="7FC54A2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锰</w:t>
            </w:r>
          </w:p>
        </w:tc>
        <w:tc>
          <w:tcPr>
            <w:tcW w:w="3396" w:type="dxa"/>
            <w:tcBorders>
              <w:tl2br w:val="nil"/>
              <w:tr2bl w:val="nil"/>
            </w:tcBorders>
            <w:vAlign w:val="center"/>
          </w:tcPr>
          <w:p w14:paraId="223505B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0.10</w:t>
            </w:r>
          </w:p>
        </w:tc>
      </w:tr>
      <w:tr w14:paraId="30FC6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14F2D50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16</w:t>
            </w:r>
          </w:p>
        </w:tc>
        <w:tc>
          <w:tcPr>
            <w:tcW w:w="3416" w:type="dxa"/>
            <w:tcBorders>
              <w:tl2br w:val="nil"/>
              <w:tr2bl w:val="nil"/>
            </w:tcBorders>
            <w:vAlign w:val="center"/>
          </w:tcPr>
          <w:p w14:paraId="2316149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溶解性总固体</w:t>
            </w:r>
          </w:p>
        </w:tc>
        <w:tc>
          <w:tcPr>
            <w:tcW w:w="3396" w:type="dxa"/>
            <w:tcBorders>
              <w:tl2br w:val="nil"/>
              <w:tr2bl w:val="nil"/>
            </w:tcBorders>
            <w:vAlign w:val="center"/>
          </w:tcPr>
          <w:p w14:paraId="7DCBB58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1000</w:t>
            </w:r>
          </w:p>
        </w:tc>
      </w:tr>
      <w:tr w14:paraId="5D7BA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210B7A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17</w:t>
            </w:r>
          </w:p>
        </w:tc>
        <w:tc>
          <w:tcPr>
            <w:tcW w:w="3416" w:type="dxa"/>
            <w:tcBorders>
              <w:tl2br w:val="nil"/>
              <w:tr2bl w:val="nil"/>
            </w:tcBorders>
            <w:vAlign w:val="center"/>
          </w:tcPr>
          <w:p w14:paraId="7DB7381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耗氧量</w:t>
            </w:r>
          </w:p>
        </w:tc>
        <w:tc>
          <w:tcPr>
            <w:tcW w:w="3396" w:type="dxa"/>
            <w:tcBorders>
              <w:tl2br w:val="nil"/>
              <w:tr2bl w:val="nil"/>
            </w:tcBorders>
            <w:vAlign w:val="center"/>
          </w:tcPr>
          <w:p w14:paraId="5C38FA8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3.0</w:t>
            </w:r>
          </w:p>
        </w:tc>
      </w:tr>
      <w:tr w14:paraId="38AF0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2546D3D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18</w:t>
            </w:r>
          </w:p>
        </w:tc>
        <w:tc>
          <w:tcPr>
            <w:tcW w:w="3416" w:type="dxa"/>
            <w:tcBorders>
              <w:tl2br w:val="nil"/>
              <w:tr2bl w:val="nil"/>
            </w:tcBorders>
            <w:vAlign w:val="center"/>
          </w:tcPr>
          <w:p w14:paraId="7D87B85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硫酸盐</w:t>
            </w:r>
          </w:p>
        </w:tc>
        <w:tc>
          <w:tcPr>
            <w:tcW w:w="3396" w:type="dxa"/>
            <w:tcBorders>
              <w:tl2br w:val="nil"/>
              <w:tr2bl w:val="nil"/>
            </w:tcBorders>
            <w:vAlign w:val="center"/>
          </w:tcPr>
          <w:p w14:paraId="3A3EC1C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250</w:t>
            </w:r>
          </w:p>
        </w:tc>
      </w:tr>
      <w:tr w14:paraId="3B6E1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7F2CDAE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19</w:t>
            </w:r>
          </w:p>
        </w:tc>
        <w:tc>
          <w:tcPr>
            <w:tcW w:w="3416" w:type="dxa"/>
            <w:tcBorders>
              <w:tl2br w:val="nil"/>
              <w:tr2bl w:val="nil"/>
            </w:tcBorders>
            <w:vAlign w:val="center"/>
          </w:tcPr>
          <w:p w14:paraId="43F3A21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氯化物</w:t>
            </w:r>
          </w:p>
        </w:tc>
        <w:tc>
          <w:tcPr>
            <w:tcW w:w="3396" w:type="dxa"/>
            <w:tcBorders>
              <w:tl2br w:val="nil"/>
              <w:tr2bl w:val="nil"/>
            </w:tcBorders>
            <w:vAlign w:val="center"/>
          </w:tcPr>
          <w:p w14:paraId="6D36EB5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250</w:t>
            </w:r>
          </w:p>
        </w:tc>
      </w:tr>
      <w:tr w14:paraId="5C701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59EF2CE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20</w:t>
            </w:r>
          </w:p>
        </w:tc>
        <w:tc>
          <w:tcPr>
            <w:tcW w:w="3416" w:type="dxa"/>
            <w:tcBorders>
              <w:tl2br w:val="nil"/>
              <w:tr2bl w:val="nil"/>
            </w:tcBorders>
            <w:vAlign w:val="center"/>
          </w:tcPr>
          <w:p w14:paraId="34B2696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总大肠菌群（MPN/100mL）</w:t>
            </w:r>
          </w:p>
        </w:tc>
        <w:tc>
          <w:tcPr>
            <w:tcW w:w="3396" w:type="dxa"/>
            <w:tcBorders>
              <w:tl2br w:val="nil"/>
              <w:tr2bl w:val="nil"/>
            </w:tcBorders>
            <w:vAlign w:val="center"/>
          </w:tcPr>
          <w:p w14:paraId="75FFBF7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3.0</w:t>
            </w:r>
          </w:p>
        </w:tc>
      </w:tr>
      <w:tr w14:paraId="6C1FC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4530FA8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21</w:t>
            </w:r>
          </w:p>
        </w:tc>
        <w:tc>
          <w:tcPr>
            <w:tcW w:w="3416" w:type="dxa"/>
            <w:tcBorders>
              <w:tl2br w:val="nil"/>
              <w:tr2bl w:val="nil"/>
            </w:tcBorders>
            <w:vAlign w:val="center"/>
          </w:tcPr>
          <w:p w14:paraId="7DD7901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细菌总数CFU/mL）</w:t>
            </w:r>
          </w:p>
        </w:tc>
        <w:tc>
          <w:tcPr>
            <w:tcW w:w="3396" w:type="dxa"/>
            <w:tcBorders>
              <w:tl2br w:val="nil"/>
              <w:tr2bl w:val="nil"/>
            </w:tcBorders>
            <w:vAlign w:val="center"/>
          </w:tcPr>
          <w:p w14:paraId="62FA57D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100</w:t>
            </w:r>
          </w:p>
        </w:tc>
      </w:tr>
      <w:tr w14:paraId="393C4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04" w:type="dxa"/>
            <w:tcBorders>
              <w:tl2br w:val="nil"/>
              <w:tr2bl w:val="nil"/>
            </w:tcBorders>
            <w:vAlign w:val="center"/>
          </w:tcPr>
          <w:p w14:paraId="18B21E7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22</w:t>
            </w:r>
          </w:p>
        </w:tc>
        <w:tc>
          <w:tcPr>
            <w:tcW w:w="3416" w:type="dxa"/>
            <w:tcBorders>
              <w:tl2br w:val="nil"/>
              <w:tr2bl w:val="nil"/>
            </w:tcBorders>
            <w:vAlign w:val="center"/>
          </w:tcPr>
          <w:p w14:paraId="3E0A5AB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钠</w:t>
            </w:r>
          </w:p>
        </w:tc>
        <w:tc>
          <w:tcPr>
            <w:tcW w:w="3396" w:type="dxa"/>
            <w:tcBorders>
              <w:tl2br w:val="nil"/>
              <w:tr2bl w:val="nil"/>
            </w:tcBorders>
            <w:vAlign w:val="center"/>
          </w:tcPr>
          <w:p w14:paraId="762D0A8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200</w:t>
            </w:r>
          </w:p>
        </w:tc>
      </w:tr>
    </w:tbl>
    <w:p w14:paraId="1307FF34">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（4）声环境质量标准</w:t>
      </w:r>
    </w:p>
    <w:p w14:paraId="3D68AB6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bookmarkStart w:id="69" w:name="_Hlk18592775"/>
      <w:r>
        <w:rPr>
          <w:rFonts w:hint="default" w:ascii="Times New Roman" w:hAnsi="Times New Roman" w:eastAsia="宋体" w:cs="Times New Roman"/>
          <w:caps w:val="0"/>
          <w:smallCaps w:val="0"/>
          <w:color w:val="auto"/>
          <w:spacing w:val="0"/>
          <w:w w:val="100"/>
          <w:kern w:val="0"/>
          <w:position w:val="0"/>
          <w:sz w:val="24"/>
          <w:szCs w:val="24"/>
          <w:u w:val="none" w:color="auto"/>
        </w:rPr>
        <w:t>项</w:t>
      </w:r>
      <w:bookmarkEnd w:id="69"/>
      <w:r>
        <w:rPr>
          <w:rFonts w:hint="default" w:ascii="Times New Roman" w:hAnsi="Times New Roman" w:eastAsia="宋体" w:cs="Times New Roman"/>
          <w:caps w:val="0"/>
          <w:smallCaps w:val="0"/>
          <w:color w:val="auto"/>
          <w:spacing w:val="0"/>
          <w:w w:val="100"/>
          <w:kern w:val="0"/>
          <w:position w:val="0"/>
          <w:sz w:val="24"/>
          <w:szCs w:val="24"/>
          <w:u w:val="none" w:color="auto"/>
        </w:rPr>
        <w:t>目所在区域执行《声环境质量标准》（GB3096-2008）中的1类标准限值，具体详见表1.5-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472DBFC">
      <w:pPr>
        <w:pageBreakBefore w:val="0"/>
        <w:kinsoku w:val="0"/>
        <w:wordWrap w:val="0"/>
        <w:overflowPunct/>
        <w:topLinePunct/>
        <w:autoSpaceDE/>
        <w:autoSpaceDN/>
        <w:bidi w:val="0"/>
        <w:adjustRightInd w:val="0"/>
        <w:spacing w:line="360" w:lineRule="auto"/>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声环境质量标准</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98"/>
        <w:gridCol w:w="2911"/>
        <w:gridCol w:w="2907"/>
      </w:tblGrid>
      <w:tr w14:paraId="30C0D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4" w:type="dxa"/>
            <w:tcBorders>
              <w:tl2br w:val="nil"/>
              <w:tr2bl w:val="nil"/>
            </w:tcBorders>
            <w:vAlign w:val="center"/>
          </w:tcPr>
          <w:p w14:paraId="590B1B0F">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
                <w:bCs w:val="0"/>
                <w:caps w:val="0"/>
                <w:smallCaps w:val="0"/>
                <w:color w:val="auto"/>
                <w:spacing w:val="0"/>
                <w:w w:val="100"/>
                <w:position w:val="0"/>
                <w:u w:val="none" w:color="auto"/>
              </w:rPr>
            </w:pPr>
            <w:r>
              <w:rPr>
                <w:rFonts w:hint="default" w:ascii="Times New Roman" w:hAnsi="Times New Roman" w:cs="Times New Roman"/>
                <w:b/>
                <w:bCs w:val="0"/>
                <w:caps w:val="0"/>
                <w:smallCaps w:val="0"/>
                <w:color w:val="auto"/>
                <w:spacing w:val="0"/>
                <w:w w:val="100"/>
                <w:position w:val="0"/>
                <w:u w:val="none" w:color="auto"/>
              </w:rPr>
              <w:t>声功能区类别</w:t>
            </w:r>
          </w:p>
        </w:tc>
        <w:tc>
          <w:tcPr>
            <w:tcW w:w="3101" w:type="dxa"/>
            <w:tcBorders>
              <w:tl2br w:val="nil"/>
              <w:tr2bl w:val="nil"/>
            </w:tcBorders>
            <w:vAlign w:val="center"/>
          </w:tcPr>
          <w:p w14:paraId="55C8063E">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
                <w:bCs w:val="0"/>
                <w:caps w:val="0"/>
                <w:smallCaps w:val="0"/>
                <w:color w:val="auto"/>
                <w:spacing w:val="0"/>
                <w:w w:val="100"/>
                <w:position w:val="0"/>
                <w:u w:val="none" w:color="auto"/>
              </w:rPr>
            </w:pPr>
            <w:r>
              <w:rPr>
                <w:rFonts w:hint="default" w:ascii="Times New Roman" w:hAnsi="Times New Roman" w:cs="Times New Roman"/>
                <w:b/>
                <w:bCs w:val="0"/>
                <w:caps w:val="0"/>
                <w:smallCaps w:val="0"/>
                <w:color w:val="auto"/>
                <w:spacing w:val="0"/>
                <w:w w:val="100"/>
                <w:position w:val="0"/>
                <w:u w:val="none" w:color="auto"/>
              </w:rPr>
              <w:t>昼间〔dB（A）〕</w:t>
            </w:r>
          </w:p>
        </w:tc>
        <w:tc>
          <w:tcPr>
            <w:tcW w:w="3097" w:type="dxa"/>
            <w:tcBorders>
              <w:tl2br w:val="nil"/>
              <w:tr2bl w:val="nil"/>
            </w:tcBorders>
            <w:vAlign w:val="center"/>
          </w:tcPr>
          <w:p w14:paraId="3BE54896">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
                <w:bCs w:val="0"/>
                <w:caps w:val="0"/>
                <w:smallCaps w:val="0"/>
                <w:color w:val="auto"/>
                <w:spacing w:val="0"/>
                <w:w w:val="100"/>
                <w:position w:val="0"/>
                <w:u w:val="none" w:color="auto"/>
              </w:rPr>
            </w:pPr>
            <w:r>
              <w:rPr>
                <w:rFonts w:hint="default" w:ascii="Times New Roman" w:hAnsi="Times New Roman" w:cs="Times New Roman"/>
                <w:b/>
                <w:bCs w:val="0"/>
                <w:caps w:val="0"/>
                <w:smallCaps w:val="0"/>
                <w:color w:val="auto"/>
                <w:spacing w:val="0"/>
                <w:w w:val="100"/>
                <w:position w:val="0"/>
                <w:u w:val="none" w:color="auto"/>
              </w:rPr>
              <w:t>夜间〔dB（A）〕</w:t>
            </w:r>
          </w:p>
        </w:tc>
      </w:tr>
      <w:tr w14:paraId="4441E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4" w:type="dxa"/>
            <w:tcBorders>
              <w:tl2br w:val="nil"/>
              <w:tr2bl w:val="nil"/>
            </w:tcBorders>
            <w:vAlign w:val="center"/>
          </w:tcPr>
          <w:p w14:paraId="1C339EF7">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Cs/>
                <w:caps w:val="0"/>
                <w:smallCaps w:val="0"/>
                <w:color w:val="auto"/>
                <w:spacing w:val="0"/>
                <w:w w:val="100"/>
                <w:position w:val="0"/>
                <w:u w:val="none" w:color="auto"/>
              </w:rPr>
            </w:pPr>
            <w:r>
              <w:rPr>
                <w:rFonts w:hint="default" w:ascii="Times New Roman" w:hAnsi="Times New Roman" w:cs="Times New Roman"/>
                <w:bCs/>
                <w:caps w:val="0"/>
                <w:smallCaps w:val="0"/>
                <w:color w:val="auto"/>
                <w:spacing w:val="0"/>
                <w:w w:val="100"/>
                <w:position w:val="0"/>
                <w:u w:val="none" w:color="auto"/>
              </w:rPr>
              <w:t>1类</w:t>
            </w:r>
          </w:p>
        </w:tc>
        <w:tc>
          <w:tcPr>
            <w:tcW w:w="3101" w:type="dxa"/>
            <w:tcBorders>
              <w:tl2br w:val="nil"/>
              <w:tr2bl w:val="nil"/>
            </w:tcBorders>
            <w:vAlign w:val="center"/>
          </w:tcPr>
          <w:p w14:paraId="0DF13B8A">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Cs/>
                <w:caps w:val="0"/>
                <w:smallCaps w:val="0"/>
                <w:color w:val="auto"/>
                <w:spacing w:val="0"/>
                <w:w w:val="100"/>
                <w:position w:val="0"/>
                <w:u w:val="none" w:color="auto"/>
              </w:rPr>
            </w:pPr>
            <w:r>
              <w:rPr>
                <w:rFonts w:hint="default" w:ascii="Times New Roman" w:hAnsi="Times New Roman" w:cs="Times New Roman"/>
                <w:bCs/>
                <w:caps w:val="0"/>
                <w:smallCaps w:val="0"/>
                <w:color w:val="auto"/>
                <w:spacing w:val="0"/>
                <w:w w:val="100"/>
                <w:position w:val="0"/>
                <w:u w:val="none" w:color="auto"/>
              </w:rPr>
              <w:t>55</w:t>
            </w:r>
          </w:p>
        </w:tc>
        <w:tc>
          <w:tcPr>
            <w:tcW w:w="3097" w:type="dxa"/>
            <w:tcBorders>
              <w:tl2br w:val="nil"/>
              <w:tr2bl w:val="nil"/>
            </w:tcBorders>
            <w:vAlign w:val="center"/>
          </w:tcPr>
          <w:p w14:paraId="6BE82C33">
            <w:pPr>
              <w:pStyle w:val="68"/>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textAlignment w:val="baseline"/>
              <w:rPr>
                <w:rFonts w:hint="default" w:ascii="Times New Roman" w:hAnsi="Times New Roman" w:cs="Times New Roman"/>
                <w:bCs/>
                <w:caps w:val="0"/>
                <w:smallCaps w:val="0"/>
                <w:color w:val="auto"/>
                <w:spacing w:val="0"/>
                <w:w w:val="100"/>
                <w:position w:val="0"/>
                <w:u w:val="none" w:color="auto"/>
              </w:rPr>
            </w:pPr>
            <w:r>
              <w:rPr>
                <w:rFonts w:hint="default" w:ascii="Times New Roman" w:hAnsi="Times New Roman" w:cs="Times New Roman"/>
                <w:bCs/>
                <w:caps w:val="0"/>
                <w:smallCaps w:val="0"/>
                <w:color w:val="auto"/>
                <w:spacing w:val="0"/>
                <w:w w:val="100"/>
                <w:position w:val="0"/>
                <w:u w:val="none" w:color="auto"/>
              </w:rPr>
              <w:t>45</w:t>
            </w:r>
          </w:p>
        </w:tc>
      </w:tr>
    </w:tbl>
    <w:p w14:paraId="7C36195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（5）土壤环境质量</w:t>
      </w:r>
    </w:p>
    <w:p w14:paraId="487A362B">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项目区域建设用地执行《土壤环境质量 建设用地土壤污染风险管控标准（试行）》（GB36600-2018）中第二类用地的筛选值，农用地执行《土壤环境质量 农用地土壤污染风险管控标准（试行）》（GB15618-2018）污染风险筛选值</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。具体</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标准限值详见表1.5-</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5和表1.5-6</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w:t>
      </w:r>
    </w:p>
    <w:p w14:paraId="7C94AD4E">
      <w:pPr>
        <w:pageBreakBefore w:val="0"/>
        <w:kinsoku w:val="0"/>
        <w:wordWrap w:val="0"/>
        <w:overflowPunct/>
        <w:topLinePunct/>
        <w:autoSpaceDE/>
        <w:autoSpaceDN/>
        <w:bidi w:val="0"/>
        <w:adjustRightInd w:val="0"/>
        <w:spacing w:line="360" w:lineRule="auto"/>
        <w:jc w:val="righ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5  </w:t>
      </w:r>
      <w:r>
        <w:rPr>
          <w:rFonts w:hint="default" w:ascii="Times New Roman" w:hAnsi="Times New Roman" w:eastAsia="宋体" w:cs="Times New Roman"/>
          <w:b/>
          <w:caps w:val="0"/>
          <w:smallCaps w:val="0"/>
          <w:color w:val="auto"/>
          <w:spacing w:val="0"/>
          <w:w w:val="100"/>
          <w:kern w:val="0"/>
          <w:position w:val="0"/>
          <w:sz w:val="24"/>
          <w:szCs w:val="24"/>
          <w:u w:val="none" w:color="auto"/>
        </w:rPr>
        <w:t>建设用地土壤污染风险筛选值</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单位：mg/kg</w:t>
      </w:r>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3091"/>
        <w:gridCol w:w="3083"/>
      </w:tblGrid>
      <w:tr w14:paraId="645DF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74" w:type="pct"/>
            <w:tcBorders>
              <w:tl2br w:val="nil"/>
              <w:tr2bl w:val="nil"/>
            </w:tcBorders>
            <w:vAlign w:val="center"/>
          </w:tcPr>
          <w:p w14:paraId="477419AC">
            <w:pPr>
              <w:pStyle w:val="114"/>
              <w:keepNext w:val="0"/>
              <w:keepLines w:val="0"/>
              <w:widowControl/>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序号</w:t>
            </w:r>
          </w:p>
        </w:tc>
        <w:tc>
          <w:tcPr>
            <w:tcW w:w="1815" w:type="pct"/>
            <w:tcBorders>
              <w:tl2br w:val="nil"/>
              <w:tr2bl w:val="nil"/>
            </w:tcBorders>
            <w:vAlign w:val="center"/>
          </w:tcPr>
          <w:p w14:paraId="425FAD12">
            <w:pPr>
              <w:pStyle w:val="114"/>
              <w:keepNext w:val="0"/>
              <w:keepLines w:val="0"/>
              <w:widowControl/>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项目</w:t>
            </w:r>
          </w:p>
        </w:tc>
        <w:tc>
          <w:tcPr>
            <w:tcW w:w="1810" w:type="pct"/>
            <w:tcBorders>
              <w:tl2br w:val="nil"/>
              <w:tr2bl w:val="nil"/>
            </w:tcBorders>
            <w:vAlign w:val="center"/>
          </w:tcPr>
          <w:p w14:paraId="24B7B1DF">
            <w:pPr>
              <w:pStyle w:val="114"/>
              <w:keepNext w:val="0"/>
              <w:keepLines w:val="0"/>
              <w:widowControl/>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标准值</w:t>
            </w:r>
          </w:p>
        </w:tc>
      </w:tr>
      <w:tr w14:paraId="6A9F6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7BB769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w:t>
            </w:r>
          </w:p>
        </w:tc>
        <w:tc>
          <w:tcPr>
            <w:tcW w:w="1815" w:type="pct"/>
            <w:tcBorders>
              <w:tl2br w:val="nil"/>
              <w:tr2bl w:val="nil"/>
            </w:tcBorders>
            <w:vAlign w:val="center"/>
          </w:tcPr>
          <w:p w14:paraId="0C75ECA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砷</w:t>
            </w:r>
          </w:p>
        </w:tc>
        <w:tc>
          <w:tcPr>
            <w:tcW w:w="1810" w:type="pct"/>
            <w:tcBorders>
              <w:tl2br w:val="nil"/>
              <w:tr2bl w:val="nil"/>
            </w:tcBorders>
            <w:vAlign w:val="center"/>
          </w:tcPr>
          <w:p w14:paraId="4B54702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60</w:t>
            </w:r>
            <w:r>
              <w:rPr>
                <w:rFonts w:hint="default" w:ascii="Times New Roman" w:hAnsi="Times New Roman" w:cs="Times New Roman"/>
                <w:color w:val="auto"/>
                <w:u w:val="none" w:color="auto"/>
                <w:vertAlign w:val="superscript"/>
              </w:rPr>
              <w:t>①</w:t>
            </w:r>
          </w:p>
        </w:tc>
      </w:tr>
      <w:tr w14:paraId="3726D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8B3151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w:t>
            </w:r>
          </w:p>
        </w:tc>
        <w:tc>
          <w:tcPr>
            <w:tcW w:w="1815" w:type="pct"/>
            <w:tcBorders>
              <w:tl2br w:val="nil"/>
              <w:tr2bl w:val="nil"/>
            </w:tcBorders>
            <w:vAlign w:val="center"/>
          </w:tcPr>
          <w:p w14:paraId="48FB0A1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镉</w:t>
            </w:r>
          </w:p>
        </w:tc>
        <w:tc>
          <w:tcPr>
            <w:tcW w:w="1810" w:type="pct"/>
            <w:tcBorders>
              <w:tl2br w:val="nil"/>
              <w:tr2bl w:val="nil"/>
            </w:tcBorders>
            <w:vAlign w:val="center"/>
          </w:tcPr>
          <w:p w14:paraId="2BA1BD8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65</w:t>
            </w:r>
          </w:p>
        </w:tc>
      </w:tr>
      <w:tr w14:paraId="41A94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A7CDA1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w:t>
            </w:r>
          </w:p>
        </w:tc>
        <w:tc>
          <w:tcPr>
            <w:tcW w:w="1815" w:type="pct"/>
            <w:tcBorders>
              <w:tl2br w:val="nil"/>
              <w:tr2bl w:val="nil"/>
            </w:tcBorders>
            <w:vAlign w:val="center"/>
          </w:tcPr>
          <w:p w14:paraId="72E5090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铬（六价）</w:t>
            </w:r>
          </w:p>
        </w:tc>
        <w:tc>
          <w:tcPr>
            <w:tcW w:w="1810" w:type="pct"/>
            <w:tcBorders>
              <w:tl2br w:val="nil"/>
              <w:tr2bl w:val="nil"/>
            </w:tcBorders>
            <w:vAlign w:val="center"/>
          </w:tcPr>
          <w:p w14:paraId="74D6010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5.7</w:t>
            </w:r>
          </w:p>
        </w:tc>
      </w:tr>
      <w:tr w14:paraId="4775A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EF06EC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w:t>
            </w:r>
          </w:p>
        </w:tc>
        <w:tc>
          <w:tcPr>
            <w:tcW w:w="1815" w:type="pct"/>
            <w:tcBorders>
              <w:tl2br w:val="nil"/>
              <w:tr2bl w:val="nil"/>
            </w:tcBorders>
            <w:vAlign w:val="center"/>
          </w:tcPr>
          <w:p w14:paraId="5D3DA54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铜</w:t>
            </w:r>
          </w:p>
        </w:tc>
        <w:tc>
          <w:tcPr>
            <w:tcW w:w="1810" w:type="pct"/>
            <w:tcBorders>
              <w:tl2br w:val="nil"/>
              <w:tr2bl w:val="nil"/>
            </w:tcBorders>
            <w:vAlign w:val="center"/>
          </w:tcPr>
          <w:p w14:paraId="00F6E6E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18000</w:t>
            </w:r>
          </w:p>
        </w:tc>
      </w:tr>
      <w:tr w14:paraId="61F22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F7D246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w:t>
            </w:r>
          </w:p>
        </w:tc>
        <w:tc>
          <w:tcPr>
            <w:tcW w:w="1815" w:type="pct"/>
            <w:tcBorders>
              <w:tl2br w:val="nil"/>
              <w:tr2bl w:val="nil"/>
            </w:tcBorders>
            <w:vAlign w:val="center"/>
          </w:tcPr>
          <w:p w14:paraId="2020B6F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铅</w:t>
            </w:r>
          </w:p>
        </w:tc>
        <w:tc>
          <w:tcPr>
            <w:tcW w:w="1810" w:type="pct"/>
            <w:tcBorders>
              <w:tl2br w:val="nil"/>
              <w:tr2bl w:val="nil"/>
            </w:tcBorders>
            <w:vAlign w:val="center"/>
          </w:tcPr>
          <w:p w14:paraId="55DF778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800</w:t>
            </w:r>
          </w:p>
        </w:tc>
      </w:tr>
      <w:tr w14:paraId="4FFBA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FBFB05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w:t>
            </w:r>
          </w:p>
        </w:tc>
        <w:tc>
          <w:tcPr>
            <w:tcW w:w="1815" w:type="pct"/>
            <w:tcBorders>
              <w:tl2br w:val="nil"/>
              <w:tr2bl w:val="nil"/>
            </w:tcBorders>
            <w:vAlign w:val="center"/>
          </w:tcPr>
          <w:p w14:paraId="1F637C9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汞</w:t>
            </w:r>
          </w:p>
        </w:tc>
        <w:tc>
          <w:tcPr>
            <w:tcW w:w="1810" w:type="pct"/>
            <w:tcBorders>
              <w:tl2br w:val="nil"/>
              <w:tr2bl w:val="nil"/>
            </w:tcBorders>
            <w:vAlign w:val="center"/>
          </w:tcPr>
          <w:p w14:paraId="439B82C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38</w:t>
            </w:r>
          </w:p>
        </w:tc>
      </w:tr>
      <w:tr w14:paraId="31E74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3C6C6A0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w:t>
            </w:r>
          </w:p>
        </w:tc>
        <w:tc>
          <w:tcPr>
            <w:tcW w:w="1815" w:type="pct"/>
            <w:tcBorders>
              <w:tl2br w:val="nil"/>
              <w:tr2bl w:val="nil"/>
            </w:tcBorders>
            <w:vAlign w:val="center"/>
          </w:tcPr>
          <w:p w14:paraId="74729FD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镍</w:t>
            </w:r>
          </w:p>
        </w:tc>
        <w:tc>
          <w:tcPr>
            <w:tcW w:w="1810" w:type="pct"/>
            <w:tcBorders>
              <w:tl2br w:val="nil"/>
              <w:tr2bl w:val="nil"/>
            </w:tcBorders>
            <w:vAlign w:val="center"/>
          </w:tcPr>
          <w:p w14:paraId="3CB3BC3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900</w:t>
            </w:r>
          </w:p>
        </w:tc>
      </w:tr>
      <w:tr w14:paraId="77A44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E1C8AC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8</w:t>
            </w:r>
          </w:p>
        </w:tc>
        <w:tc>
          <w:tcPr>
            <w:tcW w:w="1815" w:type="pct"/>
            <w:tcBorders>
              <w:tl2br w:val="nil"/>
              <w:tr2bl w:val="nil"/>
            </w:tcBorders>
            <w:vAlign w:val="center"/>
          </w:tcPr>
          <w:p w14:paraId="53CC090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四氯化碳</w:t>
            </w:r>
          </w:p>
        </w:tc>
        <w:tc>
          <w:tcPr>
            <w:tcW w:w="1810" w:type="pct"/>
            <w:tcBorders>
              <w:tl2br w:val="nil"/>
              <w:tr2bl w:val="nil"/>
            </w:tcBorders>
            <w:vAlign w:val="center"/>
          </w:tcPr>
          <w:p w14:paraId="575CC5A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2.8</w:t>
            </w:r>
          </w:p>
        </w:tc>
      </w:tr>
      <w:tr w14:paraId="4CA67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C32EA5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9</w:t>
            </w:r>
          </w:p>
        </w:tc>
        <w:tc>
          <w:tcPr>
            <w:tcW w:w="1815" w:type="pct"/>
            <w:tcBorders>
              <w:tl2br w:val="nil"/>
              <w:tr2bl w:val="nil"/>
            </w:tcBorders>
            <w:vAlign w:val="center"/>
          </w:tcPr>
          <w:p w14:paraId="0EC24840">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氯仿</w:t>
            </w:r>
          </w:p>
        </w:tc>
        <w:tc>
          <w:tcPr>
            <w:tcW w:w="1810" w:type="pct"/>
            <w:tcBorders>
              <w:tl2br w:val="nil"/>
              <w:tr2bl w:val="nil"/>
            </w:tcBorders>
            <w:vAlign w:val="center"/>
          </w:tcPr>
          <w:p w14:paraId="72058AE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0.9</w:t>
            </w:r>
          </w:p>
        </w:tc>
      </w:tr>
      <w:tr w14:paraId="5B76E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7E46B37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w:t>
            </w:r>
          </w:p>
        </w:tc>
        <w:tc>
          <w:tcPr>
            <w:tcW w:w="1815" w:type="pct"/>
            <w:tcBorders>
              <w:tl2br w:val="nil"/>
              <w:tr2bl w:val="nil"/>
            </w:tcBorders>
            <w:vAlign w:val="center"/>
          </w:tcPr>
          <w:p w14:paraId="04D6F9E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氯甲烷</w:t>
            </w:r>
          </w:p>
        </w:tc>
        <w:tc>
          <w:tcPr>
            <w:tcW w:w="1810" w:type="pct"/>
            <w:tcBorders>
              <w:tl2br w:val="nil"/>
              <w:tr2bl w:val="nil"/>
            </w:tcBorders>
            <w:vAlign w:val="center"/>
          </w:tcPr>
          <w:p w14:paraId="2032E390">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37</w:t>
            </w:r>
          </w:p>
        </w:tc>
      </w:tr>
      <w:tr w14:paraId="4B026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31599C0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w:t>
            </w:r>
          </w:p>
        </w:tc>
        <w:tc>
          <w:tcPr>
            <w:tcW w:w="1815" w:type="pct"/>
            <w:tcBorders>
              <w:tl2br w:val="nil"/>
              <w:tr2bl w:val="nil"/>
            </w:tcBorders>
            <w:vAlign w:val="center"/>
          </w:tcPr>
          <w:p w14:paraId="264E17E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1，1-二氯乙烷</w:t>
            </w:r>
          </w:p>
        </w:tc>
        <w:tc>
          <w:tcPr>
            <w:tcW w:w="1810" w:type="pct"/>
            <w:tcBorders>
              <w:tl2br w:val="nil"/>
              <w:tr2bl w:val="nil"/>
            </w:tcBorders>
          </w:tcPr>
          <w:p w14:paraId="16FDD12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9</w:t>
            </w:r>
          </w:p>
        </w:tc>
      </w:tr>
      <w:tr w14:paraId="2333D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1FF9BA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w:t>
            </w:r>
          </w:p>
        </w:tc>
        <w:tc>
          <w:tcPr>
            <w:tcW w:w="1815" w:type="pct"/>
            <w:tcBorders>
              <w:tl2br w:val="nil"/>
              <w:tr2bl w:val="nil"/>
            </w:tcBorders>
            <w:vAlign w:val="center"/>
          </w:tcPr>
          <w:p w14:paraId="5800FCA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1，2-二氯乙烷</w:t>
            </w:r>
          </w:p>
        </w:tc>
        <w:tc>
          <w:tcPr>
            <w:tcW w:w="1810" w:type="pct"/>
            <w:tcBorders>
              <w:tl2br w:val="nil"/>
              <w:tr2bl w:val="nil"/>
            </w:tcBorders>
          </w:tcPr>
          <w:p w14:paraId="51C0E91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w:t>
            </w:r>
          </w:p>
        </w:tc>
      </w:tr>
      <w:tr w14:paraId="0E916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D8EFCA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13</w:t>
            </w:r>
          </w:p>
        </w:tc>
        <w:tc>
          <w:tcPr>
            <w:tcW w:w="1815" w:type="pct"/>
            <w:tcBorders>
              <w:tl2br w:val="nil"/>
              <w:tr2bl w:val="nil"/>
            </w:tcBorders>
            <w:vAlign w:val="center"/>
          </w:tcPr>
          <w:p w14:paraId="437847F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1，1-二氯乙烯</w:t>
            </w:r>
          </w:p>
        </w:tc>
        <w:tc>
          <w:tcPr>
            <w:tcW w:w="1810" w:type="pct"/>
            <w:tcBorders>
              <w:tl2br w:val="nil"/>
              <w:tr2bl w:val="nil"/>
            </w:tcBorders>
          </w:tcPr>
          <w:p w14:paraId="7BFCF25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66</w:t>
            </w:r>
          </w:p>
        </w:tc>
      </w:tr>
      <w:tr w14:paraId="11935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AF0BA9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14</w:t>
            </w:r>
          </w:p>
        </w:tc>
        <w:tc>
          <w:tcPr>
            <w:tcW w:w="1815" w:type="pct"/>
            <w:tcBorders>
              <w:tl2br w:val="nil"/>
              <w:tr2bl w:val="nil"/>
            </w:tcBorders>
            <w:vAlign w:val="center"/>
          </w:tcPr>
          <w:p w14:paraId="3CA27CF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顺1，2-二氯乙烯</w:t>
            </w:r>
          </w:p>
        </w:tc>
        <w:tc>
          <w:tcPr>
            <w:tcW w:w="1810" w:type="pct"/>
            <w:tcBorders>
              <w:tl2br w:val="nil"/>
              <w:tr2bl w:val="nil"/>
            </w:tcBorders>
          </w:tcPr>
          <w:p w14:paraId="1B9FCD2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596</w:t>
            </w:r>
          </w:p>
        </w:tc>
      </w:tr>
      <w:tr w14:paraId="02798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D5632A3">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c>
          <w:tcPr>
            <w:tcW w:w="1815" w:type="pct"/>
            <w:tcBorders>
              <w:tl2br w:val="nil"/>
              <w:tr2bl w:val="nil"/>
            </w:tcBorders>
            <w:vAlign w:val="center"/>
          </w:tcPr>
          <w:p w14:paraId="64B272B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反1，2-二氯乙烯</w:t>
            </w:r>
          </w:p>
        </w:tc>
        <w:tc>
          <w:tcPr>
            <w:tcW w:w="1810" w:type="pct"/>
            <w:tcBorders>
              <w:tl2br w:val="nil"/>
              <w:tr2bl w:val="nil"/>
            </w:tcBorders>
          </w:tcPr>
          <w:p w14:paraId="0C98ADE3">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54</w:t>
            </w:r>
          </w:p>
        </w:tc>
      </w:tr>
      <w:tr w14:paraId="1B432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19212B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16</w:t>
            </w:r>
          </w:p>
        </w:tc>
        <w:tc>
          <w:tcPr>
            <w:tcW w:w="1815" w:type="pct"/>
            <w:tcBorders>
              <w:tl2br w:val="nil"/>
              <w:tr2bl w:val="nil"/>
            </w:tcBorders>
            <w:vAlign w:val="center"/>
          </w:tcPr>
          <w:p w14:paraId="4B9306A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二氯甲烷</w:t>
            </w:r>
          </w:p>
        </w:tc>
        <w:tc>
          <w:tcPr>
            <w:tcW w:w="1810" w:type="pct"/>
            <w:tcBorders>
              <w:tl2br w:val="nil"/>
              <w:tr2bl w:val="nil"/>
            </w:tcBorders>
          </w:tcPr>
          <w:p w14:paraId="26C9C1A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616</w:t>
            </w:r>
          </w:p>
        </w:tc>
      </w:tr>
      <w:tr w14:paraId="444DF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B0B70F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17</w:t>
            </w:r>
          </w:p>
        </w:tc>
        <w:tc>
          <w:tcPr>
            <w:tcW w:w="1815" w:type="pct"/>
            <w:tcBorders>
              <w:tl2br w:val="nil"/>
              <w:tr2bl w:val="nil"/>
            </w:tcBorders>
            <w:vAlign w:val="center"/>
          </w:tcPr>
          <w:p w14:paraId="1979CD8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1，2-二氯丙烷</w:t>
            </w:r>
          </w:p>
        </w:tc>
        <w:tc>
          <w:tcPr>
            <w:tcW w:w="1810" w:type="pct"/>
            <w:tcBorders>
              <w:tl2br w:val="nil"/>
              <w:tr2bl w:val="nil"/>
            </w:tcBorders>
          </w:tcPr>
          <w:p w14:paraId="7C0980C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w:t>
            </w:r>
          </w:p>
        </w:tc>
      </w:tr>
      <w:tr w14:paraId="57C35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A99115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18</w:t>
            </w:r>
          </w:p>
        </w:tc>
        <w:tc>
          <w:tcPr>
            <w:tcW w:w="1815" w:type="pct"/>
            <w:tcBorders>
              <w:tl2br w:val="nil"/>
              <w:tr2bl w:val="nil"/>
            </w:tcBorders>
            <w:vAlign w:val="center"/>
          </w:tcPr>
          <w:p w14:paraId="5AFADD7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1，1，1，2-四氯乙烷</w:t>
            </w:r>
          </w:p>
        </w:tc>
        <w:tc>
          <w:tcPr>
            <w:tcW w:w="1810" w:type="pct"/>
            <w:tcBorders>
              <w:tl2br w:val="nil"/>
              <w:tr2bl w:val="nil"/>
            </w:tcBorders>
          </w:tcPr>
          <w:p w14:paraId="7C33380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w:t>
            </w:r>
          </w:p>
        </w:tc>
      </w:tr>
      <w:tr w14:paraId="20C96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7C85895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19</w:t>
            </w:r>
          </w:p>
        </w:tc>
        <w:tc>
          <w:tcPr>
            <w:tcW w:w="1815" w:type="pct"/>
            <w:tcBorders>
              <w:tl2br w:val="nil"/>
              <w:tr2bl w:val="nil"/>
            </w:tcBorders>
            <w:vAlign w:val="center"/>
          </w:tcPr>
          <w:p w14:paraId="1E87599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1，1，2，2-四氯乙烷</w:t>
            </w:r>
          </w:p>
        </w:tc>
        <w:tc>
          <w:tcPr>
            <w:tcW w:w="1810" w:type="pct"/>
            <w:tcBorders>
              <w:tl2br w:val="nil"/>
              <w:tr2bl w:val="nil"/>
            </w:tcBorders>
          </w:tcPr>
          <w:p w14:paraId="6F67584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6.8</w:t>
            </w:r>
          </w:p>
        </w:tc>
      </w:tr>
      <w:tr w14:paraId="56446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E4FD2F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w:t>
            </w:r>
          </w:p>
        </w:tc>
        <w:tc>
          <w:tcPr>
            <w:tcW w:w="1815" w:type="pct"/>
            <w:tcBorders>
              <w:tl2br w:val="nil"/>
              <w:tr2bl w:val="nil"/>
            </w:tcBorders>
            <w:vAlign w:val="center"/>
          </w:tcPr>
          <w:p w14:paraId="2C7AD53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四氯乙烯</w:t>
            </w:r>
          </w:p>
        </w:tc>
        <w:tc>
          <w:tcPr>
            <w:tcW w:w="1810" w:type="pct"/>
            <w:tcBorders>
              <w:tl2br w:val="nil"/>
              <w:tr2bl w:val="nil"/>
            </w:tcBorders>
          </w:tcPr>
          <w:p w14:paraId="75373AD4">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53</w:t>
            </w:r>
          </w:p>
        </w:tc>
      </w:tr>
      <w:tr w14:paraId="169F4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D0C07C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21</w:t>
            </w:r>
          </w:p>
        </w:tc>
        <w:tc>
          <w:tcPr>
            <w:tcW w:w="1815" w:type="pct"/>
            <w:tcBorders>
              <w:tl2br w:val="nil"/>
              <w:tr2bl w:val="nil"/>
            </w:tcBorders>
            <w:vAlign w:val="center"/>
          </w:tcPr>
          <w:p w14:paraId="42CA7BA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1，1，1-三氯乙烷</w:t>
            </w:r>
          </w:p>
        </w:tc>
        <w:tc>
          <w:tcPr>
            <w:tcW w:w="1810" w:type="pct"/>
            <w:tcBorders>
              <w:tl2br w:val="nil"/>
              <w:tr2bl w:val="nil"/>
            </w:tcBorders>
          </w:tcPr>
          <w:p w14:paraId="61F949B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840</w:t>
            </w:r>
          </w:p>
        </w:tc>
      </w:tr>
      <w:tr w14:paraId="368FC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C4E34F4">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22</w:t>
            </w:r>
          </w:p>
        </w:tc>
        <w:tc>
          <w:tcPr>
            <w:tcW w:w="1815" w:type="pct"/>
            <w:tcBorders>
              <w:tl2br w:val="nil"/>
              <w:tr2bl w:val="nil"/>
            </w:tcBorders>
            <w:vAlign w:val="center"/>
          </w:tcPr>
          <w:p w14:paraId="1939839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1，1，2-三氯乙烷</w:t>
            </w:r>
          </w:p>
        </w:tc>
        <w:tc>
          <w:tcPr>
            <w:tcW w:w="1810" w:type="pct"/>
            <w:tcBorders>
              <w:tl2br w:val="nil"/>
              <w:tr2bl w:val="nil"/>
            </w:tcBorders>
          </w:tcPr>
          <w:p w14:paraId="46D0B5E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2.8</w:t>
            </w:r>
          </w:p>
        </w:tc>
      </w:tr>
      <w:tr w14:paraId="49BFC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3706E3F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23</w:t>
            </w:r>
          </w:p>
        </w:tc>
        <w:tc>
          <w:tcPr>
            <w:tcW w:w="1815" w:type="pct"/>
            <w:tcBorders>
              <w:tl2br w:val="nil"/>
              <w:tr2bl w:val="nil"/>
            </w:tcBorders>
            <w:vAlign w:val="center"/>
          </w:tcPr>
          <w:p w14:paraId="6BE7017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三氯乙烯</w:t>
            </w:r>
          </w:p>
        </w:tc>
        <w:tc>
          <w:tcPr>
            <w:tcW w:w="1810" w:type="pct"/>
            <w:tcBorders>
              <w:tl2br w:val="nil"/>
              <w:tr2bl w:val="nil"/>
            </w:tcBorders>
          </w:tcPr>
          <w:p w14:paraId="28BD15C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2.8</w:t>
            </w:r>
          </w:p>
        </w:tc>
      </w:tr>
      <w:tr w14:paraId="0D9DD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14231EF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24</w:t>
            </w:r>
          </w:p>
        </w:tc>
        <w:tc>
          <w:tcPr>
            <w:tcW w:w="1815" w:type="pct"/>
            <w:tcBorders>
              <w:tl2br w:val="nil"/>
              <w:tr2bl w:val="nil"/>
            </w:tcBorders>
            <w:vAlign w:val="center"/>
          </w:tcPr>
          <w:p w14:paraId="355DB31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1，2，3-三氯丙烷</w:t>
            </w:r>
          </w:p>
        </w:tc>
        <w:tc>
          <w:tcPr>
            <w:tcW w:w="1810" w:type="pct"/>
            <w:tcBorders>
              <w:tl2br w:val="nil"/>
              <w:tr2bl w:val="nil"/>
            </w:tcBorders>
          </w:tcPr>
          <w:p w14:paraId="52A399D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0.5</w:t>
            </w:r>
          </w:p>
        </w:tc>
      </w:tr>
      <w:tr w14:paraId="718C4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7FE94A1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w:t>
            </w:r>
          </w:p>
        </w:tc>
        <w:tc>
          <w:tcPr>
            <w:tcW w:w="1815" w:type="pct"/>
            <w:tcBorders>
              <w:tl2br w:val="nil"/>
              <w:tr2bl w:val="nil"/>
            </w:tcBorders>
            <w:vAlign w:val="center"/>
          </w:tcPr>
          <w:p w14:paraId="3CC69AF4">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氯乙烯</w:t>
            </w:r>
          </w:p>
        </w:tc>
        <w:tc>
          <w:tcPr>
            <w:tcW w:w="1810" w:type="pct"/>
            <w:tcBorders>
              <w:tl2br w:val="nil"/>
              <w:tr2bl w:val="nil"/>
            </w:tcBorders>
          </w:tcPr>
          <w:p w14:paraId="6440B32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0.43</w:t>
            </w:r>
          </w:p>
        </w:tc>
      </w:tr>
      <w:tr w14:paraId="252D2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5A3F71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26</w:t>
            </w:r>
          </w:p>
        </w:tc>
        <w:tc>
          <w:tcPr>
            <w:tcW w:w="1815" w:type="pct"/>
            <w:tcBorders>
              <w:tl2br w:val="nil"/>
              <w:tr2bl w:val="nil"/>
            </w:tcBorders>
            <w:vAlign w:val="center"/>
          </w:tcPr>
          <w:p w14:paraId="28F44B0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w:t>
            </w:r>
          </w:p>
        </w:tc>
        <w:tc>
          <w:tcPr>
            <w:tcW w:w="1810" w:type="pct"/>
            <w:tcBorders>
              <w:tl2br w:val="nil"/>
              <w:tr2bl w:val="nil"/>
            </w:tcBorders>
          </w:tcPr>
          <w:p w14:paraId="0EDDD34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w:t>
            </w:r>
          </w:p>
        </w:tc>
      </w:tr>
      <w:tr w14:paraId="463B8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74F026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27</w:t>
            </w:r>
          </w:p>
        </w:tc>
        <w:tc>
          <w:tcPr>
            <w:tcW w:w="1815" w:type="pct"/>
            <w:tcBorders>
              <w:tl2br w:val="nil"/>
              <w:tr2bl w:val="nil"/>
            </w:tcBorders>
            <w:vAlign w:val="center"/>
          </w:tcPr>
          <w:p w14:paraId="0E872C5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氯苯</w:t>
            </w:r>
          </w:p>
        </w:tc>
        <w:tc>
          <w:tcPr>
            <w:tcW w:w="1810" w:type="pct"/>
            <w:tcBorders>
              <w:tl2br w:val="nil"/>
              <w:tr2bl w:val="nil"/>
            </w:tcBorders>
          </w:tcPr>
          <w:p w14:paraId="722C1A90">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270</w:t>
            </w:r>
          </w:p>
        </w:tc>
      </w:tr>
      <w:tr w14:paraId="29D84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2CB8CE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28</w:t>
            </w:r>
          </w:p>
        </w:tc>
        <w:tc>
          <w:tcPr>
            <w:tcW w:w="1815" w:type="pct"/>
            <w:tcBorders>
              <w:tl2br w:val="nil"/>
              <w:tr2bl w:val="nil"/>
            </w:tcBorders>
            <w:vAlign w:val="center"/>
          </w:tcPr>
          <w:p w14:paraId="0D18FF3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1，2-二氯苯</w:t>
            </w:r>
          </w:p>
        </w:tc>
        <w:tc>
          <w:tcPr>
            <w:tcW w:w="1810" w:type="pct"/>
            <w:tcBorders>
              <w:tl2br w:val="nil"/>
              <w:tr2bl w:val="nil"/>
            </w:tcBorders>
          </w:tcPr>
          <w:p w14:paraId="08DB0ED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560</w:t>
            </w:r>
          </w:p>
        </w:tc>
      </w:tr>
      <w:tr w14:paraId="34359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022488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29</w:t>
            </w:r>
          </w:p>
        </w:tc>
        <w:tc>
          <w:tcPr>
            <w:tcW w:w="1815" w:type="pct"/>
            <w:tcBorders>
              <w:tl2br w:val="nil"/>
              <w:tr2bl w:val="nil"/>
            </w:tcBorders>
            <w:vAlign w:val="center"/>
          </w:tcPr>
          <w:p w14:paraId="3804048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1，4-二氯苯</w:t>
            </w:r>
          </w:p>
        </w:tc>
        <w:tc>
          <w:tcPr>
            <w:tcW w:w="1810" w:type="pct"/>
            <w:tcBorders>
              <w:tl2br w:val="nil"/>
              <w:tr2bl w:val="nil"/>
            </w:tcBorders>
          </w:tcPr>
          <w:p w14:paraId="278A613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w:t>
            </w:r>
          </w:p>
        </w:tc>
      </w:tr>
      <w:tr w14:paraId="6608F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749613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w:t>
            </w:r>
          </w:p>
        </w:tc>
        <w:tc>
          <w:tcPr>
            <w:tcW w:w="1815" w:type="pct"/>
            <w:tcBorders>
              <w:tl2br w:val="nil"/>
              <w:tr2bl w:val="nil"/>
            </w:tcBorders>
            <w:vAlign w:val="center"/>
          </w:tcPr>
          <w:p w14:paraId="7EFD992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乙苯</w:t>
            </w:r>
          </w:p>
        </w:tc>
        <w:tc>
          <w:tcPr>
            <w:tcW w:w="1810" w:type="pct"/>
            <w:tcBorders>
              <w:tl2br w:val="nil"/>
              <w:tr2bl w:val="nil"/>
            </w:tcBorders>
          </w:tcPr>
          <w:p w14:paraId="176E13F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28</w:t>
            </w:r>
          </w:p>
        </w:tc>
      </w:tr>
      <w:tr w14:paraId="44088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7685900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31</w:t>
            </w:r>
          </w:p>
        </w:tc>
        <w:tc>
          <w:tcPr>
            <w:tcW w:w="1815" w:type="pct"/>
            <w:tcBorders>
              <w:tl2br w:val="nil"/>
              <w:tr2bl w:val="nil"/>
            </w:tcBorders>
            <w:vAlign w:val="center"/>
          </w:tcPr>
          <w:p w14:paraId="35BFDC8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苯乙烯</w:t>
            </w:r>
          </w:p>
        </w:tc>
        <w:tc>
          <w:tcPr>
            <w:tcW w:w="1810" w:type="pct"/>
            <w:tcBorders>
              <w:tl2br w:val="nil"/>
              <w:tr2bl w:val="nil"/>
            </w:tcBorders>
          </w:tcPr>
          <w:p w14:paraId="34732038">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1290</w:t>
            </w:r>
          </w:p>
        </w:tc>
      </w:tr>
      <w:tr w14:paraId="6923D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B30101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32</w:t>
            </w:r>
          </w:p>
        </w:tc>
        <w:tc>
          <w:tcPr>
            <w:tcW w:w="1815" w:type="pct"/>
            <w:tcBorders>
              <w:tl2br w:val="nil"/>
              <w:tr2bl w:val="nil"/>
            </w:tcBorders>
            <w:vAlign w:val="center"/>
          </w:tcPr>
          <w:p w14:paraId="6D86709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甲苯</w:t>
            </w:r>
          </w:p>
        </w:tc>
        <w:tc>
          <w:tcPr>
            <w:tcW w:w="1810" w:type="pct"/>
            <w:tcBorders>
              <w:tl2br w:val="nil"/>
              <w:tr2bl w:val="nil"/>
            </w:tcBorders>
          </w:tcPr>
          <w:p w14:paraId="79E4A2F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1200</w:t>
            </w:r>
          </w:p>
        </w:tc>
      </w:tr>
      <w:tr w14:paraId="7CC3E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5B26CD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33</w:t>
            </w:r>
          </w:p>
        </w:tc>
        <w:tc>
          <w:tcPr>
            <w:tcW w:w="1815" w:type="pct"/>
            <w:tcBorders>
              <w:tl2br w:val="nil"/>
              <w:tr2bl w:val="nil"/>
            </w:tcBorders>
            <w:vAlign w:val="center"/>
          </w:tcPr>
          <w:p w14:paraId="59E2DD5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间二甲苯+对二甲苯</w:t>
            </w:r>
          </w:p>
        </w:tc>
        <w:tc>
          <w:tcPr>
            <w:tcW w:w="1810" w:type="pct"/>
            <w:tcBorders>
              <w:tl2br w:val="nil"/>
              <w:tr2bl w:val="nil"/>
            </w:tcBorders>
          </w:tcPr>
          <w:p w14:paraId="22ECE64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570</w:t>
            </w:r>
          </w:p>
        </w:tc>
      </w:tr>
      <w:tr w14:paraId="6F690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984709F">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34</w:t>
            </w:r>
          </w:p>
        </w:tc>
        <w:tc>
          <w:tcPr>
            <w:tcW w:w="1815" w:type="pct"/>
            <w:tcBorders>
              <w:tl2br w:val="nil"/>
              <w:tr2bl w:val="nil"/>
            </w:tcBorders>
            <w:vAlign w:val="center"/>
          </w:tcPr>
          <w:p w14:paraId="5018F08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邻二甲苯</w:t>
            </w:r>
          </w:p>
        </w:tc>
        <w:tc>
          <w:tcPr>
            <w:tcW w:w="1810" w:type="pct"/>
            <w:tcBorders>
              <w:tl2br w:val="nil"/>
              <w:tr2bl w:val="nil"/>
            </w:tcBorders>
          </w:tcPr>
          <w:p w14:paraId="13EB47A8">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640</w:t>
            </w:r>
          </w:p>
        </w:tc>
      </w:tr>
      <w:tr w14:paraId="406FF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64695B4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35</w:t>
            </w:r>
          </w:p>
        </w:tc>
        <w:tc>
          <w:tcPr>
            <w:tcW w:w="1815" w:type="pct"/>
            <w:tcBorders>
              <w:tl2br w:val="nil"/>
              <w:tr2bl w:val="nil"/>
            </w:tcBorders>
            <w:vAlign w:val="center"/>
          </w:tcPr>
          <w:p w14:paraId="21F8A6B3">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硝基苯</w:t>
            </w:r>
          </w:p>
        </w:tc>
        <w:tc>
          <w:tcPr>
            <w:tcW w:w="1810" w:type="pct"/>
            <w:tcBorders>
              <w:tl2br w:val="nil"/>
              <w:tr2bl w:val="nil"/>
            </w:tcBorders>
          </w:tcPr>
          <w:p w14:paraId="0C7AA6C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76</w:t>
            </w:r>
          </w:p>
        </w:tc>
      </w:tr>
      <w:tr w14:paraId="31A25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29BD048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36</w:t>
            </w:r>
          </w:p>
        </w:tc>
        <w:tc>
          <w:tcPr>
            <w:tcW w:w="1815" w:type="pct"/>
            <w:tcBorders>
              <w:tl2br w:val="nil"/>
              <w:tr2bl w:val="nil"/>
            </w:tcBorders>
            <w:vAlign w:val="center"/>
          </w:tcPr>
          <w:p w14:paraId="7C91F31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苯胺</w:t>
            </w:r>
          </w:p>
        </w:tc>
        <w:tc>
          <w:tcPr>
            <w:tcW w:w="1810" w:type="pct"/>
            <w:tcBorders>
              <w:tl2br w:val="nil"/>
              <w:tr2bl w:val="nil"/>
            </w:tcBorders>
          </w:tcPr>
          <w:p w14:paraId="68323A37">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260</w:t>
            </w:r>
          </w:p>
        </w:tc>
      </w:tr>
      <w:tr w14:paraId="07460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910D50A">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37</w:t>
            </w:r>
          </w:p>
        </w:tc>
        <w:tc>
          <w:tcPr>
            <w:tcW w:w="1815" w:type="pct"/>
            <w:tcBorders>
              <w:tl2br w:val="nil"/>
              <w:tr2bl w:val="nil"/>
            </w:tcBorders>
            <w:vAlign w:val="center"/>
          </w:tcPr>
          <w:p w14:paraId="6129A41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2-氯酚</w:t>
            </w:r>
          </w:p>
        </w:tc>
        <w:tc>
          <w:tcPr>
            <w:tcW w:w="1810" w:type="pct"/>
            <w:tcBorders>
              <w:tl2br w:val="nil"/>
              <w:tr2bl w:val="nil"/>
            </w:tcBorders>
          </w:tcPr>
          <w:p w14:paraId="59587D9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2256</w:t>
            </w:r>
          </w:p>
        </w:tc>
      </w:tr>
      <w:tr w14:paraId="4290A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36E9497C">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38</w:t>
            </w:r>
          </w:p>
        </w:tc>
        <w:tc>
          <w:tcPr>
            <w:tcW w:w="1815" w:type="pct"/>
            <w:tcBorders>
              <w:tl2br w:val="nil"/>
              <w:tr2bl w:val="nil"/>
            </w:tcBorders>
            <w:vAlign w:val="center"/>
          </w:tcPr>
          <w:p w14:paraId="1F7397C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苯并</w:t>
            </w:r>
            <w:r>
              <w:rPr>
                <w:rFonts w:hint="eastAsia" w:cs="Times New Roman"/>
                <w:color w:val="auto"/>
                <w:u w:val="none" w:color="auto"/>
                <w:lang w:eastAsia="zh-CN"/>
              </w:rPr>
              <w:t>〔</w:t>
            </w:r>
            <w:r>
              <w:rPr>
                <w:rFonts w:hint="default" w:ascii="Times New Roman" w:hAnsi="Times New Roman" w:cs="Times New Roman"/>
                <w:color w:val="auto"/>
                <w:u w:val="none" w:color="auto"/>
              </w:rPr>
              <w:t>a</w:t>
            </w:r>
            <w:r>
              <w:rPr>
                <w:rFonts w:hint="eastAsia" w:cs="Times New Roman"/>
                <w:color w:val="auto"/>
                <w:u w:val="none" w:color="auto"/>
                <w:lang w:eastAsia="zh-CN"/>
              </w:rPr>
              <w:t>〕</w:t>
            </w:r>
            <w:r>
              <w:rPr>
                <w:rFonts w:hint="default" w:ascii="Times New Roman" w:hAnsi="Times New Roman" w:cs="Times New Roman"/>
                <w:color w:val="auto"/>
                <w:u w:val="none" w:color="auto"/>
              </w:rPr>
              <w:t>蒽</w:t>
            </w:r>
          </w:p>
        </w:tc>
        <w:tc>
          <w:tcPr>
            <w:tcW w:w="1810" w:type="pct"/>
            <w:tcBorders>
              <w:tl2br w:val="nil"/>
              <w:tr2bl w:val="nil"/>
            </w:tcBorders>
          </w:tcPr>
          <w:p w14:paraId="003010D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r>
      <w:tr w14:paraId="77D8E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71B1391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39</w:t>
            </w:r>
          </w:p>
        </w:tc>
        <w:tc>
          <w:tcPr>
            <w:tcW w:w="1815" w:type="pct"/>
            <w:tcBorders>
              <w:tl2br w:val="nil"/>
              <w:tr2bl w:val="nil"/>
            </w:tcBorders>
            <w:vAlign w:val="center"/>
          </w:tcPr>
          <w:p w14:paraId="63BABF3D">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苯并</w:t>
            </w:r>
            <w:r>
              <w:rPr>
                <w:rFonts w:hint="eastAsia" w:cs="Times New Roman"/>
                <w:color w:val="auto"/>
                <w:u w:val="none" w:color="auto"/>
                <w:lang w:eastAsia="zh-CN"/>
              </w:rPr>
              <w:t>〔</w:t>
            </w:r>
            <w:r>
              <w:rPr>
                <w:rFonts w:hint="default" w:ascii="Times New Roman" w:hAnsi="Times New Roman" w:cs="Times New Roman"/>
                <w:color w:val="auto"/>
                <w:u w:val="none" w:color="auto"/>
              </w:rPr>
              <w:t>a</w:t>
            </w:r>
            <w:r>
              <w:rPr>
                <w:rFonts w:hint="eastAsia" w:cs="Times New Roman"/>
                <w:color w:val="auto"/>
                <w:u w:val="none" w:color="auto"/>
                <w:lang w:eastAsia="zh-CN"/>
              </w:rPr>
              <w:t>〕</w:t>
            </w:r>
            <w:r>
              <w:rPr>
                <w:rFonts w:hint="default" w:ascii="Times New Roman" w:hAnsi="Times New Roman" w:cs="Times New Roman"/>
                <w:color w:val="auto"/>
                <w:u w:val="none" w:color="auto"/>
              </w:rPr>
              <w:t>芘</w:t>
            </w:r>
          </w:p>
        </w:tc>
        <w:tc>
          <w:tcPr>
            <w:tcW w:w="1810" w:type="pct"/>
            <w:tcBorders>
              <w:tl2br w:val="nil"/>
              <w:tr2bl w:val="nil"/>
            </w:tcBorders>
          </w:tcPr>
          <w:p w14:paraId="1846748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r>
      <w:tr w14:paraId="2A4BE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D39A98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40</w:t>
            </w:r>
          </w:p>
        </w:tc>
        <w:tc>
          <w:tcPr>
            <w:tcW w:w="1815" w:type="pct"/>
            <w:tcBorders>
              <w:tl2br w:val="nil"/>
              <w:tr2bl w:val="nil"/>
            </w:tcBorders>
            <w:vAlign w:val="center"/>
          </w:tcPr>
          <w:p w14:paraId="7FF850F9">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苯并</w:t>
            </w:r>
            <w:r>
              <w:rPr>
                <w:rFonts w:hint="eastAsia" w:cs="Times New Roman"/>
                <w:color w:val="auto"/>
                <w:u w:val="none" w:color="auto"/>
                <w:lang w:eastAsia="zh-CN"/>
              </w:rPr>
              <w:t>〔</w:t>
            </w:r>
            <w:r>
              <w:rPr>
                <w:rFonts w:hint="default" w:ascii="Times New Roman" w:hAnsi="Times New Roman" w:cs="Times New Roman"/>
                <w:color w:val="auto"/>
                <w:u w:val="none" w:color="auto"/>
              </w:rPr>
              <w:t>b</w:t>
            </w:r>
            <w:r>
              <w:rPr>
                <w:rFonts w:hint="eastAsia" w:cs="Times New Roman"/>
                <w:color w:val="auto"/>
                <w:u w:val="none" w:color="auto"/>
                <w:lang w:eastAsia="zh-CN"/>
              </w:rPr>
              <w:t>〕</w:t>
            </w:r>
            <w:r>
              <w:rPr>
                <w:rFonts w:hint="default" w:ascii="Times New Roman" w:hAnsi="Times New Roman" w:cs="Times New Roman"/>
                <w:color w:val="auto"/>
                <w:u w:val="none" w:color="auto"/>
              </w:rPr>
              <w:t>荧蒽</w:t>
            </w:r>
          </w:p>
        </w:tc>
        <w:tc>
          <w:tcPr>
            <w:tcW w:w="1810" w:type="pct"/>
            <w:tcBorders>
              <w:tl2br w:val="nil"/>
              <w:tr2bl w:val="nil"/>
            </w:tcBorders>
          </w:tcPr>
          <w:p w14:paraId="16DDFEE3">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r>
      <w:tr w14:paraId="66F74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50E494E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41</w:t>
            </w:r>
          </w:p>
        </w:tc>
        <w:tc>
          <w:tcPr>
            <w:tcW w:w="1815" w:type="pct"/>
            <w:tcBorders>
              <w:tl2br w:val="nil"/>
              <w:tr2bl w:val="nil"/>
            </w:tcBorders>
            <w:vAlign w:val="center"/>
          </w:tcPr>
          <w:p w14:paraId="73868C88">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苯并</w:t>
            </w:r>
            <w:r>
              <w:rPr>
                <w:rFonts w:hint="eastAsia" w:cs="Times New Roman"/>
                <w:color w:val="auto"/>
                <w:u w:val="none" w:color="auto"/>
                <w:lang w:eastAsia="zh-CN"/>
              </w:rPr>
              <w:t>〔</w:t>
            </w:r>
            <w:r>
              <w:rPr>
                <w:rFonts w:hint="default" w:ascii="Times New Roman" w:hAnsi="Times New Roman" w:cs="Times New Roman"/>
                <w:color w:val="auto"/>
                <w:u w:val="none" w:color="auto"/>
              </w:rPr>
              <w:t>k</w:t>
            </w:r>
            <w:r>
              <w:rPr>
                <w:rFonts w:hint="eastAsia" w:cs="Times New Roman"/>
                <w:color w:val="auto"/>
                <w:u w:val="none" w:color="auto"/>
                <w:lang w:eastAsia="zh-CN"/>
              </w:rPr>
              <w:t>〕</w:t>
            </w:r>
            <w:r>
              <w:rPr>
                <w:rFonts w:hint="default" w:ascii="Times New Roman" w:hAnsi="Times New Roman" w:cs="Times New Roman"/>
                <w:color w:val="auto"/>
                <w:u w:val="none" w:color="auto"/>
              </w:rPr>
              <w:t>荧蒽</w:t>
            </w:r>
          </w:p>
        </w:tc>
        <w:tc>
          <w:tcPr>
            <w:tcW w:w="1810" w:type="pct"/>
            <w:tcBorders>
              <w:tl2br w:val="nil"/>
              <w:tr2bl w:val="nil"/>
            </w:tcBorders>
          </w:tcPr>
          <w:p w14:paraId="0A1A7E0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151</w:t>
            </w:r>
          </w:p>
        </w:tc>
      </w:tr>
      <w:tr w14:paraId="29EDF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DA11A14">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42</w:t>
            </w:r>
          </w:p>
        </w:tc>
        <w:tc>
          <w:tcPr>
            <w:tcW w:w="1815" w:type="pct"/>
            <w:tcBorders>
              <w:tl2br w:val="nil"/>
              <w:tr2bl w:val="nil"/>
            </w:tcBorders>
            <w:vAlign w:val="center"/>
          </w:tcPr>
          <w:p w14:paraId="28D8B891">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䓛</w:t>
            </w:r>
          </w:p>
        </w:tc>
        <w:tc>
          <w:tcPr>
            <w:tcW w:w="1810" w:type="pct"/>
            <w:tcBorders>
              <w:tl2br w:val="nil"/>
              <w:tr2bl w:val="nil"/>
            </w:tcBorders>
          </w:tcPr>
          <w:p w14:paraId="0319E933">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1293</w:t>
            </w:r>
          </w:p>
        </w:tc>
      </w:tr>
      <w:tr w14:paraId="69643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4CE20175">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43</w:t>
            </w:r>
          </w:p>
        </w:tc>
        <w:tc>
          <w:tcPr>
            <w:tcW w:w="1815" w:type="pct"/>
            <w:tcBorders>
              <w:tl2br w:val="nil"/>
              <w:tr2bl w:val="nil"/>
            </w:tcBorders>
            <w:vAlign w:val="center"/>
          </w:tcPr>
          <w:p w14:paraId="60ED452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二苯并</w:t>
            </w:r>
            <w:r>
              <w:rPr>
                <w:rFonts w:hint="eastAsia" w:cs="Times New Roman"/>
                <w:color w:val="auto"/>
                <w:u w:val="none" w:color="auto"/>
                <w:lang w:eastAsia="zh-CN"/>
              </w:rPr>
              <w:t>〔</w:t>
            </w:r>
            <w:r>
              <w:rPr>
                <w:rFonts w:hint="default" w:ascii="Times New Roman" w:hAnsi="Times New Roman" w:cs="Times New Roman"/>
                <w:color w:val="auto"/>
                <w:u w:val="none" w:color="auto"/>
              </w:rPr>
              <w:t>a，h</w:t>
            </w:r>
            <w:r>
              <w:rPr>
                <w:rFonts w:hint="eastAsia" w:cs="Times New Roman"/>
                <w:color w:val="auto"/>
                <w:u w:val="none" w:color="auto"/>
                <w:lang w:eastAsia="zh-CN"/>
              </w:rPr>
              <w:t>〕</w:t>
            </w:r>
            <w:r>
              <w:rPr>
                <w:rFonts w:hint="default" w:ascii="Times New Roman" w:hAnsi="Times New Roman" w:cs="Times New Roman"/>
                <w:color w:val="auto"/>
                <w:u w:val="none" w:color="auto"/>
              </w:rPr>
              <w:t>蒽</w:t>
            </w:r>
          </w:p>
        </w:tc>
        <w:tc>
          <w:tcPr>
            <w:tcW w:w="1810" w:type="pct"/>
            <w:tcBorders>
              <w:tl2br w:val="nil"/>
              <w:tr2bl w:val="nil"/>
            </w:tcBorders>
          </w:tcPr>
          <w:p w14:paraId="6BBA3506">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r>
      <w:tr w14:paraId="4AEAE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9F63E90">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44</w:t>
            </w:r>
          </w:p>
        </w:tc>
        <w:tc>
          <w:tcPr>
            <w:tcW w:w="1815" w:type="pct"/>
            <w:tcBorders>
              <w:tl2br w:val="nil"/>
              <w:tr2bl w:val="nil"/>
            </w:tcBorders>
            <w:vAlign w:val="center"/>
          </w:tcPr>
          <w:p w14:paraId="017D6262">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茚并</w:t>
            </w:r>
            <w:r>
              <w:rPr>
                <w:rFonts w:hint="eastAsia" w:cs="Times New Roman"/>
                <w:color w:val="auto"/>
                <w:u w:val="none" w:color="auto"/>
                <w:lang w:eastAsia="zh-CN"/>
              </w:rPr>
              <w:t>〔</w:t>
            </w:r>
            <w:r>
              <w:rPr>
                <w:rFonts w:hint="default" w:ascii="Times New Roman" w:hAnsi="Times New Roman" w:cs="Times New Roman"/>
                <w:color w:val="auto"/>
                <w:u w:val="none" w:color="auto"/>
              </w:rPr>
              <w:t>1，2，3-cd</w:t>
            </w:r>
            <w:r>
              <w:rPr>
                <w:rFonts w:hint="eastAsia" w:cs="Times New Roman"/>
                <w:color w:val="auto"/>
                <w:u w:val="none" w:color="auto"/>
                <w:lang w:eastAsia="zh-CN"/>
              </w:rPr>
              <w:t>〕</w:t>
            </w:r>
            <w:r>
              <w:rPr>
                <w:rFonts w:hint="default" w:ascii="Times New Roman" w:hAnsi="Times New Roman" w:cs="Times New Roman"/>
                <w:color w:val="auto"/>
                <w:u w:val="none" w:color="auto"/>
              </w:rPr>
              <w:t>芘</w:t>
            </w:r>
          </w:p>
        </w:tc>
        <w:tc>
          <w:tcPr>
            <w:tcW w:w="1810" w:type="pct"/>
            <w:tcBorders>
              <w:tl2br w:val="nil"/>
              <w:tr2bl w:val="nil"/>
            </w:tcBorders>
          </w:tcPr>
          <w:p w14:paraId="4D81F300">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w:t>
            </w:r>
          </w:p>
        </w:tc>
      </w:tr>
      <w:tr w14:paraId="4764D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4" w:type="pct"/>
            <w:tcBorders>
              <w:tl2br w:val="nil"/>
              <w:tr2bl w:val="nil"/>
            </w:tcBorders>
            <w:vAlign w:val="center"/>
          </w:tcPr>
          <w:p w14:paraId="021A4DFB">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45</w:t>
            </w:r>
          </w:p>
        </w:tc>
        <w:tc>
          <w:tcPr>
            <w:tcW w:w="1815" w:type="pct"/>
            <w:tcBorders>
              <w:tl2br w:val="nil"/>
              <w:tr2bl w:val="nil"/>
            </w:tcBorders>
            <w:vAlign w:val="center"/>
          </w:tcPr>
          <w:p w14:paraId="3B5D7B78">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萘</w:t>
            </w:r>
          </w:p>
        </w:tc>
        <w:tc>
          <w:tcPr>
            <w:tcW w:w="1810" w:type="pct"/>
            <w:tcBorders>
              <w:tl2br w:val="nil"/>
              <w:tr2bl w:val="nil"/>
            </w:tcBorders>
          </w:tcPr>
          <w:p w14:paraId="4AD9266E">
            <w:pPr>
              <w:pStyle w:val="114"/>
              <w:keepNext w:val="0"/>
              <w:keepLines w:val="0"/>
              <w:widowControl/>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70</w:t>
            </w:r>
          </w:p>
        </w:tc>
      </w:tr>
    </w:tbl>
    <w:p w14:paraId="63B15B89">
      <w:pPr>
        <w:pageBreakBefore w:val="0"/>
        <w:kinsoku w:val="0"/>
        <w:wordWrap w:val="0"/>
        <w:overflowPunct/>
        <w:topLinePunct/>
        <w:autoSpaceDE/>
        <w:autoSpaceDN/>
        <w:bidi w:val="0"/>
        <w:adjustRightInd w:val="0"/>
        <w:spacing w:line="360" w:lineRule="auto"/>
        <w:jc w:val="righ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6  </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农用地土壤污染风险筛选值  </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单位：mg/kg</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782"/>
        <w:gridCol w:w="1042"/>
        <w:gridCol w:w="1606"/>
        <w:gridCol w:w="1621"/>
        <w:gridCol w:w="1472"/>
        <w:gridCol w:w="1220"/>
      </w:tblGrid>
      <w:tr w14:paraId="3134B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174475AE">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序号</w:t>
            </w:r>
          </w:p>
        </w:tc>
        <w:tc>
          <w:tcPr>
            <w:tcW w:w="1071" w:type="pct"/>
            <w:gridSpan w:val="2"/>
            <w:vMerge w:val="restart"/>
            <w:tcBorders>
              <w:tl2br w:val="nil"/>
              <w:tr2bl w:val="nil"/>
            </w:tcBorders>
            <w:vAlign w:val="center"/>
          </w:tcPr>
          <w:p w14:paraId="46BD50FA">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污染物项目</w:t>
            </w:r>
          </w:p>
        </w:tc>
        <w:tc>
          <w:tcPr>
            <w:tcW w:w="3475" w:type="pct"/>
            <w:gridSpan w:val="4"/>
            <w:tcBorders>
              <w:tl2br w:val="nil"/>
              <w:tr2bl w:val="nil"/>
            </w:tcBorders>
            <w:vAlign w:val="center"/>
          </w:tcPr>
          <w:p w14:paraId="49341E1B">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风险筛选值</w:t>
            </w:r>
          </w:p>
        </w:tc>
      </w:tr>
      <w:tr w14:paraId="095E5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19446535">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p>
        </w:tc>
        <w:tc>
          <w:tcPr>
            <w:tcW w:w="1071" w:type="pct"/>
            <w:gridSpan w:val="2"/>
            <w:vMerge w:val="continue"/>
            <w:tcBorders>
              <w:tl2br w:val="nil"/>
              <w:tr2bl w:val="nil"/>
            </w:tcBorders>
            <w:vAlign w:val="center"/>
          </w:tcPr>
          <w:p w14:paraId="395B11E8">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p>
        </w:tc>
        <w:tc>
          <w:tcPr>
            <w:tcW w:w="943" w:type="pct"/>
            <w:tcBorders>
              <w:tl2br w:val="nil"/>
              <w:tr2bl w:val="nil"/>
            </w:tcBorders>
            <w:vAlign w:val="center"/>
          </w:tcPr>
          <w:p w14:paraId="13AEB5D1">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pH≤5.5</w:t>
            </w:r>
          </w:p>
        </w:tc>
        <w:tc>
          <w:tcPr>
            <w:tcW w:w="952" w:type="pct"/>
            <w:tcBorders>
              <w:tl2br w:val="nil"/>
              <w:tr2bl w:val="nil"/>
            </w:tcBorders>
            <w:vAlign w:val="center"/>
          </w:tcPr>
          <w:p w14:paraId="1A2C4518">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5.5&lt;pH≤6.5</w:t>
            </w:r>
          </w:p>
        </w:tc>
        <w:tc>
          <w:tcPr>
            <w:tcW w:w="864" w:type="pct"/>
            <w:tcBorders>
              <w:tl2br w:val="nil"/>
              <w:tr2bl w:val="nil"/>
            </w:tcBorders>
            <w:vAlign w:val="center"/>
          </w:tcPr>
          <w:p w14:paraId="2D3B587C">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6.5&lt;pH≤7.5</w:t>
            </w:r>
          </w:p>
        </w:tc>
        <w:tc>
          <w:tcPr>
            <w:tcW w:w="714" w:type="pct"/>
            <w:tcBorders>
              <w:tl2br w:val="nil"/>
              <w:tr2bl w:val="nil"/>
            </w:tcBorders>
            <w:vAlign w:val="center"/>
          </w:tcPr>
          <w:p w14:paraId="20C9722F">
            <w:pPr>
              <w:pStyle w:val="114"/>
              <w:keepNext w:val="0"/>
              <w:keepLines w:val="0"/>
              <w:widowControl w:val="0"/>
              <w:suppressLineNumbers w:val="0"/>
              <w:spacing w:before="0" w:beforeAutospacing="0" w:after="0" w:afterAutospacing="0"/>
              <w:ind w:left="0" w:right="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pH&gt;7.5</w:t>
            </w:r>
          </w:p>
        </w:tc>
      </w:tr>
      <w:tr w14:paraId="0A1F3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7814101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w:t>
            </w:r>
          </w:p>
        </w:tc>
        <w:tc>
          <w:tcPr>
            <w:tcW w:w="459" w:type="pct"/>
            <w:vMerge w:val="restart"/>
            <w:tcBorders>
              <w:tl2br w:val="nil"/>
              <w:tr2bl w:val="nil"/>
            </w:tcBorders>
            <w:vAlign w:val="center"/>
          </w:tcPr>
          <w:p w14:paraId="3C403BF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镉</w:t>
            </w:r>
          </w:p>
        </w:tc>
        <w:tc>
          <w:tcPr>
            <w:tcW w:w="612" w:type="pct"/>
            <w:tcBorders>
              <w:tl2br w:val="nil"/>
              <w:tr2bl w:val="nil"/>
            </w:tcBorders>
            <w:vAlign w:val="center"/>
          </w:tcPr>
          <w:p w14:paraId="4E2A81A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77EA2C1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0.3</w:t>
            </w:r>
          </w:p>
        </w:tc>
        <w:tc>
          <w:tcPr>
            <w:tcW w:w="952" w:type="pct"/>
            <w:tcBorders>
              <w:tl2br w:val="nil"/>
              <w:tr2bl w:val="nil"/>
            </w:tcBorders>
            <w:vAlign w:val="center"/>
          </w:tcPr>
          <w:p w14:paraId="15261455">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0.4</w:t>
            </w:r>
          </w:p>
        </w:tc>
        <w:tc>
          <w:tcPr>
            <w:tcW w:w="864" w:type="pct"/>
            <w:tcBorders>
              <w:tl2br w:val="nil"/>
              <w:tr2bl w:val="nil"/>
            </w:tcBorders>
            <w:vAlign w:val="center"/>
          </w:tcPr>
          <w:p w14:paraId="393CE17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0.6</w:t>
            </w:r>
          </w:p>
        </w:tc>
        <w:tc>
          <w:tcPr>
            <w:tcW w:w="714" w:type="pct"/>
            <w:tcBorders>
              <w:tl2br w:val="nil"/>
              <w:tr2bl w:val="nil"/>
            </w:tcBorders>
            <w:vAlign w:val="center"/>
          </w:tcPr>
          <w:p w14:paraId="6F9879F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0.8</w:t>
            </w:r>
          </w:p>
        </w:tc>
      </w:tr>
      <w:tr w14:paraId="2AB6F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49CBDAF3">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50BE510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059C98E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3CECFCA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0.3</w:t>
            </w:r>
          </w:p>
        </w:tc>
        <w:tc>
          <w:tcPr>
            <w:tcW w:w="952" w:type="pct"/>
            <w:tcBorders>
              <w:tl2br w:val="nil"/>
              <w:tr2bl w:val="nil"/>
            </w:tcBorders>
            <w:vAlign w:val="center"/>
          </w:tcPr>
          <w:p w14:paraId="4281FF7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0.3</w:t>
            </w:r>
          </w:p>
        </w:tc>
        <w:tc>
          <w:tcPr>
            <w:tcW w:w="864" w:type="pct"/>
            <w:tcBorders>
              <w:tl2br w:val="nil"/>
              <w:tr2bl w:val="nil"/>
            </w:tcBorders>
            <w:vAlign w:val="center"/>
          </w:tcPr>
          <w:p w14:paraId="4145AD3C">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0.3</w:t>
            </w:r>
          </w:p>
        </w:tc>
        <w:tc>
          <w:tcPr>
            <w:tcW w:w="714" w:type="pct"/>
            <w:tcBorders>
              <w:tl2br w:val="nil"/>
              <w:tr2bl w:val="nil"/>
            </w:tcBorders>
            <w:vAlign w:val="center"/>
          </w:tcPr>
          <w:p w14:paraId="5C691F3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0.6</w:t>
            </w:r>
          </w:p>
        </w:tc>
      </w:tr>
      <w:tr w14:paraId="26E46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00538323">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w:t>
            </w:r>
          </w:p>
        </w:tc>
        <w:tc>
          <w:tcPr>
            <w:tcW w:w="459" w:type="pct"/>
            <w:vMerge w:val="restart"/>
            <w:tcBorders>
              <w:tl2br w:val="nil"/>
              <w:tr2bl w:val="nil"/>
            </w:tcBorders>
            <w:vAlign w:val="center"/>
          </w:tcPr>
          <w:p w14:paraId="680D283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汞</w:t>
            </w:r>
          </w:p>
        </w:tc>
        <w:tc>
          <w:tcPr>
            <w:tcW w:w="612" w:type="pct"/>
            <w:tcBorders>
              <w:tl2br w:val="nil"/>
              <w:tr2bl w:val="nil"/>
            </w:tcBorders>
            <w:vAlign w:val="center"/>
          </w:tcPr>
          <w:p w14:paraId="120199D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0899144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0.5</w:t>
            </w:r>
          </w:p>
        </w:tc>
        <w:tc>
          <w:tcPr>
            <w:tcW w:w="952" w:type="pct"/>
            <w:tcBorders>
              <w:tl2br w:val="nil"/>
              <w:tr2bl w:val="nil"/>
            </w:tcBorders>
            <w:vAlign w:val="center"/>
          </w:tcPr>
          <w:p w14:paraId="6B6F995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0.5</w:t>
            </w:r>
          </w:p>
        </w:tc>
        <w:tc>
          <w:tcPr>
            <w:tcW w:w="864" w:type="pct"/>
            <w:tcBorders>
              <w:tl2br w:val="nil"/>
              <w:tr2bl w:val="nil"/>
            </w:tcBorders>
            <w:vAlign w:val="center"/>
          </w:tcPr>
          <w:p w14:paraId="388C4D4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0.6</w:t>
            </w:r>
          </w:p>
        </w:tc>
        <w:tc>
          <w:tcPr>
            <w:tcW w:w="714" w:type="pct"/>
            <w:tcBorders>
              <w:tl2br w:val="nil"/>
              <w:tr2bl w:val="nil"/>
            </w:tcBorders>
            <w:vAlign w:val="center"/>
          </w:tcPr>
          <w:p w14:paraId="6B990F4E">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w:t>
            </w:r>
          </w:p>
        </w:tc>
      </w:tr>
      <w:tr w14:paraId="40B0E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3937257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2CF04FE9">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5D37040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2678903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1.3</w:t>
            </w:r>
          </w:p>
        </w:tc>
        <w:tc>
          <w:tcPr>
            <w:tcW w:w="952" w:type="pct"/>
            <w:tcBorders>
              <w:tl2br w:val="nil"/>
              <w:tr2bl w:val="nil"/>
            </w:tcBorders>
            <w:vAlign w:val="center"/>
          </w:tcPr>
          <w:p w14:paraId="20DF4EB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1.8</w:t>
            </w:r>
          </w:p>
        </w:tc>
        <w:tc>
          <w:tcPr>
            <w:tcW w:w="864" w:type="pct"/>
            <w:tcBorders>
              <w:tl2br w:val="nil"/>
              <w:tr2bl w:val="nil"/>
            </w:tcBorders>
            <w:vAlign w:val="center"/>
          </w:tcPr>
          <w:p w14:paraId="5D0FF513">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2.4</w:t>
            </w:r>
          </w:p>
        </w:tc>
        <w:tc>
          <w:tcPr>
            <w:tcW w:w="714" w:type="pct"/>
            <w:tcBorders>
              <w:tl2br w:val="nil"/>
              <w:tr2bl w:val="nil"/>
            </w:tcBorders>
            <w:vAlign w:val="center"/>
          </w:tcPr>
          <w:p w14:paraId="04CB26B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3.4</w:t>
            </w:r>
          </w:p>
        </w:tc>
      </w:tr>
      <w:tr w14:paraId="0D1ED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667ED71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w:t>
            </w:r>
          </w:p>
        </w:tc>
        <w:tc>
          <w:tcPr>
            <w:tcW w:w="459" w:type="pct"/>
            <w:vMerge w:val="restart"/>
            <w:tcBorders>
              <w:tl2br w:val="nil"/>
              <w:tr2bl w:val="nil"/>
            </w:tcBorders>
            <w:vAlign w:val="center"/>
          </w:tcPr>
          <w:p w14:paraId="6E1F5913">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砷</w:t>
            </w:r>
          </w:p>
        </w:tc>
        <w:tc>
          <w:tcPr>
            <w:tcW w:w="612" w:type="pct"/>
            <w:tcBorders>
              <w:tl2br w:val="nil"/>
              <w:tr2bl w:val="nil"/>
            </w:tcBorders>
            <w:vAlign w:val="center"/>
          </w:tcPr>
          <w:p w14:paraId="01EAF77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52D8A54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w:t>
            </w:r>
          </w:p>
        </w:tc>
        <w:tc>
          <w:tcPr>
            <w:tcW w:w="952" w:type="pct"/>
            <w:tcBorders>
              <w:tl2br w:val="nil"/>
              <w:tr2bl w:val="nil"/>
            </w:tcBorders>
            <w:vAlign w:val="center"/>
          </w:tcPr>
          <w:p w14:paraId="7EE3365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w:t>
            </w:r>
          </w:p>
        </w:tc>
        <w:tc>
          <w:tcPr>
            <w:tcW w:w="864" w:type="pct"/>
            <w:tcBorders>
              <w:tl2br w:val="nil"/>
              <w:tr2bl w:val="nil"/>
            </w:tcBorders>
            <w:vAlign w:val="center"/>
          </w:tcPr>
          <w:p w14:paraId="04C1F40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w:t>
            </w:r>
          </w:p>
        </w:tc>
        <w:tc>
          <w:tcPr>
            <w:tcW w:w="714" w:type="pct"/>
            <w:tcBorders>
              <w:tl2br w:val="nil"/>
              <w:tr2bl w:val="nil"/>
            </w:tcBorders>
            <w:vAlign w:val="center"/>
          </w:tcPr>
          <w:p w14:paraId="55CDA48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w:t>
            </w:r>
          </w:p>
        </w:tc>
      </w:tr>
      <w:tr w14:paraId="6ED07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1D26F56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119F2E8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43D3302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248396A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40</w:t>
            </w:r>
          </w:p>
        </w:tc>
        <w:tc>
          <w:tcPr>
            <w:tcW w:w="952" w:type="pct"/>
            <w:tcBorders>
              <w:tl2br w:val="nil"/>
              <w:tr2bl w:val="nil"/>
            </w:tcBorders>
            <w:vAlign w:val="center"/>
          </w:tcPr>
          <w:p w14:paraId="4AEEA8B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40</w:t>
            </w:r>
          </w:p>
        </w:tc>
        <w:tc>
          <w:tcPr>
            <w:tcW w:w="864" w:type="pct"/>
            <w:tcBorders>
              <w:tl2br w:val="nil"/>
              <w:tr2bl w:val="nil"/>
            </w:tcBorders>
            <w:vAlign w:val="center"/>
          </w:tcPr>
          <w:p w14:paraId="461F4F47">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w:t>
            </w:r>
          </w:p>
        </w:tc>
        <w:tc>
          <w:tcPr>
            <w:tcW w:w="714" w:type="pct"/>
            <w:tcBorders>
              <w:tl2br w:val="nil"/>
              <w:tr2bl w:val="nil"/>
            </w:tcBorders>
            <w:vAlign w:val="center"/>
          </w:tcPr>
          <w:p w14:paraId="699C2AB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w:t>
            </w:r>
          </w:p>
        </w:tc>
      </w:tr>
      <w:tr w14:paraId="35913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58DC41C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4</w:t>
            </w:r>
          </w:p>
        </w:tc>
        <w:tc>
          <w:tcPr>
            <w:tcW w:w="459" w:type="pct"/>
            <w:vMerge w:val="restart"/>
            <w:tcBorders>
              <w:tl2br w:val="nil"/>
              <w:tr2bl w:val="nil"/>
            </w:tcBorders>
            <w:vAlign w:val="center"/>
          </w:tcPr>
          <w:p w14:paraId="0892893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铅</w:t>
            </w:r>
          </w:p>
        </w:tc>
        <w:tc>
          <w:tcPr>
            <w:tcW w:w="612" w:type="pct"/>
            <w:tcBorders>
              <w:tl2br w:val="nil"/>
              <w:tr2bl w:val="nil"/>
            </w:tcBorders>
            <w:vAlign w:val="center"/>
          </w:tcPr>
          <w:p w14:paraId="1493578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60512B0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80</w:t>
            </w:r>
          </w:p>
        </w:tc>
        <w:tc>
          <w:tcPr>
            <w:tcW w:w="952" w:type="pct"/>
            <w:tcBorders>
              <w:tl2br w:val="nil"/>
              <w:tr2bl w:val="nil"/>
            </w:tcBorders>
            <w:vAlign w:val="center"/>
          </w:tcPr>
          <w:p w14:paraId="6C6746B9">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100</w:t>
            </w:r>
          </w:p>
        </w:tc>
        <w:tc>
          <w:tcPr>
            <w:tcW w:w="864" w:type="pct"/>
            <w:tcBorders>
              <w:tl2br w:val="nil"/>
              <w:tr2bl w:val="nil"/>
            </w:tcBorders>
            <w:vAlign w:val="center"/>
          </w:tcPr>
          <w:p w14:paraId="091CEF9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140</w:t>
            </w:r>
          </w:p>
        </w:tc>
        <w:tc>
          <w:tcPr>
            <w:tcW w:w="714" w:type="pct"/>
            <w:tcBorders>
              <w:tl2br w:val="nil"/>
              <w:tr2bl w:val="nil"/>
            </w:tcBorders>
            <w:vAlign w:val="center"/>
          </w:tcPr>
          <w:p w14:paraId="1CD92D35">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240</w:t>
            </w:r>
          </w:p>
        </w:tc>
      </w:tr>
      <w:tr w14:paraId="4E2ED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5FC8A9A9">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4C3E0C2E">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459AEBD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0FD334A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70</w:t>
            </w:r>
          </w:p>
        </w:tc>
        <w:tc>
          <w:tcPr>
            <w:tcW w:w="952" w:type="pct"/>
            <w:tcBorders>
              <w:tl2br w:val="nil"/>
              <w:tr2bl w:val="nil"/>
            </w:tcBorders>
            <w:vAlign w:val="center"/>
          </w:tcPr>
          <w:p w14:paraId="38487FD7">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90</w:t>
            </w:r>
          </w:p>
        </w:tc>
        <w:tc>
          <w:tcPr>
            <w:tcW w:w="864" w:type="pct"/>
            <w:tcBorders>
              <w:tl2br w:val="nil"/>
              <w:tr2bl w:val="nil"/>
            </w:tcBorders>
            <w:vAlign w:val="center"/>
          </w:tcPr>
          <w:p w14:paraId="0198B68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120</w:t>
            </w:r>
          </w:p>
        </w:tc>
        <w:tc>
          <w:tcPr>
            <w:tcW w:w="714" w:type="pct"/>
            <w:tcBorders>
              <w:tl2br w:val="nil"/>
              <w:tr2bl w:val="nil"/>
            </w:tcBorders>
            <w:vAlign w:val="center"/>
          </w:tcPr>
          <w:p w14:paraId="4F8CBBF9">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170</w:t>
            </w:r>
          </w:p>
        </w:tc>
      </w:tr>
      <w:tr w14:paraId="33EEA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2861C2F5">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w:t>
            </w:r>
          </w:p>
        </w:tc>
        <w:tc>
          <w:tcPr>
            <w:tcW w:w="459" w:type="pct"/>
            <w:vMerge w:val="restart"/>
            <w:tcBorders>
              <w:tl2br w:val="nil"/>
              <w:tr2bl w:val="nil"/>
            </w:tcBorders>
            <w:vAlign w:val="center"/>
          </w:tcPr>
          <w:p w14:paraId="0F7CCC3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铬</w:t>
            </w:r>
          </w:p>
        </w:tc>
        <w:tc>
          <w:tcPr>
            <w:tcW w:w="612" w:type="pct"/>
            <w:tcBorders>
              <w:tl2br w:val="nil"/>
              <w:tr2bl w:val="nil"/>
            </w:tcBorders>
            <w:vAlign w:val="center"/>
          </w:tcPr>
          <w:p w14:paraId="41DC88C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33E772E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250</w:t>
            </w:r>
          </w:p>
        </w:tc>
        <w:tc>
          <w:tcPr>
            <w:tcW w:w="952" w:type="pct"/>
            <w:tcBorders>
              <w:tl2br w:val="nil"/>
              <w:tr2bl w:val="nil"/>
            </w:tcBorders>
            <w:vAlign w:val="center"/>
          </w:tcPr>
          <w:p w14:paraId="037333D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250</w:t>
            </w:r>
          </w:p>
        </w:tc>
        <w:tc>
          <w:tcPr>
            <w:tcW w:w="864" w:type="pct"/>
            <w:tcBorders>
              <w:tl2br w:val="nil"/>
              <w:tr2bl w:val="nil"/>
            </w:tcBorders>
            <w:vAlign w:val="center"/>
          </w:tcPr>
          <w:p w14:paraId="61F2265C">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300</w:t>
            </w:r>
          </w:p>
        </w:tc>
        <w:tc>
          <w:tcPr>
            <w:tcW w:w="714" w:type="pct"/>
            <w:tcBorders>
              <w:tl2br w:val="nil"/>
              <w:tr2bl w:val="nil"/>
            </w:tcBorders>
            <w:vAlign w:val="center"/>
          </w:tcPr>
          <w:p w14:paraId="6B1032AE">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350</w:t>
            </w:r>
          </w:p>
        </w:tc>
      </w:tr>
      <w:tr w14:paraId="42571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53FCD22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41C47AB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73A72FD2">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5C43801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150</w:t>
            </w:r>
          </w:p>
        </w:tc>
        <w:tc>
          <w:tcPr>
            <w:tcW w:w="952" w:type="pct"/>
            <w:tcBorders>
              <w:tl2br w:val="nil"/>
              <w:tr2bl w:val="nil"/>
            </w:tcBorders>
            <w:vAlign w:val="center"/>
          </w:tcPr>
          <w:p w14:paraId="792D93F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150</w:t>
            </w:r>
          </w:p>
        </w:tc>
        <w:tc>
          <w:tcPr>
            <w:tcW w:w="864" w:type="pct"/>
            <w:tcBorders>
              <w:tl2br w:val="nil"/>
              <w:tr2bl w:val="nil"/>
            </w:tcBorders>
            <w:vAlign w:val="center"/>
          </w:tcPr>
          <w:p w14:paraId="2575A58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c>
          <w:tcPr>
            <w:tcW w:w="714" w:type="pct"/>
            <w:tcBorders>
              <w:tl2br w:val="nil"/>
              <w:tr2bl w:val="nil"/>
            </w:tcBorders>
            <w:vAlign w:val="center"/>
          </w:tcPr>
          <w:p w14:paraId="4EA983F7">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250</w:t>
            </w:r>
          </w:p>
        </w:tc>
      </w:tr>
      <w:tr w14:paraId="0A901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restart"/>
            <w:tcBorders>
              <w:tl2br w:val="nil"/>
              <w:tr2bl w:val="nil"/>
            </w:tcBorders>
            <w:vAlign w:val="center"/>
          </w:tcPr>
          <w:p w14:paraId="5426B6B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w:t>
            </w:r>
          </w:p>
        </w:tc>
        <w:tc>
          <w:tcPr>
            <w:tcW w:w="459" w:type="pct"/>
            <w:vMerge w:val="restart"/>
            <w:tcBorders>
              <w:tl2br w:val="nil"/>
              <w:tr2bl w:val="nil"/>
            </w:tcBorders>
            <w:vAlign w:val="center"/>
          </w:tcPr>
          <w:p w14:paraId="13C6FD78">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铜</w:t>
            </w:r>
          </w:p>
        </w:tc>
        <w:tc>
          <w:tcPr>
            <w:tcW w:w="612" w:type="pct"/>
            <w:tcBorders>
              <w:tl2br w:val="nil"/>
              <w:tr2bl w:val="nil"/>
            </w:tcBorders>
            <w:vAlign w:val="center"/>
          </w:tcPr>
          <w:p w14:paraId="07FEB44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水田</w:t>
            </w:r>
          </w:p>
        </w:tc>
        <w:tc>
          <w:tcPr>
            <w:tcW w:w="943" w:type="pct"/>
            <w:tcBorders>
              <w:tl2br w:val="nil"/>
              <w:tr2bl w:val="nil"/>
            </w:tcBorders>
            <w:vAlign w:val="center"/>
          </w:tcPr>
          <w:p w14:paraId="1CFB21E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150</w:t>
            </w:r>
          </w:p>
        </w:tc>
        <w:tc>
          <w:tcPr>
            <w:tcW w:w="952" w:type="pct"/>
            <w:tcBorders>
              <w:tl2br w:val="nil"/>
              <w:tr2bl w:val="nil"/>
            </w:tcBorders>
            <w:vAlign w:val="center"/>
          </w:tcPr>
          <w:p w14:paraId="169DDB8E">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150</w:t>
            </w:r>
          </w:p>
        </w:tc>
        <w:tc>
          <w:tcPr>
            <w:tcW w:w="864" w:type="pct"/>
            <w:tcBorders>
              <w:tl2br w:val="nil"/>
              <w:tr2bl w:val="nil"/>
            </w:tcBorders>
            <w:vAlign w:val="center"/>
          </w:tcPr>
          <w:p w14:paraId="22E946E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c>
          <w:tcPr>
            <w:tcW w:w="714" w:type="pct"/>
            <w:tcBorders>
              <w:tl2br w:val="nil"/>
              <w:tr2bl w:val="nil"/>
            </w:tcBorders>
            <w:vAlign w:val="center"/>
          </w:tcPr>
          <w:p w14:paraId="53D378D5">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r>
      <w:tr w14:paraId="7E2BB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vMerge w:val="continue"/>
            <w:tcBorders>
              <w:tl2br w:val="nil"/>
              <w:tr2bl w:val="nil"/>
            </w:tcBorders>
            <w:vAlign w:val="center"/>
          </w:tcPr>
          <w:p w14:paraId="4D2ECCC7">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459" w:type="pct"/>
            <w:vMerge w:val="continue"/>
            <w:tcBorders>
              <w:tl2br w:val="nil"/>
              <w:tr2bl w:val="nil"/>
            </w:tcBorders>
            <w:vAlign w:val="center"/>
          </w:tcPr>
          <w:p w14:paraId="0145F6A5">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p>
        </w:tc>
        <w:tc>
          <w:tcPr>
            <w:tcW w:w="612" w:type="pct"/>
            <w:tcBorders>
              <w:tl2br w:val="nil"/>
              <w:tr2bl w:val="nil"/>
            </w:tcBorders>
            <w:vAlign w:val="center"/>
          </w:tcPr>
          <w:p w14:paraId="333C316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其他</w:t>
            </w:r>
          </w:p>
        </w:tc>
        <w:tc>
          <w:tcPr>
            <w:tcW w:w="943" w:type="pct"/>
            <w:tcBorders>
              <w:tl2br w:val="nil"/>
              <w:tr2bl w:val="nil"/>
            </w:tcBorders>
            <w:vAlign w:val="center"/>
          </w:tcPr>
          <w:p w14:paraId="7C3AA86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50</w:t>
            </w:r>
          </w:p>
        </w:tc>
        <w:tc>
          <w:tcPr>
            <w:tcW w:w="952" w:type="pct"/>
            <w:tcBorders>
              <w:tl2br w:val="nil"/>
              <w:tr2bl w:val="nil"/>
            </w:tcBorders>
            <w:vAlign w:val="center"/>
          </w:tcPr>
          <w:p w14:paraId="2063EA79">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50</w:t>
            </w:r>
          </w:p>
        </w:tc>
        <w:tc>
          <w:tcPr>
            <w:tcW w:w="864" w:type="pct"/>
            <w:tcBorders>
              <w:tl2br w:val="nil"/>
              <w:tr2bl w:val="nil"/>
            </w:tcBorders>
            <w:vAlign w:val="center"/>
          </w:tcPr>
          <w:p w14:paraId="01F8E23E">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100</w:t>
            </w:r>
          </w:p>
        </w:tc>
        <w:tc>
          <w:tcPr>
            <w:tcW w:w="714" w:type="pct"/>
            <w:tcBorders>
              <w:tl2br w:val="nil"/>
              <w:tr2bl w:val="nil"/>
            </w:tcBorders>
            <w:vAlign w:val="center"/>
          </w:tcPr>
          <w:p w14:paraId="5CC7BA3D">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100</w:t>
            </w:r>
          </w:p>
        </w:tc>
      </w:tr>
      <w:tr w14:paraId="0EA1B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tcBorders>
              <w:tl2br w:val="nil"/>
              <w:tr2bl w:val="nil"/>
            </w:tcBorders>
            <w:vAlign w:val="center"/>
          </w:tcPr>
          <w:p w14:paraId="2D3D275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w:t>
            </w:r>
          </w:p>
        </w:tc>
        <w:tc>
          <w:tcPr>
            <w:tcW w:w="1071" w:type="pct"/>
            <w:gridSpan w:val="2"/>
            <w:tcBorders>
              <w:tl2br w:val="nil"/>
              <w:tr2bl w:val="nil"/>
            </w:tcBorders>
            <w:vAlign w:val="center"/>
          </w:tcPr>
          <w:p w14:paraId="5B018D7B">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镍</w:t>
            </w:r>
          </w:p>
        </w:tc>
        <w:tc>
          <w:tcPr>
            <w:tcW w:w="943" w:type="pct"/>
            <w:tcBorders>
              <w:tl2br w:val="nil"/>
              <w:tr2bl w:val="nil"/>
            </w:tcBorders>
            <w:vAlign w:val="center"/>
          </w:tcPr>
          <w:p w14:paraId="2FB05C0C">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60</w:t>
            </w:r>
          </w:p>
        </w:tc>
        <w:tc>
          <w:tcPr>
            <w:tcW w:w="952" w:type="pct"/>
            <w:tcBorders>
              <w:tl2br w:val="nil"/>
              <w:tr2bl w:val="nil"/>
            </w:tcBorders>
            <w:vAlign w:val="center"/>
          </w:tcPr>
          <w:p w14:paraId="47176E0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70</w:t>
            </w:r>
          </w:p>
        </w:tc>
        <w:tc>
          <w:tcPr>
            <w:tcW w:w="864" w:type="pct"/>
            <w:tcBorders>
              <w:tl2br w:val="nil"/>
              <w:tr2bl w:val="nil"/>
            </w:tcBorders>
            <w:vAlign w:val="center"/>
          </w:tcPr>
          <w:p w14:paraId="06996CD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100</w:t>
            </w:r>
          </w:p>
        </w:tc>
        <w:tc>
          <w:tcPr>
            <w:tcW w:w="714" w:type="pct"/>
            <w:tcBorders>
              <w:tl2br w:val="nil"/>
              <w:tr2bl w:val="nil"/>
            </w:tcBorders>
            <w:vAlign w:val="center"/>
          </w:tcPr>
          <w:p w14:paraId="6FF75151">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190</w:t>
            </w:r>
          </w:p>
        </w:tc>
      </w:tr>
      <w:tr w14:paraId="106F1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tcBorders>
              <w:tl2br w:val="nil"/>
              <w:tr2bl w:val="nil"/>
            </w:tcBorders>
            <w:vAlign w:val="center"/>
          </w:tcPr>
          <w:p w14:paraId="46602564">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8</w:t>
            </w:r>
          </w:p>
        </w:tc>
        <w:tc>
          <w:tcPr>
            <w:tcW w:w="1071" w:type="pct"/>
            <w:gridSpan w:val="2"/>
            <w:tcBorders>
              <w:tl2br w:val="nil"/>
              <w:tr2bl w:val="nil"/>
            </w:tcBorders>
            <w:vAlign w:val="center"/>
          </w:tcPr>
          <w:p w14:paraId="6D75F28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锌</w:t>
            </w:r>
          </w:p>
        </w:tc>
        <w:tc>
          <w:tcPr>
            <w:tcW w:w="943" w:type="pct"/>
            <w:tcBorders>
              <w:tl2br w:val="nil"/>
              <w:tr2bl w:val="nil"/>
            </w:tcBorders>
            <w:vAlign w:val="center"/>
          </w:tcPr>
          <w:p w14:paraId="262C8A4F">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c>
          <w:tcPr>
            <w:tcW w:w="952" w:type="pct"/>
            <w:tcBorders>
              <w:tl2br w:val="nil"/>
              <w:tr2bl w:val="nil"/>
            </w:tcBorders>
            <w:vAlign w:val="center"/>
          </w:tcPr>
          <w:p w14:paraId="05C4C2B0">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c>
          <w:tcPr>
            <w:tcW w:w="864" w:type="pct"/>
            <w:tcBorders>
              <w:tl2br w:val="nil"/>
              <w:tr2bl w:val="nil"/>
            </w:tcBorders>
            <w:vAlign w:val="center"/>
          </w:tcPr>
          <w:p w14:paraId="084DAD46">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250</w:t>
            </w:r>
          </w:p>
        </w:tc>
        <w:tc>
          <w:tcPr>
            <w:tcW w:w="714" w:type="pct"/>
            <w:tcBorders>
              <w:tl2br w:val="nil"/>
              <w:tr2bl w:val="nil"/>
            </w:tcBorders>
            <w:vAlign w:val="center"/>
          </w:tcPr>
          <w:p w14:paraId="3CBB5B3A">
            <w:pPr>
              <w:pStyle w:val="114"/>
              <w:keepNext w:val="0"/>
              <w:keepLines w:val="0"/>
              <w:widowControl w:val="0"/>
              <w:suppressLineNumbers w:val="0"/>
              <w:spacing w:before="0" w:beforeAutospacing="0" w:after="0" w:afterAutospacing="0"/>
              <w:ind w:left="0" w:right="0"/>
              <w:rPr>
                <w:rFonts w:hint="default" w:ascii="Times New Roman" w:hAnsi="Times New Roman" w:cs="Times New Roman"/>
                <w:color w:val="auto"/>
                <w:u w:val="none" w:color="auto"/>
              </w:rPr>
            </w:pPr>
            <w:r>
              <w:rPr>
                <w:rFonts w:hint="default" w:ascii="Times New Roman" w:hAnsi="Times New Roman" w:cs="Times New Roman"/>
                <w:color w:val="auto"/>
                <w:u w:val="none" w:color="auto"/>
              </w:rPr>
              <w:t>300</w:t>
            </w:r>
          </w:p>
        </w:tc>
      </w:tr>
    </w:tbl>
    <w:p w14:paraId="5C73C11E">
      <w:pPr>
        <w:pStyle w:val="4"/>
        <w:bidi w:val="0"/>
        <w:rPr>
          <w:rFonts w:hint="default" w:ascii="Times New Roman" w:hAnsi="Times New Roman" w:cs="Times New Roman"/>
          <w:u w:val="none" w:color="auto"/>
        </w:rPr>
      </w:pPr>
      <w:bookmarkStart w:id="70" w:name="_Toc517710659"/>
      <w:bookmarkStart w:id="71" w:name="_Toc23182"/>
      <w:r>
        <w:rPr>
          <w:rFonts w:hint="default" w:ascii="Times New Roman" w:hAnsi="Times New Roman" w:cs="Times New Roman"/>
          <w:u w:val="none" w:color="auto"/>
        </w:rPr>
        <w:t>污染物排放标准</w:t>
      </w:r>
      <w:bookmarkEnd w:id="70"/>
      <w:bookmarkEnd w:id="71"/>
    </w:p>
    <w:p w14:paraId="716E373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（1）大气污染物排放标准</w:t>
      </w:r>
    </w:p>
    <w:p w14:paraId="3294C9C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rPr>
        <w:t>施工期主要大气污染物为无组织排放的粉尘，执行《大气污染物综合排放标准》(GB16297-1996)中无组织排放监控浓度限值</w:t>
      </w:r>
      <w:r>
        <w:rPr>
          <w:rFonts w:hint="default" w:ascii="Times New Roman" w:hAnsi="Times New Roman" w:eastAsia="宋体" w:cs="Times New Roman"/>
          <w:color w:val="auto"/>
          <w:spacing w:val="0"/>
          <w:w w:val="100"/>
          <w:position w:val="0"/>
          <w:sz w:val="24"/>
          <w:szCs w:val="24"/>
          <w:u w:val="none" w:color="auto"/>
          <w:lang w:eastAsia="zh-CN"/>
        </w:rPr>
        <w:t>，具体标准值见表</w:t>
      </w:r>
      <w:r>
        <w:rPr>
          <w:rFonts w:hint="default" w:ascii="Times New Roman" w:hAnsi="Times New Roman" w:eastAsia="宋体" w:cs="Times New Roman"/>
          <w:color w:val="auto"/>
          <w:spacing w:val="0"/>
          <w:w w:val="100"/>
          <w:position w:val="0"/>
          <w:sz w:val="24"/>
          <w:szCs w:val="24"/>
          <w:u w:val="none" w:color="auto"/>
          <w:lang w:val="en-US" w:eastAsia="zh-CN"/>
        </w:rPr>
        <w:t>1.5-7</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eastAsia="zh-CN"/>
        </w:rPr>
        <w:t>运营期管理所食堂油烟参照执行</w:t>
      </w:r>
      <w:r>
        <w:rPr>
          <w:rFonts w:hint="default" w:ascii="Times New Roman" w:hAnsi="Times New Roman" w:eastAsia="宋体" w:cs="Times New Roman"/>
          <w:color w:val="auto"/>
          <w:spacing w:val="0"/>
          <w:w w:val="100"/>
          <w:position w:val="0"/>
          <w:sz w:val="24"/>
          <w:szCs w:val="24"/>
          <w:u w:val="none" w:color="auto"/>
        </w:rPr>
        <w:t>《饮食业油烟排放标准》（试行）（GB18483-2001），相应排放限值见表1.</w:t>
      </w:r>
      <w:r>
        <w:rPr>
          <w:rFonts w:hint="default"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val="en-US" w:eastAsia="zh-CN"/>
        </w:rPr>
        <w:t>8</w:t>
      </w:r>
      <w:r>
        <w:rPr>
          <w:rFonts w:hint="default" w:ascii="Times New Roman" w:hAnsi="Times New Roman" w:eastAsia="宋体" w:cs="Times New Roman"/>
          <w:color w:val="auto"/>
          <w:spacing w:val="0"/>
          <w:w w:val="100"/>
          <w:position w:val="0"/>
          <w:sz w:val="24"/>
          <w:szCs w:val="24"/>
          <w:u w:val="none" w:color="auto"/>
        </w:rPr>
        <w:t>。</w:t>
      </w:r>
    </w:p>
    <w:p w14:paraId="16B7A4EA">
      <w:pPr>
        <w:pageBreakBefore w:val="0"/>
        <w:kinsoku w:val="0"/>
        <w:wordWrap w:val="0"/>
        <w:overflowPunct/>
        <w:topLinePunct/>
        <w:autoSpaceDE/>
        <w:autoSpaceDN/>
        <w:bidi w:val="0"/>
        <w:adjustRightInd w:val="0"/>
        <w:spacing w:line="360" w:lineRule="auto"/>
        <w:jc w:val="right"/>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7</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《大气污染物综合排放标准》(GB16297-1996)(摘录)</w:t>
      </w:r>
    </w:p>
    <w:tbl>
      <w:tblPr>
        <w:tblStyle w:val="96"/>
        <w:tblW w:w="503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769"/>
        <w:gridCol w:w="2543"/>
        <w:gridCol w:w="3078"/>
      </w:tblGrid>
      <w:tr w14:paraId="7541EA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59" w:type="dxa"/>
            <w:vMerge w:val="restart"/>
            <w:tcBorders>
              <w:tl2br w:val="nil"/>
              <w:tr2bl w:val="nil"/>
            </w:tcBorders>
            <w:noWrap w:val="0"/>
            <w:vAlign w:val="center"/>
          </w:tcPr>
          <w:p w14:paraId="663A8A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污染因子</w:t>
            </w:r>
          </w:p>
        </w:tc>
        <w:tc>
          <w:tcPr>
            <w:tcW w:w="5601" w:type="dxa"/>
            <w:gridSpan w:val="2"/>
            <w:tcBorders>
              <w:tl2br w:val="nil"/>
              <w:tr2bl w:val="nil"/>
            </w:tcBorders>
            <w:noWrap w:val="0"/>
            <w:vAlign w:val="center"/>
          </w:tcPr>
          <w:p w14:paraId="4A6A4A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无组织排放监控浓度限值</w:t>
            </w:r>
          </w:p>
        </w:tc>
      </w:tr>
      <w:tr w14:paraId="3EF55C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59" w:type="dxa"/>
            <w:vMerge w:val="continue"/>
            <w:tcBorders>
              <w:tl2br w:val="nil"/>
              <w:tr2bl w:val="nil"/>
            </w:tcBorders>
            <w:noWrap w:val="0"/>
            <w:vAlign w:val="center"/>
          </w:tcPr>
          <w:p w14:paraId="07104E0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p>
        </w:tc>
        <w:tc>
          <w:tcPr>
            <w:tcW w:w="2534" w:type="dxa"/>
            <w:tcBorders>
              <w:tl2br w:val="nil"/>
              <w:tr2bl w:val="nil"/>
            </w:tcBorders>
            <w:noWrap w:val="0"/>
            <w:vAlign w:val="center"/>
          </w:tcPr>
          <w:p w14:paraId="096D6E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监控点</w:t>
            </w:r>
          </w:p>
        </w:tc>
        <w:tc>
          <w:tcPr>
            <w:tcW w:w="3067" w:type="dxa"/>
            <w:tcBorders>
              <w:tl2br w:val="nil"/>
              <w:tr2bl w:val="nil"/>
            </w:tcBorders>
            <w:noWrap w:val="0"/>
            <w:vAlign w:val="center"/>
          </w:tcPr>
          <w:p w14:paraId="2F4BD86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浓度</w:t>
            </w:r>
            <w:r>
              <w:rPr>
                <w:rFonts w:hint="default"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rPr>
              <w:t>mg/</w:t>
            </w:r>
            <w:r>
              <w:rPr>
                <w:rFonts w:hint="default" w:ascii="Times New Roman" w:hAnsi="Times New Roman" w:eastAsia="宋体" w:cs="Times New Roman"/>
                <w:color w:val="auto"/>
                <w:spacing w:val="0"/>
                <w:w w:val="100"/>
                <w:position w:val="0"/>
                <w:sz w:val="21"/>
                <w:szCs w:val="21"/>
                <w:u w:val="none" w:color="auto"/>
                <w:lang w:val="en-US" w:eastAsia="zh-CN"/>
              </w:rPr>
              <w:t>m</w:t>
            </w:r>
            <w:r>
              <w:rPr>
                <w:rFonts w:hint="default" w:ascii="Times New Roman" w:hAnsi="Times New Roman" w:eastAsia="宋体" w:cs="Times New Roman"/>
                <w:color w:val="auto"/>
                <w:spacing w:val="0"/>
                <w:w w:val="100"/>
                <w:position w:val="0"/>
                <w:sz w:val="21"/>
                <w:szCs w:val="21"/>
                <w:u w:val="none" w:color="auto"/>
                <w:vertAlign w:val="superscript"/>
                <w:lang w:val="en-US" w:eastAsia="zh-CN"/>
              </w:rPr>
              <w:t>3</w:t>
            </w:r>
            <w:r>
              <w:rPr>
                <w:rFonts w:hint="default" w:ascii="Times New Roman" w:hAnsi="Times New Roman" w:eastAsia="宋体" w:cs="Times New Roman"/>
                <w:color w:val="auto"/>
                <w:spacing w:val="0"/>
                <w:w w:val="100"/>
                <w:position w:val="0"/>
                <w:sz w:val="21"/>
                <w:szCs w:val="21"/>
                <w:u w:val="none" w:color="auto"/>
                <w:vertAlign w:val="baseline"/>
                <w:lang w:val="en-US" w:eastAsia="zh-CN"/>
              </w:rPr>
              <w:t>）</w:t>
            </w:r>
          </w:p>
        </w:tc>
      </w:tr>
      <w:tr w14:paraId="600345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59" w:type="dxa"/>
            <w:tcBorders>
              <w:tl2br w:val="nil"/>
              <w:tr2bl w:val="nil"/>
            </w:tcBorders>
            <w:noWrap w:val="0"/>
            <w:vAlign w:val="center"/>
          </w:tcPr>
          <w:p w14:paraId="593BEA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颗粒物</w:t>
            </w:r>
          </w:p>
        </w:tc>
        <w:tc>
          <w:tcPr>
            <w:tcW w:w="2534" w:type="dxa"/>
            <w:tcBorders>
              <w:tl2br w:val="nil"/>
              <w:tr2bl w:val="nil"/>
            </w:tcBorders>
            <w:noWrap w:val="0"/>
            <w:vAlign w:val="center"/>
          </w:tcPr>
          <w:p w14:paraId="4F189A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周界外浓度最高点</w:t>
            </w:r>
          </w:p>
        </w:tc>
        <w:tc>
          <w:tcPr>
            <w:tcW w:w="3067" w:type="dxa"/>
            <w:tcBorders>
              <w:tl2br w:val="nil"/>
              <w:tr2bl w:val="nil"/>
            </w:tcBorders>
            <w:noWrap w:val="0"/>
            <w:vAlign w:val="center"/>
          </w:tcPr>
          <w:p w14:paraId="4D68A2C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1.0</w:t>
            </w:r>
          </w:p>
        </w:tc>
      </w:tr>
    </w:tbl>
    <w:p w14:paraId="15A1BC29">
      <w:pPr>
        <w:pStyle w:val="11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000000" w:themeColor="text1"/>
          <w:u w:val="none" w:color="auto"/>
          <w14:textFill>
            <w14:solidFill>
              <w14:schemeClr w14:val="tx1"/>
            </w14:solidFill>
          </w14:textFill>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8</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bCs/>
          <w:color w:val="000000" w:themeColor="text1"/>
          <w:u w:val="none" w:color="auto"/>
          <w14:textFill>
            <w14:solidFill>
              <w14:schemeClr w14:val="tx1"/>
            </w14:solidFill>
          </w14:textFill>
        </w:rPr>
        <w:t>饮食业油烟排放标准</w:t>
      </w:r>
    </w:p>
    <w:tbl>
      <w:tblPr>
        <w:tblStyle w:val="115"/>
        <w:tblW w:w="503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755"/>
        <w:gridCol w:w="2135"/>
        <w:gridCol w:w="1948"/>
        <w:gridCol w:w="1552"/>
      </w:tblGrid>
      <w:tr w14:paraId="62888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45" w:type="dxa"/>
            <w:tcBorders>
              <w:tl2br w:val="nil"/>
              <w:tr2bl w:val="nil"/>
            </w:tcBorders>
            <w:vAlign w:val="center"/>
          </w:tcPr>
          <w:p w14:paraId="0A95655E">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t>项目</w:t>
            </w:r>
          </w:p>
        </w:tc>
        <w:tc>
          <w:tcPr>
            <w:tcW w:w="2128" w:type="dxa"/>
            <w:tcBorders>
              <w:tl2br w:val="nil"/>
              <w:tr2bl w:val="nil"/>
            </w:tcBorders>
            <w:vAlign w:val="center"/>
          </w:tcPr>
          <w:p w14:paraId="4F14A5C6">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小型</w:t>
            </w:r>
          </w:p>
        </w:tc>
        <w:tc>
          <w:tcPr>
            <w:tcW w:w="1941" w:type="dxa"/>
            <w:tcBorders>
              <w:tl2br w:val="nil"/>
              <w:tr2bl w:val="nil"/>
            </w:tcBorders>
            <w:vAlign w:val="center"/>
          </w:tcPr>
          <w:p w14:paraId="2D93435D">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中型</w:t>
            </w:r>
          </w:p>
        </w:tc>
        <w:tc>
          <w:tcPr>
            <w:tcW w:w="1547" w:type="dxa"/>
            <w:tcBorders>
              <w:tl2br w:val="nil"/>
              <w:tr2bl w:val="nil"/>
            </w:tcBorders>
            <w:vAlign w:val="center"/>
          </w:tcPr>
          <w:p w14:paraId="5813BAAA">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大型</w:t>
            </w:r>
          </w:p>
        </w:tc>
      </w:tr>
      <w:tr w14:paraId="74FD3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45" w:type="dxa"/>
            <w:tcBorders>
              <w:tl2br w:val="nil"/>
              <w:tr2bl w:val="nil"/>
            </w:tcBorders>
            <w:vAlign w:val="center"/>
          </w:tcPr>
          <w:p w14:paraId="5672A0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t>最高允许排放浓度（mg/m</w:t>
            </w:r>
            <w:r>
              <w:rPr>
                <w:rFonts w:hint="default" w:ascii="Times New Roman" w:hAnsi="Times New Roman" w:eastAsia="宋体" w:cs="Times New Roman"/>
                <w:b/>
                <w:bCs/>
                <w:color w:val="000000" w:themeColor="text1"/>
                <w:sz w:val="21"/>
                <w:szCs w:val="21"/>
                <w:u w:val="none" w:color="auto"/>
                <w:vertAlign w:val="superscript"/>
                <w:lang w:eastAsia="en-US"/>
                <w14:textFill>
                  <w14:solidFill>
                    <w14:schemeClr w14:val="tx1"/>
                  </w14:solidFill>
                </w14:textFill>
              </w:rPr>
              <w:t>3</w:t>
            </w:r>
            <w:r>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t>）</w:t>
            </w:r>
          </w:p>
        </w:tc>
        <w:tc>
          <w:tcPr>
            <w:tcW w:w="5616" w:type="dxa"/>
            <w:gridSpan w:val="3"/>
            <w:tcBorders>
              <w:tl2br w:val="nil"/>
              <w:tr2bl w:val="nil"/>
            </w:tcBorders>
            <w:vAlign w:val="center"/>
          </w:tcPr>
          <w:p w14:paraId="04670181">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2.0</w:t>
            </w:r>
          </w:p>
        </w:tc>
      </w:tr>
      <w:tr w14:paraId="666CD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45" w:type="dxa"/>
            <w:tcBorders>
              <w:tl2br w:val="nil"/>
              <w:tr2bl w:val="nil"/>
            </w:tcBorders>
            <w:vAlign w:val="center"/>
          </w:tcPr>
          <w:p w14:paraId="6B7249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219" w:firstLineChars="104"/>
              <w:jc w:val="both"/>
              <w:textAlignment w:val="auto"/>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eastAsia="en-US"/>
                <w14:textFill>
                  <w14:solidFill>
                    <w14:schemeClr w14:val="tx1"/>
                  </w14:solidFill>
                </w14:textFill>
              </w:rPr>
              <w:t>净化设施最低去除率（%）</w:t>
            </w:r>
          </w:p>
        </w:tc>
        <w:tc>
          <w:tcPr>
            <w:tcW w:w="2128" w:type="dxa"/>
            <w:tcBorders>
              <w:tl2br w:val="nil"/>
              <w:tr2bl w:val="nil"/>
            </w:tcBorders>
            <w:vAlign w:val="center"/>
          </w:tcPr>
          <w:p w14:paraId="196FDCFA">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60</w:t>
            </w:r>
          </w:p>
        </w:tc>
        <w:tc>
          <w:tcPr>
            <w:tcW w:w="1941" w:type="dxa"/>
            <w:tcBorders>
              <w:tl2br w:val="nil"/>
              <w:tr2bl w:val="nil"/>
            </w:tcBorders>
            <w:vAlign w:val="center"/>
          </w:tcPr>
          <w:p w14:paraId="1C87F99E">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75</w:t>
            </w:r>
          </w:p>
        </w:tc>
        <w:tc>
          <w:tcPr>
            <w:tcW w:w="1547" w:type="dxa"/>
            <w:tcBorders>
              <w:tl2br w:val="nil"/>
              <w:tr2bl w:val="nil"/>
            </w:tcBorders>
            <w:vAlign w:val="center"/>
          </w:tcPr>
          <w:p w14:paraId="1617AD2B">
            <w:pPr>
              <w:keepNext w:val="0"/>
              <w:keepLines w:val="0"/>
              <w:pageBreakBefore w:val="0"/>
              <w:widowControl w:val="0"/>
              <w:kinsoku/>
              <w:wordWrap/>
              <w:overflowPunct/>
              <w:topLinePunct w:val="0"/>
              <w:autoSpaceDE/>
              <w:autoSpaceDN/>
              <w:bidi w:val="0"/>
              <w:adjustRightInd w:val="0"/>
              <w:snapToGrid w:val="0"/>
              <w:spacing w:line="240" w:lineRule="auto"/>
              <w:ind w:left="0" w:firstLine="420"/>
              <w:jc w:val="center"/>
              <w:textAlignment w:val="auto"/>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eastAsia="en-US"/>
                <w14:textFill>
                  <w14:solidFill>
                    <w14:schemeClr w14:val="tx1"/>
                  </w14:solidFill>
                </w14:textFill>
              </w:rPr>
              <w:t>85</w:t>
            </w:r>
          </w:p>
        </w:tc>
      </w:tr>
    </w:tbl>
    <w:p w14:paraId="6146AEE1">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（2）废水排放标准</w:t>
      </w:r>
    </w:p>
    <w:p w14:paraId="0D7E1CD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auto"/>
          <w:spacing w:val="0"/>
          <w:w w:val="100"/>
          <w:position w:val="0"/>
          <w:sz w:val="24"/>
          <w:szCs w:val="24"/>
          <w:u w:val="none" w:color="auto"/>
        </w:rPr>
        <w:t>项目</w:t>
      </w:r>
      <w:r>
        <w:rPr>
          <w:rFonts w:hint="default" w:ascii="Times New Roman" w:hAnsi="Times New Roman" w:eastAsia="宋体" w:cs="Times New Roman"/>
          <w:color w:val="auto"/>
          <w:spacing w:val="0"/>
          <w:w w:val="100"/>
          <w:position w:val="0"/>
          <w:sz w:val="24"/>
          <w:szCs w:val="24"/>
          <w:u w:val="none" w:color="auto"/>
          <w:lang w:eastAsia="zh-CN"/>
        </w:rPr>
        <w:t>施工期不设施工</w:t>
      </w:r>
      <w:r>
        <w:rPr>
          <w:rFonts w:hint="eastAsia" w:ascii="Times New Roman" w:hAnsi="Times New Roman" w:eastAsia="宋体" w:cs="Times New Roman"/>
          <w:color w:val="auto"/>
          <w:spacing w:val="0"/>
          <w:w w:val="100"/>
          <w:position w:val="0"/>
          <w:sz w:val="24"/>
          <w:szCs w:val="24"/>
          <w:u w:val="none" w:color="auto"/>
          <w:lang w:eastAsia="zh-CN"/>
        </w:rPr>
        <w:t>生活</w:t>
      </w:r>
      <w:r>
        <w:rPr>
          <w:rFonts w:hint="default" w:ascii="Times New Roman" w:hAnsi="Times New Roman" w:eastAsia="宋体" w:cs="Times New Roman"/>
          <w:color w:val="auto"/>
          <w:spacing w:val="0"/>
          <w:w w:val="100"/>
          <w:position w:val="0"/>
          <w:sz w:val="24"/>
          <w:szCs w:val="24"/>
          <w:u w:val="none" w:color="auto"/>
          <w:lang w:eastAsia="zh-CN"/>
        </w:rPr>
        <w:t>营地，施工人员产生的生活污水当地依托租用民房化粪池处理；施工期生产废水经处理后回用，不外排。运营期员工</w:t>
      </w:r>
      <w:r>
        <w:rPr>
          <w:rFonts w:hint="default" w:ascii="Times New Roman" w:hAnsi="Times New Roman" w:eastAsia="宋体" w:cs="Times New Roman"/>
          <w:color w:val="000000"/>
          <w:kern w:val="0"/>
          <w:sz w:val="24"/>
          <w:szCs w:val="24"/>
          <w:u w:val="none" w:color="auto"/>
          <w:lang w:val="en-US" w:eastAsia="zh-CN" w:bidi="ar"/>
        </w:rPr>
        <w:t>生活污水经化粪池处理后回用于周边田地施肥，不外排。</w:t>
      </w:r>
    </w:p>
    <w:p w14:paraId="2ED66B27">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（3）噪声排放标准</w:t>
      </w:r>
    </w:p>
    <w:p w14:paraId="6A6929B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施工期间施工场界噪声执行《建筑施工场界环境噪声排放标准》（GB12523-2011）；营运期厂界噪声执行《工业企业厂界环境噪声排放标准》（GB12348-2008）中的1类标准，相关标准值见表1.5-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0587CAB5">
      <w:pPr>
        <w:keepNext w:val="0"/>
        <w:keepLines w:val="0"/>
        <w:pageBreakBefore w:val="0"/>
        <w:widowControl w:val="0"/>
        <w:kinsoku w:val="0"/>
        <w:wordWrap w:val="0"/>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b/>
          <w:caps w:val="0"/>
          <w:smallCaps w:val="0"/>
          <w:color w:val="auto"/>
          <w:spacing w:val="0"/>
          <w:w w:val="100"/>
          <w:kern w:val="0"/>
          <w:position w:val="0"/>
          <w:sz w:val="24"/>
          <w:szCs w:val="24"/>
          <w:u w:val="none" w:color="auto"/>
        </w:rPr>
        <w:t>表1.5-</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噪声排放</w:t>
      </w:r>
      <w:r>
        <w:rPr>
          <w:rFonts w:hint="default" w:ascii="Times New Roman" w:hAnsi="Times New Roman" w:eastAsia="宋体" w:cs="Times New Roman"/>
          <w:b/>
          <w:caps w:val="0"/>
          <w:smallCaps w:val="0"/>
          <w:color w:val="auto"/>
          <w:spacing w:val="0"/>
          <w:w w:val="100"/>
          <w:kern w:val="0"/>
          <w:position w:val="0"/>
          <w:sz w:val="24"/>
          <w:szCs w:val="24"/>
          <w:u w:val="none" w:color="auto"/>
          <w:lang w:eastAsia="zh-CN"/>
        </w:rPr>
        <w:t>标准限值</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8"/>
        <w:gridCol w:w="5426"/>
        <w:gridCol w:w="954"/>
        <w:gridCol w:w="1268"/>
      </w:tblGrid>
      <w:tr w14:paraId="5E9A2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Merge w:val="restart"/>
            <w:tcBorders>
              <w:tl2br w:val="nil"/>
              <w:tr2bl w:val="nil"/>
            </w:tcBorders>
            <w:vAlign w:val="center"/>
          </w:tcPr>
          <w:p w14:paraId="2A89BE8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lang w:eastAsia="zh-CN"/>
              </w:rPr>
            </w:pPr>
            <w:bookmarkStart w:id="72" w:name="_Toc200422362"/>
            <w:r>
              <w:rPr>
                <w:rFonts w:hint="default" w:ascii="Times New Roman" w:hAnsi="Times New Roman" w:eastAsia="宋体" w:cs="Times New Roman"/>
                <w:b/>
                <w:bCs w:val="0"/>
                <w:caps w:val="0"/>
                <w:smallCaps w:val="0"/>
                <w:color w:val="auto"/>
                <w:spacing w:val="0"/>
                <w:w w:val="100"/>
                <w:position w:val="0"/>
                <w:szCs w:val="21"/>
                <w:u w:val="none" w:color="auto"/>
              </w:rPr>
              <w:t>时</w:t>
            </w:r>
            <w:r>
              <w:rPr>
                <w:rFonts w:hint="default" w:ascii="Times New Roman" w:hAnsi="Times New Roman" w:eastAsia="宋体" w:cs="Times New Roman"/>
                <w:b/>
                <w:bCs w:val="0"/>
                <w:caps w:val="0"/>
                <w:smallCaps w:val="0"/>
                <w:color w:val="auto"/>
                <w:spacing w:val="0"/>
                <w:w w:val="100"/>
                <w:position w:val="0"/>
                <w:szCs w:val="21"/>
                <w:u w:val="none" w:color="auto"/>
                <w:lang w:eastAsia="zh-CN"/>
              </w:rPr>
              <w:t>段</w:t>
            </w:r>
          </w:p>
        </w:tc>
        <w:tc>
          <w:tcPr>
            <w:tcW w:w="5805" w:type="dxa"/>
            <w:vMerge w:val="restart"/>
            <w:tcBorders>
              <w:tl2br w:val="nil"/>
              <w:tr2bl w:val="nil"/>
            </w:tcBorders>
            <w:vAlign w:val="center"/>
          </w:tcPr>
          <w:p w14:paraId="070537C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执行标准</w:t>
            </w:r>
          </w:p>
        </w:tc>
        <w:tc>
          <w:tcPr>
            <w:tcW w:w="2351" w:type="dxa"/>
            <w:gridSpan w:val="2"/>
            <w:tcBorders>
              <w:tl2br w:val="nil"/>
              <w:tr2bl w:val="nil"/>
            </w:tcBorders>
            <w:vAlign w:val="center"/>
          </w:tcPr>
          <w:p w14:paraId="2ADEB00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lang w:eastAsia="zh-CN"/>
              </w:rPr>
              <w:t>标准</w:t>
            </w:r>
            <w:r>
              <w:rPr>
                <w:rFonts w:hint="default" w:ascii="Times New Roman" w:hAnsi="Times New Roman" w:eastAsia="宋体" w:cs="Times New Roman"/>
                <w:b/>
                <w:bCs w:val="0"/>
                <w:caps w:val="0"/>
                <w:smallCaps w:val="0"/>
                <w:color w:val="auto"/>
                <w:spacing w:val="0"/>
                <w:w w:val="100"/>
                <w:position w:val="0"/>
                <w:szCs w:val="21"/>
                <w:u w:val="none" w:color="auto"/>
              </w:rPr>
              <w:t>限值〔dB（A）〕</w:t>
            </w:r>
          </w:p>
        </w:tc>
      </w:tr>
      <w:tr w14:paraId="7F0A4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Merge w:val="continue"/>
            <w:tcBorders>
              <w:tl2br w:val="nil"/>
              <w:tr2bl w:val="nil"/>
            </w:tcBorders>
            <w:vAlign w:val="center"/>
          </w:tcPr>
          <w:p w14:paraId="0626211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p>
        </w:tc>
        <w:tc>
          <w:tcPr>
            <w:tcW w:w="5805" w:type="dxa"/>
            <w:vMerge w:val="continue"/>
            <w:tcBorders>
              <w:tl2br w:val="nil"/>
              <w:tr2bl w:val="nil"/>
            </w:tcBorders>
            <w:vAlign w:val="center"/>
          </w:tcPr>
          <w:p w14:paraId="7B765D1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p>
        </w:tc>
        <w:tc>
          <w:tcPr>
            <w:tcW w:w="1007" w:type="dxa"/>
            <w:tcBorders>
              <w:tl2br w:val="nil"/>
              <w:tr2bl w:val="nil"/>
            </w:tcBorders>
            <w:vAlign w:val="center"/>
          </w:tcPr>
          <w:p w14:paraId="12951A4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昼间</w:t>
            </w:r>
          </w:p>
        </w:tc>
        <w:tc>
          <w:tcPr>
            <w:tcW w:w="1344" w:type="dxa"/>
            <w:tcBorders>
              <w:tl2br w:val="nil"/>
              <w:tr2bl w:val="nil"/>
            </w:tcBorders>
            <w:vAlign w:val="center"/>
          </w:tcPr>
          <w:p w14:paraId="7E73366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夜间</w:t>
            </w:r>
          </w:p>
        </w:tc>
      </w:tr>
      <w:tr w14:paraId="21E85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tcBorders>
              <w:tl2br w:val="nil"/>
              <w:tr2bl w:val="nil"/>
            </w:tcBorders>
            <w:vAlign w:val="center"/>
          </w:tcPr>
          <w:p w14:paraId="2FDF3EB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施工期</w:t>
            </w:r>
          </w:p>
        </w:tc>
        <w:tc>
          <w:tcPr>
            <w:tcW w:w="5805" w:type="dxa"/>
            <w:tcBorders>
              <w:tl2br w:val="nil"/>
              <w:tr2bl w:val="nil"/>
            </w:tcBorders>
            <w:vAlign w:val="center"/>
          </w:tcPr>
          <w:p w14:paraId="5328E92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《建筑施工场界环境噪声排放标准》（GB12523-2011）</w:t>
            </w:r>
          </w:p>
        </w:tc>
        <w:tc>
          <w:tcPr>
            <w:tcW w:w="1007" w:type="dxa"/>
            <w:tcBorders>
              <w:tl2br w:val="nil"/>
              <w:tr2bl w:val="nil"/>
            </w:tcBorders>
            <w:vAlign w:val="center"/>
          </w:tcPr>
          <w:p w14:paraId="19C6BEB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70</w:t>
            </w:r>
          </w:p>
        </w:tc>
        <w:tc>
          <w:tcPr>
            <w:tcW w:w="1344" w:type="dxa"/>
            <w:tcBorders>
              <w:tl2br w:val="nil"/>
              <w:tr2bl w:val="nil"/>
            </w:tcBorders>
            <w:vAlign w:val="center"/>
          </w:tcPr>
          <w:p w14:paraId="6F95233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55</w:t>
            </w:r>
          </w:p>
        </w:tc>
      </w:tr>
      <w:tr w14:paraId="72EED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tcBorders>
              <w:tl2br w:val="nil"/>
              <w:tr2bl w:val="nil"/>
            </w:tcBorders>
            <w:vAlign w:val="center"/>
          </w:tcPr>
          <w:p w14:paraId="4B913A0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val="0"/>
                <w:caps w:val="0"/>
                <w:smallCaps w:val="0"/>
                <w:color w:val="auto"/>
                <w:spacing w:val="0"/>
                <w:w w:val="100"/>
                <w:position w:val="0"/>
                <w:szCs w:val="21"/>
                <w:u w:val="none" w:color="auto"/>
              </w:rPr>
            </w:pPr>
            <w:r>
              <w:rPr>
                <w:rFonts w:hint="default" w:ascii="Times New Roman" w:hAnsi="Times New Roman" w:eastAsia="宋体" w:cs="Times New Roman"/>
                <w:b/>
                <w:bCs w:val="0"/>
                <w:caps w:val="0"/>
                <w:smallCaps w:val="0"/>
                <w:color w:val="auto"/>
                <w:spacing w:val="0"/>
                <w:w w:val="100"/>
                <w:position w:val="0"/>
                <w:szCs w:val="21"/>
                <w:u w:val="none" w:color="auto"/>
              </w:rPr>
              <w:t>营运期</w:t>
            </w:r>
          </w:p>
        </w:tc>
        <w:tc>
          <w:tcPr>
            <w:tcW w:w="5805" w:type="dxa"/>
            <w:tcBorders>
              <w:tl2br w:val="nil"/>
              <w:tr2bl w:val="nil"/>
            </w:tcBorders>
            <w:vAlign w:val="center"/>
          </w:tcPr>
          <w:p w14:paraId="084CDCA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《工业企业厂界环境噪声排放标准》（GB12348-2008）</w:t>
            </w:r>
          </w:p>
          <w:p w14:paraId="618C0ED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1类标准</w:t>
            </w:r>
          </w:p>
        </w:tc>
        <w:tc>
          <w:tcPr>
            <w:tcW w:w="1007" w:type="dxa"/>
            <w:tcBorders>
              <w:tl2br w:val="nil"/>
              <w:tr2bl w:val="nil"/>
            </w:tcBorders>
            <w:vAlign w:val="center"/>
          </w:tcPr>
          <w:p w14:paraId="42AEB6A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55</w:t>
            </w:r>
          </w:p>
        </w:tc>
        <w:tc>
          <w:tcPr>
            <w:tcW w:w="1344" w:type="dxa"/>
            <w:tcBorders>
              <w:tl2br w:val="nil"/>
              <w:tr2bl w:val="nil"/>
            </w:tcBorders>
            <w:vAlign w:val="center"/>
          </w:tcPr>
          <w:p w14:paraId="007AA00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45</w:t>
            </w:r>
          </w:p>
        </w:tc>
      </w:tr>
      <w:bookmarkEnd w:id="72"/>
    </w:tbl>
    <w:p w14:paraId="35CADE96">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（4）固体废物</w:t>
      </w:r>
    </w:p>
    <w:p w14:paraId="51B913AB">
      <w:pPr>
        <w:keepNext w:val="0"/>
        <w:keepLines w:val="0"/>
        <w:pageBreakBefore w:val="0"/>
        <w:widowControl w:val="0"/>
        <w:overflowPunct/>
        <w:autoSpaceDE/>
        <w:autoSpaceDN/>
        <w:bidi w:val="0"/>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bookmarkStart w:id="73" w:name="_Toc445479491"/>
      <w:bookmarkStart w:id="74" w:name="_Toc72569627"/>
      <w:bookmarkStart w:id="75" w:name="_Toc15319398"/>
      <w:bookmarkStart w:id="76" w:name="_Toc5981501"/>
      <w:r>
        <w:rPr>
          <w:rFonts w:hint="default" w:ascii="Times New Roman" w:hAnsi="Times New Roman" w:eastAsia="宋体" w:cs="Times New Roman"/>
          <w:caps w:val="0"/>
          <w:smallCaps w:val="0"/>
          <w:color w:val="auto"/>
          <w:spacing w:val="0"/>
          <w:w w:val="100"/>
          <w:kern w:val="0"/>
          <w:position w:val="0"/>
          <w:sz w:val="24"/>
          <w:szCs w:val="24"/>
          <w:u w:val="none" w:color="auto"/>
        </w:rPr>
        <w:t>一般固体废弃物执行《一般工业固体废物贮存和填埋污染控制标准》（GB18599-2020）相关要求；危险废物执行《危险废物贮存污染控制标准》（</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GB18597-2023</w:t>
      </w:r>
      <w:r>
        <w:rPr>
          <w:rFonts w:hint="default" w:ascii="Times New Roman" w:hAnsi="Times New Roman" w:eastAsia="宋体" w:cs="Times New Roman"/>
          <w:caps w:val="0"/>
          <w:smallCaps w:val="0"/>
          <w:color w:val="auto"/>
          <w:spacing w:val="0"/>
          <w:w w:val="100"/>
          <w:kern w:val="0"/>
          <w:position w:val="0"/>
          <w:sz w:val="24"/>
          <w:szCs w:val="24"/>
          <w:u w:val="none" w:color="auto"/>
        </w:rPr>
        <w:t>）相关要求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 xml:space="preserve"> </w:t>
      </w:r>
    </w:p>
    <w:p w14:paraId="653E60DB">
      <w:pPr>
        <w:pStyle w:val="3"/>
        <w:bidi w:val="0"/>
        <w:rPr>
          <w:rFonts w:hint="default" w:ascii="Times New Roman" w:hAnsi="Times New Roman" w:cs="Times New Roman"/>
          <w:u w:val="none" w:color="auto"/>
        </w:rPr>
      </w:pPr>
      <w:bookmarkStart w:id="77" w:name="_Toc21051"/>
      <w:r>
        <w:rPr>
          <w:rFonts w:hint="default" w:ascii="Times New Roman" w:hAnsi="Times New Roman" w:cs="Times New Roman"/>
          <w:u w:val="none" w:color="auto"/>
        </w:rPr>
        <w:t>评价等级及评价范围</w:t>
      </w:r>
      <w:bookmarkEnd w:id="77"/>
    </w:p>
    <w:p w14:paraId="6EAF8B80">
      <w:pPr>
        <w:pStyle w:val="4"/>
        <w:bidi w:val="0"/>
        <w:rPr>
          <w:rFonts w:hint="default" w:ascii="Times New Roman" w:hAnsi="Times New Roman" w:cs="Times New Roman"/>
          <w:u w:val="none" w:color="auto"/>
        </w:rPr>
      </w:pPr>
      <w:bookmarkStart w:id="78" w:name="_Toc28761"/>
      <w:r>
        <w:rPr>
          <w:rFonts w:hint="default" w:ascii="Times New Roman" w:hAnsi="Times New Roman" w:cs="Times New Roman"/>
          <w:u w:val="none" w:color="auto"/>
        </w:rPr>
        <w:t>评价等级</w:t>
      </w:r>
      <w:bookmarkEnd w:id="78"/>
    </w:p>
    <w:p w14:paraId="0023CE74">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大气环境</w:t>
      </w:r>
    </w:p>
    <w:p w14:paraId="65BD78A5">
      <w:pPr>
        <w:keepNext w:val="0"/>
        <w:keepLines w:val="0"/>
        <w:pageBreakBefore w:val="0"/>
        <w:widowControl w:val="0"/>
        <w:kinsoku/>
        <w:wordWrap w:val="0"/>
        <w:overflowPunct/>
        <w:topLinePunct/>
        <w:autoSpaceDE/>
        <w:autoSpaceDN/>
        <w:bidi w:val="0"/>
        <w:adjustRightInd w:val="0"/>
        <w:snapToGrid/>
        <w:spacing w:line="500" w:lineRule="exact"/>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根据项目特点，本项目大气污染物排放主要集中在施工期。施工期主要污染物为运输扬尘、施工机械废气、车辆尾气等，主要污染因子为TSP、NO</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x</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、SO</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lang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等；运营期主要为水库管理所食堂油烟。鉴于施工期各大气污染物排放量及排放浓度均具有不稳定性，排放量小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且为无组织排放，具有间歇性、分布散的特点，同时</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只集中在施工期间，仅为暂时性的，随着施工期结束影响即消除。根据《环境影响评价技术导则 大气环境》（HJ2.2-2018）中关于大气环境影响评价工作等级划分依据，本项目大气环境影响评价等级为三级。</w:t>
      </w:r>
    </w:p>
    <w:p w14:paraId="17F1C078">
      <w:pPr>
        <w:keepNext w:val="0"/>
        <w:keepLines w:val="0"/>
        <w:pageBreakBefore w:val="0"/>
        <w:widowControl w:val="0"/>
        <w:kinsoku/>
        <w:wordWrap w:val="0"/>
        <w:overflowPunct/>
        <w:topLinePunct/>
        <w:autoSpaceDE/>
        <w:autoSpaceDN/>
        <w:bidi w:val="0"/>
        <w:adjustRightInd w:val="0"/>
        <w:snapToGrid/>
        <w:spacing w:line="500" w:lineRule="exact"/>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（2）地表水环境</w:t>
      </w:r>
    </w:p>
    <w:p w14:paraId="56594DB4">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根据《环境影响评价技术导则地表水环境》（HJ2.3－2018），建设项目的地表水环境影响包括水污染影响与水文要素影响。</w:t>
      </w:r>
    </w:p>
    <w:p w14:paraId="2B7DC129">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水污染影响型建设项目评价等级确定</w:t>
      </w:r>
    </w:p>
    <w:p w14:paraId="5B28861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水污染影响型建设项目根据排放方式和废水排放量划分评价等级，</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具体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见下表。</w:t>
      </w:r>
    </w:p>
    <w:p w14:paraId="499F7135">
      <w:pPr>
        <w:pageBreakBefore w:val="0"/>
        <w:kinsoku w:val="0"/>
        <w:wordWrap w:val="0"/>
        <w:overflowPunct/>
        <w:topLinePunct/>
        <w:autoSpaceDE/>
        <w:autoSpaceDN/>
        <w:bidi w:val="0"/>
        <w:adjustRightInd w:val="0"/>
        <w:spacing w:line="500" w:lineRule="exact"/>
        <w:ind w:firstLine="482" w:firstLineChars="200"/>
        <w:jc w:val="cente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表1.6-1  水</w:t>
      </w: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污染</w:t>
      </w:r>
      <w:r>
        <w:rPr>
          <w:rFonts w:hint="default" w:ascii="Times New Roman" w:hAnsi="Times New Roman" w:eastAsia="宋体" w:cs="Times New Roman"/>
          <w:b/>
          <w:caps w:val="0"/>
          <w:smallCaps w:val="0"/>
          <w:color w:val="auto"/>
          <w:spacing w:val="0"/>
          <w:w w:val="100"/>
          <w:kern w:val="0"/>
          <w:position w:val="0"/>
          <w:sz w:val="24"/>
          <w:szCs w:val="24"/>
          <w:u w:val="none" w:color="auto"/>
        </w:rPr>
        <w:t>影响型建设项目评价等级判定</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07"/>
        <w:gridCol w:w="2086"/>
        <w:gridCol w:w="5037"/>
      </w:tblGrid>
      <w:tr w14:paraId="76979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vMerge w:val="restart"/>
            <w:tcBorders>
              <w:tl2br w:val="nil"/>
              <w:tr2bl w:val="nil"/>
            </w:tcBorders>
            <w:noWrap w:val="0"/>
            <w:vAlign w:val="center"/>
          </w:tcPr>
          <w:p w14:paraId="7C2403C2">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评价工作</w:t>
            </w:r>
          </w:p>
          <w:p w14:paraId="65F83CF4">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等级</w:t>
            </w:r>
          </w:p>
        </w:tc>
        <w:tc>
          <w:tcPr>
            <w:tcW w:w="7272" w:type="dxa"/>
            <w:gridSpan w:val="2"/>
            <w:tcBorders>
              <w:tl2br w:val="nil"/>
              <w:tr2bl w:val="nil"/>
            </w:tcBorders>
            <w:noWrap w:val="0"/>
            <w:vAlign w:val="center"/>
          </w:tcPr>
          <w:p w14:paraId="24DC8B4B">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评价工作分级判据</w:t>
            </w:r>
          </w:p>
        </w:tc>
      </w:tr>
      <w:tr w14:paraId="59B79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vMerge w:val="continue"/>
            <w:tcBorders>
              <w:tl2br w:val="nil"/>
              <w:tr2bl w:val="nil"/>
            </w:tcBorders>
            <w:noWrap w:val="0"/>
            <w:vAlign w:val="center"/>
          </w:tcPr>
          <w:p w14:paraId="610A97D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4"/>
                <w:szCs w:val="21"/>
              </w:rPr>
            </w:pPr>
          </w:p>
        </w:tc>
        <w:tc>
          <w:tcPr>
            <w:tcW w:w="2130" w:type="dxa"/>
            <w:tcBorders>
              <w:tl2br w:val="nil"/>
              <w:tr2bl w:val="nil"/>
            </w:tcBorders>
            <w:noWrap w:val="0"/>
            <w:vAlign w:val="center"/>
          </w:tcPr>
          <w:p w14:paraId="2279CB94">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en-US" w:eastAsia="zh-CN" w:bidi="zh-CN"/>
              </w:rPr>
            </w:pPr>
            <w:r>
              <w:rPr>
                <w:rFonts w:hint="default" w:ascii="Times New Roman" w:hAnsi="Times New Roman" w:eastAsia="宋体" w:cs="Times New Roman"/>
                <w:b/>
                <w:bCs/>
                <w:color w:val="000000"/>
                <w:kern w:val="0"/>
                <w:sz w:val="21"/>
                <w:szCs w:val="21"/>
                <w:lang w:val="zh-CN" w:eastAsia="zh-CN" w:bidi="zh-CN"/>
              </w:rPr>
              <w:t>排放方式</w:t>
            </w:r>
            <w:r>
              <w:rPr>
                <w:rFonts w:hint="eastAsia" w:ascii="Times New Roman" w:hAnsi="Times New Roman" w:eastAsia="宋体" w:cs="Times New Roman"/>
                <w:b/>
                <w:bCs/>
                <w:color w:val="000000"/>
                <w:kern w:val="0"/>
                <w:sz w:val="21"/>
                <w:szCs w:val="21"/>
                <w:lang w:val="en-US" w:eastAsia="zh-CN" w:bidi="zh-CN"/>
              </w:rPr>
              <w:t xml:space="preserve"> </w:t>
            </w:r>
          </w:p>
        </w:tc>
        <w:tc>
          <w:tcPr>
            <w:tcW w:w="5142" w:type="dxa"/>
            <w:tcBorders>
              <w:tl2br w:val="nil"/>
              <w:tr2bl w:val="nil"/>
            </w:tcBorders>
            <w:noWrap w:val="0"/>
            <w:vAlign w:val="center"/>
          </w:tcPr>
          <w:p w14:paraId="4E30ADCA">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废水排放量Q/（m</w:t>
            </w:r>
            <w:r>
              <w:rPr>
                <w:rFonts w:hint="default" w:ascii="Times New Roman" w:hAnsi="Times New Roman" w:eastAsia="宋体" w:cs="Times New Roman"/>
                <w:b/>
                <w:bCs/>
                <w:color w:val="000000"/>
                <w:w w:val="99"/>
                <w:kern w:val="0"/>
                <w:sz w:val="21"/>
                <w:szCs w:val="21"/>
                <w:vertAlign w:val="superscript"/>
                <w:lang w:val="zh-CN" w:eastAsia="zh-CN" w:bidi="zh-CN"/>
              </w:rPr>
              <w:t>3</w:t>
            </w:r>
            <w:r>
              <w:rPr>
                <w:rFonts w:hint="default" w:ascii="Times New Roman" w:hAnsi="Times New Roman" w:eastAsia="宋体" w:cs="Times New Roman"/>
                <w:b/>
                <w:bCs/>
                <w:color w:val="000000"/>
                <w:kern w:val="0"/>
                <w:sz w:val="21"/>
                <w:szCs w:val="21"/>
                <w:lang w:val="zh-CN" w:eastAsia="zh-CN" w:bidi="zh-CN"/>
              </w:rPr>
              <w:t>/d）；水污染物当量数W/（无量纲）</w:t>
            </w:r>
          </w:p>
        </w:tc>
      </w:tr>
      <w:tr w14:paraId="64F06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tcBorders>
              <w:tl2br w:val="nil"/>
              <w:tr2bl w:val="nil"/>
            </w:tcBorders>
            <w:noWrap w:val="0"/>
            <w:vAlign w:val="center"/>
          </w:tcPr>
          <w:p w14:paraId="3C081886">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一级</w:t>
            </w:r>
          </w:p>
        </w:tc>
        <w:tc>
          <w:tcPr>
            <w:tcW w:w="2130" w:type="dxa"/>
            <w:tcBorders>
              <w:tl2br w:val="nil"/>
              <w:tr2bl w:val="nil"/>
            </w:tcBorders>
            <w:noWrap w:val="0"/>
            <w:vAlign w:val="center"/>
          </w:tcPr>
          <w:p w14:paraId="1CE6D7C9">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直接排放</w:t>
            </w:r>
          </w:p>
        </w:tc>
        <w:tc>
          <w:tcPr>
            <w:tcW w:w="5142" w:type="dxa"/>
            <w:tcBorders>
              <w:tl2br w:val="nil"/>
              <w:tr2bl w:val="nil"/>
            </w:tcBorders>
            <w:noWrap w:val="0"/>
            <w:vAlign w:val="center"/>
          </w:tcPr>
          <w:p w14:paraId="5A30C475">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Q≥20000 或 W≥600000</w:t>
            </w:r>
          </w:p>
        </w:tc>
      </w:tr>
      <w:tr w14:paraId="217EE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tcBorders>
              <w:tl2br w:val="nil"/>
              <w:tr2bl w:val="nil"/>
            </w:tcBorders>
            <w:noWrap w:val="0"/>
            <w:vAlign w:val="center"/>
          </w:tcPr>
          <w:p w14:paraId="7C30F454">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二级</w:t>
            </w:r>
          </w:p>
        </w:tc>
        <w:tc>
          <w:tcPr>
            <w:tcW w:w="2130" w:type="dxa"/>
            <w:tcBorders>
              <w:tl2br w:val="nil"/>
              <w:tr2bl w:val="nil"/>
            </w:tcBorders>
            <w:noWrap w:val="0"/>
            <w:vAlign w:val="center"/>
          </w:tcPr>
          <w:p w14:paraId="7953E623">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直接排放</w:t>
            </w:r>
          </w:p>
        </w:tc>
        <w:tc>
          <w:tcPr>
            <w:tcW w:w="5142" w:type="dxa"/>
            <w:tcBorders>
              <w:tl2br w:val="nil"/>
              <w:tr2bl w:val="nil"/>
            </w:tcBorders>
            <w:noWrap w:val="0"/>
            <w:vAlign w:val="center"/>
          </w:tcPr>
          <w:p w14:paraId="28D434BF">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其他</w:t>
            </w:r>
          </w:p>
        </w:tc>
      </w:tr>
      <w:tr w14:paraId="7D923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tcBorders>
              <w:tl2br w:val="nil"/>
              <w:tr2bl w:val="nil"/>
            </w:tcBorders>
            <w:noWrap w:val="0"/>
            <w:vAlign w:val="center"/>
          </w:tcPr>
          <w:p w14:paraId="7B142F83">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三级 A</w:t>
            </w:r>
          </w:p>
        </w:tc>
        <w:tc>
          <w:tcPr>
            <w:tcW w:w="2130" w:type="dxa"/>
            <w:tcBorders>
              <w:tl2br w:val="nil"/>
              <w:tr2bl w:val="nil"/>
            </w:tcBorders>
            <w:noWrap w:val="0"/>
            <w:vAlign w:val="center"/>
          </w:tcPr>
          <w:p w14:paraId="2B73F1B1">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直接排放</w:t>
            </w:r>
          </w:p>
        </w:tc>
        <w:tc>
          <w:tcPr>
            <w:tcW w:w="5142" w:type="dxa"/>
            <w:tcBorders>
              <w:tl2br w:val="nil"/>
              <w:tr2bl w:val="nil"/>
            </w:tcBorders>
            <w:noWrap w:val="0"/>
            <w:vAlign w:val="center"/>
          </w:tcPr>
          <w:p w14:paraId="22AE7BD2">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zh-CN" w:eastAsia="zh-CN" w:bidi="zh-CN"/>
              </w:rPr>
            </w:pPr>
            <w:r>
              <w:rPr>
                <w:rFonts w:hint="default" w:ascii="Times New Roman" w:hAnsi="Times New Roman" w:eastAsia="宋体" w:cs="Times New Roman"/>
                <w:color w:val="000000"/>
                <w:kern w:val="0"/>
                <w:sz w:val="21"/>
                <w:szCs w:val="21"/>
                <w:lang w:val="zh-CN" w:eastAsia="zh-CN" w:bidi="zh-CN"/>
              </w:rPr>
              <w:t>Q＜200 且 W＜6000</w:t>
            </w:r>
          </w:p>
        </w:tc>
      </w:tr>
      <w:tr w14:paraId="0185F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2" w:type="dxa"/>
            <w:tcBorders>
              <w:tl2br w:val="nil"/>
              <w:tr2bl w:val="nil"/>
            </w:tcBorders>
            <w:noWrap w:val="0"/>
            <w:vAlign w:val="center"/>
          </w:tcPr>
          <w:p w14:paraId="1107DDA5">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三级 B</w:t>
            </w:r>
          </w:p>
        </w:tc>
        <w:tc>
          <w:tcPr>
            <w:tcW w:w="2130" w:type="dxa"/>
            <w:tcBorders>
              <w:tl2br w:val="nil"/>
              <w:tr2bl w:val="nil"/>
            </w:tcBorders>
            <w:noWrap w:val="0"/>
            <w:vAlign w:val="center"/>
          </w:tcPr>
          <w:p w14:paraId="211E3CEE">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间接排放</w:t>
            </w:r>
          </w:p>
        </w:tc>
        <w:tc>
          <w:tcPr>
            <w:tcW w:w="5142" w:type="dxa"/>
            <w:tcBorders>
              <w:tl2br w:val="nil"/>
              <w:tr2bl w:val="nil"/>
            </w:tcBorders>
            <w:noWrap w:val="0"/>
            <w:vAlign w:val="center"/>
          </w:tcPr>
          <w:p w14:paraId="0F5BFEB6">
            <w:pPr>
              <w:keepNext w:val="0"/>
              <w:keepLines w:val="0"/>
              <w:widowControl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zh-CN" w:eastAsia="zh-CN" w:bidi="zh-CN"/>
              </w:rPr>
            </w:pPr>
            <w:r>
              <w:rPr>
                <w:rFonts w:hint="default" w:ascii="Times New Roman" w:hAnsi="Times New Roman" w:eastAsia="宋体" w:cs="Times New Roman"/>
                <w:b/>
                <w:bCs/>
                <w:color w:val="000000"/>
                <w:kern w:val="0"/>
                <w:sz w:val="21"/>
                <w:szCs w:val="21"/>
                <w:lang w:val="zh-CN" w:eastAsia="zh-CN" w:bidi="zh-CN"/>
              </w:rPr>
              <w:t>--</w:t>
            </w:r>
          </w:p>
        </w:tc>
      </w:tr>
    </w:tbl>
    <w:p w14:paraId="66E5BAC7">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本项目施工期废水主要为施工人员生活污水、施工废水等</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。其中</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施工废水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经处理后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循环利用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不外排</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；施工期不设施工生活营地，施工人员</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生活污水依托周边民房现有处理设施</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处理后，用于周边田地施肥，不外排；施工期围堰填筑拆除、抛石护脚扰动</w:t>
      </w:r>
      <w:r>
        <w:rPr>
          <w:rFonts w:hint="eastAsia" w:ascii="宋体" w:hAnsi="宋体" w:eastAsia="宋体"/>
          <w:sz w:val="24"/>
          <w:szCs w:val="24"/>
        </w:rPr>
        <w:t>引起的</w:t>
      </w:r>
      <w:r>
        <w:rPr>
          <w:rFonts w:hint="default" w:ascii="TimesNewRomanPSMT" w:hAnsi="TimesNewRomanPSMT" w:eastAsia="TimesNewRomanPSMT"/>
          <w:sz w:val="24"/>
          <w:szCs w:val="24"/>
        </w:rPr>
        <w:t>SS</w:t>
      </w:r>
      <w:r>
        <w:rPr>
          <w:rFonts w:hint="eastAsia" w:ascii="宋体" w:hAnsi="宋体" w:eastAsia="宋体"/>
          <w:sz w:val="24"/>
          <w:szCs w:val="24"/>
        </w:rPr>
        <w:t>浓度增加是短期的，随时间推移影响消失</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运营期不新增生活污水，生活污水经管理所化粪池处理后用于周边田地施肥，不外排。</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因此确定本项目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水污染影响型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地表水评价等级为三级</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B</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580B93F7">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文要素</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影响型建设项目评价等级确定</w:t>
      </w:r>
    </w:p>
    <w:p w14:paraId="0CA1708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水文要素影响型建设项目评价等级划分根据水温、径流与受影响地表水域等三类水文要素的影响程度判定，</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具体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见下表。</w:t>
      </w:r>
    </w:p>
    <w:p w14:paraId="7081D675">
      <w:pPr>
        <w:pageBreakBefore w:val="0"/>
        <w:kinsoku w:val="0"/>
        <w:wordWrap w:val="0"/>
        <w:overflowPunct/>
        <w:topLinePunct/>
        <w:autoSpaceDE/>
        <w:autoSpaceDN/>
        <w:bidi w:val="0"/>
        <w:adjustRightInd w:val="0"/>
        <w:spacing w:line="500" w:lineRule="exact"/>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bookmarkStart w:id="79" w:name="bookmark86"/>
      <w:bookmarkStart w:id="80" w:name="bookmark87"/>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水文要素影响型建设项目评价等级判定</w:t>
      </w:r>
      <w:bookmarkEnd w:id="79"/>
      <w:bookmarkEnd w:id="80"/>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02"/>
        <w:gridCol w:w="1271"/>
        <w:gridCol w:w="1127"/>
        <w:gridCol w:w="1019"/>
        <w:gridCol w:w="1491"/>
        <w:gridCol w:w="1427"/>
        <w:gridCol w:w="1293"/>
      </w:tblGrid>
      <w:tr w14:paraId="39C9C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vMerge w:val="restart"/>
            <w:tcBorders>
              <w:tl2br w:val="nil"/>
              <w:tr2bl w:val="nil"/>
            </w:tcBorders>
            <w:shd w:val="clear" w:color="auto" w:fill="FFFFFF"/>
            <w:vAlign w:val="center"/>
          </w:tcPr>
          <w:p w14:paraId="6D38343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Style w:val="64"/>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评价</w:t>
            </w:r>
          </w:p>
          <w:p w14:paraId="76EA4827">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等级</w:t>
            </w:r>
          </w:p>
        </w:tc>
        <w:tc>
          <w:tcPr>
            <w:tcW w:w="1384" w:type="dxa"/>
            <w:tcBorders>
              <w:tl2br w:val="nil"/>
              <w:tr2bl w:val="nil"/>
            </w:tcBorders>
            <w:shd w:val="clear" w:color="auto" w:fill="FFFFFF"/>
            <w:vAlign w:val="center"/>
          </w:tcPr>
          <w:p w14:paraId="3F613989">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水温</w:t>
            </w:r>
          </w:p>
        </w:tc>
        <w:tc>
          <w:tcPr>
            <w:tcW w:w="2337" w:type="dxa"/>
            <w:gridSpan w:val="2"/>
            <w:tcBorders>
              <w:tl2br w:val="nil"/>
              <w:tr2bl w:val="nil"/>
            </w:tcBorders>
            <w:shd w:val="clear" w:color="auto" w:fill="FFFFFF"/>
            <w:vAlign w:val="center"/>
          </w:tcPr>
          <w:p w14:paraId="33F0372C">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径流</w:t>
            </w:r>
          </w:p>
        </w:tc>
        <w:tc>
          <w:tcPr>
            <w:tcW w:w="4586" w:type="dxa"/>
            <w:gridSpan w:val="3"/>
            <w:tcBorders>
              <w:tl2br w:val="nil"/>
              <w:tr2bl w:val="nil"/>
            </w:tcBorders>
            <w:shd w:val="clear" w:color="auto" w:fill="FFFFFF"/>
            <w:vAlign w:val="center"/>
          </w:tcPr>
          <w:p w14:paraId="6082A5F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受影响地表水域</w:t>
            </w:r>
          </w:p>
        </w:tc>
      </w:tr>
      <w:tr w14:paraId="5CDCC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vMerge w:val="continue"/>
            <w:tcBorders>
              <w:tl2br w:val="nil"/>
              <w:tr2bl w:val="nil"/>
            </w:tcBorders>
            <w:shd w:val="clear" w:color="auto" w:fill="FFFFFF"/>
            <w:vAlign w:val="center"/>
          </w:tcPr>
          <w:p w14:paraId="2E1D9E6F">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p>
        </w:tc>
        <w:tc>
          <w:tcPr>
            <w:tcW w:w="1384" w:type="dxa"/>
            <w:vMerge w:val="restart"/>
            <w:tcBorders>
              <w:tl2br w:val="nil"/>
              <w:tr2bl w:val="nil"/>
            </w:tcBorders>
            <w:shd w:val="clear" w:color="auto" w:fill="FFFFFF"/>
            <w:vAlign w:val="center"/>
          </w:tcPr>
          <w:p w14:paraId="350EC479">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年径流量与总库容百分比</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a/%</w:t>
            </w:r>
          </w:p>
        </w:tc>
        <w:tc>
          <w:tcPr>
            <w:tcW w:w="1227" w:type="dxa"/>
            <w:vMerge w:val="restart"/>
            <w:tcBorders>
              <w:tl2br w:val="nil"/>
              <w:tr2bl w:val="nil"/>
            </w:tcBorders>
            <w:shd w:val="clear" w:color="auto" w:fill="FFFFFF"/>
            <w:vAlign w:val="center"/>
          </w:tcPr>
          <w:p w14:paraId="2FEA3268">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兴利库容与年径流量百分比</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β</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w:t>
            </w:r>
          </w:p>
        </w:tc>
        <w:tc>
          <w:tcPr>
            <w:tcW w:w="1110" w:type="dxa"/>
            <w:vMerge w:val="restart"/>
            <w:tcBorders>
              <w:tl2br w:val="nil"/>
              <w:tr2bl w:val="nil"/>
            </w:tcBorders>
            <w:shd w:val="clear" w:color="auto" w:fill="FFFFFF"/>
            <w:vAlign w:val="center"/>
          </w:tcPr>
          <w:p w14:paraId="3214AD8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取水量占多年平均径流量百分比</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ɤ%</w:t>
            </w:r>
          </w:p>
        </w:tc>
        <w:tc>
          <w:tcPr>
            <w:tcW w:w="3179" w:type="dxa"/>
            <w:gridSpan w:val="2"/>
            <w:tcBorders>
              <w:tl2br w:val="nil"/>
              <w:tr2bl w:val="nil"/>
            </w:tcBorders>
            <w:shd w:val="clear" w:color="auto" w:fill="FFFFFF"/>
            <w:vAlign w:val="center"/>
          </w:tcPr>
          <w:p w14:paraId="0537197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Style w:val="64"/>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工程垂直投影面积</w:t>
            </w:r>
          </w:p>
          <w:p w14:paraId="011FECFC">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及外扩范围</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A</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/km</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perscript"/>
                <w:lang w:val="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w:t>
            </w:r>
          </w:p>
          <w:p w14:paraId="28355A1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工程扰动水底面积</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A</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/km</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perscript"/>
                <w:lang w:val="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w:t>
            </w:r>
          </w:p>
          <w:p w14:paraId="01CFECC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过水断面宽度占用比例或占用水域面积比例</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R/%</w:t>
            </w:r>
          </w:p>
        </w:tc>
        <w:tc>
          <w:tcPr>
            <w:tcW w:w="1407" w:type="dxa"/>
            <w:tcBorders>
              <w:tl2br w:val="nil"/>
              <w:tr2bl w:val="nil"/>
            </w:tcBorders>
            <w:shd w:val="clear" w:color="auto" w:fill="FFFFFF"/>
            <w:vAlign w:val="center"/>
          </w:tcPr>
          <w:p w14:paraId="1B30D38C">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工程垂直投影面积及外扩范围</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A</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/km</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perscript"/>
                <w:lang w:val="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w:t>
            </w:r>
          </w:p>
          <w:p w14:paraId="00748C51">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工程扰动水底面积</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A</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rPr>
              <w:t>km</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perscript"/>
                <w:lang w:val="en-US"/>
              </w:rPr>
              <w:t>2</w:t>
            </w:r>
          </w:p>
        </w:tc>
      </w:tr>
      <w:tr w14:paraId="3A328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vMerge w:val="continue"/>
            <w:tcBorders>
              <w:tl2br w:val="nil"/>
              <w:tr2bl w:val="nil"/>
            </w:tcBorders>
            <w:shd w:val="clear" w:color="auto" w:fill="FFFFFF"/>
            <w:vAlign w:val="center"/>
          </w:tcPr>
          <w:p w14:paraId="6D05789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p>
        </w:tc>
        <w:tc>
          <w:tcPr>
            <w:tcW w:w="1384" w:type="dxa"/>
            <w:vMerge w:val="continue"/>
            <w:tcBorders>
              <w:tl2br w:val="nil"/>
              <w:tr2bl w:val="nil"/>
            </w:tcBorders>
            <w:shd w:val="clear" w:color="auto" w:fill="FFFFFF"/>
            <w:vAlign w:val="center"/>
          </w:tcPr>
          <w:p w14:paraId="2DF94CC8">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p>
        </w:tc>
        <w:tc>
          <w:tcPr>
            <w:tcW w:w="1227" w:type="dxa"/>
            <w:vMerge w:val="continue"/>
            <w:tcBorders>
              <w:tl2br w:val="nil"/>
              <w:tr2bl w:val="nil"/>
            </w:tcBorders>
            <w:shd w:val="clear" w:color="auto" w:fill="FFFFFF"/>
            <w:vAlign w:val="center"/>
          </w:tcPr>
          <w:p w14:paraId="3A05445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p>
        </w:tc>
        <w:tc>
          <w:tcPr>
            <w:tcW w:w="1110" w:type="dxa"/>
            <w:vMerge w:val="continue"/>
            <w:tcBorders>
              <w:tl2br w:val="nil"/>
              <w:tr2bl w:val="nil"/>
            </w:tcBorders>
            <w:shd w:val="clear" w:color="auto" w:fill="FFFFFF"/>
            <w:vAlign w:val="center"/>
          </w:tcPr>
          <w:p w14:paraId="2752AEE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p>
        </w:tc>
        <w:tc>
          <w:tcPr>
            <w:tcW w:w="1624" w:type="dxa"/>
            <w:tcBorders>
              <w:tl2br w:val="nil"/>
              <w:tr2bl w:val="nil"/>
            </w:tcBorders>
            <w:shd w:val="clear" w:color="auto" w:fill="FFFFFF"/>
            <w:vAlign w:val="center"/>
          </w:tcPr>
          <w:p w14:paraId="6A23A437">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河流</w:t>
            </w:r>
          </w:p>
        </w:tc>
        <w:tc>
          <w:tcPr>
            <w:tcW w:w="1555" w:type="dxa"/>
            <w:tcBorders>
              <w:tl2br w:val="nil"/>
              <w:tr2bl w:val="nil"/>
            </w:tcBorders>
            <w:shd w:val="clear" w:color="auto" w:fill="FFFFFF"/>
            <w:vAlign w:val="center"/>
          </w:tcPr>
          <w:p w14:paraId="31B9DC5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湖库</w:t>
            </w:r>
          </w:p>
        </w:tc>
        <w:tc>
          <w:tcPr>
            <w:tcW w:w="1407" w:type="dxa"/>
            <w:tcBorders>
              <w:tl2br w:val="nil"/>
              <w:tr2bl w:val="nil"/>
            </w:tcBorders>
            <w:shd w:val="clear" w:color="auto" w:fill="FFFFFF"/>
            <w:vAlign w:val="center"/>
          </w:tcPr>
          <w:p w14:paraId="60B692A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入海河口、</w:t>
            </w:r>
          </w:p>
          <w:p w14:paraId="1D62E412">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140"/>
              <w:jc w:val="center"/>
              <w:textAlignment w:val="auto"/>
              <w:rPr>
                <w:rFonts w:hint="default" w:ascii="Times New Roman" w:hAnsi="Times New Roman" w:eastAsia="宋体" w:cs="Times New Roman"/>
                <w:b/>
                <w:bCs w:val="0"/>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近岸海域</w:t>
            </w:r>
          </w:p>
        </w:tc>
      </w:tr>
      <w:tr w14:paraId="510E8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tcBorders>
              <w:tl2br w:val="nil"/>
              <w:tr2bl w:val="nil"/>
            </w:tcBorders>
            <w:shd w:val="clear" w:color="auto" w:fill="FFFFFF"/>
            <w:vAlign w:val="center"/>
          </w:tcPr>
          <w:p w14:paraId="40D4C2A3">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一级</w:t>
            </w:r>
          </w:p>
        </w:tc>
        <w:tc>
          <w:tcPr>
            <w:tcW w:w="1384" w:type="dxa"/>
            <w:tcBorders>
              <w:tl2br w:val="nil"/>
              <w:tr2bl w:val="nil"/>
            </w:tcBorders>
            <w:shd w:val="clear" w:color="auto" w:fill="FFFFFF"/>
            <w:vAlign w:val="center"/>
          </w:tcPr>
          <w:p w14:paraId="6EE919E9">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a&lt;10；</w:t>
            </w:r>
            <w:r>
              <w:rPr>
                <w:rStyle w:val="64"/>
                <w:rFonts w:hint="default" w:ascii="Times New Roman" w:hAnsi="Times New Roman" w:eastAsia="宋体" w:cs="Times New Roman"/>
                <w:bCs/>
                <w:caps w:val="0"/>
                <w:smallCaps w:val="0"/>
                <w:color w:val="auto"/>
                <w:spacing w:val="0"/>
                <w:w w:val="100"/>
                <w:position w:val="0"/>
                <w:sz w:val="21"/>
                <w:szCs w:val="21"/>
                <w:u w:val="none" w:color="auto"/>
              </w:rPr>
              <w:t>或稳定分层</w:t>
            </w:r>
          </w:p>
        </w:tc>
        <w:tc>
          <w:tcPr>
            <w:tcW w:w="1227" w:type="dxa"/>
            <w:tcBorders>
              <w:tl2br w:val="nil"/>
              <w:tr2bl w:val="nil"/>
            </w:tcBorders>
            <w:shd w:val="clear" w:color="auto" w:fill="FFFFFF"/>
            <w:vAlign w:val="center"/>
          </w:tcPr>
          <w:p w14:paraId="24B6E24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β</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rPr>
              <w:t>&gt;20；</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7A69089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完全年调节与多年调节</w:t>
            </w:r>
          </w:p>
        </w:tc>
        <w:tc>
          <w:tcPr>
            <w:tcW w:w="1110" w:type="dxa"/>
            <w:tcBorders>
              <w:tl2br w:val="nil"/>
              <w:tr2bl w:val="nil"/>
            </w:tcBorders>
            <w:shd w:val="clear" w:color="auto" w:fill="FFFFFF"/>
            <w:vAlign w:val="center"/>
          </w:tcPr>
          <w:p w14:paraId="21EA783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ɤ&gt;30</w:t>
            </w:r>
          </w:p>
        </w:tc>
        <w:tc>
          <w:tcPr>
            <w:tcW w:w="1624" w:type="dxa"/>
            <w:tcBorders>
              <w:tl2br w:val="nil"/>
              <w:tr2bl w:val="nil"/>
            </w:tcBorders>
            <w:shd w:val="clear" w:color="auto" w:fill="FFFFFF"/>
            <w:vAlign w:val="center"/>
          </w:tcPr>
          <w:p w14:paraId="799FCEF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&gt;0.3；</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4F4D040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&gt;1.5；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55C8272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R&gt;10</w:t>
            </w:r>
          </w:p>
        </w:tc>
        <w:tc>
          <w:tcPr>
            <w:tcW w:w="1555" w:type="dxa"/>
            <w:tcBorders>
              <w:tl2br w:val="nil"/>
              <w:tr2bl w:val="nil"/>
            </w:tcBorders>
            <w:shd w:val="clear" w:color="auto" w:fill="FFFFFF"/>
            <w:vAlign w:val="center"/>
          </w:tcPr>
          <w:p w14:paraId="55EB7DC9">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&gt;0.3；</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56EA9EE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&gt;1.5；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25091CB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R&gt;20</w:t>
            </w:r>
          </w:p>
        </w:tc>
        <w:tc>
          <w:tcPr>
            <w:tcW w:w="1407" w:type="dxa"/>
            <w:tcBorders>
              <w:tl2br w:val="nil"/>
              <w:tr2bl w:val="nil"/>
            </w:tcBorders>
            <w:shd w:val="clear" w:color="auto" w:fill="FFFFFF"/>
            <w:vAlign w:val="center"/>
          </w:tcPr>
          <w:p w14:paraId="586CADC7">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64B1DAEE">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&gt;3</w:t>
            </w:r>
          </w:p>
        </w:tc>
      </w:tr>
      <w:tr w14:paraId="62EBB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tcBorders>
              <w:tl2br w:val="nil"/>
              <w:tr2bl w:val="nil"/>
            </w:tcBorders>
            <w:shd w:val="clear" w:color="auto" w:fill="FFFFFF"/>
            <w:vAlign w:val="center"/>
          </w:tcPr>
          <w:p w14:paraId="5EB16A4A">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二级</w:t>
            </w:r>
          </w:p>
        </w:tc>
        <w:tc>
          <w:tcPr>
            <w:tcW w:w="1384" w:type="dxa"/>
            <w:tcBorders>
              <w:tl2br w:val="nil"/>
              <w:tr2bl w:val="nil"/>
            </w:tcBorders>
            <w:shd w:val="clear" w:color="auto" w:fill="FFFFFF"/>
            <w:vAlign w:val="center"/>
          </w:tcPr>
          <w:p w14:paraId="0F34A4EC">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20&gt;a&gt;10；</w:t>
            </w:r>
            <w:r>
              <w:rPr>
                <w:rStyle w:val="64"/>
                <w:rFonts w:hint="default" w:ascii="Times New Roman" w:hAnsi="Times New Roman" w:eastAsia="宋体" w:cs="Times New Roman"/>
                <w:bCs/>
                <w:caps w:val="0"/>
                <w:smallCaps w:val="0"/>
                <w:color w:val="auto"/>
                <w:spacing w:val="0"/>
                <w:w w:val="100"/>
                <w:position w:val="0"/>
                <w:sz w:val="21"/>
                <w:szCs w:val="21"/>
                <w:u w:val="none" w:color="auto"/>
              </w:rPr>
              <w:t>或不稳定分层</w:t>
            </w:r>
          </w:p>
        </w:tc>
        <w:tc>
          <w:tcPr>
            <w:tcW w:w="1227" w:type="dxa"/>
            <w:tcBorders>
              <w:tl2br w:val="nil"/>
              <w:tr2bl w:val="nil"/>
            </w:tcBorders>
            <w:shd w:val="clear" w:color="auto" w:fill="FFFFFF"/>
            <w:vAlign w:val="center"/>
          </w:tcPr>
          <w:p w14:paraId="0C971C32">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rPr>
              <w:t>20&gt;</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β</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rPr>
              <w:t>&gt;</w:t>
            </w:r>
            <w:r>
              <w:rPr>
                <w:rStyle w:val="64"/>
                <w:rFonts w:hint="default" w:ascii="Times New Roman" w:hAnsi="Times New Roman" w:eastAsia="宋体" w:cs="Times New Roman"/>
                <w:bCs/>
                <w:caps w:val="0"/>
                <w:smallCaps w:val="0"/>
                <w:color w:val="auto"/>
                <w:spacing w:val="0"/>
                <w:w w:val="100"/>
                <w:position w:val="0"/>
                <w:sz w:val="21"/>
                <w:szCs w:val="21"/>
                <w:u w:val="none" w:color="auto"/>
              </w:rPr>
              <w:t>2；或季调节与不完全年调节</w:t>
            </w:r>
          </w:p>
        </w:tc>
        <w:tc>
          <w:tcPr>
            <w:tcW w:w="1110" w:type="dxa"/>
            <w:tcBorders>
              <w:tl2br w:val="nil"/>
              <w:tr2bl w:val="nil"/>
            </w:tcBorders>
            <w:shd w:val="clear" w:color="auto" w:fill="FFFFFF"/>
            <w:vAlign w:val="center"/>
          </w:tcPr>
          <w:p w14:paraId="292BF0F1">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30&gt;ɤ&gt;</w:t>
            </w:r>
            <w:r>
              <w:rPr>
                <w:rStyle w:val="64"/>
                <w:rFonts w:hint="default" w:ascii="Times New Roman" w:hAnsi="Times New Roman" w:eastAsia="宋体" w:cs="Times New Roman"/>
                <w:bCs/>
                <w:caps w:val="0"/>
                <w:smallCaps w:val="0"/>
                <w:color w:val="auto"/>
                <w:spacing w:val="0"/>
                <w:w w:val="100"/>
                <w:position w:val="0"/>
                <w:sz w:val="21"/>
                <w:szCs w:val="21"/>
                <w:u w:val="none" w:color="auto"/>
              </w:rPr>
              <w:t>10</w:t>
            </w:r>
          </w:p>
        </w:tc>
        <w:tc>
          <w:tcPr>
            <w:tcW w:w="1624" w:type="dxa"/>
            <w:tcBorders>
              <w:tl2br w:val="nil"/>
              <w:tr2bl w:val="nil"/>
            </w:tcBorders>
            <w:shd w:val="clear" w:color="auto" w:fill="FFFFFF"/>
            <w:vAlign w:val="center"/>
          </w:tcPr>
          <w:p w14:paraId="7AC9F4D7">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0.3&gt;A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&gt;0.05；</w:t>
            </w:r>
            <w:r>
              <w:rPr>
                <w:rStyle w:val="64"/>
                <w:rFonts w:hint="default" w:ascii="Times New Roman" w:hAnsi="Times New Roman" w:eastAsia="宋体" w:cs="Times New Roman"/>
                <w:bCs/>
                <w:caps w:val="0"/>
                <w:smallCaps w:val="0"/>
                <w:color w:val="auto"/>
                <w:spacing w:val="0"/>
                <w:w w:val="100"/>
                <w:position w:val="0"/>
                <w:sz w:val="21"/>
                <w:szCs w:val="21"/>
                <w:u w:val="none" w:color="auto"/>
              </w:rPr>
              <w:t>或1.5&gt;</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&gt;0.2；</w:t>
            </w:r>
            <w:r>
              <w:rPr>
                <w:rStyle w:val="64"/>
                <w:rFonts w:hint="default" w:ascii="Times New Roman" w:hAnsi="Times New Roman" w:eastAsia="宋体" w:cs="Times New Roman"/>
                <w:bCs/>
                <w:caps w:val="0"/>
                <w:smallCaps w:val="0"/>
                <w:color w:val="auto"/>
                <w:spacing w:val="0"/>
                <w:w w:val="100"/>
                <w:position w:val="0"/>
                <w:sz w:val="21"/>
                <w:szCs w:val="21"/>
                <w:u w:val="none" w:color="auto"/>
              </w:rPr>
              <w:t>或10</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&gt;R&gt;5</w:t>
            </w:r>
          </w:p>
        </w:tc>
        <w:tc>
          <w:tcPr>
            <w:tcW w:w="1555" w:type="dxa"/>
            <w:tcBorders>
              <w:tl2br w:val="nil"/>
              <w:tr2bl w:val="nil"/>
            </w:tcBorders>
            <w:shd w:val="clear" w:color="auto" w:fill="FFFFFF"/>
            <w:vAlign w:val="center"/>
          </w:tcPr>
          <w:p w14:paraId="0BA47E63">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0.3&gt;A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&gt;0.05；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1.5&gt;A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&gt;0.2；</w:t>
            </w:r>
          </w:p>
          <w:p w14:paraId="607212D9">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20&gt;R&gt;5</w:t>
            </w:r>
          </w:p>
        </w:tc>
        <w:tc>
          <w:tcPr>
            <w:tcW w:w="1407" w:type="dxa"/>
            <w:tcBorders>
              <w:tl2br w:val="nil"/>
              <w:tr2bl w:val="nil"/>
            </w:tcBorders>
            <w:shd w:val="clear" w:color="auto" w:fill="FFFFFF"/>
            <w:vAlign w:val="center"/>
          </w:tcPr>
          <w:p w14:paraId="0824C070">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0.5&gt;A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&gt;0.15；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3&gt;A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&gt;0.5</w:t>
            </w:r>
          </w:p>
        </w:tc>
      </w:tr>
      <w:tr w14:paraId="276B3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4" w:type="dxa"/>
            <w:tcBorders>
              <w:tl2br w:val="nil"/>
              <w:tr2bl w:val="nil"/>
            </w:tcBorders>
            <w:shd w:val="clear" w:color="auto" w:fill="FFFFFF"/>
            <w:vAlign w:val="center"/>
          </w:tcPr>
          <w:p w14:paraId="659BD80F">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三级</w:t>
            </w:r>
          </w:p>
        </w:tc>
        <w:tc>
          <w:tcPr>
            <w:tcW w:w="1384" w:type="dxa"/>
            <w:tcBorders>
              <w:tl2br w:val="nil"/>
              <w:tr2bl w:val="nil"/>
            </w:tcBorders>
            <w:shd w:val="clear" w:color="auto" w:fill="FFFFFF"/>
            <w:vAlign w:val="center"/>
          </w:tcPr>
          <w:p w14:paraId="3F73A3CA">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a&gt;20；</w:t>
            </w:r>
            <w:r>
              <w:rPr>
                <w:rStyle w:val="64"/>
                <w:rFonts w:hint="default" w:ascii="Times New Roman" w:hAnsi="Times New Roman" w:eastAsia="宋体" w:cs="Times New Roman"/>
                <w:bCs/>
                <w:caps w:val="0"/>
                <w:smallCaps w:val="0"/>
                <w:color w:val="auto"/>
                <w:spacing w:val="0"/>
                <w:w w:val="100"/>
                <w:position w:val="0"/>
                <w:sz w:val="21"/>
                <w:szCs w:val="21"/>
                <w:u w:val="none" w:color="auto"/>
              </w:rPr>
              <w:t>或混合型</w:t>
            </w:r>
          </w:p>
        </w:tc>
        <w:tc>
          <w:tcPr>
            <w:tcW w:w="1227" w:type="dxa"/>
            <w:tcBorders>
              <w:tl2br w:val="nil"/>
              <w:tr2bl w:val="nil"/>
            </w:tcBorders>
            <w:shd w:val="clear" w:color="auto" w:fill="FFFFFF"/>
            <w:vAlign w:val="center"/>
          </w:tcPr>
          <w:p w14:paraId="772C6C14">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β&lt;2；</w:t>
            </w:r>
            <w:r>
              <w:rPr>
                <w:rStyle w:val="64"/>
                <w:rFonts w:hint="default" w:ascii="Times New Roman" w:hAnsi="Times New Roman" w:eastAsia="宋体" w:cs="Times New Roman"/>
                <w:bCs/>
                <w:caps w:val="0"/>
                <w:smallCaps w:val="0"/>
                <w:color w:val="auto"/>
                <w:spacing w:val="0"/>
                <w:w w:val="100"/>
                <w:position w:val="0"/>
                <w:sz w:val="21"/>
                <w:szCs w:val="21"/>
                <w:u w:val="none" w:color="auto"/>
              </w:rPr>
              <w:t>或无调节径流</w:t>
            </w:r>
          </w:p>
        </w:tc>
        <w:tc>
          <w:tcPr>
            <w:tcW w:w="1110" w:type="dxa"/>
            <w:tcBorders>
              <w:tl2br w:val="nil"/>
              <w:tr2bl w:val="nil"/>
            </w:tcBorders>
            <w:shd w:val="clear" w:color="auto" w:fill="FFFFFF"/>
            <w:vAlign w:val="center"/>
          </w:tcPr>
          <w:p w14:paraId="364676B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ɤ&lt;10</w:t>
            </w:r>
          </w:p>
        </w:tc>
        <w:tc>
          <w:tcPr>
            <w:tcW w:w="1624" w:type="dxa"/>
            <w:tcBorders>
              <w:tl2br w:val="nil"/>
              <w:tr2bl w:val="nil"/>
            </w:tcBorders>
            <w:shd w:val="clear" w:color="auto" w:fill="FFFFFF"/>
            <w:vAlign w:val="center"/>
          </w:tcPr>
          <w:p w14:paraId="19BD9A3A">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&lt;0.05；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p>
          <w:p w14:paraId="4F67C562">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&lt;0.2；</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RV5</w:t>
            </w:r>
          </w:p>
        </w:tc>
        <w:tc>
          <w:tcPr>
            <w:tcW w:w="1555" w:type="dxa"/>
            <w:tcBorders>
              <w:tl2br w:val="nil"/>
              <w:tr2bl w:val="nil"/>
            </w:tcBorders>
            <w:shd w:val="clear" w:color="auto" w:fill="FFFFFF"/>
            <w:vAlign w:val="center"/>
          </w:tcPr>
          <w:p w14:paraId="41685E06">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A</w:t>
            </w:r>
            <w:r>
              <w:rPr>
                <w:rStyle w:val="64"/>
                <w:rFonts w:hint="eastAsia" w:ascii="Times New Roman" w:hAnsi="Times New Roman" w:eastAsia="宋体" w:cs="Times New Roman"/>
                <w:b/>
                <w:bCs w:val="0"/>
                <w:caps w:val="0"/>
                <w:smallCaps w:val="0"/>
                <w:color w:val="auto"/>
                <w:spacing w:val="0"/>
                <w:w w:val="100"/>
                <w:position w:val="0"/>
                <w:sz w:val="21"/>
                <w:szCs w:val="21"/>
                <w:u w:val="none" w:color="auto"/>
                <w:vertAlign w:val="subscript"/>
                <w:lang w:val="en-US" w:eastAsia="zh-CN"/>
              </w:rPr>
              <w:t>1</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&lt;0.05；</w:t>
            </w: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或</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
                <w:bCs w:val="0"/>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&lt;0.2；</w:t>
            </w:r>
            <w:r>
              <w:rPr>
                <w:rStyle w:val="64"/>
                <w:rFonts w:hint="default" w:ascii="Times New Roman" w:hAnsi="Times New Roman" w:eastAsia="宋体" w:cs="Times New Roman"/>
                <w:b/>
                <w:bCs w:val="0"/>
                <w:caps w:val="0"/>
                <w:smallCaps w:val="0"/>
                <w:color w:val="auto"/>
                <w:spacing w:val="0"/>
                <w:w w:val="100"/>
                <w:position w:val="0"/>
                <w:sz w:val="21"/>
                <w:szCs w:val="21"/>
                <w:u w:val="none" w:color="auto"/>
              </w:rPr>
              <w:t>或</w:t>
            </w:r>
            <w:r>
              <w:rPr>
                <w:rStyle w:val="64"/>
                <w:rFonts w:hint="default" w:ascii="Times New Roman" w:hAnsi="Times New Roman" w:eastAsia="宋体" w:cs="Times New Roman"/>
                <w:b/>
                <w:bCs w:val="0"/>
                <w:caps w:val="0"/>
                <w:smallCaps w:val="0"/>
                <w:color w:val="auto"/>
                <w:spacing w:val="0"/>
                <w:w w:val="100"/>
                <w:position w:val="0"/>
                <w:sz w:val="21"/>
                <w:szCs w:val="21"/>
                <w:u w:val="none" w:color="auto"/>
                <w:lang w:val="en-US" w:eastAsia="en-US"/>
              </w:rPr>
              <w:t>R&lt;5</w:t>
            </w:r>
          </w:p>
        </w:tc>
        <w:tc>
          <w:tcPr>
            <w:tcW w:w="1407" w:type="dxa"/>
            <w:tcBorders>
              <w:tl2br w:val="nil"/>
              <w:tr2bl w:val="nil"/>
            </w:tcBorders>
            <w:shd w:val="clear" w:color="auto" w:fill="FFFFFF"/>
            <w:vAlign w:val="center"/>
          </w:tcPr>
          <w:p w14:paraId="05A3BDF6">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20"/>
              <w:jc w:val="center"/>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rPr>
              <w:t>1</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&lt;0.15；</w:t>
            </w:r>
            <w:r>
              <w:rPr>
                <w:rStyle w:val="64"/>
                <w:rFonts w:hint="default" w:ascii="Times New Roman" w:hAnsi="Times New Roman" w:eastAsia="宋体" w:cs="Times New Roman"/>
                <w:bCs/>
                <w:caps w:val="0"/>
                <w:smallCaps w:val="0"/>
                <w:color w:val="auto"/>
                <w:spacing w:val="0"/>
                <w:w w:val="100"/>
                <w:position w:val="0"/>
                <w:sz w:val="21"/>
                <w:szCs w:val="21"/>
                <w:u w:val="none" w:color="auto"/>
              </w:rPr>
              <w:t>或</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A</w:t>
            </w:r>
            <w:r>
              <w:rPr>
                <w:rStyle w:val="64"/>
                <w:rFonts w:hint="default" w:ascii="Times New Roman" w:hAnsi="Times New Roman" w:eastAsia="宋体" w:cs="Times New Roman"/>
                <w:bCs/>
                <w:caps w:val="0"/>
                <w:smallCaps w:val="0"/>
                <w:color w:val="auto"/>
                <w:spacing w:val="0"/>
                <w:w w:val="100"/>
                <w:position w:val="0"/>
                <w:sz w:val="21"/>
                <w:szCs w:val="21"/>
                <w:u w:val="none" w:color="auto"/>
                <w:vertAlign w:val="subscript"/>
                <w:lang w:val="en-US" w:eastAsia="en-US"/>
              </w:rPr>
              <w:t>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eastAsia="en-US"/>
              </w:rPr>
              <w:t>&lt;0.5</w:t>
            </w:r>
          </w:p>
        </w:tc>
      </w:tr>
      <w:tr w14:paraId="54DE2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71" w:type="dxa"/>
            <w:gridSpan w:val="7"/>
            <w:tcBorders>
              <w:tl2br w:val="nil"/>
              <w:tr2bl w:val="nil"/>
            </w:tcBorders>
            <w:shd w:val="clear" w:color="auto" w:fill="FFFFFF"/>
            <w:vAlign w:val="center"/>
          </w:tcPr>
          <w:p w14:paraId="6486734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注1：影响范围涉及饮用水水源保护区、重点保护与珍稀水生生物的栖息地、重要水生生物的自然产卵场、自然保护区等保护目标，评价等级应不低于二级。</w:t>
            </w:r>
          </w:p>
          <w:p w14:paraId="4D6B355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注2：跨流域调水、引水式电站、可能受到河流感潮河段影响，评价等级不低于二级。</w:t>
            </w:r>
          </w:p>
          <w:p w14:paraId="4AC70C6A">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注3：造成入海河口（湾口）宽度束窄（束窄尺度达到原宽度的5%以上），评价等级应不低于二级。</w:t>
            </w:r>
          </w:p>
          <w:p w14:paraId="50C409D8">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注4：对不透水的单方向建筑尺度较长的水工建筑物（如防波堤、导流堤等），其与潮流或水流主流向切线垂直方向投影长度大于2</w:t>
            </w:r>
            <w:r>
              <w:rPr>
                <w:rStyle w:val="64"/>
                <w:rFonts w:hint="default" w:ascii="Times New Roman" w:hAnsi="Times New Roman" w:eastAsia="宋体" w:cs="Times New Roman"/>
                <w:bCs/>
                <w:caps w:val="0"/>
                <w:smallCaps w:val="0"/>
                <w:color w:val="auto"/>
                <w:spacing w:val="0"/>
                <w:w w:val="100"/>
                <w:position w:val="0"/>
                <w:sz w:val="21"/>
                <w:szCs w:val="21"/>
                <w:u w:val="none" w:color="auto"/>
                <w:lang w:val="en-US"/>
              </w:rPr>
              <w:t>km</w:t>
            </w:r>
            <w:r>
              <w:rPr>
                <w:rStyle w:val="64"/>
                <w:rFonts w:hint="default" w:ascii="Times New Roman" w:hAnsi="Times New Roman" w:eastAsia="宋体" w:cs="Times New Roman"/>
                <w:bCs/>
                <w:caps w:val="0"/>
                <w:smallCaps w:val="0"/>
                <w:color w:val="auto"/>
                <w:spacing w:val="0"/>
                <w:w w:val="100"/>
                <w:position w:val="0"/>
                <w:sz w:val="21"/>
                <w:szCs w:val="21"/>
                <w:u w:val="none" w:color="auto"/>
              </w:rPr>
              <w:t>时，评价等级应不低于二级。</w:t>
            </w:r>
          </w:p>
          <w:p w14:paraId="144F586B">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注5：允许在一类海域建设的项目，评价等级为一级。</w:t>
            </w:r>
          </w:p>
          <w:p w14:paraId="14D3A835">
            <w:pPr>
              <w:pStyle w:val="63"/>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firstLine="420" w:firstLineChars="200"/>
              <w:textAlignment w:val="auto"/>
              <w:rPr>
                <w:rFonts w:hint="default" w:ascii="Times New Roman" w:hAnsi="Times New Roman" w:eastAsia="宋体" w:cs="Times New Roman"/>
                <w:bCs/>
                <w:caps w:val="0"/>
                <w:smallCaps w:val="0"/>
                <w:color w:val="auto"/>
                <w:spacing w:val="0"/>
                <w:w w:val="100"/>
                <w:position w:val="0"/>
                <w:sz w:val="21"/>
                <w:szCs w:val="21"/>
                <w:u w:val="none" w:color="auto"/>
              </w:rPr>
            </w:pPr>
            <w:r>
              <w:rPr>
                <w:rStyle w:val="64"/>
                <w:rFonts w:hint="default" w:ascii="Times New Roman" w:hAnsi="Times New Roman" w:eastAsia="宋体" w:cs="Times New Roman"/>
                <w:bCs/>
                <w:caps w:val="0"/>
                <w:smallCaps w:val="0"/>
                <w:color w:val="auto"/>
                <w:spacing w:val="0"/>
                <w:w w:val="100"/>
                <w:position w:val="0"/>
                <w:sz w:val="21"/>
                <w:szCs w:val="21"/>
                <w:u w:val="none" w:color="auto"/>
              </w:rPr>
              <w:t>注6：同时存在多个水文要素影响的建设项目，分别判定各水文要素影响评价等级，并取其中最高等级作为水文要素影响型建设项目评价等级。</w:t>
            </w:r>
          </w:p>
        </w:tc>
      </w:tr>
    </w:tbl>
    <w:p w14:paraId="1397E1A0">
      <w:pPr>
        <w:keepNext w:val="0"/>
        <w:keepLines w:val="0"/>
        <w:pageBreakBefore w:val="0"/>
        <w:widowControl w:val="0"/>
        <w:kinsoku/>
        <w:wordWrap w:val="0"/>
        <w:overflowPunct/>
        <w:topLinePunct/>
        <w:autoSpaceDE/>
        <w:autoSpaceDN/>
        <w:bidi w:val="0"/>
        <w:adjustRightInd w:val="0"/>
        <w:snapToGrid/>
        <w:spacing w:line="500" w:lineRule="exact"/>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w:t>
      </w:r>
      <w:r>
        <w:rPr>
          <w:rFonts w:hint="default" w:ascii="Times New Roman" w:hAnsi="Times New Roman" w:eastAsia="宋体" w:cs="Times New Roman"/>
          <w:caps w:val="0"/>
          <w:smallCaps w:val="0"/>
          <w:color w:val="auto"/>
          <w:spacing w:val="0"/>
          <w:w w:val="100"/>
          <w:kern w:val="0"/>
          <w:position w:val="0"/>
          <w:sz w:val="24"/>
          <w:szCs w:val="24"/>
          <w:u w:val="none" w:color="auto"/>
        </w:rPr>
        <w:t>水库除险加固工程实施后，水库维持原有设计库容，工程实施不改变水库年径流量、库容和取水量等参数，不改变水库的调度运行方式，不改变区域水资源配置。根据建设单位提供的设计资料，本工程垂直投影面积及外扩范围(A</w:t>
      </w:r>
      <w:r>
        <w:rPr>
          <w:rFonts w:hint="eastAsia" w:ascii="Times New Roman" w:hAnsi="Times New Roman" w:eastAsia="宋体" w:cs="Times New Roman"/>
          <w:caps w:val="0"/>
          <w:smallCaps w:val="0"/>
          <w:color w:val="auto"/>
          <w:spacing w:val="0"/>
          <w:w w:val="100"/>
          <w:kern w:val="0"/>
          <w:position w:val="0"/>
          <w:sz w:val="24"/>
          <w:szCs w:val="24"/>
          <w:u w:val="none" w:color="auto"/>
          <w:vertAlign w:val="subscript"/>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)小于0.05km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2</w:t>
      </w:r>
      <w:r>
        <w:rPr>
          <w:rFonts w:hint="default" w:ascii="Times New Roman" w:hAnsi="Times New Roman" w:eastAsia="宋体" w:cs="Times New Roman"/>
          <w:caps w:val="0"/>
          <w:smallCaps w:val="0"/>
          <w:color w:val="auto"/>
          <w:spacing w:val="0"/>
          <w:w w:val="100"/>
          <w:kern w:val="0"/>
          <w:position w:val="0"/>
          <w:sz w:val="24"/>
          <w:szCs w:val="24"/>
          <w:u w:val="none" w:color="auto"/>
        </w:rPr>
        <w:t>，工程扰动水底面积(A</w:t>
      </w:r>
      <w:r>
        <w:rPr>
          <w:rFonts w:hint="default" w:ascii="Times New Roman" w:hAnsi="Times New Roman" w:eastAsia="宋体" w:cs="Times New Roman"/>
          <w:caps w:val="0"/>
          <w:smallCaps w:val="0"/>
          <w:color w:val="auto"/>
          <w:spacing w:val="0"/>
          <w:w w:val="100"/>
          <w:kern w:val="0"/>
          <w:position w:val="0"/>
          <w:sz w:val="24"/>
          <w:szCs w:val="24"/>
          <w:u w:val="none" w:color="auto"/>
          <w:vertAlign w:val="subscript"/>
        </w:rPr>
        <w:t>2</w:t>
      </w:r>
      <w:r>
        <w:rPr>
          <w:rFonts w:hint="default" w:ascii="Times New Roman" w:hAnsi="Times New Roman" w:eastAsia="宋体" w:cs="Times New Roman"/>
          <w:caps w:val="0"/>
          <w:smallCaps w:val="0"/>
          <w:color w:val="auto"/>
          <w:spacing w:val="0"/>
          <w:w w:val="100"/>
          <w:kern w:val="0"/>
          <w:position w:val="0"/>
          <w:sz w:val="24"/>
          <w:szCs w:val="24"/>
          <w:u w:val="none" w:color="auto"/>
        </w:rPr>
        <w:t>)小于0.2km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2</w:t>
      </w:r>
      <w:r>
        <w:rPr>
          <w:rFonts w:hint="default" w:ascii="Times New Roman" w:hAnsi="Times New Roman" w:eastAsia="宋体" w:cs="Times New Roman"/>
          <w:caps w:val="0"/>
          <w:smallCaps w:val="0"/>
          <w:color w:val="auto"/>
          <w:spacing w:val="0"/>
          <w:w w:val="100"/>
          <w:kern w:val="0"/>
          <w:position w:val="0"/>
          <w:sz w:val="24"/>
          <w:szCs w:val="24"/>
          <w:u w:val="none" w:color="auto"/>
        </w:rPr>
        <w:t>，占用水域面积比例(R)小于5%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因此，根据《环境影响评价技术导则</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地表水环境》(HJ2.3-2018) ，本项目水文要素型地表水评价等级为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三</w:t>
      </w:r>
      <w:r>
        <w:rPr>
          <w:rFonts w:hint="default" w:ascii="Times New Roman" w:hAnsi="Times New Roman" w:eastAsia="宋体" w:cs="Times New Roman"/>
          <w:caps w:val="0"/>
          <w:smallCaps w:val="0"/>
          <w:color w:val="auto"/>
          <w:spacing w:val="0"/>
          <w:w w:val="100"/>
          <w:kern w:val="0"/>
          <w:position w:val="0"/>
          <w:sz w:val="24"/>
          <w:szCs w:val="24"/>
          <w:u w:val="none" w:color="auto"/>
        </w:rPr>
        <w:t>级。</w:t>
      </w:r>
    </w:p>
    <w:p w14:paraId="55433FE6">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（3）地下水环境</w:t>
      </w:r>
    </w:p>
    <w:p w14:paraId="3EDD2C8D">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1）项目类别确定</w:t>
      </w:r>
    </w:p>
    <w:p w14:paraId="30CC4EC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项目主体工程为水库除险加固工程，根据《环境影响评价技术导则  地下水环境》（HJ610-2016）附录A地下水环境影响评价行业分类表中的分类，本项目水库总库容为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1423</w:t>
      </w:r>
      <w:r>
        <w:rPr>
          <w:rFonts w:hint="default" w:ascii="Times New Roman" w:hAnsi="Times New Roman" w:eastAsia="宋体" w:cs="Times New Roman"/>
          <w:caps w:val="0"/>
          <w:smallCaps w:val="0"/>
          <w:color w:val="auto"/>
          <w:spacing w:val="0"/>
          <w:w w:val="100"/>
          <w:kern w:val="0"/>
          <w:position w:val="0"/>
          <w:sz w:val="24"/>
          <w:szCs w:val="24"/>
          <w:u w:val="none" w:color="auto"/>
        </w:rPr>
        <w:t>万m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，在1000万m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以上，属于III类项目。</w:t>
      </w:r>
    </w:p>
    <w:p w14:paraId="0EAB617E">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2）地下水敏感程度</w:t>
      </w:r>
    </w:p>
    <w:p w14:paraId="27CBE97F">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建设项目场地的地下水敏感程度可分为敏感、较敏感、不敏感三级，分级原则见表1.6-</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6F311D04">
      <w:pPr>
        <w:pageBreakBefore w:val="0"/>
        <w:kinsoku w:val="0"/>
        <w:wordWrap w:val="0"/>
        <w:overflowPunct/>
        <w:topLinePunct/>
        <w:autoSpaceDE/>
        <w:autoSpaceDN/>
        <w:bidi w:val="0"/>
        <w:adjustRightInd w:val="0"/>
        <w:spacing w:line="500" w:lineRule="exact"/>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地下水环境敏感程度分级表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1230"/>
        <w:gridCol w:w="7116"/>
      </w:tblGrid>
      <w:tr w14:paraId="7A546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334" w:type="dxa"/>
            <w:tcBorders>
              <w:tl2br w:val="nil"/>
              <w:tr2bl w:val="nil"/>
            </w:tcBorders>
            <w:vAlign w:val="center"/>
          </w:tcPr>
          <w:p w14:paraId="7F94917B">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敏感程度</w:t>
            </w:r>
          </w:p>
        </w:tc>
        <w:tc>
          <w:tcPr>
            <w:tcW w:w="7738" w:type="dxa"/>
            <w:tcBorders>
              <w:tl2br w:val="nil"/>
              <w:tr2bl w:val="nil"/>
            </w:tcBorders>
            <w:vAlign w:val="center"/>
          </w:tcPr>
          <w:p w14:paraId="23F6B5A0">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地下水环境敏感程度分级表</w:t>
            </w:r>
          </w:p>
        </w:tc>
      </w:tr>
      <w:tr w14:paraId="0E7B2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334" w:type="dxa"/>
            <w:tcBorders>
              <w:tl2br w:val="nil"/>
              <w:tr2bl w:val="nil"/>
            </w:tcBorders>
            <w:vAlign w:val="center"/>
          </w:tcPr>
          <w:p w14:paraId="66AA5832">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敏感</w:t>
            </w:r>
          </w:p>
        </w:tc>
        <w:tc>
          <w:tcPr>
            <w:tcW w:w="7738" w:type="dxa"/>
            <w:tcBorders>
              <w:tl2br w:val="nil"/>
              <w:tr2bl w:val="nil"/>
            </w:tcBorders>
            <w:vAlign w:val="center"/>
          </w:tcPr>
          <w:p w14:paraId="21ACE9FB">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1B9A0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334" w:type="dxa"/>
            <w:tcBorders>
              <w:tl2br w:val="nil"/>
              <w:tr2bl w:val="nil"/>
            </w:tcBorders>
            <w:vAlign w:val="center"/>
          </w:tcPr>
          <w:p w14:paraId="301074B2">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较敏感</w:t>
            </w:r>
          </w:p>
        </w:tc>
        <w:tc>
          <w:tcPr>
            <w:tcW w:w="7738" w:type="dxa"/>
            <w:tcBorders>
              <w:tl2br w:val="nil"/>
              <w:tr2bl w:val="nil"/>
            </w:tcBorders>
            <w:vAlign w:val="center"/>
          </w:tcPr>
          <w:p w14:paraId="14F2B1F0">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14:paraId="57477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334" w:type="dxa"/>
            <w:tcBorders>
              <w:tl2br w:val="nil"/>
              <w:tr2bl w:val="nil"/>
            </w:tcBorders>
            <w:vAlign w:val="center"/>
          </w:tcPr>
          <w:p w14:paraId="7B35E072">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不敏感</w:t>
            </w:r>
          </w:p>
        </w:tc>
        <w:tc>
          <w:tcPr>
            <w:tcW w:w="7738" w:type="dxa"/>
            <w:tcBorders>
              <w:tl2br w:val="nil"/>
              <w:tr2bl w:val="nil"/>
            </w:tcBorders>
            <w:vAlign w:val="center"/>
          </w:tcPr>
          <w:p w14:paraId="0A3D473D">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center"/>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上述地区以外的其他地区</w:t>
            </w:r>
          </w:p>
        </w:tc>
      </w:tr>
      <w:tr w14:paraId="6A448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072" w:type="dxa"/>
            <w:gridSpan w:val="2"/>
            <w:tcBorders>
              <w:tl2br w:val="nil"/>
              <w:tr2bl w:val="nil"/>
            </w:tcBorders>
            <w:vAlign w:val="center"/>
          </w:tcPr>
          <w:p w14:paraId="61EAC4B5">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400" w:lineRule="exact"/>
              <w:ind w:left="0" w:right="0"/>
              <w:jc w:val="left"/>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注：集中式饮用水水源指进入输水管网送到用户的且具有一定供水规模(供水人口一般不小于1000人)的现用、备用和规划的地下水饮用水水源。</w:t>
            </w:r>
          </w:p>
        </w:tc>
      </w:tr>
    </w:tbl>
    <w:p w14:paraId="0A91D9DA">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周边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分布有</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分散式</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居民水井</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地下水</w:t>
      </w:r>
      <w:r>
        <w:rPr>
          <w:rFonts w:hint="default" w:ascii="Times New Roman" w:hAnsi="Times New Roman" w:eastAsia="宋体" w:cs="Times New Roman"/>
          <w:caps w:val="0"/>
          <w:smallCaps w:val="0"/>
          <w:color w:val="auto"/>
          <w:spacing w:val="0"/>
          <w:w w:val="100"/>
          <w:kern w:val="0"/>
          <w:position w:val="0"/>
          <w:sz w:val="24"/>
          <w:szCs w:val="24"/>
          <w:u w:val="none" w:color="auto"/>
        </w:rPr>
        <w:t>环境敏感程度确定为“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较</w:t>
      </w:r>
      <w:r>
        <w:rPr>
          <w:rFonts w:hint="default" w:ascii="Times New Roman" w:hAnsi="Times New Roman" w:eastAsia="宋体" w:cs="Times New Roman"/>
          <w:caps w:val="0"/>
          <w:smallCaps w:val="0"/>
          <w:color w:val="auto"/>
          <w:spacing w:val="0"/>
          <w:w w:val="100"/>
          <w:kern w:val="0"/>
          <w:position w:val="0"/>
          <w:sz w:val="24"/>
          <w:szCs w:val="24"/>
          <w:u w:val="none" w:color="auto"/>
        </w:rPr>
        <w:t>敏感”。</w:t>
      </w:r>
    </w:p>
    <w:p w14:paraId="2C5DA75E">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3）评价工作等级</w:t>
      </w:r>
    </w:p>
    <w:p w14:paraId="39FAC31F">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根据《环境影响评价技术导则 地下水环境》(HJ610-2016)，</w:t>
      </w:r>
      <w:r>
        <w:rPr>
          <w:rFonts w:hint="default" w:ascii="Times New Roman" w:hAnsi="Times New Roman" w:eastAsia="宋体" w:cs="Times New Roman"/>
          <w:caps w:val="0"/>
          <w:smallCaps w:val="0"/>
          <w:color w:val="auto"/>
          <w:spacing w:val="0"/>
          <w:w w:val="100"/>
          <w:kern w:val="0"/>
          <w:position w:val="0"/>
          <w:sz w:val="24"/>
          <w:szCs w:val="24"/>
          <w:u w:val="none" w:color="auto"/>
        </w:rPr>
        <w:t>建设项目地下水环境影响评价工作等级划分见表1.6-</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0AFB9168">
      <w:pPr>
        <w:pageBreakBefore w:val="0"/>
        <w:kinsoku w:val="0"/>
        <w:wordWrap w:val="0"/>
        <w:overflowPunct/>
        <w:topLinePunct/>
        <w:autoSpaceDE/>
        <w:autoSpaceDN/>
        <w:bidi w:val="0"/>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lang w:eastAsia="zh-CN"/>
        </w:rPr>
        <w:t>地下水</w:t>
      </w:r>
      <w:r>
        <w:rPr>
          <w:rFonts w:hint="default" w:ascii="Times New Roman" w:hAnsi="Times New Roman" w:eastAsia="宋体" w:cs="Times New Roman"/>
          <w:b/>
          <w:caps w:val="0"/>
          <w:smallCaps w:val="0"/>
          <w:color w:val="auto"/>
          <w:spacing w:val="0"/>
          <w:w w:val="100"/>
          <w:kern w:val="0"/>
          <w:position w:val="0"/>
          <w:sz w:val="24"/>
          <w:szCs w:val="24"/>
          <w:u w:val="none" w:color="auto"/>
        </w:rPr>
        <w:t>评价工作等级分级表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2002"/>
        <w:gridCol w:w="1785"/>
        <w:gridCol w:w="1938"/>
      </w:tblGrid>
      <w:tr w14:paraId="48CF0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78" w:type="dxa"/>
            <w:tcBorders>
              <w:bottom w:val="single" w:color="auto" w:sz="4" w:space="0"/>
              <w:right w:val="single" w:color="auto" w:sz="4" w:space="0"/>
              <w:tl2br w:val="single" w:color="auto" w:sz="4" w:space="0"/>
            </w:tcBorders>
            <w:vAlign w:val="top"/>
          </w:tcPr>
          <w:p w14:paraId="66A9DB75">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 xml:space="preserve">            项目类别</w:t>
            </w:r>
          </w:p>
          <w:p w14:paraId="070C9A44">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环境敏感程度</w:t>
            </w:r>
          </w:p>
        </w:tc>
        <w:tc>
          <w:tcPr>
            <w:tcW w:w="2132" w:type="dxa"/>
            <w:tcBorders>
              <w:left w:val="single" w:color="auto" w:sz="4" w:space="0"/>
              <w:tl2br w:val="nil"/>
              <w:tr2bl w:val="nil"/>
            </w:tcBorders>
            <w:vAlign w:val="center"/>
          </w:tcPr>
          <w:p w14:paraId="08F0EAB6">
            <w:pPr>
              <w:keepNext w:val="0"/>
              <w:keepLines w:val="0"/>
              <w:pageBreakBefore w:val="0"/>
              <w:widowControl/>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Ⅰ类项目</w:t>
            </w:r>
          </w:p>
        </w:tc>
        <w:tc>
          <w:tcPr>
            <w:tcW w:w="1899" w:type="dxa"/>
            <w:tcBorders>
              <w:tl2br w:val="nil"/>
              <w:tr2bl w:val="nil"/>
            </w:tcBorders>
            <w:vAlign w:val="center"/>
          </w:tcPr>
          <w:p w14:paraId="440F7C05">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Ⅱ类项目</w:t>
            </w:r>
          </w:p>
        </w:tc>
        <w:tc>
          <w:tcPr>
            <w:tcW w:w="2063" w:type="dxa"/>
            <w:tcBorders>
              <w:tl2br w:val="nil"/>
              <w:tr2bl w:val="nil"/>
            </w:tcBorders>
            <w:vAlign w:val="center"/>
          </w:tcPr>
          <w:p w14:paraId="007E2684">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Ⅲ类项目</w:t>
            </w:r>
          </w:p>
        </w:tc>
      </w:tr>
      <w:tr w14:paraId="77198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78" w:type="dxa"/>
            <w:tcBorders>
              <w:top w:val="single" w:color="auto" w:sz="4" w:space="0"/>
              <w:tl2br w:val="nil"/>
              <w:tr2bl w:val="nil"/>
            </w:tcBorders>
            <w:vAlign w:val="center"/>
          </w:tcPr>
          <w:p w14:paraId="0E2DBA45">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敏感</w:t>
            </w:r>
          </w:p>
        </w:tc>
        <w:tc>
          <w:tcPr>
            <w:tcW w:w="2132" w:type="dxa"/>
            <w:tcBorders>
              <w:tl2br w:val="nil"/>
              <w:tr2bl w:val="nil"/>
            </w:tcBorders>
            <w:vAlign w:val="center"/>
          </w:tcPr>
          <w:p w14:paraId="47C64F23">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一</w:t>
            </w:r>
          </w:p>
        </w:tc>
        <w:tc>
          <w:tcPr>
            <w:tcW w:w="1899" w:type="dxa"/>
            <w:tcBorders>
              <w:tl2br w:val="nil"/>
              <w:tr2bl w:val="nil"/>
            </w:tcBorders>
            <w:vAlign w:val="center"/>
          </w:tcPr>
          <w:p w14:paraId="31BE9317">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一</w:t>
            </w:r>
          </w:p>
        </w:tc>
        <w:tc>
          <w:tcPr>
            <w:tcW w:w="2063" w:type="dxa"/>
            <w:tcBorders>
              <w:tl2br w:val="nil"/>
              <w:tr2bl w:val="nil"/>
            </w:tcBorders>
            <w:vAlign w:val="center"/>
          </w:tcPr>
          <w:p w14:paraId="05F2C301">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二</w:t>
            </w:r>
          </w:p>
        </w:tc>
      </w:tr>
      <w:tr w14:paraId="7DA41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78" w:type="dxa"/>
            <w:tcBorders>
              <w:tl2br w:val="nil"/>
              <w:tr2bl w:val="nil"/>
            </w:tcBorders>
            <w:vAlign w:val="center"/>
          </w:tcPr>
          <w:p w14:paraId="7A23BF8F">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较敏感</w:t>
            </w:r>
          </w:p>
        </w:tc>
        <w:tc>
          <w:tcPr>
            <w:tcW w:w="2132" w:type="dxa"/>
            <w:tcBorders>
              <w:tl2br w:val="nil"/>
              <w:tr2bl w:val="nil"/>
            </w:tcBorders>
            <w:vAlign w:val="center"/>
          </w:tcPr>
          <w:p w14:paraId="46C74C62">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一</w:t>
            </w:r>
          </w:p>
        </w:tc>
        <w:tc>
          <w:tcPr>
            <w:tcW w:w="1899" w:type="dxa"/>
            <w:tcBorders>
              <w:tl2br w:val="nil"/>
              <w:tr2bl w:val="nil"/>
            </w:tcBorders>
            <w:vAlign w:val="center"/>
          </w:tcPr>
          <w:p w14:paraId="29A00202">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二</w:t>
            </w:r>
          </w:p>
        </w:tc>
        <w:tc>
          <w:tcPr>
            <w:tcW w:w="2063" w:type="dxa"/>
            <w:tcBorders>
              <w:tl2br w:val="nil"/>
              <w:tr2bl w:val="nil"/>
            </w:tcBorders>
            <w:vAlign w:val="center"/>
          </w:tcPr>
          <w:p w14:paraId="186EF271">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三</w:t>
            </w:r>
          </w:p>
        </w:tc>
      </w:tr>
      <w:tr w14:paraId="4CEFA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78" w:type="dxa"/>
            <w:tcBorders>
              <w:tl2br w:val="nil"/>
              <w:tr2bl w:val="nil"/>
            </w:tcBorders>
            <w:vAlign w:val="center"/>
          </w:tcPr>
          <w:p w14:paraId="3F8F979F">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不敏感</w:t>
            </w:r>
          </w:p>
        </w:tc>
        <w:tc>
          <w:tcPr>
            <w:tcW w:w="2132" w:type="dxa"/>
            <w:tcBorders>
              <w:tl2br w:val="nil"/>
              <w:tr2bl w:val="nil"/>
            </w:tcBorders>
            <w:vAlign w:val="center"/>
          </w:tcPr>
          <w:p w14:paraId="5B0C0137">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二</w:t>
            </w:r>
          </w:p>
        </w:tc>
        <w:tc>
          <w:tcPr>
            <w:tcW w:w="1899" w:type="dxa"/>
            <w:tcBorders>
              <w:tl2br w:val="nil"/>
              <w:tr2bl w:val="nil"/>
            </w:tcBorders>
            <w:vAlign w:val="center"/>
          </w:tcPr>
          <w:p w14:paraId="6AA94A15">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rPr>
            </w:pPr>
            <w:r>
              <w:rPr>
                <w:rFonts w:hint="default" w:ascii="Times New Roman" w:hAnsi="Times New Roman" w:eastAsia="宋体" w:cs="Times New Roman"/>
                <w:caps w:val="0"/>
                <w:smallCaps w:val="0"/>
                <w:color w:val="auto"/>
                <w:spacing w:val="0"/>
                <w:w w:val="100"/>
                <w:kern w:val="0"/>
                <w:position w:val="0"/>
                <w:szCs w:val="21"/>
                <w:u w:val="none" w:color="auto"/>
              </w:rPr>
              <w:t>三</w:t>
            </w:r>
          </w:p>
        </w:tc>
        <w:tc>
          <w:tcPr>
            <w:tcW w:w="2063" w:type="dxa"/>
            <w:tcBorders>
              <w:tl2br w:val="nil"/>
              <w:tr2bl w:val="nil"/>
            </w:tcBorders>
            <w:vAlign w:val="center"/>
          </w:tcPr>
          <w:p w14:paraId="5244D375">
            <w:pPr>
              <w:keepNext w:val="0"/>
              <w:keepLines w:val="0"/>
              <w:pageBreakBefore w:val="0"/>
              <w:widowControl/>
              <w:suppressLineNumbers w:val="0"/>
              <w:kinsoku w:val="0"/>
              <w:wordWrap w:val="0"/>
              <w:overflowPunct/>
              <w:topLinePunct/>
              <w:autoSpaceDE/>
              <w:autoSpaceDN/>
              <w:bidi w:val="0"/>
              <w:adjustRightInd/>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三</w:t>
            </w:r>
          </w:p>
        </w:tc>
      </w:tr>
    </w:tbl>
    <w:p w14:paraId="74B3E728">
      <w:pPr>
        <w:pStyle w:val="106"/>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综上，本</w:t>
      </w:r>
      <w:r>
        <w:rPr>
          <w:rFonts w:hint="default" w:ascii="Times New Roman" w:hAnsi="Times New Roman" w:cs="Times New Roman"/>
          <w:color w:val="auto"/>
          <w:u w:val="none" w:color="auto"/>
        </w:rPr>
        <w:t>项目地下水环境影响评价项目类别为Ⅲ类，环境敏感程度为</w:t>
      </w:r>
      <w:r>
        <w:rPr>
          <w:rFonts w:hint="eastAsia" w:cs="Times New Roman"/>
          <w:color w:val="auto"/>
          <w:u w:val="none" w:color="auto"/>
          <w:lang w:eastAsia="zh-CN"/>
        </w:rPr>
        <w:t>较</w:t>
      </w:r>
      <w:r>
        <w:rPr>
          <w:rFonts w:hint="default" w:ascii="Times New Roman" w:hAnsi="Times New Roman" w:cs="Times New Roman"/>
          <w:color w:val="auto"/>
          <w:u w:val="none" w:color="auto"/>
        </w:rPr>
        <w:t>敏感</w:t>
      </w:r>
      <w:r>
        <w:rPr>
          <w:rFonts w:hint="default" w:ascii="Times New Roman" w:hAnsi="Times New Roman" w:cs="Times New Roman"/>
          <w:color w:val="auto"/>
          <w:u w:val="none" w:color="auto"/>
          <w:lang w:eastAsia="zh-CN"/>
        </w:rPr>
        <w:t>，本</w:t>
      </w:r>
      <w:r>
        <w:rPr>
          <w:rFonts w:hint="default" w:ascii="Times New Roman" w:hAnsi="Times New Roman" w:cs="Times New Roman"/>
          <w:color w:val="auto"/>
          <w:u w:val="none" w:color="auto"/>
        </w:rPr>
        <w:t>项目地下水评价等级为三级。</w:t>
      </w:r>
    </w:p>
    <w:p w14:paraId="1716ED25">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（4）声环境</w:t>
      </w:r>
    </w:p>
    <w:p w14:paraId="79830E9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根据《环境影响评价技术导则 声环境》（HJ2.4-20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w:t>
      </w:r>
      <w:r>
        <w:rPr>
          <w:rFonts w:hint="default" w:ascii="Times New Roman" w:hAnsi="Times New Roman" w:eastAsia="宋体" w:cs="Times New Roman"/>
          <w:caps w:val="0"/>
          <w:smallCaps w:val="0"/>
          <w:color w:val="auto"/>
          <w:spacing w:val="0"/>
          <w:w w:val="100"/>
          <w:kern w:val="0"/>
          <w:position w:val="0"/>
          <w:sz w:val="24"/>
          <w:szCs w:val="24"/>
          <w:u w:val="none" w:color="auto"/>
        </w:rPr>
        <w:t>），声环境影响评价工作等级划分依据见表1.6-</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58C25253">
      <w:pPr>
        <w:keepNext w:val="0"/>
        <w:keepLines w:val="0"/>
        <w:pageBreakBefore w:val="0"/>
        <w:widowControl w:val="0"/>
        <w:kinsoku w:val="0"/>
        <w:wordWrap w:val="0"/>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声环境评价工作等级划分</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3"/>
        <w:gridCol w:w="1920"/>
        <w:gridCol w:w="2052"/>
        <w:gridCol w:w="1971"/>
      </w:tblGrid>
      <w:tr w14:paraId="07A88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45924EE">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类别</w:t>
            </w:r>
          </w:p>
        </w:tc>
        <w:tc>
          <w:tcPr>
            <w:tcW w:w="1920" w:type="dxa"/>
            <w:tcBorders>
              <w:tl2br w:val="nil"/>
              <w:tr2bl w:val="nil"/>
            </w:tcBorders>
            <w:vAlign w:val="center"/>
          </w:tcPr>
          <w:p w14:paraId="1AB9810C">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一级</w:t>
            </w:r>
          </w:p>
        </w:tc>
        <w:tc>
          <w:tcPr>
            <w:tcW w:w="2052" w:type="dxa"/>
            <w:tcBorders>
              <w:tl2br w:val="nil"/>
              <w:tr2bl w:val="nil"/>
            </w:tcBorders>
            <w:vAlign w:val="center"/>
          </w:tcPr>
          <w:p w14:paraId="49450809">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二级</w:t>
            </w:r>
          </w:p>
        </w:tc>
        <w:tc>
          <w:tcPr>
            <w:tcW w:w="1971" w:type="dxa"/>
            <w:tcBorders>
              <w:tl2br w:val="nil"/>
              <w:tr2bl w:val="nil"/>
            </w:tcBorders>
            <w:vAlign w:val="center"/>
          </w:tcPr>
          <w:p w14:paraId="4023294F">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三级</w:t>
            </w:r>
          </w:p>
        </w:tc>
      </w:tr>
      <w:tr w14:paraId="66FEB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2976E02">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建设项目所在区域的声环境功能区类别</w:t>
            </w:r>
          </w:p>
        </w:tc>
        <w:tc>
          <w:tcPr>
            <w:tcW w:w="1920" w:type="dxa"/>
            <w:tcBorders>
              <w:tl2br w:val="nil"/>
              <w:tr2bl w:val="nil"/>
            </w:tcBorders>
            <w:vAlign w:val="center"/>
          </w:tcPr>
          <w:p w14:paraId="7292E8A6">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GB3096规定的0类区域</w:t>
            </w:r>
          </w:p>
        </w:tc>
        <w:tc>
          <w:tcPr>
            <w:tcW w:w="2052" w:type="dxa"/>
            <w:tcBorders>
              <w:tl2br w:val="nil"/>
              <w:tr2bl w:val="nil"/>
            </w:tcBorders>
            <w:vAlign w:val="center"/>
          </w:tcPr>
          <w:p w14:paraId="72D518FB">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GB3096规定的1类、2类地区</w:t>
            </w:r>
          </w:p>
        </w:tc>
        <w:tc>
          <w:tcPr>
            <w:tcW w:w="1971" w:type="dxa"/>
            <w:tcBorders>
              <w:tl2br w:val="nil"/>
              <w:tr2bl w:val="nil"/>
            </w:tcBorders>
            <w:vAlign w:val="center"/>
          </w:tcPr>
          <w:p w14:paraId="3BE97CFF">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GB3096规定的3类、4类地区</w:t>
            </w:r>
          </w:p>
        </w:tc>
      </w:tr>
      <w:tr w14:paraId="72EA0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573" w:type="dxa"/>
            <w:tcBorders>
              <w:tl2br w:val="nil"/>
              <w:tr2bl w:val="nil"/>
            </w:tcBorders>
            <w:vAlign w:val="center"/>
          </w:tcPr>
          <w:p w14:paraId="036C39F6">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建设项目建设前后所在区域的声环境质量变化程度</w:t>
            </w:r>
          </w:p>
        </w:tc>
        <w:tc>
          <w:tcPr>
            <w:tcW w:w="1920" w:type="dxa"/>
            <w:tcBorders>
              <w:tl2br w:val="nil"/>
              <w:tr2bl w:val="nil"/>
            </w:tcBorders>
            <w:vAlign w:val="center"/>
          </w:tcPr>
          <w:p w14:paraId="5B16D78F">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both"/>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敏感目标噪声级增量＞5dB（A）</w:t>
            </w:r>
          </w:p>
        </w:tc>
        <w:tc>
          <w:tcPr>
            <w:tcW w:w="2052" w:type="dxa"/>
            <w:tcBorders>
              <w:tl2br w:val="nil"/>
              <w:tr2bl w:val="nil"/>
            </w:tcBorders>
            <w:vAlign w:val="center"/>
          </w:tcPr>
          <w:p w14:paraId="108160E7">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敏感目标噪声级增量达3～5dB（A）</w:t>
            </w:r>
          </w:p>
        </w:tc>
        <w:tc>
          <w:tcPr>
            <w:tcW w:w="1971" w:type="dxa"/>
            <w:tcBorders>
              <w:tl2br w:val="nil"/>
              <w:tr2bl w:val="nil"/>
            </w:tcBorders>
            <w:vAlign w:val="center"/>
          </w:tcPr>
          <w:p w14:paraId="164C7B76">
            <w:pPr>
              <w:pStyle w:val="17"/>
              <w:keepNext w:val="0"/>
              <w:keepLines w:val="0"/>
              <w:pageBreakBefore w:val="0"/>
              <w:suppressLineNumbers w:val="0"/>
              <w:kinsoku w:val="0"/>
              <w:wordWrap w:val="0"/>
              <w:overflowPunct/>
              <w:topLinePunct/>
              <w:autoSpaceDE/>
              <w:autoSpaceDN/>
              <w:bidi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敏感目标噪声级增量＜3dB（A）</w:t>
            </w:r>
          </w:p>
        </w:tc>
      </w:tr>
      <w:tr w14:paraId="0CE8E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573" w:type="dxa"/>
            <w:tcBorders>
              <w:tl2br w:val="nil"/>
              <w:tr2bl w:val="nil"/>
            </w:tcBorders>
            <w:vAlign w:val="center"/>
          </w:tcPr>
          <w:p w14:paraId="74BAC87D">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受影响人口数量</w:t>
            </w:r>
          </w:p>
        </w:tc>
        <w:tc>
          <w:tcPr>
            <w:tcW w:w="1920" w:type="dxa"/>
            <w:tcBorders>
              <w:tl2br w:val="nil"/>
              <w:tr2bl w:val="nil"/>
            </w:tcBorders>
            <w:vAlign w:val="center"/>
          </w:tcPr>
          <w:p w14:paraId="5BE2E906">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显著增多</w:t>
            </w:r>
          </w:p>
        </w:tc>
        <w:tc>
          <w:tcPr>
            <w:tcW w:w="2052" w:type="dxa"/>
            <w:tcBorders>
              <w:tl2br w:val="nil"/>
              <w:tr2bl w:val="nil"/>
            </w:tcBorders>
            <w:vAlign w:val="center"/>
          </w:tcPr>
          <w:p w14:paraId="01B754C3">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增加较多</w:t>
            </w:r>
          </w:p>
        </w:tc>
        <w:tc>
          <w:tcPr>
            <w:tcW w:w="1971" w:type="dxa"/>
            <w:tcBorders>
              <w:tl2br w:val="nil"/>
              <w:tr2bl w:val="nil"/>
            </w:tcBorders>
            <w:vAlign w:val="center"/>
          </w:tcPr>
          <w:p w14:paraId="7D5FEFD5">
            <w:pPr>
              <w:pStyle w:val="17"/>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eastAsia="zh-CN"/>
              </w:rPr>
              <w:t>或</w:t>
            </w:r>
            <w:r>
              <w:rPr>
                <w:rFonts w:hint="default" w:ascii="Times New Roman" w:hAnsi="Times New Roman" w:eastAsia="宋体" w:cs="Times New Roman"/>
                <w:caps w:val="0"/>
                <w:smallCaps w:val="0"/>
                <w:color w:val="auto"/>
                <w:spacing w:val="0"/>
                <w:w w:val="100"/>
                <w:position w:val="0"/>
                <w:sz w:val="21"/>
                <w:szCs w:val="21"/>
                <w:u w:val="none" w:color="auto"/>
              </w:rPr>
              <w:t>变化不大</w:t>
            </w:r>
          </w:p>
        </w:tc>
      </w:tr>
    </w:tbl>
    <w:p w14:paraId="3639A81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项目所处区域为1类区，项目建设前后噪声级增高量在3dB（A）以下，且受影响人口</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基本</w:t>
      </w:r>
      <w:r>
        <w:rPr>
          <w:rFonts w:hint="default" w:ascii="Times New Roman" w:hAnsi="Times New Roman" w:eastAsia="宋体" w:cs="Times New Roman"/>
          <w:caps w:val="0"/>
          <w:smallCaps w:val="0"/>
          <w:color w:val="auto"/>
          <w:spacing w:val="0"/>
          <w:w w:val="100"/>
          <w:kern w:val="0"/>
          <w:position w:val="0"/>
          <w:sz w:val="24"/>
          <w:szCs w:val="24"/>
          <w:u w:val="none" w:color="auto"/>
        </w:rPr>
        <w:t>无变化。根据《环境影响评价技术导则  声环境》（HJ2.4-20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w:t>
      </w:r>
      <w:r>
        <w:rPr>
          <w:rFonts w:hint="default" w:ascii="Times New Roman" w:hAnsi="Times New Roman" w:eastAsia="宋体" w:cs="Times New Roman"/>
          <w:caps w:val="0"/>
          <w:smallCaps w:val="0"/>
          <w:color w:val="auto"/>
          <w:spacing w:val="0"/>
          <w:w w:val="100"/>
          <w:kern w:val="0"/>
          <w:position w:val="0"/>
          <w:sz w:val="24"/>
          <w:szCs w:val="24"/>
          <w:u w:val="none" w:color="auto"/>
        </w:rPr>
        <w:t>）中相关规定，本次声环境影响评价确定为二级。</w:t>
      </w:r>
    </w:p>
    <w:p w14:paraId="54FBCA6C">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（5）土壤环境</w:t>
      </w:r>
    </w:p>
    <w:p w14:paraId="780DD77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水库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除险加固工程</w:t>
      </w:r>
      <w:r>
        <w:rPr>
          <w:rFonts w:hint="default" w:ascii="Times New Roman" w:hAnsi="Times New Roman" w:eastAsia="宋体" w:cs="Times New Roman"/>
          <w:caps w:val="0"/>
          <w:smallCaps w:val="0"/>
          <w:color w:val="auto"/>
          <w:spacing w:val="0"/>
          <w:w w:val="100"/>
          <w:kern w:val="0"/>
          <w:position w:val="0"/>
          <w:sz w:val="24"/>
          <w:szCs w:val="24"/>
          <w:u w:val="none" w:color="auto"/>
        </w:rPr>
        <w:t>，属于生态影响型。根据《环境影响评价技术导则 土壤环境（试行）》（HJ964-2018），建设项目土壤环境影响评价工作等级根据土壤环境影响评价项目类别与敏感程度进行划分。</w:t>
      </w:r>
      <w:r>
        <w:rPr>
          <w:rFonts w:hint="default" w:ascii="Times New Roman" w:hAnsi="Times New Roman" w:eastAsia="宋体" w:cs="Times New Roman"/>
          <w:color w:val="auto"/>
          <w:spacing w:val="0"/>
          <w:w w:val="100"/>
          <w:position w:val="0"/>
          <w:sz w:val="24"/>
          <w:szCs w:val="24"/>
          <w:u w:val="none" w:color="auto"/>
        </w:rPr>
        <w:t>生态影响型评价工作等级划分见下表</w:t>
      </w:r>
      <w:r>
        <w:rPr>
          <w:rFonts w:hint="default" w:ascii="Times New Roman" w:hAnsi="Times New Roman" w:eastAsia="宋体" w:cs="Times New Roman"/>
          <w:color w:val="auto"/>
          <w:spacing w:val="0"/>
          <w:w w:val="100"/>
          <w:position w:val="0"/>
          <w:sz w:val="24"/>
          <w:szCs w:val="24"/>
          <w:u w:val="none" w:color="auto"/>
          <w:lang w:eastAsia="zh-CN"/>
        </w:rPr>
        <w:t>：</w:t>
      </w:r>
    </w:p>
    <w:p w14:paraId="119174F7">
      <w:pPr>
        <w:spacing w:line="214" w:lineRule="auto"/>
        <w:ind w:left="2932" w:leftChars="0" w:hanging="2932" w:hangingChars="1217"/>
        <w:jc w:val="center"/>
        <w:rPr>
          <w:rFonts w:hint="default" w:ascii="Times New Roman" w:hAnsi="Times New Roman" w:eastAsia="宋体" w:cs="Times New Roman"/>
          <w:b/>
          <w:bCs/>
          <w:color w:val="auto"/>
          <w:spacing w:val="0"/>
          <w:w w:val="100"/>
          <w:position w:val="0"/>
          <w:sz w:val="24"/>
          <w:szCs w:val="24"/>
          <w:u w:val="none" w:color="auto"/>
        </w:rPr>
      </w:pPr>
      <w:r>
        <w:rPr>
          <w:rFonts w:hint="default" w:ascii="Times New Roman" w:hAnsi="Times New Roman" w:eastAsia="宋体" w:cs="Times New Roman"/>
          <w:b/>
          <w:bCs/>
          <w:color w:val="auto"/>
          <w:spacing w:val="0"/>
          <w:w w:val="100"/>
          <w:position w:val="0"/>
          <w:sz w:val="24"/>
          <w:szCs w:val="24"/>
          <w:u w:val="none" w:color="auto"/>
        </w:rPr>
        <w:t>表</w:t>
      </w:r>
      <w:r>
        <w:rPr>
          <w:rFonts w:hint="default" w:ascii="Times New Roman" w:hAnsi="Times New Roman" w:eastAsia="Times New Roman" w:cs="Times New Roman"/>
          <w:b/>
          <w:bCs/>
          <w:color w:val="auto"/>
          <w:spacing w:val="0"/>
          <w:w w:val="100"/>
          <w:position w:val="0"/>
          <w:sz w:val="24"/>
          <w:szCs w:val="24"/>
          <w:u w:val="none" w:color="auto"/>
        </w:rPr>
        <w:t>1.6-</w:t>
      </w:r>
      <w:r>
        <w:rPr>
          <w:rFonts w:hint="eastAsia" w:ascii="Times New Roman" w:hAnsi="Times New Roman" w:eastAsia="宋体" w:cs="Times New Roman"/>
          <w:b/>
          <w:bCs/>
          <w:color w:val="auto"/>
          <w:spacing w:val="0"/>
          <w:w w:val="100"/>
          <w:position w:val="0"/>
          <w:sz w:val="24"/>
          <w:szCs w:val="24"/>
          <w:u w:val="none" w:color="auto"/>
          <w:lang w:val="en-US" w:eastAsia="zh-CN"/>
        </w:rPr>
        <w:t>6</w:t>
      </w:r>
      <w:r>
        <w:rPr>
          <w:rFonts w:hint="default" w:ascii="Times New Roman" w:hAnsi="Times New Roman" w:eastAsia="Times New Roman" w:cs="Times New Roman"/>
          <w:b/>
          <w:bCs/>
          <w:color w:val="auto"/>
          <w:spacing w:val="0"/>
          <w:w w:val="100"/>
          <w:position w:val="0"/>
          <w:sz w:val="24"/>
          <w:szCs w:val="24"/>
          <w:u w:val="none" w:color="auto"/>
        </w:rPr>
        <w:t xml:space="preserve">   </w:t>
      </w:r>
      <w:r>
        <w:rPr>
          <w:rFonts w:hint="default" w:ascii="Times New Roman" w:hAnsi="Times New Roman" w:eastAsia="宋体" w:cs="Times New Roman"/>
          <w:b/>
          <w:bCs/>
          <w:color w:val="auto"/>
          <w:spacing w:val="0"/>
          <w:w w:val="100"/>
          <w:position w:val="0"/>
          <w:sz w:val="24"/>
          <w:szCs w:val="24"/>
          <w:u w:val="none" w:color="auto"/>
        </w:rPr>
        <w:t>生态影响型敏感程度分级表</w:t>
      </w:r>
    </w:p>
    <w:tbl>
      <w:tblPr>
        <w:tblStyle w:val="9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5"/>
        <w:gridCol w:w="4307"/>
        <w:gridCol w:w="1395"/>
        <w:gridCol w:w="1503"/>
      </w:tblGrid>
      <w:tr w14:paraId="0CE00A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3" w:type="dxa"/>
            <w:vMerge w:val="restart"/>
            <w:tcBorders>
              <w:tl2br w:val="nil"/>
              <w:tr2bl w:val="nil"/>
            </w:tcBorders>
            <w:noWrap w:val="0"/>
            <w:vAlign w:val="center"/>
          </w:tcPr>
          <w:p w14:paraId="6F7E0581">
            <w:pPr>
              <w:keepNext w:val="0"/>
              <w:keepLines w:val="0"/>
              <w:pageBreakBefore w:val="0"/>
              <w:widowControl w:val="0"/>
              <w:kinsoku/>
              <w:wordWrap/>
              <w:overflowPunct/>
              <w:topLinePunct w:val="0"/>
              <w:autoSpaceDE/>
              <w:autoSpaceDN/>
              <w:bidi w:val="0"/>
              <w:adjustRightInd/>
              <w:snapToGrid/>
              <w:spacing w:line="248" w:lineRule="auto"/>
              <w:ind w:left="0" w:right="0"/>
              <w:jc w:val="center"/>
              <w:textAlignment w:val="auto"/>
              <w:rPr>
                <w:rFonts w:hint="default" w:ascii="Times New Roman" w:hAnsi="Times New Roman" w:cs="Times New Roman"/>
                <w:b/>
                <w:bCs/>
                <w:color w:val="auto"/>
                <w:spacing w:val="0"/>
                <w:w w:val="100"/>
                <w:position w:val="0"/>
                <w:sz w:val="21"/>
                <w:szCs w:val="21"/>
                <w:u w:val="none" w:color="auto"/>
              </w:rPr>
            </w:pPr>
          </w:p>
          <w:p w14:paraId="0FE28118">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敏感程度</w:t>
            </w:r>
          </w:p>
        </w:tc>
        <w:tc>
          <w:tcPr>
            <w:tcW w:w="8037" w:type="dxa"/>
            <w:gridSpan w:val="3"/>
            <w:tcBorders>
              <w:tl2br w:val="nil"/>
              <w:tr2bl w:val="nil"/>
            </w:tcBorders>
            <w:noWrap w:val="0"/>
            <w:vAlign w:val="center"/>
          </w:tcPr>
          <w:p w14:paraId="70433133">
            <w:pPr>
              <w:keepNext w:val="0"/>
              <w:keepLines w:val="0"/>
              <w:pageBreakBefore w:val="0"/>
              <w:widowControl w:val="0"/>
              <w:kinsoku/>
              <w:wordWrap/>
              <w:overflowPunct/>
              <w:topLinePunct w:val="0"/>
              <w:autoSpaceDE/>
              <w:autoSpaceDN/>
              <w:bidi w:val="0"/>
              <w:adjustRightInd/>
              <w:snapToGrid/>
              <w:spacing w:line="219"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判别依据</w:t>
            </w:r>
          </w:p>
        </w:tc>
      </w:tr>
      <w:tr w14:paraId="401611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3" w:type="dxa"/>
            <w:vMerge w:val="continue"/>
            <w:tcBorders>
              <w:tl2br w:val="nil"/>
              <w:tr2bl w:val="nil"/>
            </w:tcBorders>
            <w:noWrap w:val="0"/>
            <w:vAlign w:val="center"/>
          </w:tcPr>
          <w:p w14:paraId="65C06BB3">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bCs/>
                <w:color w:val="auto"/>
                <w:spacing w:val="0"/>
                <w:w w:val="100"/>
                <w:position w:val="0"/>
                <w:sz w:val="21"/>
                <w:szCs w:val="21"/>
                <w:u w:val="none" w:color="auto"/>
              </w:rPr>
            </w:pPr>
          </w:p>
        </w:tc>
        <w:tc>
          <w:tcPr>
            <w:tcW w:w="4807" w:type="dxa"/>
            <w:tcBorders>
              <w:tl2br w:val="nil"/>
              <w:tr2bl w:val="nil"/>
            </w:tcBorders>
            <w:noWrap w:val="0"/>
            <w:vAlign w:val="center"/>
          </w:tcPr>
          <w:p w14:paraId="2D0BD03F">
            <w:pPr>
              <w:keepNext w:val="0"/>
              <w:keepLines w:val="0"/>
              <w:pageBreakBefore w:val="0"/>
              <w:widowControl w:val="0"/>
              <w:kinsoku/>
              <w:wordWrap/>
              <w:overflowPunct/>
              <w:topLinePunct w:val="0"/>
              <w:autoSpaceDE/>
              <w:autoSpaceDN/>
              <w:bidi w:val="0"/>
              <w:adjustRightInd/>
              <w:snapToGrid/>
              <w:spacing w:line="221"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盐化</w:t>
            </w:r>
          </w:p>
        </w:tc>
        <w:tc>
          <w:tcPr>
            <w:tcW w:w="1555" w:type="dxa"/>
            <w:tcBorders>
              <w:tl2br w:val="nil"/>
              <w:tr2bl w:val="nil"/>
            </w:tcBorders>
            <w:noWrap w:val="0"/>
            <w:vAlign w:val="center"/>
          </w:tcPr>
          <w:p w14:paraId="67933813">
            <w:pPr>
              <w:keepNext w:val="0"/>
              <w:keepLines w:val="0"/>
              <w:pageBreakBefore w:val="0"/>
              <w:widowControl w:val="0"/>
              <w:kinsoku/>
              <w:wordWrap/>
              <w:overflowPunct/>
              <w:topLinePunct w:val="0"/>
              <w:autoSpaceDE/>
              <w:autoSpaceDN/>
              <w:bidi w:val="0"/>
              <w:adjustRightInd/>
              <w:snapToGrid/>
              <w:spacing w:line="221"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酸化</w:t>
            </w:r>
          </w:p>
        </w:tc>
        <w:tc>
          <w:tcPr>
            <w:tcW w:w="1675" w:type="dxa"/>
            <w:tcBorders>
              <w:tl2br w:val="nil"/>
              <w:tr2bl w:val="nil"/>
            </w:tcBorders>
            <w:noWrap w:val="0"/>
            <w:vAlign w:val="center"/>
          </w:tcPr>
          <w:p w14:paraId="6511E13B">
            <w:pPr>
              <w:keepNext w:val="0"/>
              <w:keepLines w:val="0"/>
              <w:pageBreakBefore w:val="0"/>
              <w:widowControl w:val="0"/>
              <w:kinsoku/>
              <w:wordWrap/>
              <w:overflowPunct/>
              <w:topLinePunct w:val="0"/>
              <w:autoSpaceDE/>
              <w:autoSpaceDN/>
              <w:bidi w:val="0"/>
              <w:adjustRightInd/>
              <w:snapToGrid/>
              <w:spacing w:line="221"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碱化</w:t>
            </w:r>
          </w:p>
        </w:tc>
      </w:tr>
      <w:tr w14:paraId="52A0FA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3" w:type="dxa"/>
            <w:tcBorders>
              <w:tl2br w:val="nil"/>
              <w:tr2bl w:val="nil"/>
            </w:tcBorders>
            <w:noWrap w:val="0"/>
            <w:vAlign w:val="center"/>
          </w:tcPr>
          <w:p w14:paraId="74C77CC8">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敏感</w:t>
            </w:r>
          </w:p>
        </w:tc>
        <w:tc>
          <w:tcPr>
            <w:tcW w:w="4807" w:type="dxa"/>
            <w:tcBorders>
              <w:tl2br w:val="nil"/>
              <w:tr2bl w:val="nil"/>
            </w:tcBorders>
            <w:noWrap w:val="0"/>
            <w:vAlign w:val="center"/>
          </w:tcPr>
          <w:p w14:paraId="41670A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建设项目所在地干燥度</w:t>
            </w:r>
            <w:r>
              <w:rPr>
                <w:rFonts w:hint="default" w:ascii="Times New Roman" w:hAnsi="Times New Roman" w:eastAsia="Times New Roman" w:cs="Times New Roman"/>
                <w:color w:val="auto"/>
                <w:spacing w:val="0"/>
                <w:w w:val="100"/>
                <w:position w:val="0"/>
                <w:sz w:val="21"/>
                <w:szCs w:val="21"/>
                <w:u w:val="none" w:color="auto"/>
                <w:vertAlign w:val="superscript"/>
              </w:rPr>
              <w:t>a</w:t>
            </w:r>
            <w:r>
              <w:rPr>
                <w:rFonts w:hint="default" w:ascii="Times New Roman" w:hAnsi="Times New Roman" w:eastAsia="Times New Roman" w:cs="Times New Roman"/>
                <w:color w:val="auto"/>
                <w:spacing w:val="0"/>
                <w:w w:val="100"/>
                <w:position w:val="0"/>
                <w:sz w:val="21"/>
                <w:szCs w:val="21"/>
                <w:u w:val="none" w:color="auto"/>
              </w:rPr>
              <w:t>&gt;2.5</w:t>
            </w:r>
            <w:r>
              <w:rPr>
                <w:rFonts w:hint="default" w:ascii="Times New Roman" w:hAnsi="Times New Roman" w:eastAsia="宋体" w:cs="Times New Roman"/>
                <w:color w:val="auto"/>
                <w:spacing w:val="0"/>
                <w:w w:val="100"/>
                <w:position w:val="0"/>
                <w:sz w:val="21"/>
                <w:szCs w:val="21"/>
                <w:u w:val="none" w:color="auto"/>
              </w:rPr>
              <w:t>且常年地下水位平均埋深</w:t>
            </w:r>
            <w:r>
              <w:rPr>
                <w:rFonts w:hint="default" w:ascii="Times New Roman" w:hAnsi="Times New Roman" w:eastAsia="Times New Roman" w:cs="Times New Roman"/>
                <w:color w:val="auto"/>
                <w:spacing w:val="0"/>
                <w:w w:val="100"/>
                <w:position w:val="0"/>
                <w:sz w:val="21"/>
                <w:szCs w:val="21"/>
                <w:u w:val="none" w:color="auto"/>
              </w:rPr>
              <w:t>&lt;1.5m</w:t>
            </w:r>
            <w:r>
              <w:rPr>
                <w:rFonts w:hint="default" w:ascii="Times New Roman" w:hAnsi="Times New Roman" w:eastAsia="宋体" w:cs="Times New Roman"/>
                <w:color w:val="auto"/>
                <w:spacing w:val="0"/>
                <w:w w:val="100"/>
                <w:position w:val="0"/>
                <w:sz w:val="21"/>
                <w:szCs w:val="21"/>
                <w:u w:val="none" w:color="auto"/>
              </w:rPr>
              <w:t>的地势平坦区域；或土壤含盐量</w:t>
            </w:r>
            <w:r>
              <w:rPr>
                <w:rFonts w:hint="default" w:ascii="Times New Roman" w:hAnsi="Times New Roman" w:eastAsia="Times New Roman" w:cs="Times New Roman"/>
                <w:color w:val="auto"/>
                <w:spacing w:val="0"/>
                <w:w w:val="100"/>
                <w:position w:val="0"/>
                <w:sz w:val="21"/>
                <w:szCs w:val="21"/>
                <w:u w:val="none" w:color="auto"/>
              </w:rPr>
              <w:t>&gt;4g/kg</w:t>
            </w:r>
            <w:r>
              <w:rPr>
                <w:rFonts w:hint="default" w:ascii="Times New Roman" w:hAnsi="Times New Roman" w:eastAsia="宋体" w:cs="Times New Roman"/>
                <w:color w:val="auto"/>
                <w:spacing w:val="0"/>
                <w:w w:val="100"/>
                <w:position w:val="0"/>
                <w:sz w:val="21"/>
                <w:szCs w:val="21"/>
                <w:u w:val="none" w:color="auto"/>
              </w:rPr>
              <w:t>的区域</w:t>
            </w:r>
          </w:p>
        </w:tc>
        <w:tc>
          <w:tcPr>
            <w:tcW w:w="1555" w:type="dxa"/>
            <w:tcBorders>
              <w:tl2br w:val="nil"/>
              <w:tr2bl w:val="nil"/>
            </w:tcBorders>
            <w:noWrap w:val="0"/>
            <w:vAlign w:val="center"/>
          </w:tcPr>
          <w:p w14:paraId="038E7364">
            <w:pPr>
              <w:keepNext w:val="0"/>
              <w:keepLines w:val="0"/>
              <w:pageBreakBefore w:val="0"/>
              <w:widowControl w:val="0"/>
              <w:kinsoku/>
              <w:wordWrap/>
              <w:overflowPunct/>
              <w:topLinePunct w:val="0"/>
              <w:autoSpaceDE/>
              <w:autoSpaceDN/>
              <w:bidi w:val="0"/>
              <w:adjustRightInd/>
              <w:snapToGrid/>
              <w:spacing w:line="283" w:lineRule="exact"/>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pH≤4.5</w:t>
            </w:r>
          </w:p>
        </w:tc>
        <w:tc>
          <w:tcPr>
            <w:tcW w:w="1675" w:type="dxa"/>
            <w:tcBorders>
              <w:tl2br w:val="nil"/>
              <w:tr2bl w:val="nil"/>
            </w:tcBorders>
            <w:noWrap w:val="0"/>
            <w:vAlign w:val="center"/>
          </w:tcPr>
          <w:p w14:paraId="3D3B4C83">
            <w:pPr>
              <w:keepNext w:val="0"/>
              <w:keepLines w:val="0"/>
              <w:pageBreakBefore w:val="0"/>
              <w:widowControl w:val="0"/>
              <w:kinsoku/>
              <w:wordWrap/>
              <w:overflowPunct/>
              <w:topLinePunct w:val="0"/>
              <w:autoSpaceDE/>
              <w:autoSpaceDN/>
              <w:bidi w:val="0"/>
              <w:adjustRightInd/>
              <w:snapToGrid/>
              <w:spacing w:line="188" w:lineRule="auto"/>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pH≥9.0</w:t>
            </w:r>
          </w:p>
        </w:tc>
      </w:tr>
      <w:tr w14:paraId="41C7E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3" w:type="dxa"/>
            <w:tcBorders>
              <w:tl2br w:val="nil"/>
              <w:tr2bl w:val="nil"/>
            </w:tcBorders>
            <w:noWrap w:val="0"/>
            <w:vAlign w:val="center"/>
          </w:tcPr>
          <w:p w14:paraId="228A5E93">
            <w:pPr>
              <w:keepNext w:val="0"/>
              <w:keepLines w:val="0"/>
              <w:pageBreakBefore w:val="0"/>
              <w:widowControl w:val="0"/>
              <w:kinsoku/>
              <w:wordWrap/>
              <w:overflowPunct/>
              <w:topLinePunct w:val="0"/>
              <w:autoSpaceDE/>
              <w:autoSpaceDN/>
              <w:bidi w:val="0"/>
              <w:adjustRightInd/>
              <w:snapToGrid/>
              <w:spacing w:line="251" w:lineRule="auto"/>
              <w:ind w:left="0" w:right="0"/>
              <w:jc w:val="center"/>
              <w:textAlignment w:val="auto"/>
              <w:rPr>
                <w:rFonts w:hint="default" w:ascii="Times New Roman" w:hAnsi="Times New Roman" w:cs="Times New Roman"/>
                <w:b/>
                <w:bCs/>
                <w:color w:val="auto"/>
                <w:spacing w:val="0"/>
                <w:w w:val="100"/>
                <w:position w:val="0"/>
                <w:sz w:val="21"/>
                <w:szCs w:val="21"/>
                <w:u w:val="none" w:color="auto"/>
              </w:rPr>
            </w:pPr>
          </w:p>
          <w:p w14:paraId="4481F89D">
            <w:pPr>
              <w:keepNext w:val="0"/>
              <w:keepLines w:val="0"/>
              <w:pageBreakBefore w:val="0"/>
              <w:widowControl w:val="0"/>
              <w:kinsoku/>
              <w:wordWrap/>
              <w:overflowPunct/>
              <w:topLinePunct w:val="0"/>
              <w:autoSpaceDE/>
              <w:autoSpaceDN/>
              <w:bidi w:val="0"/>
              <w:adjustRightInd/>
              <w:snapToGrid/>
              <w:spacing w:line="252" w:lineRule="auto"/>
              <w:ind w:left="0" w:right="0"/>
              <w:jc w:val="center"/>
              <w:textAlignment w:val="auto"/>
              <w:rPr>
                <w:rFonts w:hint="default" w:ascii="Times New Roman" w:hAnsi="Times New Roman" w:cs="Times New Roman"/>
                <w:b/>
                <w:bCs/>
                <w:color w:val="auto"/>
                <w:spacing w:val="0"/>
                <w:w w:val="100"/>
                <w:position w:val="0"/>
                <w:sz w:val="21"/>
                <w:szCs w:val="21"/>
                <w:u w:val="none" w:color="auto"/>
              </w:rPr>
            </w:pPr>
          </w:p>
          <w:p w14:paraId="0D518C5D">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较敏感</w:t>
            </w:r>
          </w:p>
        </w:tc>
        <w:tc>
          <w:tcPr>
            <w:tcW w:w="4807" w:type="dxa"/>
            <w:tcBorders>
              <w:tl2br w:val="nil"/>
              <w:tr2bl w:val="nil"/>
            </w:tcBorders>
            <w:noWrap w:val="0"/>
            <w:vAlign w:val="center"/>
          </w:tcPr>
          <w:p w14:paraId="00192ECA">
            <w:pPr>
              <w:keepNext w:val="0"/>
              <w:keepLines w:val="0"/>
              <w:pageBreakBefore w:val="0"/>
              <w:widowControl w:val="0"/>
              <w:kinsoku/>
              <w:wordWrap/>
              <w:overflowPunct/>
              <w:topLinePunct w:val="0"/>
              <w:autoSpaceDE/>
              <w:autoSpaceDN/>
              <w:bidi w:val="0"/>
              <w:adjustRightInd/>
              <w:snapToGrid/>
              <w:spacing w:line="246" w:lineRule="auto"/>
              <w:ind w:left="0" w:right="0" w:firstLine="2"/>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建设项目所在地干燥度</w:t>
            </w:r>
            <w:r>
              <w:rPr>
                <w:rFonts w:hint="default" w:ascii="Times New Roman" w:hAnsi="Times New Roman" w:eastAsia="Times New Roman" w:cs="Times New Roman"/>
                <w:color w:val="auto"/>
                <w:spacing w:val="0"/>
                <w:w w:val="100"/>
                <w:position w:val="0"/>
                <w:sz w:val="21"/>
                <w:szCs w:val="21"/>
                <w:u w:val="none" w:color="auto"/>
              </w:rPr>
              <w:t>&gt;2.5</w:t>
            </w:r>
            <w:r>
              <w:rPr>
                <w:rFonts w:hint="default" w:ascii="Times New Roman" w:hAnsi="Times New Roman" w:eastAsia="宋体" w:cs="Times New Roman"/>
                <w:color w:val="auto"/>
                <w:spacing w:val="0"/>
                <w:w w:val="100"/>
                <w:position w:val="0"/>
                <w:sz w:val="21"/>
                <w:szCs w:val="21"/>
                <w:u w:val="none" w:color="auto"/>
              </w:rPr>
              <w:t>且常年地下水位平均埋深≥</w:t>
            </w:r>
            <w:r>
              <w:rPr>
                <w:rFonts w:hint="default" w:ascii="Times New Roman" w:hAnsi="Times New Roman" w:eastAsia="Times New Roman" w:cs="Times New Roman"/>
                <w:color w:val="auto"/>
                <w:spacing w:val="0"/>
                <w:w w:val="100"/>
                <w:position w:val="0"/>
                <w:sz w:val="21"/>
                <w:szCs w:val="21"/>
                <w:u w:val="none" w:color="auto"/>
              </w:rPr>
              <w:t>1.5m</w:t>
            </w:r>
            <w:r>
              <w:rPr>
                <w:rFonts w:hint="default" w:ascii="Times New Roman" w:hAnsi="Times New Roman" w:eastAsia="宋体" w:cs="Times New Roman"/>
                <w:color w:val="auto"/>
                <w:spacing w:val="0"/>
                <w:w w:val="100"/>
                <w:position w:val="0"/>
                <w:sz w:val="21"/>
                <w:szCs w:val="21"/>
                <w:u w:val="none" w:color="auto"/>
              </w:rPr>
              <w:t>的，或</w:t>
            </w:r>
            <w:r>
              <w:rPr>
                <w:rFonts w:hint="default" w:ascii="Times New Roman" w:hAnsi="Times New Roman" w:eastAsia="Times New Roman" w:cs="Times New Roman"/>
                <w:color w:val="auto"/>
                <w:spacing w:val="0"/>
                <w:w w:val="100"/>
                <w:position w:val="0"/>
                <w:sz w:val="21"/>
                <w:szCs w:val="21"/>
                <w:u w:val="none" w:color="auto"/>
              </w:rPr>
              <w:t>1.8&lt;</w:t>
            </w:r>
            <w:r>
              <w:rPr>
                <w:rFonts w:hint="default" w:ascii="Times New Roman" w:hAnsi="Times New Roman" w:eastAsia="宋体" w:cs="Times New Roman"/>
                <w:color w:val="auto"/>
                <w:spacing w:val="0"/>
                <w:w w:val="100"/>
                <w:position w:val="0"/>
                <w:sz w:val="21"/>
                <w:szCs w:val="21"/>
                <w:u w:val="none" w:color="auto"/>
              </w:rPr>
              <w:t>干燥度≤</w:t>
            </w:r>
            <w:r>
              <w:rPr>
                <w:rFonts w:hint="default" w:ascii="Times New Roman" w:hAnsi="Times New Roman" w:eastAsia="Times New Roman" w:cs="Times New Roman"/>
                <w:color w:val="auto"/>
                <w:spacing w:val="0"/>
                <w:w w:val="100"/>
                <w:position w:val="0"/>
                <w:sz w:val="21"/>
                <w:szCs w:val="21"/>
                <w:u w:val="none" w:color="auto"/>
              </w:rPr>
              <w:t>2.5</w:t>
            </w:r>
            <w:r>
              <w:rPr>
                <w:rFonts w:hint="default" w:ascii="Times New Roman" w:hAnsi="Times New Roman" w:eastAsia="宋体" w:cs="Times New Roman"/>
                <w:color w:val="auto"/>
                <w:spacing w:val="0"/>
                <w:w w:val="100"/>
                <w:position w:val="0"/>
                <w:sz w:val="21"/>
                <w:szCs w:val="21"/>
                <w:u w:val="none" w:color="auto"/>
              </w:rPr>
              <w:t>且常年地下水位平均埋深</w:t>
            </w:r>
            <w:r>
              <w:rPr>
                <w:rFonts w:hint="default" w:ascii="Times New Roman" w:hAnsi="Times New Roman" w:eastAsia="Times New Roman" w:cs="Times New Roman"/>
                <w:color w:val="auto"/>
                <w:spacing w:val="0"/>
                <w:w w:val="100"/>
                <w:position w:val="0"/>
                <w:sz w:val="21"/>
                <w:szCs w:val="21"/>
                <w:u w:val="none" w:color="auto"/>
              </w:rPr>
              <w:t>&lt;1.8m</w:t>
            </w:r>
            <w:r>
              <w:rPr>
                <w:rFonts w:hint="default" w:ascii="Times New Roman" w:hAnsi="Times New Roman" w:eastAsia="宋体" w:cs="Times New Roman"/>
                <w:color w:val="auto"/>
                <w:spacing w:val="0"/>
                <w:w w:val="100"/>
                <w:position w:val="0"/>
                <w:sz w:val="21"/>
                <w:szCs w:val="21"/>
                <w:u w:val="none" w:color="auto"/>
              </w:rPr>
              <w:t>的地势平坦区域；建设项目所在地干燥度</w:t>
            </w:r>
            <w:r>
              <w:rPr>
                <w:rFonts w:hint="default" w:ascii="Times New Roman" w:hAnsi="Times New Roman" w:eastAsia="Times New Roman" w:cs="Times New Roman"/>
                <w:color w:val="auto"/>
                <w:spacing w:val="0"/>
                <w:w w:val="100"/>
                <w:position w:val="0"/>
                <w:sz w:val="21"/>
                <w:szCs w:val="21"/>
                <w:u w:val="none" w:color="auto"/>
              </w:rPr>
              <w:t>&gt;2.5</w:t>
            </w:r>
            <w:r>
              <w:rPr>
                <w:rFonts w:hint="default" w:ascii="Times New Roman" w:hAnsi="Times New Roman" w:eastAsia="宋体" w:cs="Times New Roman"/>
                <w:color w:val="auto"/>
                <w:spacing w:val="0"/>
                <w:w w:val="100"/>
                <w:position w:val="0"/>
                <w:sz w:val="21"/>
                <w:szCs w:val="21"/>
                <w:u w:val="none" w:color="auto"/>
              </w:rPr>
              <w:t>或常年地下水位平均埋深</w:t>
            </w:r>
            <w:r>
              <w:rPr>
                <w:rFonts w:hint="default" w:ascii="Times New Roman" w:hAnsi="Times New Roman" w:eastAsia="Times New Roman" w:cs="Times New Roman"/>
                <w:color w:val="auto"/>
                <w:spacing w:val="0"/>
                <w:w w:val="100"/>
                <w:position w:val="0"/>
                <w:sz w:val="21"/>
                <w:szCs w:val="21"/>
                <w:u w:val="none" w:color="auto"/>
              </w:rPr>
              <w:t>&lt;1.5m</w:t>
            </w:r>
            <w:r>
              <w:rPr>
                <w:rFonts w:hint="default" w:ascii="Times New Roman" w:hAnsi="Times New Roman" w:eastAsia="宋体" w:cs="Times New Roman"/>
                <w:color w:val="auto"/>
                <w:spacing w:val="0"/>
                <w:w w:val="100"/>
                <w:position w:val="0"/>
                <w:sz w:val="21"/>
                <w:szCs w:val="21"/>
                <w:u w:val="none" w:color="auto"/>
              </w:rPr>
              <w:t>的平原区</w:t>
            </w:r>
            <w:r>
              <w:rPr>
                <w:rFonts w:hint="default" w:ascii="Times New Roman" w:hAnsi="Times New Roman" w:eastAsia="宋体" w:cs="Times New Roman"/>
                <w:color w:val="auto"/>
                <w:spacing w:val="0"/>
                <w:w w:val="100"/>
                <w:position w:val="0"/>
                <w:sz w:val="21"/>
                <w:szCs w:val="21"/>
                <w:u w:val="none" w:color="auto"/>
                <w:lang w:eastAsia="zh-CN"/>
              </w:rPr>
              <w:t>；或</w:t>
            </w:r>
            <w:r>
              <w:rPr>
                <w:rFonts w:hint="default" w:ascii="Times New Roman" w:hAnsi="Times New Roman" w:eastAsia="Times New Roman" w:cs="Times New Roman"/>
                <w:color w:val="auto"/>
                <w:spacing w:val="0"/>
                <w:w w:val="100"/>
                <w:position w:val="0"/>
                <w:sz w:val="21"/>
                <w:szCs w:val="21"/>
                <w:u w:val="none" w:color="auto"/>
              </w:rPr>
              <w:t>2g/kg&lt;</w:t>
            </w:r>
            <w:r>
              <w:rPr>
                <w:rFonts w:hint="default" w:ascii="Times New Roman" w:hAnsi="Times New Roman" w:eastAsia="宋体" w:cs="Times New Roman"/>
                <w:color w:val="auto"/>
                <w:spacing w:val="0"/>
                <w:w w:val="100"/>
                <w:position w:val="0"/>
                <w:sz w:val="21"/>
                <w:szCs w:val="21"/>
                <w:u w:val="none" w:color="auto"/>
              </w:rPr>
              <w:t>土壤含盐量≤</w:t>
            </w:r>
            <w:r>
              <w:rPr>
                <w:rFonts w:hint="default" w:ascii="Times New Roman" w:hAnsi="Times New Roman" w:eastAsia="Times New Roman" w:cs="Times New Roman"/>
                <w:color w:val="auto"/>
                <w:spacing w:val="0"/>
                <w:w w:val="100"/>
                <w:position w:val="0"/>
                <w:sz w:val="21"/>
                <w:szCs w:val="21"/>
                <w:u w:val="none" w:color="auto"/>
              </w:rPr>
              <w:t>4g/kg</w:t>
            </w:r>
            <w:r>
              <w:rPr>
                <w:rFonts w:hint="default" w:ascii="Times New Roman" w:hAnsi="Times New Roman" w:eastAsia="宋体" w:cs="Times New Roman"/>
                <w:color w:val="auto"/>
                <w:spacing w:val="0"/>
                <w:w w:val="100"/>
                <w:position w:val="0"/>
                <w:sz w:val="21"/>
                <w:szCs w:val="21"/>
                <w:u w:val="none" w:color="auto"/>
              </w:rPr>
              <w:t>的区域</w:t>
            </w:r>
          </w:p>
        </w:tc>
        <w:tc>
          <w:tcPr>
            <w:tcW w:w="1555" w:type="dxa"/>
            <w:tcBorders>
              <w:tl2br w:val="nil"/>
              <w:tr2bl w:val="nil"/>
            </w:tcBorders>
            <w:noWrap w:val="0"/>
            <w:vAlign w:val="center"/>
          </w:tcPr>
          <w:p w14:paraId="5AC4344D">
            <w:pPr>
              <w:keepNext w:val="0"/>
              <w:keepLines w:val="0"/>
              <w:pageBreakBefore w:val="0"/>
              <w:widowControl w:val="0"/>
              <w:kinsoku/>
              <w:wordWrap/>
              <w:overflowPunct/>
              <w:topLinePunct w:val="0"/>
              <w:autoSpaceDE/>
              <w:autoSpaceDN/>
              <w:bidi w:val="0"/>
              <w:adjustRightInd/>
              <w:snapToGrid/>
              <w:spacing w:line="474" w:lineRule="auto"/>
              <w:ind w:left="0" w:right="0"/>
              <w:jc w:val="center"/>
              <w:textAlignment w:val="auto"/>
              <w:rPr>
                <w:rFonts w:hint="default" w:ascii="Times New Roman" w:hAnsi="Times New Roman" w:cs="Times New Roman"/>
                <w:color w:val="auto"/>
                <w:spacing w:val="0"/>
                <w:w w:val="100"/>
                <w:position w:val="0"/>
                <w:sz w:val="21"/>
                <w:szCs w:val="21"/>
                <w:u w:val="none" w:color="auto"/>
              </w:rPr>
            </w:pPr>
          </w:p>
          <w:p w14:paraId="10629AE1">
            <w:pPr>
              <w:keepNext w:val="0"/>
              <w:keepLines w:val="0"/>
              <w:pageBreakBefore w:val="0"/>
              <w:widowControl w:val="0"/>
              <w:kinsoku/>
              <w:wordWrap/>
              <w:overflowPunct/>
              <w:topLinePunct w:val="0"/>
              <w:autoSpaceDE/>
              <w:autoSpaceDN/>
              <w:bidi w:val="0"/>
              <w:adjustRightInd/>
              <w:snapToGrid/>
              <w:spacing w:line="283" w:lineRule="exact"/>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4.5&lt;pH≤5.5</w:t>
            </w:r>
          </w:p>
        </w:tc>
        <w:tc>
          <w:tcPr>
            <w:tcW w:w="1675" w:type="dxa"/>
            <w:tcBorders>
              <w:tl2br w:val="nil"/>
              <w:tr2bl w:val="nil"/>
            </w:tcBorders>
            <w:noWrap w:val="0"/>
            <w:vAlign w:val="center"/>
          </w:tcPr>
          <w:p w14:paraId="4B79B915">
            <w:pPr>
              <w:keepNext w:val="0"/>
              <w:keepLines w:val="0"/>
              <w:pageBreakBefore w:val="0"/>
              <w:widowControl w:val="0"/>
              <w:kinsoku/>
              <w:wordWrap/>
              <w:overflowPunct/>
              <w:topLinePunct w:val="0"/>
              <w:autoSpaceDE/>
              <w:autoSpaceDN/>
              <w:bidi w:val="0"/>
              <w:adjustRightInd/>
              <w:snapToGrid/>
              <w:spacing w:line="474" w:lineRule="auto"/>
              <w:ind w:left="0" w:right="0"/>
              <w:jc w:val="center"/>
              <w:textAlignment w:val="auto"/>
              <w:rPr>
                <w:rFonts w:hint="default" w:ascii="Times New Roman" w:hAnsi="Times New Roman" w:cs="Times New Roman"/>
                <w:color w:val="auto"/>
                <w:spacing w:val="0"/>
                <w:w w:val="100"/>
                <w:position w:val="0"/>
                <w:sz w:val="21"/>
                <w:szCs w:val="21"/>
                <w:u w:val="none" w:color="auto"/>
              </w:rPr>
            </w:pPr>
          </w:p>
          <w:p w14:paraId="652D6469">
            <w:pPr>
              <w:keepNext w:val="0"/>
              <w:keepLines w:val="0"/>
              <w:pageBreakBefore w:val="0"/>
              <w:widowControl w:val="0"/>
              <w:kinsoku/>
              <w:wordWrap/>
              <w:overflowPunct/>
              <w:topLinePunct w:val="0"/>
              <w:autoSpaceDE/>
              <w:autoSpaceDN/>
              <w:bidi w:val="0"/>
              <w:adjustRightInd/>
              <w:snapToGrid/>
              <w:spacing w:line="283" w:lineRule="exact"/>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8.5≤pH&lt;9.0</w:t>
            </w:r>
          </w:p>
        </w:tc>
      </w:tr>
      <w:tr w14:paraId="51E25D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3" w:type="dxa"/>
            <w:tcBorders>
              <w:tl2br w:val="nil"/>
              <w:tr2bl w:val="nil"/>
            </w:tcBorders>
            <w:noWrap w:val="0"/>
            <w:vAlign w:val="center"/>
          </w:tcPr>
          <w:p w14:paraId="4D07604A">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不敏感</w:t>
            </w:r>
          </w:p>
        </w:tc>
        <w:tc>
          <w:tcPr>
            <w:tcW w:w="4807" w:type="dxa"/>
            <w:tcBorders>
              <w:tl2br w:val="nil"/>
              <w:tr2bl w:val="nil"/>
            </w:tcBorders>
            <w:noWrap w:val="0"/>
            <w:vAlign w:val="center"/>
          </w:tcPr>
          <w:p w14:paraId="05C8CBE8">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其他</w:t>
            </w:r>
          </w:p>
        </w:tc>
        <w:tc>
          <w:tcPr>
            <w:tcW w:w="3230" w:type="dxa"/>
            <w:gridSpan w:val="2"/>
            <w:tcBorders>
              <w:tl2br w:val="nil"/>
              <w:tr2bl w:val="nil"/>
            </w:tcBorders>
            <w:noWrap w:val="0"/>
            <w:vAlign w:val="center"/>
          </w:tcPr>
          <w:p w14:paraId="45B9A775">
            <w:pPr>
              <w:keepNext w:val="0"/>
              <w:keepLines w:val="0"/>
              <w:pageBreakBefore w:val="0"/>
              <w:widowControl w:val="0"/>
              <w:kinsoku/>
              <w:wordWrap/>
              <w:overflowPunct/>
              <w:topLinePunct w:val="0"/>
              <w:autoSpaceDE/>
              <w:autoSpaceDN/>
              <w:bidi w:val="0"/>
              <w:adjustRightInd/>
              <w:snapToGrid/>
              <w:spacing w:line="230" w:lineRule="auto"/>
              <w:ind w:left="0" w:right="0"/>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5.5&lt;pH&lt;8.5</w:t>
            </w:r>
          </w:p>
        </w:tc>
      </w:tr>
      <w:tr w14:paraId="53CA3E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0" w:type="dxa"/>
            <w:gridSpan w:val="4"/>
            <w:tcBorders>
              <w:tl2br w:val="nil"/>
              <w:tr2bl w:val="nil"/>
            </w:tcBorders>
            <w:noWrap w:val="0"/>
            <w:vAlign w:val="center"/>
          </w:tcPr>
          <w:p w14:paraId="56B2DD55">
            <w:pPr>
              <w:keepNext w:val="0"/>
              <w:keepLines w:val="0"/>
              <w:pageBreakBefore w:val="0"/>
              <w:widowControl w:val="0"/>
              <w:kinsoku/>
              <w:wordWrap/>
              <w:overflowPunct/>
              <w:topLinePunct w:val="0"/>
              <w:autoSpaceDE/>
              <w:autoSpaceDN/>
              <w:bidi w:val="0"/>
              <w:adjustRightInd/>
              <w:snapToGrid/>
              <w:spacing w:line="219" w:lineRule="auto"/>
              <w:ind w:left="0" w:right="0"/>
              <w:jc w:val="both"/>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13"/>
                <w:szCs w:val="13"/>
                <w:u w:val="none" w:color="auto"/>
              </w:rPr>
              <w:t>a</w:t>
            </w:r>
            <w:r>
              <w:rPr>
                <w:rFonts w:hint="default" w:ascii="Times New Roman" w:hAnsi="Times New Roman" w:eastAsia="宋体" w:cs="Times New Roman"/>
                <w:color w:val="auto"/>
                <w:spacing w:val="0"/>
                <w:w w:val="100"/>
                <w:position w:val="0"/>
                <w:sz w:val="21"/>
                <w:szCs w:val="21"/>
                <w:u w:val="none" w:color="auto"/>
              </w:rPr>
              <w:t>是指采用</w:t>
            </w:r>
            <w:r>
              <w:rPr>
                <w:rFonts w:hint="default" w:ascii="Times New Roman" w:hAnsi="Times New Roman" w:eastAsia="Times New Roman" w:cs="Times New Roman"/>
                <w:color w:val="auto"/>
                <w:spacing w:val="0"/>
                <w:w w:val="100"/>
                <w:position w:val="0"/>
                <w:sz w:val="21"/>
                <w:szCs w:val="21"/>
                <w:u w:val="none" w:color="auto"/>
              </w:rPr>
              <w:t>E601</w:t>
            </w:r>
            <w:r>
              <w:rPr>
                <w:rFonts w:hint="default" w:ascii="Times New Roman" w:hAnsi="Times New Roman" w:eastAsia="宋体" w:cs="Times New Roman"/>
                <w:color w:val="auto"/>
                <w:spacing w:val="0"/>
                <w:w w:val="100"/>
                <w:position w:val="0"/>
                <w:sz w:val="21"/>
                <w:szCs w:val="21"/>
                <w:u w:val="none" w:color="auto"/>
              </w:rPr>
              <w:t>观测的多年平均水面蒸发量与降水量的比值，即蒸降比值。</w:t>
            </w:r>
          </w:p>
        </w:tc>
      </w:tr>
    </w:tbl>
    <w:p w14:paraId="51D999CD">
      <w:pPr>
        <w:pageBreakBefore w:val="0"/>
        <w:kinsoku w:val="0"/>
        <w:wordWrap w:val="0"/>
        <w:overflowPunct/>
        <w:topLinePunct/>
        <w:autoSpaceDE/>
        <w:autoSpaceDN/>
        <w:bidi w:val="0"/>
        <w:adjustRightInd w:val="0"/>
        <w:spacing w:line="500" w:lineRule="exact"/>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7</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生态影响型评价工作等级划分表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38"/>
        <w:gridCol w:w="1230"/>
        <w:gridCol w:w="1872"/>
        <w:gridCol w:w="1676"/>
      </w:tblGrid>
      <w:tr w14:paraId="7B4BE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dxa"/>
            <w:tcBorders>
              <w:tl2br w:val="nil"/>
              <w:tr2bl w:val="nil"/>
            </w:tcBorders>
          </w:tcPr>
          <w:p w14:paraId="4FEE6592">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cs="Times New Roman"/>
                <w:b/>
                <w:bCs/>
                <w:caps w:val="0"/>
                <w:smallCaps w:val="0"/>
                <w:color w:val="auto"/>
                <w:spacing w:val="0"/>
                <w:w w:val="100"/>
                <w:position w:val="0"/>
                <w:sz w:val="21"/>
                <w:u w:val="none" w:color="auto"/>
              </w:rPr>
              <mc:AlternateContent>
                <mc:Choice Requires="wps">
                  <w:drawing>
                    <wp:anchor distT="0" distB="0" distL="114300" distR="114300" simplePos="0" relativeHeight="251661312" behindDoc="0" locked="0" layoutInCell="1" allowOverlap="1">
                      <wp:simplePos x="0" y="0"/>
                      <wp:positionH relativeFrom="column">
                        <wp:posOffset>969645</wp:posOffset>
                      </wp:positionH>
                      <wp:positionV relativeFrom="paragraph">
                        <wp:posOffset>-4445</wp:posOffset>
                      </wp:positionV>
                      <wp:extent cx="1339850" cy="824230"/>
                      <wp:effectExtent l="2540" t="3810" r="13970" b="10160"/>
                      <wp:wrapNone/>
                      <wp:docPr id="9" name="直接连接符 9"/>
                      <wp:cNvGraphicFramePr/>
                      <a:graphic xmlns:a="http://schemas.openxmlformats.org/drawingml/2006/main">
                        <a:graphicData uri="http://schemas.microsoft.com/office/word/2010/wordprocessingShape">
                          <wps:wsp>
                            <wps:cNvCnPr/>
                            <wps:spPr>
                              <a:xfrm>
                                <a:off x="1870075" y="6964045"/>
                                <a:ext cx="1339850" cy="824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6.35pt;margin-top:-0.35pt;height:64.9pt;width:105.5pt;z-index:251661312;mso-width-relative:page;mso-height-relative:page;" filled="f" stroked="t" coordsize="21600,21600" o:gfxdata="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3CD4w1gAAAAkBAAAPAAAAAAAAAAEAIAAAACIAAABkcnMvZG93bnJldi54bWxQSwECFAAU&#10;AAAACACHTuJAWBxPMfMBAADCAwAADgAAAAAAAAABACAAAAAlAQAAZHJzL2Uyb0RvYy54bWxQSwUG&#10;AAAAAAYABgBZAQAAigUAAAAA&#10;">
                      <v:fill on="f" focussize="0,0"/>
                      <v:stroke weight="0.5pt" color="#000000 [3213]" miterlimit="8" joinstyle="miter"/>
                      <v:imagedata o:title=""/>
                      <o:lock v:ext="edit" aspectratio="f"/>
                    </v:line>
                  </w:pict>
                </mc:Fallback>
              </mc:AlternateContent>
            </w:r>
          </w:p>
          <w:p w14:paraId="6E66D525">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lang w:val="en-US" w:eastAsia="zh-CN"/>
              </w:rPr>
              <w:t xml:space="preserve">                    </w:t>
            </w:r>
            <w:r>
              <w:rPr>
                <w:rFonts w:hint="default" w:ascii="Times New Roman" w:hAnsi="Times New Roman" w:eastAsia="宋体" w:cs="Times New Roman"/>
                <w:b/>
                <w:bCs/>
                <w:caps w:val="0"/>
                <w:smallCaps w:val="0"/>
                <w:color w:val="auto"/>
                <w:spacing w:val="0"/>
                <w:w w:val="100"/>
                <w:kern w:val="0"/>
                <w:position w:val="0"/>
                <w:szCs w:val="21"/>
                <w:u w:val="none" w:color="auto"/>
              </w:rPr>
              <w:t>项目类别</w:t>
            </w:r>
          </w:p>
          <w:p w14:paraId="4914FDD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cs="Times New Roman"/>
                <w:b/>
                <w:bCs/>
                <w:caps w:val="0"/>
                <w:smallCaps w:val="0"/>
                <w:color w:val="auto"/>
                <w:spacing w:val="0"/>
                <w:w w:val="100"/>
                <w:position w:val="0"/>
                <w:sz w:val="21"/>
                <w:u w:val="none" w:color="auto"/>
              </w:rPr>
              <mc:AlternateContent>
                <mc:Choice Requires="wps">
                  <w:drawing>
                    <wp:anchor distT="0" distB="0" distL="114300" distR="114300" simplePos="0" relativeHeight="251662336" behindDoc="0" locked="0" layoutInCell="1" allowOverlap="1">
                      <wp:simplePos x="0" y="0"/>
                      <wp:positionH relativeFrom="column">
                        <wp:posOffset>-71755</wp:posOffset>
                      </wp:positionH>
                      <wp:positionV relativeFrom="paragraph">
                        <wp:posOffset>55880</wp:posOffset>
                      </wp:positionV>
                      <wp:extent cx="2348230" cy="428625"/>
                      <wp:effectExtent l="635" t="4445" r="13335" b="8890"/>
                      <wp:wrapNone/>
                      <wp:docPr id="10" name="直接连接符 10"/>
                      <wp:cNvGraphicFramePr/>
                      <a:graphic xmlns:a="http://schemas.openxmlformats.org/drawingml/2006/main">
                        <a:graphicData uri="http://schemas.microsoft.com/office/word/2010/wordprocessingShape">
                          <wps:wsp>
                            <wps:cNvCnPr/>
                            <wps:spPr>
                              <a:xfrm flipH="1" flipV="1">
                                <a:off x="811530" y="7451090"/>
                                <a:ext cx="234823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65pt;margin-top:4.4pt;height:33.75pt;width:184.9pt;z-index:251662336;mso-width-relative:page;mso-height-relative:page;" filled="f" stroked="t" coordsize="21600,21600" o:gfxdata="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6/58PYAAAACAEAAA8AAAAAAAAAAQAgAAAAIgAAAGRycy9kb3du&#10;cmV2LnhtbFBLAQIUABQAAAAIAIdO4kByFGqU/wEAANcDAAAOAAAAAAAAAAEAIAAAACcBAABkcnMv&#10;ZTJvRG9jLnhtbFBLBQYAAAAABgAGAFkBAACYBQ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bCs/>
                <w:caps w:val="0"/>
                <w:smallCaps w:val="0"/>
                <w:color w:val="auto"/>
                <w:spacing w:val="0"/>
                <w:w w:val="100"/>
                <w:kern w:val="0"/>
                <w:position w:val="0"/>
                <w:szCs w:val="21"/>
                <w:u w:val="none" w:color="auto"/>
              </w:rPr>
              <w:t>评价工作等级</w:t>
            </w:r>
          </w:p>
          <w:p w14:paraId="501737C8">
            <w:pPr>
              <w:keepNext w:val="0"/>
              <w:keepLines w:val="0"/>
              <w:pageBreakBefore w:val="0"/>
              <w:suppressLineNumbers w:val="0"/>
              <w:kinsoku w:val="0"/>
              <w:wordWrap w:val="0"/>
              <w:overflowPunct/>
              <w:topLinePunct/>
              <w:autoSpaceDE/>
              <w:autoSpaceDN/>
              <w:bidi w:val="0"/>
              <w:adjustRightInd w:val="0"/>
              <w:spacing w:before="0" w:beforeAutospacing="0" w:after="0" w:afterAutospacing="0" w:line="500" w:lineRule="exact"/>
              <w:ind w:left="0" w:right="0"/>
              <w:jc w:val="both"/>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敏感程度</w:t>
            </w:r>
          </w:p>
        </w:tc>
        <w:tc>
          <w:tcPr>
            <w:tcW w:w="1303" w:type="dxa"/>
            <w:tcBorders>
              <w:tl2br w:val="nil"/>
              <w:tr2bl w:val="nil"/>
            </w:tcBorders>
            <w:vAlign w:val="center"/>
          </w:tcPr>
          <w:p w14:paraId="357A82C5">
            <w:pPr>
              <w:keepNext w:val="0"/>
              <w:keepLines w:val="0"/>
              <w:pageBreakBefore w:val="0"/>
              <w:widowControl/>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Ⅰ类项目</w:t>
            </w:r>
          </w:p>
        </w:tc>
        <w:tc>
          <w:tcPr>
            <w:tcW w:w="1992" w:type="dxa"/>
            <w:tcBorders>
              <w:tl2br w:val="nil"/>
              <w:tr2bl w:val="nil"/>
            </w:tcBorders>
            <w:vAlign w:val="center"/>
          </w:tcPr>
          <w:p w14:paraId="5CEE16A8">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Ⅱ类项目</w:t>
            </w:r>
          </w:p>
        </w:tc>
        <w:tc>
          <w:tcPr>
            <w:tcW w:w="1782" w:type="dxa"/>
            <w:tcBorders>
              <w:tl2br w:val="nil"/>
              <w:tr2bl w:val="nil"/>
            </w:tcBorders>
            <w:vAlign w:val="center"/>
          </w:tcPr>
          <w:p w14:paraId="0F28FB8C">
            <w:pPr>
              <w:keepNext w:val="0"/>
              <w:keepLines w:val="0"/>
              <w:pageBreakBefore w:val="0"/>
              <w:suppressLineNumbers w:val="0"/>
              <w:kinsoku w:val="0"/>
              <w:wordWrap w:val="0"/>
              <w:overflowPunct/>
              <w:topLinePunct/>
              <w:autoSpaceDE/>
              <w:autoSpaceDN/>
              <w:bidi w:val="0"/>
              <w:snapToGrid w:val="0"/>
              <w:spacing w:before="0" w:beforeAutospacing="0" w:after="0" w:afterAutospacing="0" w:line="320" w:lineRule="exact"/>
              <w:ind w:left="0" w:right="0"/>
              <w:jc w:val="center"/>
              <w:rPr>
                <w:rFonts w:hint="default" w:ascii="Times New Roman" w:hAnsi="Times New Roman" w:eastAsia="宋体" w:cs="Times New Roman"/>
                <w:b/>
                <w:bCs/>
                <w:caps w:val="0"/>
                <w:smallCaps w:val="0"/>
                <w:color w:val="auto"/>
                <w:spacing w:val="0"/>
                <w:w w:val="100"/>
                <w:kern w:val="0"/>
                <w:position w:val="0"/>
                <w:szCs w:val="21"/>
                <w:u w:val="none" w:color="auto"/>
              </w:rPr>
            </w:pPr>
            <w:r>
              <w:rPr>
                <w:rFonts w:hint="default" w:ascii="Times New Roman" w:hAnsi="Times New Roman" w:eastAsia="宋体" w:cs="Times New Roman"/>
                <w:b/>
                <w:bCs/>
                <w:caps w:val="0"/>
                <w:smallCaps w:val="0"/>
                <w:color w:val="auto"/>
                <w:spacing w:val="0"/>
                <w:w w:val="100"/>
                <w:kern w:val="0"/>
                <w:position w:val="0"/>
                <w:szCs w:val="21"/>
                <w:u w:val="none" w:color="auto"/>
              </w:rPr>
              <w:t>Ⅲ类项目</w:t>
            </w:r>
          </w:p>
        </w:tc>
      </w:tr>
      <w:tr w14:paraId="6DB60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dxa"/>
            <w:tcBorders>
              <w:tl2br w:val="nil"/>
              <w:tr2bl w:val="nil"/>
            </w:tcBorders>
            <w:vAlign w:val="center"/>
          </w:tcPr>
          <w:p w14:paraId="50045133">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敏感</w:t>
            </w:r>
          </w:p>
        </w:tc>
        <w:tc>
          <w:tcPr>
            <w:tcW w:w="1303" w:type="dxa"/>
            <w:tcBorders>
              <w:tl2br w:val="nil"/>
              <w:tr2bl w:val="nil"/>
            </w:tcBorders>
          </w:tcPr>
          <w:p w14:paraId="0B0300A8">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一级</w:t>
            </w:r>
          </w:p>
        </w:tc>
        <w:tc>
          <w:tcPr>
            <w:tcW w:w="1992" w:type="dxa"/>
            <w:tcBorders>
              <w:tl2br w:val="nil"/>
              <w:tr2bl w:val="nil"/>
            </w:tcBorders>
          </w:tcPr>
          <w:p w14:paraId="6FBE42B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二级</w:t>
            </w:r>
          </w:p>
        </w:tc>
        <w:tc>
          <w:tcPr>
            <w:tcW w:w="1782" w:type="dxa"/>
            <w:tcBorders>
              <w:tl2br w:val="nil"/>
              <w:tr2bl w:val="nil"/>
            </w:tcBorders>
          </w:tcPr>
          <w:p w14:paraId="725ABF1C">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三级</w:t>
            </w:r>
          </w:p>
        </w:tc>
      </w:tr>
      <w:tr w14:paraId="0E19D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dxa"/>
            <w:tcBorders>
              <w:tl2br w:val="nil"/>
              <w:tr2bl w:val="nil"/>
            </w:tcBorders>
            <w:vAlign w:val="center"/>
          </w:tcPr>
          <w:p w14:paraId="6BA837E5">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较敏感</w:t>
            </w:r>
          </w:p>
        </w:tc>
        <w:tc>
          <w:tcPr>
            <w:tcW w:w="1303" w:type="dxa"/>
            <w:tcBorders>
              <w:tl2br w:val="nil"/>
              <w:tr2bl w:val="nil"/>
            </w:tcBorders>
          </w:tcPr>
          <w:p w14:paraId="58E568CD">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二级</w:t>
            </w:r>
          </w:p>
        </w:tc>
        <w:tc>
          <w:tcPr>
            <w:tcW w:w="1992" w:type="dxa"/>
            <w:tcBorders>
              <w:tl2br w:val="nil"/>
              <w:tr2bl w:val="nil"/>
            </w:tcBorders>
          </w:tcPr>
          <w:p w14:paraId="32048765">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二级</w:t>
            </w:r>
          </w:p>
        </w:tc>
        <w:tc>
          <w:tcPr>
            <w:tcW w:w="1782" w:type="dxa"/>
            <w:tcBorders>
              <w:tl2br w:val="nil"/>
              <w:tr2bl w:val="nil"/>
            </w:tcBorders>
          </w:tcPr>
          <w:p w14:paraId="738D2119">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三级</w:t>
            </w:r>
          </w:p>
        </w:tc>
      </w:tr>
      <w:tr w14:paraId="717D6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4" w:type="dxa"/>
            <w:tcBorders>
              <w:tl2br w:val="nil"/>
              <w:tr2bl w:val="nil"/>
            </w:tcBorders>
            <w:vAlign w:val="center"/>
          </w:tcPr>
          <w:p w14:paraId="47CFF74C">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不敏感</w:t>
            </w:r>
          </w:p>
        </w:tc>
        <w:tc>
          <w:tcPr>
            <w:tcW w:w="1303" w:type="dxa"/>
            <w:tcBorders>
              <w:tl2br w:val="nil"/>
              <w:tr2bl w:val="nil"/>
            </w:tcBorders>
          </w:tcPr>
          <w:p w14:paraId="14DC0C90">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二级</w:t>
            </w:r>
          </w:p>
        </w:tc>
        <w:tc>
          <w:tcPr>
            <w:tcW w:w="1992" w:type="dxa"/>
            <w:tcBorders>
              <w:tl2br w:val="nil"/>
              <w:tr2bl w:val="nil"/>
            </w:tcBorders>
          </w:tcPr>
          <w:p w14:paraId="72E4D58B">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
                <w:bCs w:val="0"/>
                <w:caps w:val="0"/>
                <w:smallCaps w:val="0"/>
                <w:color w:val="auto"/>
                <w:spacing w:val="0"/>
                <w:w w:val="100"/>
                <w:kern w:val="0"/>
                <w:position w:val="0"/>
                <w:szCs w:val="21"/>
                <w:u w:val="none" w:color="auto"/>
              </w:rPr>
              <w:t>三级</w:t>
            </w:r>
          </w:p>
        </w:tc>
        <w:tc>
          <w:tcPr>
            <w:tcW w:w="1782" w:type="dxa"/>
            <w:tcBorders>
              <w:tl2br w:val="nil"/>
              <w:tr2bl w:val="nil"/>
            </w:tcBorders>
          </w:tcPr>
          <w:p w14:paraId="6D33ABA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kern w:val="0"/>
                <w:position w:val="0"/>
                <w:szCs w:val="21"/>
                <w:u w:val="none" w:color="auto"/>
              </w:rPr>
              <w:t>—</w:t>
            </w:r>
          </w:p>
        </w:tc>
      </w:tr>
      <w:tr w14:paraId="7B650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1" w:type="dxa"/>
            <w:gridSpan w:val="4"/>
            <w:tcBorders>
              <w:tl2br w:val="nil"/>
              <w:tr2bl w:val="nil"/>
            </w:tcBorders>
          </w:tcPr>
          <w:p w14:paraId="46FA2A49">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left"/>
              <w:textAlignment w:val="auto"/>
              <w:rPr>
                <w:rFonts w:hint="default" w:ascii="Times New Roman" w:hAnsi="Times New Roman" w:eastAsia="宋体" w:cs="Times New Roman"/>
                <w:bCs/>
                <w:caps w:val="0"/>
                <w:smallCaps w:val="0"/>
                <w:color w:val="auto"/>
                <w:spacing w:val="0"/>
                <w:w w:val="100"/>
                <w:kern w:val="0"/>
                <w:position w:val="0"/>
                <w:szCs w:val="21"/>
                <w:u w:val="none" w:color="auto"/>
              </w:rPr>
            </w:pPr>
            <w:r>
              <w:rPr>
                <w:rFonts w:hint="default" w:ascii="Times New Roman" w:hAnsi="Times New Roman" w:eastAsia="宋体" w:cs="Times New Roman"/>
                <w:bCs/>
                <w:caps w:val="0"/>
                <w:smallCaps w:val="0"/>
                <w:color w:val="auto"/>
                <w:spacing w:val="0"/>
                <w:w w:val="100"/>
                <w:position w:val="0"/>
                <w:szCs w:val="21"/>
                <w:u w:val="none" w:color="auto"/>
              </w:rPr>
              <w:t>注：“—”表示可不开展土壤环境影响评价工作</w:t>
            </w:r>
          </w:p>
        </w:tc>
      </w:tr>
    </w:tbl>
    <w:p w14:paraId="62129D4C">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项目为水库除险加固工程，根据《环境影响评价技术导则  土壤环境（试行）》（HJ964-2018）表1：“库容1000万m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至1亿m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的水库；跨流域调水的引水工程”，为II类项目。根据现场踏勘和资料调查，项目所在地多年平均蒸发量为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970.9</w:t>
      </w:r>
      <w:r>
        <w:rPr>
          <w:rFonts w:hint="default" w:ascii="Times New Roman" w:hAnsi="Times New Roman" w:eastAsia="宋体" w:cs="Times New Roman"/>
          <w:caps w:val="0"/>
          <w:smallCaps w:val="0"/>
          <w:color w:val="auto"/>
          <w:spacing w:val="0"/>
          <w:w w:val="100"/>
          <w:kern w:val="0"/>
          <w:position w:val="0"/>
          <w:sz w:val="24"/>
          <w:szCs w:val="24"/>
          <w:u w:val="none" w:color="auto"/>
        </w:rPr>
        <w:t>mm，多年平均降水量约为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1262.3</w:t>
      </w:r>
      <w:r>
        <w:rPr>
          <w:rFonts w:hint="default" w:ascii="Times New Roman" w:hAnsi="Times New Roman" w:eastAsia="宋体" w:cs="Times New Roman"/>
          <w:caps w:val="0"/>
          <w:smallCaps w:val="0"/>
          <w:color w:val="auto"/>
          <w:spacing w:val="0"/>
          <w:w w:val="100"/>
          <w:kern w:val="0"/>
          <w:position w:val="0"/>
          <w:sz w:val="24"/>
          <w:szCs w:val="24"/>
          <w:u w:val="none" w:color="auto"/>
        </w:rPr>
        <w:t>mm，则干燥度约为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0.77</w:t>
      </w:r>
      <w:r>
        <w:rPr>
          <w:rFonts w:hint="default" w:ascii="Times New Roman" w:hAnsi="Times New Roman" w:eastAsia="宋体" w:cs="Times New Roman"/>
          <w:caps w:val="0"/>
          <w:smallCaps w:val="0"/>
          <w:color w:val="auto"/>
          <w:spacing w:val="0"/>
          <w:w w:val="100"/>
          <w:kern w:val="0"/>
          <w:position w:val="0"/>
          <w:sz w:val="24"/>
          <w:szCs w:val="24"/>
          <w:u w:val="none" w:color="auto"/>
        </w:rPr>
        <w:t>＜1.8</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地下水平均埋深＞1.5m</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土壤含盐量＜2g/kg，属于“其他”，为土壤盐化不敏感区；土壤pH</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值介于</w:t>
      </w:r>
      <w:r>
        <w:rPr>
          <w:rFonts w:hint="default" w:ascii="Times New Roman" w:hAnsi="Times New Roman" w:eastAsia="宋体" w:cs="Times New Roman"/>
          <w:caps w:val="0"/>
          <w:smallCaps w:val="0"/>
          <w:color w:val="auto"/>
          <w:spacing w:val="0"/>
          <w:w w:val="100"/>
          <w:kern w:val="0"/>
          <w:position w:val="0"/>
          <w:sz w:val="24"/>
          <w:szCs w:val="24"/>
          <w:u w:val="none" w:color="auto"/>
        </w:rPr>
        <w:t>5.5</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8.5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之间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因此，项目所在地土壤环境敏感程度属于不敏感。</w:t>
      </w:r>
    </w:p>
    <w:p w14:paraId="66BD088C">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本项目为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II类项目，敏感程度为不敏感</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因此本项目</w:t>
      </w:r>
      <w:r>
        <w:rPr>
          <w:rFonts w:hint="default" w:ascii="Times New Roman" w:hAnsi="Times New Roman" w:eastAsia="宋体" w:cs="Times New Roman"/>
          <w:caps w:val="0"/>
          <w:smallCaps w:val="0"/>
          <w:color w:val="auto"/>
          <w:spacing w:val="0"/>
          <w:w w:val="100"/>
          <w:kern w:val="0"/>
          <w:position w:val="0"/>
          <w:sz w:val="24"/>
          <w:szCs w:val="24"/>
          <w:u w:val="none" w:color="auto"/>
        </w:rPr>
        <w:t>土壤评价等级确定为三级。</w:t>
      </w:r>
    </w:p>
    <w:p w14:paraId="5F6A537C">
      <w:pPr>
        <w:keepNext w:val="0"/>
        <w:keepLines w:val="0"/>
        <w:pageBreakBefore w:val="0"/>
        <w:widowControl w:val="0"/>
        <w:kinsoku w:val="0"/>
        <w:wordWrap w:val="0"/>
        <w:overflowPunct/>
        <w:topLinePunct/>
        <w:autoSpaceDE/>
        <w:autoSpaceDN/>
        <w:bidi w:val="0"/>
        <w:adjustRightInd w:val="0"/>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（6）生态环境</w:t>
      </w:r>
    </w:p>
    <w:p w14:paraId="0CD21CBD">
      <w:pPr>
        <w:pStyle w:val="95"/>
        <w:keepNext w:val="0"/>
        <w:keepLines w:val="0"/>
        <w:pageBreakBefore w:val="0"/>
        <w:widowControl w:val="0"/>
        <w:overflowPunct/>
        <w:autoSpaceDE/>
        <w:autoSpaceDN/>
        <w:bidi w:val="0"/>
        <w:adjustRightInd w:val="0"/>
        <w:spacing w:line="360" w:lineRule="auto"/>
        <w:ind w:firstLine="480"/>
        <w:textAlignment w:val="auto"/>
        <w:rPr>
          <w:rFonts w:hint="default" w:ascii="Times New Roman" w:hAnsi="Times New Roman"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rPr>
        <w:t>根据《环境影响评价技术导则 生态影响》（HJ19-2022）可知：依据建设项目影响区域的生态敏感性和影响程度，评价等级划分为一级、二级和三级。</w:t>
      </w:r>
      <w:r>
        <w:rPr>
          <w:rFonts w:hint="default" w:ascii="Times New Roman" w:hAnsi="Times New Roman" w:cs="Times New Roman"/>
          <w:color w:val="auto"/>
          <w:spacing w:val="0"/>
          <w:w w:val="100"/>
          <w:position w:val="0"/>
          <w:u w:val="none" w:color="auto"/>
          <w:lang w:eastAsia="zh-CN"/>
        </w:rPr>
        <w:t>具体</w:t>
      </w:r>
      <w:r>
        <w:rPr>
          <w:rFonts w:hint="default" w:ascii="Times New Roman" w:hAnsi="Times New Roman" w:cs="Times New Roman"/>
          <w:color w:val="auto"/>
          <w:spacing w:val="0"/>
          <w:w w:val="100"/>
          <w:position w:val="0"/>
          <w:u w:val="none" w:color="auto"/>
        </w:rPr>
        <w:t>按以下原则确定评价等级：</w:t>
      </w:r>
    </w:p>
    <w:p w14:paraId="3DCDE4DA">
      <w:pPr>
        <w:keepNext w:val="0"/>
        <w:keepLines w:val="0"/>
        <w:pageBreakBefore w:val="0"/>
        <w:widowControl w:val="0"/>
        <w:kinsoku w:val="0"/>
        <w:wordWrap w:val="0"/>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表</w:t>
      </w:r>
      <w:r>
        <w:rPr>
          <w:rFonts w:hint="default" w:ascii="Times New Roman" w:hAnsi="Times New Roman" w:eastAsia="宋体" w:cs="Times New Roman"/>
          <w:b/>
          <w:caps w:val="0"/>
          <w:smallCaps w:val="0"/>
          <w:color w:val="auto"/>
          <w:spacing w:val="0"/>
          <w:w w:val="100"/>
          <w:kern w:val="0"/>
          <w:position w:val="0"/>
          <w:sz w:val="24"/>
          <w:szCs w:val="24"/>
          <w:u w:val="none" w:color="auto"/>
        </w:rPr>
        <w:fldChar w:fldCharType="begin"/>
      </w:r>
      <w:r>
        <w:rPr>
          <w:rFonts w:hint="default" w:ascii="Times New Roman" w:hAnsi="Times New Roman" w:eastAsia="宋体" w:cs="Times New Roman"/>
          <w:b/>
          <w:caps w:val="0"/>
          <w:smallCaps w:val="0"/>
          <w:color w:val="auto"/>
          <w:spacing w:val="0"/>
          <w:w w:val="100"/>
          <w:kern w:val="0"/>
          <w:position w:val="0"/>
          <w:sz w:val="24"/>
          <w:szCs w:val="24"/>
          <w:u w:val="none" w:color="auto"/>
        </w:rPr>
        <w:instrText xml:space="preserve"> STYLEREF 1 \s </w:instrText>
      </w:r>
      <w:r>
        <w:rPr>
          <w:rFonts w:hint="default" w:ascii="Times New Roman" w:hAnsi="Times New Roman" w:eastAsia="宋体" w:cs="Times New Roman"/>
          <w:b/>
          <w:caps w:val="0"/>
          <w:smallCaps w:val="0"/>
          <w:color w:val="auto"/>
          <w:spacing w:val="0"/>
          <w:w w:val="100"/>
          <w:kern w:val="0"/>
          <w:position w:val="0"/>
          <w:sz w:val="24"/>
          <w:szCs w:val="24"/>
          <w:u w:val="none" w:color="auto"/>
        </w:rPr>
        <w:fldChar w:fldCharType="separate"/>
      </w:r>
      <w:r>
        <w:rPr>
          <w:rFonts w:hint="default" w:ascii="Times New Roman" w:hAnsi="Times New Roman" w:eastAsia="宋体" w:cs="Times New Roman"/>
          <w:b/>
          <w:caps w:val="0"/>
          <w:smallCaps w:val="0"/>
          <w:color w:val="auto"/>
          <w:spacing w:val="0"/>
          <w:w w:val="100"/>
          <w:kern w:val="0"/>
          <w:position w:val="0"/>
          <w:sz w:val="24"/>
          <w:szCs w:val="24"/>
          <w:u w:val="none" w:color="auto"/>
        </w:rPr>
        <w:t>1</w:t>
      </w:r>
      <w:r>
        <w:rPr>
          <w:rFonts w:hint="default" w:ascii="Times New Roman" w:hAnsi="Times New Roman" w:eastAsia="宋体" w:cs="Times New Roman"/>
          <w:b/>
          <w:caps w:val="0"/>
          <w:smallCaps w:val="0"/>
          <w:color w:val="auto"/>
          <w:spacing w:val="0"/>
          <w:w w:val="100"/>
          <w:kern w:val="0"/>
          <w:position w:val="0"/>
          <w:sz w:val="24"/>
          <w:szCs w:val="24"/>
          <w:u w:val="none" w:color="auto"/>
        </w:rPr>
        <w:fldChar w:fldCharType="end"/>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.6</w:t>
      </w: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8  </w:t>
      </w:r>
      <w:r>
        <w:rPr>
          <w:rFonts w:hint="default" w:ascii="Times New Roman" w:hAnsi="Times New Roman" w:eastAsia="宋体" w:cs="Times New Roman"/>
          <w:b/>
          <w:caps w:val="0"/>
          <w:smallCaps w:val="0"/>
          <w:color w:val="auto"/>
          <w:spacing w:val="0"/>
          <w:w w:val="100"/>
          <w:kern w:val="0"/>
          <w:position w:val="0"/>
          <w:sz w:val="24"/>
          <w:szCs w:val="24"/>
          <w:u w:val="none" w:color="auto"/>
        </w:rPr>
        <w:t>生态影响评价工作等级划分表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52"/>
        <w:gridCol w:w="6030"/>
        <w:gridCol w:w="1411"/>
      </w:tblGrid>
      <w:tr w14:paraId="2B543C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053" w:type="dxa"/>
            <w:noWrap w:val="0"/>
            <w:tcMar>
              <w:left w:w="85" w:type="dxa"/>
            </w:tcMar>
            <w:vAlign w:val="center"/>
          </w:tcPr>
          <w:p w14:paraId="4D98F73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aps w:val="0"/>
                <w:smallCaps w:val="0"/>
                <w:color w:val="auto"/>
                <w:sz w:val="21"/>
                <w:szCs w:val="21"/>
                <w:lang w:eastAsia="zh-CN"/>
              </w:rPr>
            </w:pPr>
            <w:r>
              <w:rPr>
                <w:rFonts w:hint="eastAsia" w:ascii="Times New Roman" w:hAnsi="Times New Roman" w:eastAsia="宋体" w:cs="Times New Roman"/>
                <w:b/>
                <w:bCs/>
                <w:caps w:val="0"/>
                <w:smallCaps w:val="0"/>
                <w:color w:val="auto"/>
                <w:sz w:val="21"/>
                <w:szCs w:val="21"/>
                <w:lang w:eastAsia="zh-CN"/>
              </w:rPr>
              <w:t>评价等级</w:t>
            </w:r>
          </w:p>
        </w:tc>
        <w:tc>
          <w:tcPr>
            <w:tcW w:w="6036" w:type="dxa"/>
            <w:noWrap w:val="0"/>
            <w:tcMar>
              <w:left w:w="85" w:type="dxa"/>
            </w:tcMar>
            <w:vAlign w:val="center"/>
          </w:tcPr>
          <w:p w14:paraId="06584B2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aps w:val="0"/>
                <w:smallCaps w:val="0"/>
                <w:color w:val="auto"/>
                <w:sz w:val="21"/>
                <w:szCs w:val="21"/>
                <w:lang w:eastAsia="zh-CN"/>
              </w:rPr>
            </w:pPr>
            <w:r>
              <w:rPr>
                <w:rFonts w:hint="eastAsia" w:ascii="Times New Roman" w:hAnsi="Times New Roman" w:eastAsia="宋体" w:cs="Times New Roman"/>
                <w:b/>
                <w:bCs/>
                <w:caps w:val="0"/>
                <w:smallCaps w:val="0"/>
                <w:color w:val="auto"/>
                <w:sz w:val="21"/>
                <w:szCs w:val="21"/>
                <w:lang w:eastAsia="zh-CN"/>
              </w:rPr>
              <w:t>判定内容</w:t>
            </w:r>
          </w:p>
        </w:tc>
        <w:tc>
          <w:tcPr>
            <w:tcW w:w="1412" w:type="dxa"/>
            <w:noWrap w:val="0"/>
            <w:tcMar>
              <w:left w:w="85" w:type="dxa"/>
            </w:tcMar>
            <w:vAlign w:val="center"/>
          </w:tcPr>
          <w:p w14:paraId="4E0A39B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aps w:val="0"/>
                <w:smallCaps w:val="0"/>
                <w:color w:val="auto"/>
                <w:sz w:val="21"/>
                <w:szCs w:val="21"/>
                <w:lang w:eastAsia="zh-CN"/>
              </w:rPr>
            </w:pPr>
            <w:r>
              <w:rPr>
                <w:rFonts w:hint="eastAsia" w:ascii="Times New Roman" w:hAnsi="Times New Roman" w:eastAsia="宋体" w:cs="Times New Roman"/>
                <w:b/>
                <w:bCs/>
                <w:caps w:val="0"/>
                <w:smallCaps w:val="0"/>
                <w:color w:val="auto"/>
                <w:sz w:val="21"/>
                <w:szCs w:val="21"/>
                <w:lang w:eastAsia="zh-CN"/>
              </w:rPr>
              <w:t>备注</w:t>
            </w:r>
          </w:p>
        </w:tc>
      </w:tr>
      <w:tr w14:paraId="35733A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5AD6499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eastAsia="zh-CN"/>
              </w:rPr>
              <w:t>一级</w:t>
            </w:r>
          </w:p>
        </w:tc>
        <w:tc>
          <w:tcPr>
            <w:tcW w:w="6036" w:type="dxa"/>
            <w:noWrap w:val="0"/>
            <w:tcMar>
              <w:left w:w="85" w:type="dxa"/>
            </w:tcMar>
            <w:vAlign w:val="center"/>
          </w:tcPr>
          <w:p w14:paraId="354278F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aps w:val="0"/>
                <w:smallCaps w:val="0"/>
                <w:color w:val="auto"/>
                <w:sz w:val="21"/>
                <w:szCs w:val="21"/>
              </w:rPr>
            </w:pPr>
            <w:r>
              <w:rPr>
                <w:rFonts w:hint="eastAsia" w:ascii="Times New Roman" w:hAnsi="Times New Roman" w:eastAsia="宋体" w:cs="Times New Roman"/>
                <w:b w:val="0"/>
                <w:bCs w:val="0"/>
                <w:caps w:val="0"/>
                <w:smallCaps w:val="0"/>
                <w:color w:val="auto"/>
                <w:sz w:val="21"/>
                <w:szCs w:val="21"/>
              </w:rPr>
              <w:t>涉及国家公园、自然保护区、世界自然遗产、重要生境时</w:t>
            </w:r>
          </w:p>
        </w:tc>
        <w:tc>
          <w:tcPr>
            <w:tcW w:w="1412" w:type="dxa"/>
            <w:noWrap w:val="0"/>
            <w:tcMar>
              <w:left w:w="85" w:type="dxa"/>
            </w:tcMar>
            <w:vAlign w:val="center"/>
          </w:tcPr>
          <w:p w14:paraId="60CCC31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aps w:val="0"/>
                <w:smallCaps w:val="0"/>
                <w:color w:val="auto"/>
                <w:sz w:val="21"/>
                <w:szCs w:val="21"/>
                <w:lang w:eastAsia="zh-CN"/>
              </w:rPr>
            </w:pPr>
            <w:r>
              <w:rPr>
                <w:rFonts w:hint="eastAsia" w:ascii="Times New Roman" w:hAnsi="Times New Roman" w:eastAsia="宋体" w:cs="Times New Roman"/>
                <w:b w:val="0"/>
                <w:bCs w:val="0"/>
                <w:caps w:val="0"/>
                <w:smallCaps w:val="0"/>
                <w:color w:val="auto"/>
                <w:sz w:val="21"/>
                <w:szCs w:val="21"/>
                <w:lang w:val="en-US" w:eastAsia="zh-CN"/>
              </w:rPr>
              <w:t>不</w:t>
            </w:r>
            <w:r>
              <w:rPr>
                <w:rFonts w:hint="eastAsia" w:ascii="Times New Roman" w:hAnsi="Times New Roman" w:eastAsia="宋体" w:cs="Times New Roman"/>
                <w:b w:val="0"/>
                <w:bCs w:val="0"/>
                <w:caps w:val="0"/>
                <w:smallCaps w:val="0"/>
                <w:color w:val="auto"/>
                <w:sz w:val="21"/>
                <w:szCs w:val="21"/>
                <w:lang w:eastAsia="zh-CN"/>
              </w:rPr>
              <w:t>属于</w:t>
            </w:r>
          </w:p>
        </w:tc>
      </w:tr>
      <w:tr w14:paraId="7B5EA0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2504FE1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eastAsia="zh-CN"/>
              </w:rPr>
              <w:t>二级</w:t>
            </w:r>
          </w:p>
        </w:tc>
        <w:tc>
          <w:tcPr>
            <w:tcW w:w="6036" w:type="dxa"/>
            <w:noWrap w:val="0"/>
            <w:tcMar>
              <w:left w:w="85" w:type="dxa"/>
            </w:tcMar>
            <w:vAlign w:val="center"/>
          </w:tcPr>
          <w:p w14:paraId="347F011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aps w:val="0"/>
                <w:smallCaps w:val="0"/>
                <w:color w:val="auto"/>
                <w:sz w:val="21"/>
                <w:szCs w:val="21"/>
              </w:rPr>
            </w:pPr>
            <w:r>
              <w:rPr>
                <w:rFonts w:hint="eastAsia" w:ascii="Times New Roman" w:hAnsi="Times New Roman" w:eastAsia="宋体" w:cs="Times New Roman"/>
                <w:b/>
                <w:bCs/>
                <w:caps w:val="0"/>
                <w:smallCaps w:val="0"/>
                <w:color w:val="auto"/>
                <w:sz w:val="21"/>
                <w:szCs w:val="21"/>
              </w:rPr>
              <w:t>涉及自然公园</w:t>
            </w:r>
          </w:p>
        </w:tc>
        <w:tc>
          <w:tcPr>
            <w:tcW w:w="1412" w:type="dxa"/>
            <w:noWrap w:val="0"/>
            <w:tcMar>
              <w:left w:w="85" w:type="dxa"/>
            </w:tcMar>
            <w:vAlign w:val="center"/>
          </w:tcPr>
          <w:p w14:paraId="0DCC165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eastAsia" w:ascii="Times New Roman" w:hAnsi="Times New Roman" w:eastAsia="宋体" w:cs="Times New Roman"/>
                <w:b/>
                <w:bCs/>
                <w:caps w:val="0"/>
                <w:smallCaps w:val="0"/>
                <w:color w:val="auto"/>
                <w:sz w:val="21"/>
                <w:szCs w:val="21"/>
                <w:lang w:eastAsia="zh-CN"/>
              </w:rPr>
              <w:t>属于</w:t>
            </w:r>
          </w:p>
        </w:tc>
      </w:tr>
      <w:tr w14:paraId="65689F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34FFAA3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rPr>
              <w:t>不低于二级</w:t>
            </w:r>
          </w:p>
        </w:tc>
        <w:tc>
          <w:tcPr>
            <w:tcW w:w="6036" w:type="dxa"/>
            <w:noWrap w:val="0"/>
            <w:tcMar>
              <w:left w:w="85" w:type="dxa"/>
            </w:tcMar>
            <w:vAlign w:val="center"/>
          </w:tcPr>
          <w:p w14:paraId="5625E47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b/>
                <w:bCs/>
                <w:caps w:val="0"/>
                <w:smallCaps w:val="0"/>
                <w:color w:val="auto"/>
                <w:sz w:val="21"/>
                <w:szCs w:val="21"/>
              </w:rPr>
              <w:t>①涉及生态保护红线时；</w:t>
            </w:r>
            <w:r>
              <w:rPr>
                <w:rFonts w:hint="eastAsia" w:ascii="Times New Roman" w:hAnsi="Times New Roman" w:eastAsia="宋体" w:cs="Times New Roman"/>
                <w:caps w:val="0"/>
                <w:smallCaps w:val="0"/>
                <w:color w:val="auto"/>
                <w:sz w:val="21"/>
                <w:szCs w:val="21"/>
                <w:lang w:eastAsia="zh-CN"/>
              </w:rPr>
              <w:t>②</w:t>
            </w:r>
            <w:r>
              <w:rPr>
                <w:rFonts w:hint="eastAsia" w:ascii="Times New Roman" w:hAnsi="Times New Roman" w:eastAsia="宋体" w:cs="Times New Roman"/>
                <w:caps w:val="0"/>
                <w:smallCaps w:val="0"/>
                <w:color w:val="auto"/>
                <w:sz w:val="21"/>
                <w:szCs w:val="21"/>
              </w:rPr>
              <w:t>根据HJ2.3判断属于水文要素影响型且地表水评价等级不低于二级的建设项目；</w:t>
            </w:r>
            <w:r>
              <w:rPr>
                <w:rFonts w:hint="eastAsia" w:ascii="Times New Roman" w:hAnsi="Times New Roman" w:eastAsia="宋体" w:cs="Times New Roman"/>
                <w:caps w:val="0"/>
                <w:smallCaps w:val="0"/>
                <w:color w:val="auto"/>
                <w:sz w:val="21"/>
                <w:szCs w:val="21"/>
                <w:lang w:eastAsia="zh-CN"/>
              </w:rPr>
              <w:t>③</w:t>
            </w:r>
            <w:r>
              <w:rPr>
                <w:rFonts w:hint="eastAsia" w:ascii="Times New Roman" w:hAnsi="Times New Roman" w:eastAsia="宋体" w:cs="Times New Roman"/>
                <w:b/>
                <w:bCs/>
                <w:caps w:val="0"/>
                <w:smallCaps w:val="0"/>
                <w:color w:val="auto"/>
                <w:sz w:val="21"/>
                <w:szCs w:val="21"/>
              </w:rPr>
              <w:t>根据HJ610、HJ964判断地下水水位或土壤影响范围内分布有天然林、公益林、湿地等生态保护目标的建设项目</w:t>
            </w:r>
            <w:r>
              <w:rPr>
                <w:rFonts w:hint="eastAsia" w:ascii="Times New Roman" w:hAnsi="Times New Roman" w:eastAsia="宋体" w:cs="Times New Roman"/>
                <w:caps w:val="0"/>
                <w:smallCaps w:val="0"/>
                <w:color w:val="auto"/>
                <w:sz w:val="21"/>
                <w:szCs w:val="21"/>
              </w:rPr>
              <w:t>；</w:t>
            </w:r>
            <w:r>
              <w:rPr>
                <w:rFonts w:hint="eastAsia" w:ascii="Times New Roman" w:hAnsi="Times New Roman" w:eastAsia="宋体" w:cs="Times New Roman"/>
                <w:caps w:val="0"/>
                <w:smallCaps w:val="0"/>
                <w:color w:val="auto"/>
                <w:sz w:val="21"/>
                <w:szCs w:val="21"/>
                <w:lang w:eastAsia="zh-CN"/>
              </w:rPr>
              <w:t>④</w:t>
            </w:r>
            <w:r>
              <w:rPr>
                <w:rFonts w:hint="eastAsia" w:ascii="Times New Roman" w:hAnsi="Times New Roman" w:eastAsia="宋体" w:cs="Times New Roman"/>
                <w:caps w:val="0"/>
                <w:smallCaps w:val="0"/>
                <w:color w:val="auto"/>
                <w:sz w:val="21"/>
                <w:szCs w:val="21"/>
              </w:rPr>
              <w:t>当工程占地规模大于20km</w:t>
            </w:r>
            <w:r>
              <w:rPr>
                <w:rFonts w:hint="eastAsia" w:ascii="Times New Roman" w:hAnsi="Times New Roman" w:eastAsia="宋体" w:cs="Times New Roman"/>
                <w:caps w:val="0"/>
                <w:smallCaps w:val="0"/>
                <w:color w:val="auto"/>
                <w:sz w:val="21"/>
                <w:szCs w:val="21"/>
                <w:vertAlign w:val="superscript"/>
              </w:rPr>
              <w:t>2</w:t>
            </w:r>
            <w:r>
              <w:rPr>
                <w:rFonts w:hint="eastAsia" w:ascii="Times New Roman" w:hAnsi="Times New Roman" w:eastAsia="宋体" w:cs="Times New Roman"/>
                <w:caps w:val="0"/>
                <w:smallCaps w:val="0"/>
                <w:color w:val="auto"/>
                <w:sz w:val="21"/>
                <w:szCs w:val="21"/>
              </w:rPr>
              <w:t>时（包括永久和临时占用陆域和水域）。</w:t>
            </w:r>
          </w:p>
        </w:tc>
        <w:tc>
          <w:tcPr>
            <w:tcW w:w="1412" w:type="dxa"/>
            <w:noWrap w:val="0"/>
            <w:tcMar>
              <w:left w:w="85" w:type="dxa"/>
            </w:tcMar>
            <w:vAlign w:val="center"/>
          </w:tcPr>
          <w:p w14:paraId="132C5F0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b/>
                <w:bCs/>
                <w:caps w:val="0"/>
                <w:smallCaps w:val="0"/>
                <w:color w:val="auto"/>
                <w:sz w:val="21"/>
                <w:szCs w:val="21"/>
                <w:highlight w:val="none"/>
                <w:lang w:eastAsia="zh-CN"/>
              </w:rPr>
              <w:t>属于</w:t>
            </w:r>
          </w:p>
        </w:tc>
      </w:tr>
      <w:tr w14:paraId="0E912E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1386260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rPr>
              <w:t>三级</w:t>
            </w:r>
          </w:p>
        </w:tc>
        <w:tc>
          <w:tcPr>
            <w:tcW w:w="6036" w:type="dxa"/>
            <w:noWrap w:val="0"/>
            <w:tcMar>
              <w:left w:w="85" w:type="dxa"/>
            </w:tcMar>
            <w:vAlign w:val="center"/>
          </w:tcPr>
          <w:p w14:paraId="7C67E60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rPr>
              <w:t>以上之外的</w:t>
            </w:r>
          </w:p>
        </w:tc>
        <w:tc>
          <w:tcPr>
            <w:tcW w:w="1412" w:type="dxa"/>
            <w:noWrap w:val="0"/>
            <w:tcMar>
              <w:left w:w="85" w:type="dxa"/>
            </w:tcMar>
            <w:vAlign w:val="center"/>
          </w:tcPr>
          <w:p w14:paraId="0E53EEC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2573C6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04742BE0">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eastAsia="zh-CN"/>
              </w:rPr>
              <w:t>说明</w:t>
            </w:r>
          </w:p>
        </w:tc>
        <w:tc>
          <w:tcPr>
            <w:tcW w:w="6036" w:type="dxa"/>
            <w:noWrap w:val="0"/>
            <w:tcMar>
              <w:left w:w="85" w:type="dxa"/>
            </w:tcMar>
            <w:vAlign w:val="center"/>
          </w:tcPr>
          <w:p w14:paraId="00AC2DB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rPr>
              <w:t>①改扩建项目的占地范围以新增占地（包括陆域和水域）确定；②当评价等级判定同时符合上述多种情况时，应采用其中最高的评价等级；③建设项目涉及经论证对保护生物多样性具有重要意义的区域时，可适当上调评价等级。④建设项目同时涉及陆生、水生生态影响时，可针对陆生生态、水生生态分别判定评价等级。⑤在矿山开采可能导致矿区土地利用类型明显改变，或拦河闸坝建设可能明显改变水文情势等情况下，评价等级应上调一级。⑥线性工程可分段确定评价等级。线性工程地下穿越或地表跨越生态敏感区，在生态敏感区范围内无永久、临时占地时，评价等级可下调一级</w:t>
            </w:r>
            <w:r>
              <w:rPr>
                <w:rFonts w:hint="eastAsia" w:ascii="Times New Roman" w:hAnsi="Times New Roman" w:eastAsia="宋体" w:cs="Times New Roman"/>
                <w:caps w:val="0"/>
                <w:smallCaps w:val="0"/>
                <w:color w:val="auto"/>
                <w:sz w:val="21"/>
                <w:szCs w:val="21"/>
                <w:lang w:eastAsia="zh-CN"/>
              </w:rPr>
              <w:t>。⑦涉海工程评价等级判定参照GB/T 19485。</w:t>
            </w:r>
          </w:p>
        </w:tc>
        <w:tc>
          <w:tcPr>
            <w:tcW w:w="1412" w:type="dxa"/>
            <w:noWrap w:val="0"/>
            <w:tcMar>
              <w:left w:w="85" w:type="dxa"/>
            </w:tcMar>
            <w:vAlign w:val="center"/>
          </w:tcPr>
          <w:p w14:paraId="480C9460">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宋体" w:hAnsi="宋体" w:eastAsia="宋体" w:cs="宋体"/>
                <w:caps w:val="0"/>
                <w:smallCaps w:val="0"/>
                <w:color w:val="auto"/>
                <w:sz w:val="21"/>
                <w:szCs w:val="21"/>
                <w:lang w:val="en-US" w:eastAsia="zh-CN"/>
              </w:rPr>
              <w:t>涉及④</w:t>
            </w:r>
          </w:p>
        </w:tc>
      </w:tr>
      <w:tr w14:paraId="72D12D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53" w:type="dxa"/>
            <w:noWrap w:val="0"/>
            <w:tcMar>
              <w:left w:w="85" w:type="dxa"/>
            </w:tcMar>
            <w:vAlign w:val="center"/>
          </w:tcPr>
          <w:p w14:paraId="3955B4F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eastAsia="zh-CN"/>
              </w:rPr>
              <w:t>简单分析</w:t>
            </w:r>
          </w:p>
        </w:tc>
        <w:tc>
          <w:tcPr>
            <w:tcW w:w="6036" w:type="dxa"/>
            <w:noWrap w:val="0"/>
            <w:tcMar>
              <w:left w:w="85" w:type="dxa"/>
            </w:tcMar>
            <w:vAlign w:val="center"/>
          </w:tcPr>
          <w:p w14:paraId="2BBBD6D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1412" w:type="dxa"/>
            <w:noWrap w:val="0"/>
            <w:tcMar>
              <w:left w:w="85" w:type="dxa"/>
            </w:tcMar>
            <w:vAlign w:val="center"/>
          </w:tcPr>
          <w:p w14:paraId="74C3D7A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bl>
    <w:p w14:paraId="1133B54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本项目同时涉及陆生和水生生态影响，生态评价范围内涉及湖南华容东湖国家湿地公园和生态保护红线；土壤、地下水影响范围内分布有东湖省级重要湿地；因此确定本工程生态影响评价等级为二级。</w:t>
      </w:r>
    </w:p>
    <w:p w14:paraId="1F740801">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（7）环境风险</w:t>
      </w:r>
    </w:p>
    <w:p w14:paraId="61B921F7">
      <w:pPr>
        <w:keepNext w:val="0"/>
        <w:keepLines w:val="0"/>
        <w:pageBreakBefore w:val="0"/>
        <w:widowControl w:val="0"/>
        <w:kinsoku w:val="0"/>
        <w:wordWrap w:val="0"/>
        <w:overflowPunct/>
        <w:topLinePunct/>
        <w:autoSpaceDE/>
        <w:autoSpaceDN/>
        <w:bidi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根据《建设项目环境风险评价技术导则》（HJ169-2018）：环境风险评价工作划分为一级、二级、三级。根据建设项目涉及的物质及工艺系统危险性和所在地的环境敏感性确定环境风险潜势，按表1.6-</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8</w:t>
      </w:r>
      <w:r>
        <w:rPr>
          <w:rFonts w:hint="default" w:ascii="Times New Roman" w:hAnsi="Times New Roman" w:eastAsia="宋体" w:cs="Times New Roman"/>
          <w:caps w:val="0"/>
          <w:smallCaps w:val="0"/>
          <w:color w:val="auto"/>
          <w:spacing w:val="0"/>
          <w:w w:val="100"/>
          <w:kern w:val="0"/>
          <w:position w:val="0"/>
          <w:sz w:val="24"/>
          <w:szCs w:val="24"/>
          <w:u w:val="none" w:color="auto"/>
        </w:rPr>
        <w:t>确定评价工作等级。</w:t>
      </w:r>
    </w:p>
    <w:p w14:paraId="536603AF">
      <w:pPr>
        <w:keepNext w:val="0"/>
        <w:keepLines w:val="0"/>
        <w:pageBreakBefore w:val="0"/>
        <w:widowControl w:val="0"/>
        <w:kinsoku w:val="0"/>
        <w:wordWrap w:val="0"/>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表1.6-</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环境风险</w:t>
      </w:r>
      <w:r>
        <w:rPr>
          <w:rFonts w:hint="default" w:ascii="Times New Roman" w:hAnsi="Times New Roman" w:eastAsia="宋体" w:cs="Times New Roman"/>
          <w:b/>
          <w:caps w:val="0"/>
          <w:smallCaps w:val="0"/>
          <w:color w:val="auto"/>
          <w:spacing w:val="0"/>
          <w:w w:val="100"/>
          <w:kern w:val="0"/>
          <w:position w:val="0"/>
          <w:sz w:val="24"/>
          <w:szCs w:val="24"/>
          <w:u w:val="none" w:color="auto"/>
        </w:rPr>
        <w:t>评价工作等级划分</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15"/>
        <w:gridCol w:w="1699"/>
        <w:gridCol w:w="1701"/>
        <w:gridCol w:w="1701"/>
      </w:tblGrid>
      <w:tr w14:paraId="25842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tcBorders>
              <w:tl2br w:val="nil"/>
              <w:tr2bl w:val="nil"/>
            </w:tcBorders>
            <w:vAlign w:val="center"/>
          </w:tcPr>
          <w:p w14:paraId="43FE88D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环境风险潜势</w:t>
            </w:r>
          </w:p>
        </w:tc>
        <w:tc>
          <w:tcPr>
            <w:tcW w:w="1827" w:type="dxa"/>
            <w:tcBorders>
              <w:tl2br w:val="nil"/>
              <w:tr2bl w:val="nil"/>
            </w:tcBorders>
            <w:vAlign w:val="center"/>
          </w:tcPr>
          <w:p w14:paraId="0D59C34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Ⅳ、Ⅳ</w:t>
            </w:r>
            <w:r>
              <w:rPr>
                <w:rFonts w:hint="default" w:ascii="Times New Roman" w:hAnsi="Times New Roman" w:eastAsia="宋体" w:cs="Times New Roman"/>
                <w:b/>
                <w:bCs/>
                <w:caps w:val="0"/>
                <w:smallCaps w:val="0"/>
                <w:color w:val="auto"/>
                <w:spacing w:val="0"/>
                <w:w w:val="100"/>
                <w:position w:val="0"/>
                <w:szCs w:val="21"/>
                <w:u w:val="none" w:color="auto"/>
                <w:vertAlign w:val="superscript"/>
              </w:rPr>
              <w:t>+</w:t>
            </w:r>
          </w:p>
        </w:tc>
        <w:tc>
          <w:tcPr>
            <w:tcW w:w="1810" w:type="dxa"/>
            <w:tcBorders>
              <w:tl2br w:val="nil"/>
              <w:tr2bl w:val="nil"/>
            </w:tcBorders>
            <w:vAlign w:val="center"/>
          </w:tcPr>
          <w:p w14:paraId="784E413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Ⅲ</w:t>
            </w:r>
          </w:p>
        </w:tc>
        <w:tc>
          <w:tcPr>
            <w:tcW w:w="1812" w:type="dxa"/>
            <w:tcBorders>
              <w:tl2br w:val="nil"/>
              <w:tr2bl w:val="nil"/>
            </w:tcBorders>
            <w:vAlign w:val="center"/>
          </w:tcPr>
          <w:p w14:paraId="3F6B0E5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Ⅱ</w:t>
            </w:r>
          </w:p>
        </w:tc>
        <w:tc>
          <w:tcPr>
            <w:tcW w:w="1812" w:type="dxa"/>
            <w:tcBorders>
              <w:tl2br w:val="nil"/>
              <w:tr2bl w:val="nil"/>
            </w:tcBorders>
            <w:vAlign w:val="center"/>
          </w:tcPr>
          <w:p w14:paraId="24CE7F9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Ⅰ</w:t>
            </w:r>
          </w:p>
        </w:tc>
      </w:tr>
      <w:tr w14:paraId="155C8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tcBorders>
              <w:tl2br w:val="nil"/>
              <w:tr2bl w:val="nil"/>
            </w:tcBorders>
            <w:vAlign w:val="center"/>
          </w:tcPr>
          <w:p w14:paraId="082EE9E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bCs/>
                <w:caps w:val="0"/>
                <w:smallCaps w:val="0"/>
                <w:color w:val="auto"/>
                <w:spacing w:val="0"/>
                <w:w w:val="100"/>
                <w:position w:val="0"/>
                <w:szCs w:val="21"/>
                <w:u w:val="none" w:color="auto"/>
              </w:rPr>
            </w:pPr>
            <w:r>
              <w:rPr>
                <w:rFonts w:hint="default" w:ascii="Times New Roman" w:hAnsi="Times New Roman" w:eastAsia="宋体" w:cs="Times New Roman"/>
                <w:b/>
                <w:bCs/>
                <w:caps w:val="0"/>
                <w:smallCaps w:val="0"/>
                <w:color w:val="auto"/>
                <w:spacing w:val="0"/>
                <w:w w:val="100"/>
                <w:position w:val="0"/>
                <w:szCs w:val="21"/>
                <w:u w:val="none" w:color="auto"/>
              </w:rPr>
              <w:t>评价工作等级</w:t>
            </w:r>
          </w:p>
        </w:tc>
        <w:tc>
          <w:tcPr>
            <w:tcW w:w="1827" w:type="dxa"/>
            <w:tcBorders>
              <w:tl2br w:val="nil"/>
              <w:tr2bl w:val="nil"/>
            </w:tcBorders>
            <w:vAlign w:val="center"/>
          </w:tcPr>
          <w:p w14:paraId="70A70A7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一</w:t>
            </w:r>
          </w:p>
        </w:tc>
        <w:tc>
          <w:tcPr>
            <w:tcW w:w="1810" w:type="dxa"/>
            <w:tcBorders>
              <w:tl2br w:val="nil"/>
              <w:tr2bl w:val="nil"/>
            </w:tcBorders>
            <w:vAlign w:val="center"/>
          </w:tcPr>
          <w:p w14:paraId="7EDAB1E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二</w:t>
            </w:r>
          </w:p>
        </w:tc>
        <w:tc>
          <w:tcPr>
            <w:tcW w:w="1812" w:type="dxa"/>
            <w:tcBorders>
              <w:tl2br w:val="nil"/>
              <w:tr2bl w:val="nil"/>
            </w:tcBorders>
            <w:vAlign w:val="center"/>
          </w:tcPr>
          <w:p w14:paraId="66851EE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三</w:t>
            </w:r>
          </w:p>
        </w:tc>
        <w:tc>
          <w:tcPr>
            <w:tcW w:w="1812" w:type="dxa"/>
            <w:tcBorders>
              <w:tl2br w:val="nil"/>
              <w:tr2bl w:val="nil"/>
            </w:tcBorders>
            <w:vAlign w:val="center"/>
          </w:tcPr>
          <w:p w14:paraId="20A41FE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简单分析</w:t>
            </w:r>
            <w:r>
              <w:rPr>
                <w:rFonts w:hint="default" w:ascii="Times New Roman" w:hAnsi="Times New Roman" w:eastAsia="宋体" w:cs="Times New Roman"/>
                <w:caps w:val="0"/>
                <w:smallCaps w:val="0"/>
                <w:color w:val="auto"/>
                <w:spacing w:val="0"/>
                <w:w w:val="100"/>
                <w:position w:val="0"/>
                <w:szCs w:val="21"/>
                <w:u w:val="none" w:color="auto"/>
                <w:vertAlign w:val="superscript"/>
              </w:rPr>
              <w:t>a</w:t>
            </w:r>
          </w:p>
        </w:tc>
      </w:tr>
      <w:tr w14:paraId="6313E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2" w:type="dxa"/>
            <w:gridSpan w:val="5"/>
            <w:tcBorders>
              <w:tl2br w:val="nil"/>
              <w:tr2bl w:val="nil"/>
            </w:tcBorders>
            <w:vAlign w:val="center"/>
          </w:tcPr>
          <w:p w14:paraId="79B886B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left"/>
              <w:textAlignment w:val="auto"/>
              <w:rPr>
                <w:rFonts w:hint="default" w:ascii="Times New Roman" w:hAnsi="Times New Roman" w:eastAsia="宋体" w:cs="Times New Roman"/>
                <w:caps w:val="0"/>
                <w:smallCaps w:val="0"/>
                <w:color w:val="auto"/>
                <w:spacing w:val="0"/>
                <w:w w:val="100"/>
                <w:position w:val="0"/>
                <w:szCs w:val="21"/>
                <w:u w:val="none" w:color="auto"/>
              </w:rPr>
            </w:pPr>
            <w:r>
              <w:rPr>
                <w:rFonts w:hint="default" w:ascii="Times New Roman" w:hAnsi="Times New Roman" w:eastAsia="宋体" w:cs="Times New Roman"/>
                <w:caps w:val="0"/>
                <w:smallCaps w:val="0"/>
                <w:color w:val="auto"/>
                <w:spacing w:val="0"/>
                <w:w w:val="100"/>
                <w:position w:val="0"/>
                <w:szCs w:val="21"/>
                <w:u w:val="none" w:color="auto"/>
              </w:rPr>
              <w:t>a是相对于详细评价工作内容而言，</w:t>
            </w:r>
            <w:bookmarkStart w:id="81" w:name="_Hlk2009396"/>
            <w:r>
              <w:rPr>
                <w:rFonts w:hint="default" w:ascii="Times New Roman" w:hAnsi="Times New Roman" w:eastAsia="宋体" w:cs="Times New Roman"/>
                <w:caps w:val="0"/>
                <w:smallCaps w:val="0"/>
                <w:color w:val="auto"/>
                <w:spacing w:val="0"/>
                <w:w w:val="100"/>
                <w:position w:val="0"/>
                <w:szCs w:val="21"/>
                <w:u w:val="none" w:color="auto"/>
              </w:rPr>
              <w:t>在描述危险物质、环境影响途径、环境危害后果、风险防范措施等方面给出定性的说明。</w:t>
            </w:r>
            <w:bookmarkEnd w:id="81"/>
          </w:p>
        </w:tc>
      </w:tr>
    </w:tbl>
    <w:p w14:paraId="6F80C674">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水库除险加固</w:t>
      </w:r>
      <w:r>
        <w:rPr>
          <w:rFonts w:hint="default" w:ascii="Times New Roman" w:hAnsi="Times New Roman" w:eastAsia="宋体" w:cs="Times New Roman"/>
          <w:caps w:val="0"/>
          <w:smallCaps w:val="0"/>
          <w:color w:val="auto"/>
          <w:spacing w:val="0"/>
          <w:w w:val="100"/>
          <w:kern w:val="0"/>
          <w:position w:val="0"/>
          <w:sz w:val="24"/>
          <w:szCs w:val="24"/>
          <w:u w:val="none" w:color="auto"/>
        </w:rPr>
        <w:t>工程，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本项目涉及的突发环境事件风险物质为施工机械</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设备车辆等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使用的油类物质，均就近购买，随用随买，不设储油库。本工程的风险物质及最大储存量分别为：柴油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1.68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t、废机油0.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t，油类物质临界量为2500t，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危险废物临界量为50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则</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Q=0.0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10672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＜1，可知本项目风险潜势为Ⅰ，确定本项目环境风险评价等级为简单分析。</w:t>
      </w:r>
    </w:p>
    <w:p w14:paraId="48B0C120">
      <w:pPr>
        <w:pStyle w:val="4"/>
        <w:bidi w:val="0"/>
        <w:rPr>
          <w:rFonts w:hint="default" w:ascii="Times New Roman" w:hAnsi="Times New Roman" w:cs="Times New Roman"/>
          <w:u w:val="none" w:color="auto"/>
        </w:rPr>
      </w:pPr>
      <w:bookmarkStart w:id="82" w:name="_Toc31230"/>
      <w:r>
        <w:rPr>
          <w:rFonts w:hint="default" w:ascii="Times New Roman" w:hAnsi="Times New Roman" w:cs="Times New Roman"/>
          <w:u w:val="none" w:color="auto"/>
        </w:rPr>
        <w:t>评价范围</w:t>
      </w:r>
      <w:bookmarkEnd w:id="82"/>
    </w:p>
    <w:p w14:paraId="160D52A9">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根据项目的性质、特点和现场勘察情况，确定本次评价的范围如下：</w:t>
      </w:r>
    </w:p>
    <w:p w14:paraId="7FE9D122">
      <w:pPr>
        <w:pageBreakBefore w:val="0"/>
        <w:kinsoku w:val="0"/>
        <w:wordWrap w:val="0"/>
        <w:overflowPunct/>
        <w:topLinePunct/>
        <w:autoSpaceDE/>
        <w:autoSpaceDN/>
        <w:bidi w:val="0"/>
        <w:adjustRightInd w:val="0"/>
        <w:spacing w:line="240" w:lineRule="auto"/>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表1.</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b/>
          <w:caps w:val="0"/>
          <w:smallCaps w:val="0"/>
          <w:color w:val="auto"/>
          <w:spacing w:val="0"/>
          <w:w w:val="100"/>
          <w:kern w:val="0"/>
          <w:position w:val="0"/>
          <w:sz w:val="24"/>
          <w:szCs w:val="24"/>
          <w:u w:val="none" w:color="auto"/>
        </w:rPr>
        <w:t>-</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10</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环境影响评价工作范围</w:t>
      </w:r>
      <w:r>
        <w:rPr>
          <w:rFonts w:hint="default" w:ascii="Times New Roman" w:hAnsi="Times New Roman" w:eastAsia="宋体" w:cs="Times New Roman"/>
          <w:b/>
          <w:caps w:val="0"/>
          <w:smallCaps w:val="0"/>
          <w:color w:val="auto"/>
          <w:spacing w:val="0"/>
          <w:w w:val="100"/>
          <w:kern w:val="0"/>
          <w:position w:val="0"/>
          <w:sz w:val="24"/>
          <w:szCs w:val="24"/>
          <w:u w:val="none" w:color="auto"/>
          <w:lang w:eastAsia="zh-CN"/>
        </w:rPr>
        <w:t>及等级</w:t>
      </w:r>
      <w:r>
        <w:rPr>
          <w:rFonts w:hint="default" w:ascii="Times New Roman" w:hAnsi="Times New Roman" w:eastAsia="宋体" w:cs="Times New Roman"/>
          <w:b/>
          <w:caps w:val="0"/>
          <w:smallCaps w:val="0"/>
          <w:color w:val="auto"/>
          <w:spacing w:val="0"/>
          <w:w w:val="100"/>
          <w:kern w:val="0"/>
          <w:position w:val="0"/>
          <w:sz w:val="24"/>
          <w:szCs w:val="24"/>
          <w:u w:val="none" w:color="auto"/>
        </w:rPr>
        <w:t>一览表</w:t>
      </w:r>
    </w:p>
    <w:tbl>
      <w:tblPr>
        <w:tblStyle w:val="9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1028"/>
        <w:gridCol w:w="6066"/>
      </w:tblGrid>
      <w:tr w14:paraId="04564A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01D3D383">
            <w:pPr>
              <w:keepNext w:val="0"/>
              <w:keepLines w:val="0"/>
              <w:pageBreakBefore w:val="0"/>
              <w:widowControl w:val="0"/>
              <w:kinsoku/>
              <w:wordWrap/>
              <w:overflowPunct/>
              <w:topLinePunct w:val="0"/>
              <w:autoSpaceDE/>
              <w:autoSpaceDN/>
              <w:bidi w:val="0"/>
              <w:adjustRightInd/>
              <w:snapToGrid/>
              <w:spacing w:line="218"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评价内容</w:t>
            </w:r>
          </w:p>
        </w:tc>
        <w:tc>
          <w:tcPr>
            <w:tcW w:w="1043" w:type="dxa"/>
            <w:tcBorders>
              <w:tl2br w:val="nil"/>
              <w:tr2bl w:val="nil"/>
            </w:tcBorders>
            <w:noWrap w:val="0"/>
            <w:vAlign w:val="center"/>
          </w:tcPr>
          <w:p w14:paraId="0AA9E955">
            <w:pPr>
              <w:keepNext w:val="0"/>
              <w:keepLines w:val="0"/>
              <w:pageBreakBefore w:val="0"/>
              <w:widowControl w:val="0"/>
              <w:kinsoku/>
              <w:wordWrap/>
              <w:overflowPunct/>
              <w:topLinePunct w:val="0"/>
              <w:autoSpaceDE/>
              <w:autoSpaceDN/>
              <w:bidi w:val="0"/>
              <w:adjustRightInd/>
              <w:snapToGrid/>
              <w:spacing w:line="218"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评价等级</w:t>
            </w:r>
          </w:p>
        </w:tc>
        <w:tc>
          <w:tcPr>
            <w:tcW w:w="6153" w:type="dxa"/>
            <w:tcBorders>
              <w:tl2br w:val="nil"/>
              <w:tr2bl w:val="nil"/>
            </w:tcBorders>
            <w:noWrap w:val="0"/>
            <w:vAlign w:val="center"/>
          </w:tcPr>
          <w:p w14:paraId="54236548">
            <w:pPr>
              <w:keepNext w:val="0"/>
              <w:keepLines w:val="0"/>
              <w:pageBreakBefore w:val="0"/>
              <w:widowControl w:val="0"/>
              <w:kinsoku/>
              <w:wordWrap/>
              <w:overflowPunct/>
              <w:topLinePunct w:val="0"/>
              <w:autoSpaceDE/>
              <w:autoSpaceDN/>
              <w:bidi w:val="0"/>
              <w:adjustRightInd/>
              <w:snapToGrid/>
              <w:spacing w:line="218" w:lineRule="auto"/>
              <w:ind w:left="0" w:righ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评价范围</w:t>
            </w:r>
          </w:p>
        </w:tc>
      </w:tr>
      <w:tr w14:paraId="18E430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05B246F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大气环境</w:t>
            </w:r>
          </w:p>
        </w:tc>
        <w:tc>
          <w:tcPr>
            <w:tcW w:w="1043" w:type="dxa"/>
            <w:tcBorders>
              <w:tl2br w:val="nil"/>
              <w:tr2bl w:val="nil"/>
            </w:tcBorders>
            <w:noWrap w:val="0"/>
            <w:vAlign w:val="center"/>
          </w:tcPr>
          <w:p w14:paraId="4D0EC3D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三级</w:t>
            </w:r>
          </w:p>
        </w:tc>
        <w:tc>
          <w:tcPr>
            <w:tcW w:w="6153" w:type="dxa"/>
            <w:tcBorders>
              <w:tl2br w:val="nil"/>
              <w:tr2bl w:val="nil"/>
            </w:tcBorders>
            <w:noWrap w:val="0"/>
            <w:vAlign w:val="center"/>
          </w:tcPr>
          <w:p w14:paraId="40C512F8">
            <w:pPr>
              <w:keepNext w:val="0"/>
              <w:keepLines w:val="0"/>
              <w:pageBreakBefore w:val="0"/>
              <w:widowControl w:val="0"/>
              <w:kinsoku/>
              <w:wordWrap/>
              <w:overflowPunct/>
              <w:topLinePunct w:val="0"/>
              <w:autoSpaceDE/>
              <w:autoSpaceDN/>
              <w:bidi w:val="0"/>
              <w:adjustRightInd/>
              <w:snapToGrid/>
              <w:spacing w:line="233"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val="en-US" w:eastAsia="zh-CN"/>
              </w:rPr>
              <w:t>不需要设置大气环境影响评价范围。本次重点对</w:t>
            </w:r>
            <w:r>
              <w:rPr>
                <w:rFonts w:hint="default" w:ascii="Times New Roman" w:hAnsi="Times New Roman" w:eastAsia="宋体" w:cs="Times New Roman"/>
                <w:color w:val="auto"/>
                <w:spacing w:val="0"/>
                <w:w w:val="100"/>
                <w:position w:val="0"/>
                <w:sz w:val="21"/>
                <w:szCs w:val="21"/>
                <w:u w:val="none" w:color="auto"/>
              </w:rPr>
              <w:t>施工</w:t>
            </w:r>
            <w:r>
              <w:rPr>
                <w:rFonts w:hint="default" w:ascii="Times New Roman" w:hAnsi="Times New Roman" w:eastAsia="宋体" w:cs="Times New Roman"/>
                <w:color w:val="auto"/>
                <w:spacing w:val="0"/>
                <w:w w:val="100"/>
                <w:position w:val="0"/>
                <w:sz w:val="21"/>
                <w:szCs w:val="21"/>
                <w:u w:val="none" w:color="auto"/>
                <w:lang w:eastAsia="zh-CN"/>
              </w:rPr>
              <w:t>场地</w:t>
            </w:r>
            <w:r>
              <w:rPr>
                <w:rFonts w:hint="default" w:ascii="Times New Roman" w:hAnsi="Times New Roman" w:eastAsia="宋体" w:cs="Times New Roman"/>
                <w:color w:val="auto"/>
                <w:spacing w:val="0"/>
                <w:w w:val="100"/>
                <w:position w:val="0"/>
                <w:sz w:val="21"/>
                <w:szCs w:val="21"/>
                <w:u w:val="none" w:color="auto"/>
              </w:rPr>
              <w:t>周边</w:t>
            </w:r>
            <w:r>
              <w:rPr>
                <w:rFonts w:hint="eastAsia" w:ascii="Times New Roman" w:hAnsi="Times New Roman" w:eastAsia="宋体" w:cs="Times New Roman"/>
                <w:color w:val="auto"/>
                <w:spacing w:val="0"/>
                <w:w w:val="100"/>
                <w:position w:val="0"/>
                <w:sz w:val="21"/>
                <w:szCs w:val="21"/>
                <w:u w:val="none" w:color="auto"/>
                <w:lang w:val="en-US" w:eastAsia="zh-CN"/>
              </w:rPr>
              <w:t>2</w:t>
            </w:r>
            <w:r>
              <w:rPr>
                <w:rFonts w:hint="default" w:ascii="Times New Roman" w:hAnsi="Times New Roman" w:eastAsia="Times New Roman" w:cs="Times New Roman"/>
                <w:color w:val="auto"/>
                <w:spacing w:val="0"/>
                <w:w w:val="100"/>
                <w:position w:val="0"/>
                <w:sz w:val="21"/>
                <w:szCs w:val="21"/>
                <w:u w:val="none" w:color="auto"/>
              </w:rPr>
              <w:t>00m</w:t>
            </w:r>
            <w:r>
              <w:rPr>
                <w:rFonts w:hint="default" w:ascii="Times New Roman" w:hAnsi="Times New Roman" w:eastAsia="宋体" w:cs="Times New Roman"/>
                <w:color w:val="auto"/>
                <w:spacing w:val="0"/>
                <w:w w:val="100"/>
                <w:position w:val="0"/>
                <w:sz w:val="21"/>
                <w:szCs w:val="21"/>
                <w:u w:val="none" w:color="auto"/>
              </w:rPr>
              <w:t>范围区域进行</w:t>
            </w:r>
            <w:r>
              <w:rPr>
                <w:rFonts w:hint="default" w:ascii="Times New Roman" w:hAnsi="Times New Roman" w:eastAsia="宋体" w:cs="Times New Roman"/>
                <w:color w:val="auto"/>
                <w:spacing w:val="0"/>
                <w:w w:val="100"/>
                <w:position w:val="0"/>
                <w:sz w:val="21"/>
                <w:szCs w:val="21"/>
                <w:u w:val="none" w:color="auto"/>
                <w:lang w:eastAsia="zh-CN"/>
              </w:rPr>
              <w:t>评价</w:t>
            </w:r>
          </w:p>
        </w:tc>
      </w:tr>
      <w:tr w14:paraId="61C1AA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19FA56B7">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地表水环境</w:t>
            </w:r>
          </w:p>
        </w:tc>
        <w:tc>
          <w:tcPr>
            <w:tcW w:w="1043" w:type="dxa"/>
            <w:tcBorders>
              <w:tl2br w:val="nil"/>
              <w:tr2bl w:val="nil"/>
            </w:tcBorders>
            <w:noWrap w:val="0"/>
            <w:vAlign w:val="center"/>
          </w:tcPr>
          <w:p w14:paraId="38FAFC5B">
            <w:pPr>
              <w:keepNext w:val="0"/>
              <w:keepLines w:val="0"/>
              <w:pageBreakBefore w:val="0"/>
              <w:widowControl w:val="0"/>
              <w:kinsoku/>
              <w:wordWrap/>
              <w:overflowPunct/>
              <w:topLinePunct w:val="0"/>
              <w:autoSpaceDE/>
              <w:autoSpaceDN/>
              <w:bidi w:val="0"/>
              <w:adjustRightInd/>
              <w:snapToGrid/>
              <w:spacing w:line="222"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二级</w:t>
            </w:r>
          </w:p>
        </w:tc>
        <w:tc>
          <w:tcPr>
            <w:tcW w:w="6153" w:type="dxa"/>
            <w:tcBorders>
              <w:tl2br w:val="nil"/>
              <w:tr2bl w:val="nil"/>
            </w:tcBorders>
            <w:noWrap w:val="0"/>
            <w:vAlign w:val="center"/>
          </w:tcPr>
          <w:p w14:paraId="529D1BF4">
            <w:pPr>
              <w:keepNext w:val="0"/>
              <w:keepLines w:val="0"/>
              <w:pageBreakBefore w:val="0"/>
              <w:widowControl w:val="0"/>
              <w:kinsoku/>
              <w:wordWrap/>
              <w:overflowPunct/>
              <w:topLinePunct w:val="0"/>
              <w:autoSpaceDE/>
              <w:autoSpaceDN/>
              <w:bidi w:val="0"/>
              <w:adjustRightInd/>
              <w:snapToGrid/>
              <w:spacing w:line="218"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eastAsia" w:ascii="Times New Roman" w:hAnsi="Times New Roman" w:eastAsia="宋体" w:cs="Times New Roman"/>
                <w:color w:val="auto"/>
                <w:spacing w:val="0"/>
                <w:w w:val="100"/>
                <w:position w:val="0"/>
                <w:sz w:val="21"/>
                <w:szCs w:val="21"/>
                <w:u w:val="none" w:color="auto"/>
                <w:lang w:eastAsia="zh-CN"/>
              </w:rPr>
              <w:t>北汊水库</w:t>
            </w:r>
            <w:r>
              <w:rPr>
                <w:rFonts w:hint="default" w:ascii="Times New Roman" w:hAnsi="Times New Roman" w:eastAsia="宋体" w:cs="Times New Roman"/>
                <w:color w:val="auto"/>
                <w:spacing w:val="0"/>
                <w:w w:val="100"/>
                <w:position w:val="0"/>
                <w:sz w:val="21"/>
                <w:szCs w:val="21"/>
                <w:u w:val="none" w:color="auto"/>
              </w:rPr>
              <w:t>库区</w:t>
            </w:r>
          </w:p>
        </w:tc>
      </w:tr>
      <w:tr w14:paraId="51EA02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2D05EAD1">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地下水环境</w:t>
            </w:r>
          </w:p>
        </w:tc>
        <w:tc>
          <w:tcPr>
            <w:tcW w:w="1043" w:type="dxa"/>
            <w:tcBorders>
              <w:tl2br w:val="nil"/>
              <w:tr2bl w:val="nil"/>
            </w:tcBorders>
            <w:noWrap w:val="0"/>
            <w:vAlign w:val="center"/>
          </w:tcPr>
          <w:p w14:paraId="1F57C934">
            <w:pPr>
              <w:keepNext w:val="0"/>
              <w:keepLines w:val="0"/>
              <w:pageBreakBefore w:val="0"/>
              <w:widowControl w:val="0"/>
              <w:kinsoku/>
              <w:wordWrap/>
              <w:overflowPunct/>
              <w:topLinePunct w:val="0"/>
              <w:autoSpaceDE/>
              <w:autoSpaceDN/>
              <w:bidi w:val="0"/>
              <w:adjustRightInd/>
              <w:snapToGrid/>
              <w:spacing w:line="222"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三级</w:t>
            </w:r>
          </w:p>
        </w:tc>
        <w:tc>
          <w:tcPr>
            <w:tcW w:w="6153" w:type="dxa"/>
            <w:tcBorders>
              <w:tl2br w:val="nil"/>
              <w:tr2bl w:val="nil"/>
            </w:tcBorders>
            <w:noWrap w:val="0"/>
            <w:vAlign w:val="center"/>
          </w:tcPr>
          <w:p w14:paraId="622AE353">
            <w:pPr>
              <w:keepNext w:val="0"/>
              <w:keepLines w:val="0"/>
              <w:widowControl/>
              <w:suppressLineNumbers w:val="0"/>
              <w:jc w:val="center"/>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eastAsia="zh-CN"/>
              </w:rPr>
              <w:t>北汊水库</w:t>
            </w:r>
            <w:r>
              <w:rPr>
                <w:rFonts w:hint="default" w:ascii="Times New Roman" w:hAnsi="Times New Roman" w:eastAsia="宋体" w:cs="Times New Roman"/>
                <w:color w:val="auto"/>
                <w:spacing w:val="0"/>
                <w:w w:val="100"/>
                <w:position w:val="0"/>
                <w:sz w:val="21"/>
                <w:szCs w:val="21"/>
                <w:u w:val="none" w:color="auto"/>
              </w:rPr>
              <w:t>库区</w:t>
            </w:r>
          </w:p>
        </w:tc>
      </w:tr>
      <w:tr w14:paraId="45151F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558BF7D7">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声环境</w:t>
            </w:r>
          </w:p>
        </w:tc>
        <w:tc>
          <w:tcPr>
            <w:tcW w:w="1043" w:type="dxa"/>
            <w:tcBorders>
              <w:tl2br w:val="nil"/>
              <w:tr2bl w:val="nil"/>
            </w:tcBorders>
            <w:noWrap w:val="0"/>
            <w:vAlign w:val="center"/>
          </w:tcPr>
          <w:p w14:paraId="344CCF5E">
            <w:pPr>
              <w:keepNext w:val="0"/>
              <w:keepLines w:val="0"/>
              <w:pageBreakBefore w:val="0"/>
              <w:widowControl w:val="0"/>
              <w:kinsoku/>
              <w:wordWrap/>
              <w:overflowPunct/>
              <w:topLinePunct w:val="0"/>
              <w:autoSpaceDE/>
              <w:autoSpaceDN/>
              <w:bidi w:val="0"/>
              <w:adjustRightInd/>
              <w:snapToGrid/>
              <w:spacing w:line="222"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二级</w:t>
            </w:r>
          </w:p>
        </w:tc>
        <w:tc>
          <w:tcPr>
            <w:tcW w:w="6153" w:type="dxa"/>
            <w:tcBorders>
              <w:tl2br w:val="nil"/>
              <w:tr2bl w:val="nil"/>
            </w:tcBorders>
            <w:noWrap w:val="0"/>
            <w:vAlign w:val="center"/>
          </w:tcPr>
          <w:p w14:paraId="152324C8">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施工场地周边</w:t>
            </w:r>
            <w:r>
              <w:rPr>
                <w:rFonts w:hint="default" w:ascii="Times New Roman" w:hAnsi="Times New Roman" w:eastAsia="Times New Roman" w:cs="Times New Roman"/>
                <w:color w:val="auto"/>
                <w:spacing w:val="0"/>
                <w:w w:val="100"/>
                <w:position w:val="0"/>
                <w:sz w:val="21"/>
                <w:szCs w:val="21"/>
                <w:u w:val="none" w:color="auto"/>
              </w:rPr>
              <w:t>200m</w:t>
            </w:r>
            <w:r>
              <w:rPr>
                <w:rFonts w:hint="default" w:ascii="Times New Roman" w:hAnsi="Times New Roman" w:eastAsia="宋体" w:cs="Times New Roman"/>
                <w:color w:val="auto"/>
                <w:spacing w:val="0"/>
                <w:w w:val="100"/>
                <w:position w:val="0"/>
                <w:sz w:val="21"/>
                <w:szCs w:val="21"/>
                <w:u w:val="none" w:color="auto"/>
              </w:rPr>
              <w:t>，施工道路两侧</w:t>
            </w:r>
            <w:r>
              <w:rPr>
                <w:rFonts w:hint="default" w:ascii="Times New Roman" w:hAnsi="Times New Roman" w:eastAsia="Times New Roman" w:cs="Times New Roman"/>
                <w:color w:val="auto"/>
                <w:spacing w:val="0"/>
                <w:w w:val="100"/>
                <w:position w:val="0"/>
                <w:sz w:val="21"/>
                <w:szCs w:val="21"/>
                <w:u w:val="none" w:color="auto"/>
              </w:rPr>
              <w:t>200m</w:t>
            </w:r>
            <w:r>
              <w:rPr>
                <w:rFonts w:hint="default" w:ascii="Times New Roman" w:hAnsi="Times New Roman" w:eastAsia="宋体" w:cs="Times New Roman"/>
                <w:color w:val="auto"/>
                <w:spacing w:val="0"/>
                <w:w w:val="100"/>
                <w:position w:val="0"/>
                <w:sz w:val="21"/>
                <w:szCs w:val="21"/>
                <w:u w:val="none" w:color="auto"/>
              </w:rPr>
              <w:t>范围以内的区域</w:t>
            </w:r>
          </w:p>
        </w:tc>
      </w:tr>
      <w:tr w14:paraId="395595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03F2BDA5">
            <w:pPr>
              <w:keepNext w:val="0"/>
              <w:keepLines w:val="0"/>
              <w:pageBreakBefore w:val="0"/>
              <w:widowControl w:val="0"/>
              <w:kinsoku/>
              <w:wordWrap/>
              <w:overflowPunct/>
              <w:topLinePunct w:val="0"/>
              <w:autoSpaceDE/>
              <w:autoSpaceDN/>
              <w:bidi w:val="0"/>
              <w:adjustRightInd/>
              <w:snapToGrid/>
              <w:spacing w:line="220" w:lineRule="auto"/>
              <w:ind w:left="0" w:leftChars="0" w:right="0" w:righ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rPr>
              <w:t>土壤环境</w:t>
            </w:r>
          </w:p>
        </w:tc>
        <w:tc>
          <w:tcPr>
            <w:tcW w:w="1043" w:type="dxa"/>
            <w:tcBorders>
              <w:tl2br w:val="nil"/>
              <w:tr2bl w:val="nil"/>
            </w:tcBorders>
            <w:noWrap w:val="0"/>
            <w:vAlign w:val="center"/>
          </w:tcPr>
          <w:p w14:paraId="0223F6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lang w:eastAsia="zh-CN"/>
              </w:rPr>
              <w:t>三级</w:t>
            </w:r>
          </w:p>
        </w:tc>
        <w:tc>
          <w:tcPr>
            <w:tcW w:w="6153" w:type="dxa"/>
            <w:tcBorders>
              <w:tl2br w:val="nil"/>
              <w:tr2bl w:val="nil"/>
            </w:tcBorders>
            <w:noWrap w:val="0"/>
            <w:vAlign w:val="center"/>
          </w:tcPr>
          <w:p w14:paraId="65D9EE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施工占地及占地范围外</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1000m范围</w:t>
            </w:r>
          </w:p>
        </w:tc>
      </w:tr>
      <w:tr w14:paraId="7611A3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73EA9E3B">
            <w:pPr>
              <w:keepNext w:val="0"/>
              <w:keepLines w:val="0"/>
              <w:pageBreakBefore w:val="0"/>
              <w:widowControl w:val="0"/>
              <w:kinsoku/>
              <w:wordWrap/>
              <w:overflowPunct/>
              <w:topLinePunct w:val="0"/>
              <w:autoSpaceDE/>
              <w:autoSpaceDN/>
              <w:bidi w:val="0"/>
              <w:adjustRightInd/>
              <w:snapToGrid/>
              <w:spacing w:line="251" w:lineRule="auto"/>
              <w:ind w:left="0" w:right="0"/>
              <w:jc w:val="center"/>
              <w:textAlignment w:val="auto"/>
              <w:rPr>
                <w:rFonts w:hint="default" w:ascii="Times New Roman" w:hAnsi="Times New Roman" w:cs="Times New Roman"/>
                <w:color w:val="auto"/>
                <w:spacing w:val="0"/>
                <w:w w:val="100"/>
                <w:position w:val="0"/>
                <w:sz w:val="21"/>
                <w:u w:val="none" w:color="auto"/>
              </w:rPr>
            </w:pPr>
          </w:p>
          <w:p w14:paraId="716AE205">
            <w:pPr>
              <w:keepNext w:val="0"/>
              <w:keepLines w:val="0"/>
              <w:pageBreakBefore w:val="0"/>
              <w:widowControl w:val="0"/>
              <w:kinsoku/>
              <w:wordWrap/>
              <w:overflowPunct/>
              <w:topLinePunct w:val="0"/>
              <w:autoSpaceDE/>
              <w:autoSpaceDN/>
              <w:bidi w:val="0"/>
              <w:adjustRightInd/>
              <w:snapToGrid/>
              <w:spacing w:line="222"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生态影响</w:t>
            </w:r>
          </w:p>
        </w:tc>
        <w:tc>
          <w:tcPr>
            <w:tcW w:w="1043" w:type="dxa"/>
            <w:tcBorders>
              <w:tl2br w:val="nil"/>
              <w:tr2bl w:val="nil"/>
            </w:tcBorders>
            <w:noWrap w:val="0"/>
            <w:vAlign w:val="center"/>
          </w:tcPr>
          <w:p w14:paraId="46C569EB">
            <w:pPr>
              <w:keepNext w:val="0"/>
              <w:keepLines w:val="0"/>
              <w:pageBreakBefore w:val="0"/>
              <w:widowControl w:val="0"/>
              <w:kinsoku/>
              <w:wordWrap/>
              <w:overflowPunct/>
              <w:topLinePunct w:val="0"/>
              <w:autoSpaceDE/>
              <w:autoSpaceDN/>
              <w:bidi w:val="0"/>
              <w:adjustRightInd/>
              <w:snapToGrid/>
              <w:spacing w:line="224"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lang w:eastAsia="zh-CN"/>
              </w:rPr>
              <w:t>二</w:t>
            </w:r>
            <w:r>
              <w:rPr>
                <w:rFonts w:hint="default" w:ascii="Times New Roman" w:hAnsi="Times New Roman" w:eastAsia="宋体" w:cs="Times New Roman"/>
                <w:color w:val="auto"/>
                <w:spacing w:val="0"/>
                <w:w w:val="100"/>
                <w:position w:val="0"/>
                <w:sz w:val="21"/>
                <w:szCs w:val="21"/>
                <w:u w:val="none" w:color="auto"/>
              </w:rPr>
              <w:t>级</w:t>
            </w:r>
          </w:p>
        </w:tc>
        <w:tc>
          <w:tcPr>
            <w:tcW w:w="6153" w:type="dxa"/>
            <w:tcBorders>
              <w:tl2br w:val="nil"/>
              <w:tr2bl w:val="nil"/>
            </w:tcBorders>
            <w:noWrap w:val="0"/>
            <w:vAlign w:val="center"/>
          </w:tcPr>
          <w:p w14:paraId="7F213FA5">
            <w:pPr>
              <w:keepNext w:val="0"/>
              <w:keepLines w:val="0"/>
              <w:pageBreakBefore w:val="0"/>
              <w:widowControl w:val="0"/>
              <w:kinsoku/>
              <w:wordWrap/>
              <w:overflowPunct/>
              <w:topLinePunct w:val="0"/>
              <w:autoSpaceDE/>
              <w:autoSpaceDN/>
              <w:bidi w:val="0"/>
              <w:adjustRightInd/>
              <w:snapToGrid/>
              <w:spacing w:line="220" w:lineRule="auto"/>
              <w:ind w:left="0" w:right="0"/>
              <w:jc w:val="left"/>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陆生生态：工程及库区周边1km</w:t>
            </w:r>
            <w:r>
              <w:rPr>
                <w:rFonts w:hint="default" w:ascii="Times New Roman" w:hAnsi="Times New Roman" w:eastAsia="宋体" w:cs="Times New Roman"/>
                <w:color w:val="auto"/>
                <w:spacing w:val="0"/>
                <w:w w:val="100"/>
                <w:position w:val="0"/>
                <w:sz w:val="21"/>
                <w:szCs w:val="21"/>
                <w:u w:val="none" w:color="auto"/>
                <w:lang w:val="en-US" w:eastAsia="zh-CN"/>
              </w:rPr>
              <w:t>范围</w:t>
            </w:r>
          </w:p>
          <w:p w14:paraId="307FFBC9">
            <w:pPr>
              <w:keepNext w:val="0"/>
              <w:keepLines w:val="0"/>
              <w:pageBreakBefore w:val="0"/>
              <w:widowControl w:val="0"/>
              <w:kinsoku/>
              <w:wordWrap/>
              <w:overflowPunct/>
              <w:topLinePunct w:val="0"/>
              <w:autoSpaceDE/>
              <w:autoSpaceDN/>
              <w:bidi w:val="0"/>
              <w:adjustRightInd/>
              <w:snapToGrid/>
              <w:spacing w:line="220" w:lineRule="auto"/>
              <w:ind w:left="0" w:right="0"/>
              <w:jc w:val="left"/>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rPr>
              <w:t>水生生态：</w:t>
            </w:r>
            <w:r>
              <w:rPr>
                <w:rFonts w:hint="eastAsia" w:ascii="Times New Roman" w:hAnsi="Times New Roman" w:eastAsia="宋体" w:cs="Times New Roman"/>
                <w:color w:val="auto"/>
                <w:spacing w:val="0"/>
                <w:w w:val="100"/>
                <w:position w:val="0"/>
                <w:sz w:val="21"/>
                <w:szCs w:val="21"/>
                <w:u w:val="none" w:color="auto"/>
                <w:lang w:eastAsia="zh-CN"/>
              </w:rPr>
              <w:t>北汊水库</w:t>
            </w:r>
            <w:r>
              <w:rPr>
                <w:rFonts w:hint="default" w:ascii="Times New Roman" w:hAnsi="Times New Roman" w:eastAsia="宋体" w:cs="Times New Roman"/>
                <w:color w:val="auto"/>
                <w:spacing w:val="0"/>
                <w:w w:val="100"/>
                <w:position w:val="0"/>
                <w:sz w:val="21"/>
                <w:szCs w:val="21"/>
                <w:u w:val="none" w:color="auto"/>
                <w:lang w:eastAsia="zh-CN"/>
              </w:rPr>
              <w:t>库区</w:t>
            </w:r>
            <w:r>
              <w:rPr>
                <w:rFonts w:hint="default" w:ascii="Times New Roman" w:hAnsi="Times New Roman" w:eastAsia="宋体" w:cs="Times New Roman"/>
                <w:color w:val="auto"/>
                <w:spacing w:val="0"/>
                <w:w w:val="100"/>
                <w:position w:val="0"/>
                <w:sz w:val="21"/>
                <w:szCs w:val="21"/>
                <w:u w:val="none" w:color="auto"/>
                <w:lang w:val="en-US" w:eastAsia="zh-CN"/>
              </w:rPr>
              <w:t>水域</w:t>
            </w:r>
          </w:p>
        </w:tc>
      </w:tr>
      <w:tr w14:paraId="7B3296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54" w:type="dxa"/>
            <w:tcBorders>
              <w:tl2br w:val="nil"/>
              <w:tr2bl w:val="nil"/>
            </w:tcBorders>
            <w:noWrap w:val="0"/>
            <w:vAlign w:val="center"/>
          </w:tcPr>
          <w:p w14:paraId="5A6E7B38">
            <w:pPr>
              <w:keepNext w:val="0"/>
              <w:keepLines w:val="0"/>
              <w:pageBreakBefore w:val="0"/>
              <w:widowControl w:val="0"/>
              <w:kinsoku/>
              <w:wordWrap/>
              <w:overflowPunct/>
              <w:topLinePunct w:val="0"/>
              <w:autoSpaceDE/>
              <w:autoSpaceDN/>
              <w:bidi w:val="0"/>
              <w:adjustRightInd/>
              <w:snapToGrid/>
              <w:spacing w:line="22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环境风险</w:t>
            </w:r>
          </w:p>
        </w:tc>
        <w:tc>
          <w:tcPr>
            <w:tcW w:w="1043" w:type="dxa"/>
            <w:tcBorders>
              <w:tl2br w:val="nil"/>
              <w:tr2bl w:val="nil"/>
            </w:tcBorders>
            <w:noWrap w:val="0"/>
            <w:vAlign w:val="center"/>
          </w:tcPr>
          <w:p w14:paraId="02E24FE4">
            <w:pPr>
              <w:keepNext w:val="0"/>
              <w:keepLines w:val="0"/>
              <w:pageBreakBefore w:val="0"/>
              <w:widowControl w:val="0"/>
              <w:kinsoku/>
              <w:wordWrap/>
              <w:overflowPunct/>
              <w:topLinePunct w:val="0"/>
              <w:autoSpaceDE/>
              <w:autoSpaceDN/>
              <w:bidi w:val="0"/>
              <w:adjustRightInd/>
              <w:snapToGrid/>
              <w:spacing w:line="219"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简单分析</w:t>
            </w:r>
          </w:p>
        </w:tc>
        <w:tc>
          <w:tcPr>
            <w:tcW w:w="6153" w:type="dxa"/>
            <w:tcBorders>
              <w:tl2br w:val="nil"/>
              <w:tr2bl w:val="nil"/>
            </w:tcBorders>
            <w:noWrap w:val="0"/>
            <w:vAlign w:val="center"/>
          </w:tcPr>
          <w:p w14:paraId="4ADC504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rPr>
              <w:t>不设置评价范围</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，定性分析</w:t>
            </w:r>
          </w:p>
        </w:tc>
      </w:tr>
    </w:tbl>
    <w:p w14:paraId="65122BD3">
      <w:pPr>
        <w:pStyle w:val="3"/>
        <w:bidi w:val="0"/>
        <w:rPr>
          <w:rFonts w:hint="default" w:ascii="Times New Roman" w:hAnsi="Times New Roman" w:cs="Times New Roman"/>
          <w:u w:val="none" w:color="auto"/>
        </w:rPr>
      </w:pPr>
      <w:bookmarkStart w:id="83" w:name="_Toc5831"/>
      <w:r>
        <w:rPr>
          <w:rFonts w:hint="default" w:ascii="Times New Roman" w:hAnsi="Times New Roman" w:cs="Times New Roman"/>
          <w:u w:val="none" w:color="auto"/>
        </w:rPr>
        <w:t>评价时段</w:t>
      </w:r>
      <w:bookmarkEnd w:id="73"/>
      <w:bookmarkEnd w:id="74"/>
      <w:bookmarkEnd w:id="75"/>
      <w:bookmarkEnd w:id="76"/>
      <w:bookmarkEnd w:id="83"/>
    </w:p>
    <w:p w14:paraId="3B134115">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评价时段包括项目的施工期和营运期。</w:t>
      </w:r>
    </w:p>
    <w:p w14:paraId="3EB72AAD">
      <w:pPr>
        <w:pStyle w:val="3"/>
        <w:bidi w:val="0"/>
        <w:rPr>
          <w:rFonts w:hint="default" w:ascii="Times New Roman" w:hAnsi="Times New Roman" w:cs="Times New Roman"/>
          <w:u w:val="none" w:color="auto"/>
        </w:rPr>
      </w:pPr>
      <w:bookmarkStart w:id="84" w:name="_Toc5981502"/>
      <w:bookmarkStart w:id="85" w:name="_Toc8759"/>
      <w:bookmarkStart w:id="86" w:name="_Toc72569628"/>
      <w:bookmarkStart w:id="87" w:name="_Toc15319399"/>
      <w:r>
        <w:rPr>
          <w:rFonts w:hint="default" w:ascii="Times New Roman" w:hAnsi="Times New Roman" w:cs="Times New Roman"/>
          <w:u w:val="none" w:color="auto"/>
        </w:rPr>
        <w:t>环境敏感区域和保护目标</w:t>
      </w:r>
      <w:bookmarkEnd w:id="84"/>
      <w:bookmarkEnd w:id="85"/>
      <w:bookmarkEnd w:id="86"/>
      <w:bookmarkEnd w:id="87"/>
    </w:p>
    <w:p w14:paraId="043C758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rPr>
        <w:t>地表水环境保护目标</w:t>
      </w:r>
    </w:p>
    <w:p w14:paraId="28D29D4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rPr>
        <w:t>保护对象：</w:t>
      </w:r>
      <w:r>
        <w:rPr>
          <w:rFonts w:hint="eastAsia" w:ascii="Times New Roman" w:hAnsi="Times New Roman" w:eastAsia="宋体" w:cs="Times New Roman"/>
          <w:color w:val="auto"/>
          <w:spacing w:val="0"/>
          <w:w w:val="100"/>
          <w:position w:val="0"/>
          <w:sz w:val="24"/>
          <w:szCs w:val="24"/>
          <w:u w:val="none" w:color="auto"/>
          <w:lang w:eastAsia="zh-CN"/>
        </w:rPr>
        <w:t>东湖省级重要湿地</w:t>
      </w:r>
    </w:p>
    <w:p w14:paraId="6B54E48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保护要求：加强施工期和运行期各类污废水的处理，污废水经处理后回用，禁止排放。</w:t>
      </w:r>
      <w:r>
        <w:rPr>
          <w:rFonts w:hint="eastAsia" w:ascii="Times New Roman" w:hAnsi="Times New Roman" w:eastAsia="宋体" w:cs="Times New Roman"/>
          <w:color w:val="auto"/>
          <w:spacing w:val="0"/>
          <w:w w:val="100"/>
          <w:position w:val="0"/>
          <w:sz w:val="24"/>
          <w:szCs w:val="24"/>
          <w:u w:val="none" w:color="auto"/>
          <w:lang w:eastAsia="zh-CN"/>
        </w:rPr>
        <w:t>北汊水库</w:t>
      </w:r>
      <w:r>
        <w:rPr>
          <w:rFonts w:hint="default" w:ascii="Times New Roman" w:hAnsi="Times New Roman" w:eastAsia="宋体" w:cs="Times New Roman"/>
          <w:color w:val="auto"/>
          <w:spacing w:val="0"/>
          <w:w w:val="100"/>
          <w:position w:val="0"/>
          <w:sz w:val="24"/>
          <w:szCs w:val="24"/>
          <w:u w:val="none" w:color="auto"/>
        </w:rPr>
        <w:t>水质满足《地表水环境质量标准》(</w:t>
      </w:r>
      <w:r>
        <w:rPr>
          <w:rFonts w:hint="default" w:ascii="Times New Roman" w:hAnsi="Times New Roman" w:eastAsia="Times New Roman" w:cs="Times New Roman"/>
          <w:color w:val="auto"/>
          <w:spacing w:val="0"/>
          <w:w w:val="100"/>
          <w:position w:val="0"/>
          <w:sz w:val="24"/>
          <w:szCs w:val="24"/>
          <w:u w:val="none" w:color="auto"/>
        </w:rPr>
        <w:t>GB3838-2002</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III</w:t>
      </w:r>
      <w:r>
        <w:rPr>
          <w:rFonts w:hint="default" w:ascii="Times New Roman" w:hAnsi="Times New Roman" w:eastAsia="宋体" w:cs="Times New Roman"/>
          <w:color w:val="auto"/>
          <w:spacing w:val="0"/>
          <w:w w:val="100"/>
          <w:position w:val="0"/>
          <w:sz w:val="24"/>
          <w:szCs w:val="24"/>
          <w:u w:val="none" w:color="auto"/>
          <w:lang w:val="en-US" w:eastAsia="zh-CN"/>
        </w:rPr>
        <w:t>类水质要求。</w:t>
      </w:r>
    </w:p>
    <w:p w14:paraId="7459B76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(2)地下水环境保护目标</w:t>
      </w:r>
    </w:p>
    <w:p w14:paraId="69EE51A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保护对象：</w:t>
      </w:r>
      <w:r>
        <w:rPr>
          <w:rFonts w:hint="eastAsia" w:ascii="Times New Roman" w:hAnsi="Times New Roman" w:eastAsia="宋体" w:cs="Times New Roman"/>
          <w:color w:val="auto"/>
          <w:spacing w:val="0"/>
          <w:w w:val="100"/>
          <w:position w:val="0"/>
          <w:sz w:val="24"/>
          <w:szCs w:val="24"/>
          <w:u w:val="none" w:color="auto"/>
          <w:lang w:val="en-US" w:eastAsia="zh-CN"/>
        </w:rPr>
        <w:t>周边</w:t>
      </w:r>
      <w:r>
        <w:rPr>
          <w:rFonts w:hint="default" w:ascii="Times New Roman" w:hAnsi="Times New Roman" w:eastAsia="宋体" w:cs="Times New Roman"/>
          <w:color w:val="auto"/>
          <w:spacing w:val="0"/>
          <w:w w:val="100"/>
          <w:position w:val="0"/>
          <w:sz w:val="24"/>
          <w:szCs w:val="24"/>
          <w:u w:val="none" w:color="auto"/>
          <w:lang w:val="en-US" w:eastAsia="zh-CN"/>
        </w:rPr>
        <w:t>地下</w:t>
      </w:r>
      <w:r>
        <w:rPr>
          <w:rFonts w:hint="default" w:ascii="Times New Roman" w:hAnsi="Times New Roman" w:eastAsia="宋体" w:cs="Times New Roman"/>
          <w:color w:val="auto"/>
          <w:spacing w:val="0"/>
          <w:w w:val="100"/>
          <w:position w:val="0"/>
          <w:sz w:val="24"/>
          <w:szCs w:val="24"/>
          <w:u w:val="none" w:color="auto"/>
        </w:rPr>
        <w:t>水水质</w:t>
      </w:r>
    </w:p>
    <w:p w14:paraId="12A3FF4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保护要求：</w:t>
      </w:r>
      <w:r>
        <w:rPr>
          <w:rFonts w:hint="default" w:ascii="Times New Roman" w:hAnsi="Times New Roman" w:eastAsia="宋体" w:cs="Times New Roman"/>
          <w:color w:val="auto"/>
          <w:spacing w:val="0"/>
          <w:w w:val="100"/>
          <w:position w:val="0"/>
          <w:sz w:val="24"/>
          <w:szCs w:val="24"/>
          <w:u w:val="none" w:color="auto"/>
          <w:lang w:val="en-US" w:eastAsia="zh-CN"/>
        </w:rPr>
        <w:t>减缓工程建设及运营对地下水水质的影响，不因工程建设和运行引起区域地下水位显著变化，不降低地下水环境水质类别，地下水水质满足《地下水质量标准》（GB/T14848-2017）Ⅲ类标准。</w:t>
      </w:r>
    </w:p>
    <w:p w14:paraId="3BFC7B7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(3)生态环境保护目标</w:t>
      </w:r>
    </w:p>
    <w:p w14:paraId="6E8B124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保护对象：陆生生态</w:t>
      </w:r>
      <w:r>
        <w:rPr>
          <w:rFonts w:hint="default" w:ascii="Times New Roman" w:hAnsi="Times New Roman" w:eastAsia="宋体" w:cs="Times New Roman"/>
          <w:color w:val="auto"/>
          <w:spacing w:val="0"/>
          <w:w w:val="100"/>
          <w:position w:val="0"/>
          <w:sz w:val="24"/>
          <w:szCs w:val="24"/>
          <w:u w:val="none" w:color="auto"/>
        </w:rPr>
        <w:t>为评价范围内的陆生生态系统，包括永久和临时占地范围内的</w:t>
      </w:r>
      <w:r>
        <w:rPr>
          <w:rFonts w:hint="default" w:ascii="Times New Roman" w:hAnsi="Times New Roman" w:eastAsia="宋体" w:cs="Times New Roman"/>
          <w:color w:val="auto"/>
          <w:spacing w:val="0"/>
          <w:w w:val="100"/>
          <w:position w:val="0"/>
          <w:sz w:val="24"/>
          <w:szCs w:val="24"/>
          <w:u w:val="none" w:color="auto"/>
          <w:lang w:eastAsia="zh-CN"/>
        </w:rPr>
        <w:t>重点保护野生</w:t>
      </w:r>
      <w:r>
        <w:rPr>
          <w:rFonts w:hint="default" w:ascii="Times New Roman" w:hAnsi="Times New Roman" w:eastAsia="宋体" w:cs="Times New Roman"/>
          <w:color w:val="auto"/>
          <w:spacing w:val="0"/>
          <w:w w:val="100"/>
          <w:position w:val="0"/>
          <w:sz w:val="24"/>
          <w:szCs w:val="24"/>
          <w:u w:val="none" w:color="auto"/>
        </w:rPr>
        <w:t>动植物；水生生态主要为评价范围内的水生生态系统，重点为鱼类。</w:t>
      </w:r>
      <w:r>
        <w:rPr>
          <w:rFonts w:hint="default" w:ascii="Times New Roman" w:hAnsi="Times New Roman" w:eastAsia="宋体" w:cs="Times New Roman"/>
          <w:color w:val="auto"/>
          <w:spacing w:val="0"/>
          <w:w w:val="100"/>
          <w:position w:val="0"/>
          <w:sz w:val="24"/>
          <w:szCs w:val="24"/>
          <w:u w:val="none" w:color="auto"/>
          <w:lang w:eastAsia="zh-CN"/>
        </w:rPr>
        <w:t>生态敏感区</w:t>
      </w:r>
      <w:r>
        <w:rPr>
          <w:rFonts w:hint="eastAsia" w:ascii="Times New Roman" w:hAnsi="Times New Roman" w:eastAsia="宋体" w:cs="Times New Roman"/>
          <w:color w:val="auto"/>
          <w:spacing w:val="0"/>
          <w:w w:val="100"/>
          <w:position w:val="0"/>
          <w:sz w:val="24"/>
          <w:szCs w:val="24"/>
          <w:u w:val="none" w:color="auto"/>
          <w:lang w:eastAsia="zh-CN"/>
        </w:rPr>
        <w:t>湖南华容东湖国家湿地</w:t>
      </w:r>
      <w:r>
        <w:rPr>
          <w:rFonts w:hint="default" w:ascii="Times New Roman" w:hAnsi="Times New Roman" w:eastAsia="宋体" w:cs="Times New Roman"/>
          <w:color w:val="auto"/>
          <w:spacing w:val="0"/>
          <w:w w:val="100"/>
          <w:position w:val="0"/>
          <w:sz w:val="24"/>
          <w:szCs w:val="24"/>
          <w:u w:val="none" w:color="auto"/>
          <w:lang w:eastAsia="zh-CN"/>
        </w:rPr>
        <w:t>公园</w:t>
      </w:r>
      <w:r>
        <w:rPr>
          <w:rFonts w:hint="eastAsia" w:ascii="Times New Roman" w:hAnsi="Times New Roman" w:eastAsia="宋体" w:cs="Times New Roman"/>
          <w:color w:val="auto"/>
          <w:spacing w:val="0"/>
          <w:w w:val="100"/>
          <w:position w:val="0"/>
          <w:sz w:val="24"/>
          <w:szCs w:val="24"/>
          <w:u w:val="none" w:color="auto"/>
          <w:lang w:eastAsia="zh-CN"/>
        </w:rPr>
        <w:t>和生态红线</w:t>
      </w:r>
      <w:r>
        <w:rPr>
          <w:rFonts w:hint="default" w:ascii="Times New Roman" w:hAnsi="Times New Roman" w:eastAsia="宋体" w:cs="Times New Roman"/>
          <w:color w:val="auto"/>
          <w:spacing w:val="0"/>
          <w:w w:val="100"/>
          <w:position w:val="0"/>
          <w:sz w:val="24"/>
          <w:szCs w:val="24"/>
          <w:u w:val="none" w:color="auto"/>
          <w:lang w:eastAsia="zh-CN"/>
        </w:rPr>
        <w:t>内生态系统及生物多样性。</w:t>
      </w:r>
    </w:p>
    <w:p w14:paraId="1E4E1765">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保护要求：保护工程所在区域陆生生态系统的完整性，加强施工期管理，避免扰动施工管理区范围外的动植物，尽量避免伤及野生动物。施工期加强对鱼虾类的保护，运行期合理开发和利用水资源。采取有效、可行的工程措施和植物措施，减少工程建设中新增水土流失量，施工结束后，对各类临时施工场地实施植被恢复。</w:t>
      </w:r>
    </w:p>
    <w:p w14:paraId="4B399B30">
      <w:pPr>
        <w:spacing w:before="3" w:line="363" w:lineRule="auto"/>
        <w:ind w:left="10" w:right="1" w:firstLine="480"/>
        <w:rPr>
          <w:rFonts w:hint="default" w:ascii="Times New Roman" w:hAnsi="Times New Roman" w:eastAsia="Times New Roman"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lang w:val="en-US" w:eastAsia="zh-CN"/>
        </w:rPr>
        <w:t>(4)</w:t>
      </w:r>
      <w:r>
        <w:rPr>
          <w:rFonts w:hint="default" w:ascii="Times New Roman" w:hAnsi="Times New Roman" w:eastAsia="Times New Roman" w:cs="Times New Roman"/>
          <w:color w:val="auto"/>
          <w:spacing w:val="0"/>
          <w:w w:val="100"/>
          <w:position w:val="0"/>
          <w:sz w:val="24"/>
          <w:szCs w:val="24"/>
          <w:u w:val="none" w:color="auto"/>
        </w:rPr>
        <w:t>大气、声环境保护目标</w:t>
      </w:r>
    </w:p>
    <w:p w14:paraId="159832B1">
      <w:pPr>
        <w:spacing w:before="3" w:line="363" w:lineRule="auto"/>
        <w:ind w:left="10" w:right="1" w:firstLine="48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保护对象：</w:t>
      </w:r>
      <w:r>
        <w:rPr>
          <w:rFonts w:hint="default" w:ascii="Times New Roman" w:hAnsi="Times New Roman" w:eastAsia="宋体" w:cs="Times New Roman"/>
          <w:color w:val="auto"/>
          <w:spacing w:val="0"/>
          <w:w w:val="100"/>
          <w:position w:val="0"/>
          <w:sz w:val="24"/>
          <w:szCs w:val="24"/>
          <w:u w:val="none" w:color="auto"/>
          <w:lang w:eastAsia="zh-CN"/>
        </w:rPr>
        <w:t>施工场地</w:t>
      </w:r>
      <w:r>
        <w:rPr>
          <w:rFonts w:hint="default" w:ascii="Times New Roman" w:hAnsi="Times New Roman" w:eastAsia="宋体" w:cs="Times New Roman"/>
          <w:color w:val="auto"/>
          <w:spacing w:val="0"/>
          <w:w w:val="100"/>
          <w:position w:val="0"/>
          <w:sz w:val="24"/>
          <w:szCs w:val="24"/>
          <w:u w:val="none" w:color="auto"/>
        </w:rPr>
        <w:t>两侧、运输路线两侧评价范围内的</w:t>
      </w:r>
      <w:r>
        <w:rPr>
          <w:rFonts w:hint="default" w:ascii="Times New Roman" w:hAnsi="Times New Roman" w:eastAsia="宋体" w:cs="Times New Roman"/>
          <w:color w:val="auto"/>
          <w:spacing w:val="0"/>
          <w:w w:val="100"/>
          <w:position w:val="0"/>
          <w:sz w:val="24"/>
          <w:szCs w:val="24"/>
          <w:u w:val="none" w:color="auto"/>
          <w:lang w:val="en-US" w:eastAsia="zh-CN"/>
        </w:rPr>
        <w:t>村庄、学校、医院、科研机构等</w:t>
      </w:r>
      <w:r>
        <w:rPr>
          <w:rFonts w:hint="default" w:ascii="Times New Roman" w:hAnsi="Times New Roman" w:eastAsia="宋体" w:cs="Times New Roman"/>
          <w:color w:val="auto"/>
          <w:spacing w:val="0"/>
          <w:w w:val="100"/>
          <w:position w:val="0"/>
          <w:sz w:val="24"/>
          <w:szCs w:val="24"/>
          <w:u w:val="none" w:color="auto"/>
        </w:rPr>
        <w:t>。</w:t>
      </w:r>
    </w:p>
    <w:p w14:paraId="44A8D472">
      <w:pPr>
        <w:spacing w:before="3" w:line="363" w:lineRule="auto"/>
        <w:ind w:left="10" w:right="1" w:firstLine="48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保护要求：加强施工管理和污染控制，环境空气符合《环境空气质量标准》(</w:t>
      </w:r>
      <w:r>
        <w:rPr>
          <w:rFonts w:hint="default" w:ascii="Times New Roman" w:hAnsi="Times New Roman" w:eastAsia="Times New Roman" w:cs="Times New Roman"/>
          <w:color w:val="auto"/>
          <w:spacing w:val="0"/>
          <w:w w:val="100"/>
          <w:position w:val="0"/>
          <w:sz w:val="24"/>
          <w:szCs w:val="24"/>
          <w:u w:val="none" w:color="auto"/>
        </w:rPr>
        <w:t>GB3095-2012</w:t>
      </w:r>
      <w:r>
        <w:rPr>
          <w:rFonts w:hint="default" w:ascii="Times New Roman" w:hAnsi="Times New Roman" w:eastAsia="宋体" w:cs="Times New Roman"/>
          <w:color w:val="auto"/>
          <w:spacing w:val="0"/>
          <w:w w:val="100"/>
          <w:position w:val="0"/>
          <w:sz w:val="24"/>
          <w:szCs w:val="24"/>
          <w:u w:val="none" w:color="auto"/>
        </w:rPr>
        <w:t>)及其修改单二级标准，声环境</w:t>
      </w:r>
      <w:r>
        <w:rPr>
          <w:rFonts w:hint="default" w:ascii="Times New Roman" w:hAnsi="Times New Roman" w:eastAsia="宋体" w:cs="Times New Roman"/>
          <w:color w:val="auto"/>
          <w:spacing w:val="0"/>
          <w:w w:val="100"/>
          <w:position w:val="0"/>
          <w:sz w:val="24"/>
          <w:szCs w:val="24"/>
          <w:u w:val="none" w:color="auto"/>
          <w:lang w:eastAsia="zh-CN"/>
        </w:rPr>
        <w:t>满足</w:t>
      </w:r>
      <w:r>
        <w:rPr>
          <w:rFonts w:hint="default" w:ascii="Times New Roman" w:hAnsi="Times New Roman" w:eastAsia="宋体" w:cs="Times New Roman"/>
          <w:color w:val="auto"/>
          <w:spacing w:val="0"/>
          <w:w w:val="100"/>
          <w:position w:val="0"/>
          <w:sz w:val="24"/>
          <w:szCs w:val="24"/>
          <w:u w:val="none" w:color="auto"/>
        </w:rPr>
        <w:t>《声环境质量标准》(</w:t>
      </w:r>
      <w:r>
        <w:rPr>
          <w:rFonts w:hint="default" w:ascii="Times New Roman" w:hAnsi="Times New Roman" w:eastAsia="Times New Roman" w:cs="Times New Roman"/>
          <w:color w:val="auto"/>
          <w:spacing w:val="0"/>
          <w:w w:val="100"/>
          <w:position w:val="0"/>
          <w:sz w:val="24"/>
          <w:szCs w:val="24"/>
          <w:u w:val="none" w:color="auto"/>
        </w:rPr>
        <w:t>GB3096-2008</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rPr>
        <w:t>类功能区标准。</w:t>
      </w:r>
    </w:p>
    <w:p w14:paraId="47BF421A">
      <w:pPr>
        <w:spacing w:line="360" w:lineRule="auto"/>
        <w:ind w:firstLine="2650" w:firstLineChars="1100"/>
        <w:rPr>
          <w:rFonts w:hint="default" w:ascii="Times New Roman" w:hAnsi="Times New Roman" w:eastAsia="宋体" w:cs="Times New Roman"/>
          <w:b/>
          <w:bCs/>
          <w:color w:val="auto"/>
          <w:spacing w:val="0"/>
          <w:w w:val="100"/>
          <w:position w:val="0"/>
          <w:sz w:val="24"/>
          <w:szCs w:val="24"/>
          <w:u w:val="none" w:color="auto"/>
          <w:lang w:val="en-US" w:eastAsia="zh-CN"/>
        </w:rPr>
      </w:pPr>
      <w:r>
        <w:rPr>
          <w:rFonts w:hint="default" w:ascii="Times New Roman" w:hAnsi="Times New Roman" w:eastAsia="宋体" w:cs="Times New Roman"/>
          <w:b/>
          <w:bCs/>
          <w:color w:val="auto"/>
          <w:spacing w:val="0"/>
          <w:w w:val="100"/>
          <w:position w:val="0"/>
          <w:sz w:val="24"/>
          <w:szCs w:val="24"/>
          <w:u w:val="none" w:color="auto"/>
          <w:lang w:val="en-US" w:eastAsia="zh-CN"/>
        </w:rPr>
        <w:t>表1.8-1  主要环境保护目标一览表</w:t>
      </w:r>
    </w:p>
    <w:tbl>
      <w:tblPr>
        <w:tblStyle w:val="9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3"/>
        <w:gridCol w:w="1081"/>
        <w:gridCol w:w="1165"/>
        <w:gridCol w:w="1085"/>
        <w:gridCol w:w="2568"/>
        <w:gridCol w:w="1658"/>
      </w:tblGrid>
      <w:tr w14:paraId="7DF1C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tcBorders>
              <w:tl2br w:val="nil"/>
              <w:tr2bl w:val="nil"/>
            </w:tcBorders>
            <w:noWrap w:val="0"/>
            <w:vAlign w:val="center"/>
          </w:tcPr>
          <w:p w14:paraId="7DF226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类别</w:t>
            </w:r>
          </w:p>
        </w:tc>
        <w:tc>
          <w:tcPr>
            <w:tcW w:w="1097" w:type="dxa"/>
            <w:tcBorders>
              <w:tl2br w:val="nil"/>
              <w:tr2bl w:val="nil"/>
            </w:tcBorders>
            <w:noWrap w:val="0"/>
            <w:vAlign w:val="center"/>
          </w:tcPr>
          <w:p w14:paraId="25665CE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保护目标</w:t>
            </w:r>
          </w:p>
        </w:tc>
        <w:tc>
          <w:tcPr>
            <w:tcW w:w="1182" w:type="dxa"/>
            <w:tcBorders>
              <w:tl2br w:val="nil"/>
              <w:tr2bl w:val="nil"/>
            </w:tcBorders>
            <w:noWrap w:val="0"/>
            <w:vAlign w:val="center"/>
          </w:tcPr>
          <w:p w14:paraId="46B1A9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0"/>
                <w:w w:val="100"/>
                <w:position w:val="0"/>
                <w:sz w:val="21"/>
                <w:szCs w:val="21"/>
                <w:u w:val="none" w:color="auto"/>
                <w:lang w:val="en-US" w:eastAsia="zh-CN"/>
              </w:rPr>
            </w:pPr>
            <w:r>
              <w:rPr>
                <w:rFonts w:hint="eastAsia" w:ascii="Times New Roman" w:hAnsi="Times New Roman" w:eastAsia="宋体" w:cs="Times New Roman"/>
                <w:b/>
                <w:bCs/>
                <w:color w:val="auto"/>
                <w:spacing w:val="0"/>
                <w:w w:val="100"/>
                <w:position w:val="0"/>
                <w:sz w:val="21"/>
                <w:szCs w:val="21"/>
                <w:u w:val="none" w:color="auto"/>
                <w:lang w:val="en-US" w:eastAsia="zh-CN"/>
              </w:rPr>
              <w:t>坐标</w:t>
            </w:r>
          </w:p>
        </w:tc>
        <w:tc>
          <w:tcPr>
            <w:tcW w:w="1101" w:type="dxa"/>
            <w:tcBorders>
              <w:tl2br w:val="nil"/>
              <w:tr2bl w:val="nil"/>
            </w:tcBorders>
            <w:noWrap w:val="0"/>
            <w:vAlign w:val="center"/>
          </w:tcPr>
          <w:p w14:paraId="3BB4798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auto"/>
                <w:spacing w:val="0"/>
                <w:w w:val="100"/>
                <w:position w:val="0"/>
                <w:sz w:val="21"/>
                <w:szCs w:val="21"/>
                <w:u w:val="none" w:color="auto"/>
                <w:lang w:val="en-US" w:eastAsia="zh-CN"/>
              </w:rPr>
            </w:pPr>
            <w:r>
              <w:rPr>
                <w:rFonts w:hint="eastAsia" w:ascii="Times New Roman" w:hAnsi="Times New Roman" w:eastAsia="宋体" w:cs="Times New Roman"/>
                <w:b/>
                <w:bCs/>
                <w:color w:val="auto"/>
                <w:spacing w:val="0"/>
                <w:w w:val="100"/>
                <w:position w:val="0"/>
                <w:sz w:val="21"/>
                <w:szCs w:val="21"/>
                <w:u w:val="none" w:color="auto"/>
                <w:lang w:val="en-US" w:eastAsia="zh-CN"/>
              </w:rPr>
              <w:t>规模</w:t>
            </w:r>
          </w:p>
        </w:tc>
        <w:tc>
          <w:tcPr>
            <w:tcW w:w="2605" w:type="dxa"/>
            <w:tcBorders>
              <w:tl2br w:val="nil"/>
              <w:tr2bl w:val="nil"/>
            </w:tcBorders>
            <w:noWrap w:val="0"/>
            <w:vAlign w:val="center"/>
          </w:tcPr>
          <w:p w14:paraId="421C6AF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lang w:val="en-US" w:eastAsia="zh-CN"/>
              </w:rPr>
            </w:pPr>
            <w:r>
              <w:rPr>
                <w:rFonts w:hint="eastAsia" w:ascii="Times New Roman" w:hAnsi="Times New Roman" w:eastAsia="宋体" w:cs="Times New Roman"/>
                <w:b/>
                <w:bCs/>
                <w:color w:val="auto"/>
                <w:spacing w:val="0"/>
                <w:w w:val="100"/>
                <w:position w:val="0"/>
                <w:sz w:val="21"/>
                <w:szCs w:val="21"/>
                <w:u w:val="none" w:color="auto"/>
                <w:lang w:val="en-US" w:eastAsia="zh-CN"/>
              </w:rPr>
              <w:t>相对方位及最近距离</w:t>
            </w:r>
          </w:p>
        </w:tc>
        <w:tc>
          <w:tcPr>
            <w:tcW w:w="1681" w:type="dxa"/>
            <w:tcBorders>
              <w:tl2br w:val="nil"/>
              <w:tr2bl w:val="nil"/>
            </w:tcBorders>
            <w:noWrap w:val="0"/>
            <w:vAlign w:val="center"/>
          </w:tcPr>
          <w:p w14:paraId="5FDB350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保护标准</w:t>
            </w:r>
          </w:p>
        </w:tc>
      </w:tr>
      <w:tr w14:paraId="63CEA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restart"/>
            <w:tcBorders>
              <w:tl2br w:val="nil"/>
              <w:tr2bl w:val="nil"/>
            </w:tcBorders>
            <w:noWrap w:val="0"/>
            <w:vAlign w:val="center"/>
          </w:tcPr>
          <w:p w14:paraId="58AD49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大气</w:t>
            </w:r>
          </w:p>
          <w:p w14:paraId="438046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r>
              <w:rPr>
                <w:rFonts w:hint="default" w:ascii="Times New Roman" w:hAnsi="Times New Roman" w:eastAsia="宋体" w:cs="Times New Roman"/>
                <w:color w:val="auto"/>
                <w:spacing w:val="0"/>
                <w:w w:val="100"/>
                <w:position w:val="0"/>
                <w:sz w:val="21"/>
                <w:szCs w:val="21"/>
                <w:u w:val="none" w:color="auto"/>
              </w:rPr>
              <w:t>声</w:t>
            </w:r>
          </w:p>
        </w:tc>
        <w:tc>
          <w:tcPr>
            <w:tcW w:w="1097" w:type="dxa"/>
            <w:tcBorders>
              <w:tl2br w:val="nil"/>
              <w:tr2bl w:val="nil"/>
            </w:tcBorders>
            <w:noWrap w:val="0"/>
            <w:vAlign w:val="center"/>
          </w:tcPr>
          <w:p w14:paraId="2A0E78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rPr>
            </w:pPr>
            <w:r>
              <w:rPr>
                <w:rFonts w:hint="eastAsia" w:ascii="Times New Roman" w:hAnsi="Times New Roman" w:eastAsia="宋体" w:cs="Times New Roman"/>
                <w:color w:val="auto"/>
                <w:spacing w:val="0"/>
                <w:w w:val="100"/>
                <w:position w:val="0"/>
                <w:sz w:val="21"/>
                <w:szCs w:val="21"/>
                <w:u w:val="none" w:color="auto"/>
                <w:lang w:val="en-US" w:eastAsia="zh-CN"/>
              </w:rPr>
              <w:t>刘家湾</w:t>
            </w:r>
          </w:p>
        </w:tc>
        <w:tc>
          <w:tcPr>
            <w:tcW w:w="1182" w:type="dxa"/>
            <w:tcBorders>
              <w:tl2br w:val="nil"/>
              <w:tr2bl w:val="nil"/>
            </w:tcBorders>
            <w:noWrap w:val="0"/>
            <w:vAlign w:val="center"/>
          </w:tcPr>
          <w:p w14:paraId="6FD7308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112.567584，29.364311</w:t>
            </w:r>
          </w:p>
        </w:tc>
        <w:tc>
          <w:tcPr>
            <w:tcW w:w="1101" w:type="dxa"/>
            <w:tcBorders>
              <w:tl2br w:val="nil"/>
              <w:tr2bl w:val="nil"/>
            </w:tcBorders>
            <w:noWrap w:val="0"/>
            <w:vAlign w:val="center"/>
          </w:tcPr>
          <w:p w14:paraId="7F0C5B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约20户，</w:t>
            </w:r>
          </w:p>
          <w:p w14:paraId="3F73AF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80人</w:t>
            </w:r>
          </w:p>
        </w:tc>
        <w:tc>
          <w:tcPr>
            <w:tcW w:w="2605" w:type="dxa"/>
            <w:tcBorders>
              <w:tl2br w:val="nil"/>
              <w:tr2bl w:val="nil"/>
            </w:tcBorders>
            <w:noWrap w:val="0"/>
            <w:vAlign w:val="center"/>
          </w:tcPr>
          <w:p w14:paraId="5849F847">
            <w:pPr>
              <w:keepNext w:val="0"/>
              <w:keepLines w:val="0"/>
              <w:pageBreakBefore w:val="0"/>
              <w:widowControl w:val="0"/>
              <w:kinsoku/>
              <w:wordWrap/>
              <w:overflowPunct/>
              <w:topLinePunct w:val="0"/>
              <w:autoSpaceDE/>
              <w:autoSpaceDN/>
              <w:bidi w:val="0"/>
              <w:adjustRightInd/>
              <w:snapToGrid/>
              <w:spacing w:line="240" w:lineRule="auto"/>
              <w:ind w:left="0" w:right="224" w:hanging="12"/>
              <w:jc w:val="center"/>
              <w:textAlignment w:val="auto"/>
              <w:rPr>
                <w:rFonts w:hint="default" w:ascii="Times New Roman" w:hAnsi="Times New Roman" w:eastAsia="Times New Roman"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南岭村茶场段防汛公路南</w:t>
            </w:r>
            <w:r>
              <w:rPr>
                <w:rFonts w:hint="default" w:ascii="Times New Roman" w:hAnsi="Times New Roman" w:eastAsia="宋体" w:cs="Times New Roman"/>
                <w:color w:val="auto"/>
                <w:spacing w:val="0"/>
                <w:w w:val="100"/>
                <w:position w:val="0"/>
                <w:sz w:val="21"/>
                <w:szCs w:val="21"/>
                <w:u w:val="none" w:color="auto"/>
                <w:lang w:val="en-US" w:eastAsia="zh-CN"/>
              </w:rPr>
              <w:t>侧</w:t>
            </w:r>
            <w:r>
              <w:rPr>
                <w:rFonts w:hint="eastAsia" w:ascii="Times New Roman" w:hAnsi="Times New Roman" w:eastAsia="宋体" w:cs="Times New Roman"/>
                <w:color w:val="auto"/>
                <w:spacing w:val="0"/>
                <w:w w:val="100"/>
                <w:position w:val="0"/>
                <w:sz w:val="21"/>
                <w:szCs w:val="21"/>
                <w:u w:val="none" w:color="auto"/>
                <w:lang w:val="en-US" w:eastAsia="zh-CN"/>
              </w:rPr>
              <w:t>最近</w:t>
            </w:r>
            <w:r>
              <w:rPr>
                <w:rFonts w:hint="default" w:ascii="Times New Roman" w:hAnsi="Times New Roman" w:eastAsia="宋体" w:cs="Times New Roman"/>
                <w:color w:val="auto"/>
                <w:spacing w:val="0"/>
                <w:w w:val="100"/>
                <w:position w:val="0"/>
                <w:sz w:val="21"/>
                <w:szCs w:val="21"/>
                <w:u w:val="none" w:color="auto"/>
                <w:lang w:val="en-US" w:eastAsia="zh-CN"/>
              </w:rPr>
              <w:t>约5m</w:t>
            </w:r>
          </w:p>
        </w:tc>
        <w:tc>
          <w:tcPr>
            <w:tcW w:w="1681" w:type="dxa"/>
            <w:vMerge w:val="restart"/>
            <w:tcBorders>
              <w:tl2br w:val="nil"/>
              <w:tr2bl w:val="nil"/>
            </w:tcBorders>
            <w:noWrap w:val="0"/>
            <w:vAlign w:val="center"/>
          </w:tcPr>
          <w:p w14:paraId="1E96F4F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《环境空气质量标准》</w:t>
            </w:r>
          </w:p>
          <w:p w14:paraId="6A38F0C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w:t>
            </w:r>
            <w:r>
              <w:rPr>
                <w:rFonts w:hint="default" w:ascii="Times New Roman" w:hAnsi="Times New Roman" w:eastAsia="Times New Roman" w:cs="Times New Roman"/>
                <w:color w:val="auto"/>
                <w:spacing w:val="0"/>
                <w:w w:val="100"/>
                <w:position w:val="0"/>
                <w:sz w:val="21"/>
                <w:szCs w:val="21"/>
                <w:u w:val="none" w:color="auto"/>
              </w:rPr>
              <w:t>GB3838-2002</w:t>
            </w:r>
            <w:r>
              <w:rPr>
                <w:rFonts w:hint="default" w:ascii="Times New Roman" w:hAnsi="Times New Roman" w:eastAsia="宋体" w:cs="Times New Roman"/>
                <w:color w:val="auto"/>
                <w:spacing w:val="0"/>
                <w:w w:val="100"/>
                <w:position w:val="0"/>
                <w:sz w:val="21"/>
                <w:szCs w:val="21"/>
                <w:u w:val="none" w:color="auto"/>
              </w:rPr>
              <w:t>)及其修改单</w:t>
            </w:r>
          </w:p>
          <w:p w14:paraId="56B77C4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二级标准</w:t>
            </w:r>
          </w:p>
          <w:p w14:paraId="6EB0695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p w14:paraId="45DBB08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《声环境质量标准》(</w:t>
            </w:r>
            <w:r>
              <w:rPr>
                <w:rFonts w:hint="default" w:ascii="Times New Roman" w:hAnsi="Times New Roman" w:eastAsia="Times New Roman" w:cs="Times New Roman"/>
                <w:color w:val="auto"/>
                <w:spacing w:val="0"/>
                <w:w w:val="100"/>
                <w:position w:val="0"/>
                <w:sz w:val="21"/>
                <w:szCs w:val="21"/>
                <w:u w:val="none" w:color="auto"/>
              </w:rPr>
              <w:t>GB3096-2008</w:t>
            </w:r>
            <w:r>
              <w:rPr>
                <w:rFonts w:hint="default" w:ascii="Times New Roman" w:hAnsi="Times New Roman" w:eastAsia="宋体" w:cs="Times New Roman"/>
                <w:color w:val="auto"/>
                <w:spacing w:val="0"/>
                <w:w w:val="100"/>
                <w:position w:val="0"/>
                <w:sz w:val="21"/>
                <w:szCs w:val="21"/>
                <w:u w:val="none" w:color="auto"/>
              </w:rPr>
              <w:t>)</w:t>
            </w:r>
          </w:p>
          <w:p w14:paraId="1A0E8B0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r>
              <w:rPr>
                <w:rFonts w:hint="default" w:ascii="Times New Roman" w:hAnsi="Times New Roman" w:eastAsia="Times New Roman" w:cs="Times New Roman"/>
                <w:color w:val="auto"/>
                <w:spacing w:val="0"/>
                <w:w w:val="100"/>
                <w:position w:val="0"/>
                <w:sz w:val="21"/>
                <w:szCs w:val="21"/>
                <w:u w:val="none" w:color="auto"/>
              </w:rPr>
              <w:t>1</w:t>
            </w:r>
            <w:r>
              <w:rPr>
                <w:rFonts w:hint="default" w:ascii="Times New Roman" w:hAnsi="Times New Roman" w:eastAsia="宋体" w:cs="Times New Roman"/>
                <w:color w:val="auto"/>
                <w:spacing w:val="0"/>
                <w:w w:val="100"/>
                <w:position w:val="0"/>
                <w:sz w:val="21"/>
                <w:szCs w:val="21"/>
                <w:u w:val="none" w:color="auto"/>
              </w:rPr>
              <w:t>类标准</w:t>
            </w:r>
          </w:p>
        </w:tc>
      </w:tr>
      <w:tr w14:paraId="27A26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77C2CBB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c>
          <w:tcPr>
            <w:tcW w:w="1097" w:type="dxa"/>
            <w:tcBorders>
              <w:tl2br w:val="nil"/>
              <w:tr2bl w:val="nil"/>
            </w:tcBorders>
            <w:noWrap w:val="0"/>
            <w:vAlign w:val="center"/>
          </w:tcPr>
          <w:p w14:paraId="7424D3B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老虎尾</w:t>
            </w:r>
          </w:p>
        </w:tc>
        <w:tc>
          <w:tcPr>
            <w:tcW w:w="1182" w:type="dxa"/>
            <w:tcBorders>
              <w:tl2br w:val="nil"/>
              <w:tr2bl w:val="nil"/>
            </w:tcBorders>
            <w:noWrap w:val="0"/>
            <w:vAlign w:val="center"/>
          </w:tcPr>
          <w:p w14:paraId="454A99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112.556281，29.370057</w:t>
            </w:r>
          </w:p>
        </w:tc>
        <w:tc>
          <w:tcPr>
            <w:tcW w:w="1101" w:type="dxa"/>
            <w:tcBorders>
              <w:tl2br w:val="nil"/>
              <w:tr2bl w:val="nil"/>
            </w:tcBorders>
            <w:noWrap w:val="0"/>
            <w:vAlign w:val="center"/>
          </w:tcPr>
          <w:p w14:paraId="0E9C124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约7户，</w:t>
            </w:r>
          </w:p>
          <w:p w14:paraId="558082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28人</w:t>
            </w:r>
          </w:p>
        </w:tc>
        <w:tc>
          <w:tcPr>
            <w:tcW w:w="2605" w:type="dxa"/>
            <w:tcBorders>
              <w:tl2br w:val="nil"/>
              <w:tr2bl w:val="nil"/>
            </w:tcBorders>
            <w:noWrap w:val="0"/>
            <w:vAlign w:val="center"/>
          </w:tcPr>
          <w:p w14:paraId="18074B75">
            <w:pPr>
              <w:keepNext w:val="0"/>
              <w:keepLines w:val="0"/>
              <w:pageBreakBefore w:val="0"/>
              <w:widowControl w:val="0"/>
              <w:kinsoku/>
              <w:wordWrap/>
              <w:overflowPunct/>
              <w:topLinePunct w:val="0"/>
              <w:autoSpaceDE/>
              <w:autoSpaceDN/>
              <w:bidi w:val="0"/>
              <w:adjustRightInd/>
              <w:snapToGrid/>
              <w:spacing w:line="240" w:lineRule="auto"/>
              <w:ind w:left="0" w:right="224" w:hanging="12"/>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主坝西侧约40</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6173A6A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r>
      <w:tr w14:paraId="2D8A7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79C26EF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00EACFD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龙狮窖</w:t>
            </w:r>
          </w:p>
        </w:tc>
        <w:tc>
          <w:tcPr>
            <w:tcW w:w="1182" w:type="dxa"/>
            <w:tcBorders>
              <w:tl2br w:val="nil"/>
              <w:tr2bl w:val="nil"/>
            </w:tcBorders>
            <w:noWrap w:val="0"/>
            <w:vAlign w:val="center"/>
          </w:tcPr>
          <w:p w14:paraId="0224277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112.557201</w:t>
            </w:r>
            <w:r>
              <w:rPr>
                <w:rFonts w:hint="eastAsia" w:ascii="Times New Roman" w:hAnsi="Times New Roman" w:eastAsia="宋体" w:cs="Times New Roman"/>
                <w:color w:val="auto"/>
                <w:spacing w:val="0"/>
                <w:w w:val="100"/>
                <w:position w:val="0"/>
                <w:sz w:val="21"/>
                <w:szCs w:val="21"/>
                <w:u w:val="none" w:color="auto"/>
                <w:lang w:val="en-US" w:eastAsia="zh-CN"/>
              </w:rPr>
              <w:t>，</w:t>
            </w:r>
            <w:r>
              <w:rPr>
                <w:rFonts w:hint="default" w:ascii="Times New Roman" w:hAnsi="Times New Roman" w:eastAsia="宋体" w:cs="Times New Roman"/>
                <w:color w:val="auto"/>
                <w:spacing w:val="0"/>
                <w:w w:val="100"/>
                <w:position w:val="0"/>
                <w:sz w:val="21"/>
                <w:szCs w:val="21"/>
                <w:u w:val="none" w:color="auto"/>
                <w:lang w:eastAsia="zh-CN"/>
              </w:rPr>
              <w:t>29.381831</w:t>
            </w:r>
          </w:p>
        </w:tc>
        <w:tc>
          <w:tcPr>
            <w:tcW w:w="1101" w:type="dxa"/>
            <w:tcBorders>
              <w:tl2br w:val="nil"/>
              <w:tr2bl w:val="nil"/>
            </w:tcBorders>
            <w:noWrap w:val="0"/>
            <w:vAlign w:val="center"/>
          </w:tcPr>
          <w:p w14:paraId="4ED355D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约21户，</w:t>
            </w:r>
          </w:p>
          <w:p w14:paraId="63CD148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84人</w:t>
            </w:r>
          </w:p>
        </w:tc>
        <w:tc>
          <w:tcPr>
            <w:tcW w:w="2605" w:type="dxa"/>
            <w:tcBorders>
              <w:tl2br w:val="nil"/>
              <w:tr2bl w:val="nil"/>
            </w:tcBorders>
            <w:noWrap w:val="0"/>
            <w:vAlign w:val="center"/>
          </w:tcPr>
          <w:p w14:paraId="3843784A">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eastAsia="zh-CN"/>
              </w:rPr>
              <w:t>管理所西侧</w:t>
            </w:r>
            <w:r>
              <w:rPr>
                <w:rFonts w:hint="default" w:ascii="Times New Roman" w:hAnsi="Times New Roman" w:eastAsia="宋体" w:cs="Times New Roman"/>
                <w:color w:val="auto"/>
                <w:spacing w:val="0"/>
                <w:w w:val="100"/>
                <w:position w:val="0"/>
                <w:sz w:val="21"/>
                <w:szCs w:val="21"/>
                <w:u w:val="none" w:color="auto"/>
              </w:rPr>
              <w:t>最近距离约</w:t>
            </w: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Times New Roman" w:cs="Times New Roman"/>
                <w:color w:val="auto"/>
                <w:spacing w:val="0"/>
                <w:w w:val="100"/>
                <w:position w:val="0"/>
                <w:sz w:val="21"/>
                <w:szCs w:val="21"/>
                <w:u w:val="none" w:color="auto"/>
              </w:rPr>
              <w:t>m</w:t>
            </w:r>
          </w:p>
        </w:tc>
        <w:tc>
          <w:tcPr>
            <w:tcW w:w="1681" w:type="dxa"/>
            <w:vMerge w:val="continue"/>
            <w:tcBorders>
              <w:tl2br w:val="nil"/>
              <w:tr2bl w:val="nil"/>
            </w:tcBorders>
            <w:noWrap w:val="0"/>
            <w:vAlign w:val="center"/>
          </w:tcPr>
          <w:p w14:paraId="72B3D96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19BD7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0025D0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507CAAF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风波岭</w:t>
            </w:r>
          </w:p>
        </w:tc>
        <w:tc>
          <w:tcPr>
            <w:tcW w:w="1182" w:type="dxa"/>
            <w:tcBorders>
              <w:tl2br w:val="nil"/>
              <w:tr2bl w:val="nil"/>
            </w:tcBorders>
            <w:noWrap w:val="0"/>
            <w:vAlign w:val="center"/>
          </w:tcPr>
          <w:p w14:paraId="1E7D9D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112.558789</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29.387330</w:t>
            </w:r>
          </w:p>
        </w:tc>
        <w:tc>
          <w:tcPr>
            <w:tcW w:w="1101" w:type="dxa"/>
            <w:tcBorders>
              <w:tl2br w:val="nil"/>
              <w:tr2bl w:val="nil"/>
            </w:tcBorders>
            <w:noWrap w:val="0"/>
            <w:vAlign w:val="center"/>
          </w:tcPr>
          <w:p w14:paraId="1C8DAB3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约12户，</w:t>
            </w:r>
          </w:p>
          <w:p w14:paraId="4108E4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48人</w:t>
            </w:r>
          </w:p>
        </w:tc>
        <w:tc>
          <w:tcPr>
            <w:tcW w:w="2605" w:type="dxa"/>
            <w:tcBorders>
              <w:tl2br w:val="nil"/>
              <w:tr2bl w:val="nil"/>
            </w:tcBorders>
            <w:noWrap w:val="0"/>
            <w:vAlign w:val="center"/>
          </w:tcPr>
          <w:p w14:paraId="19BA5197">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2副坝西北约40</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317698F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36199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7C1313D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201AF90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何家湾</w:t>
            </w:r>
          </w:p>
        </w:tc>
        <w:tc>
          <w:tcPr>
            <w:tcW w:w="1182" w:type="dxa"/>
            <w:tcBorders>
              <w:tl2br w:val="nil"/>
              <w:tr2bl w:val="nil"/>
            </w:tcBorders>
            <w:noWrap w:val="0"/>
            <w:vAlign w:val="center"/>
          </w:tcPr>
          <w:p w14:paraId="57575C8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112.564524</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29.384886</w:t>
            </w:r>
          </w:p>
        </w:tc>
        <w:tc>
          <w:tcPr>
            <w:tcW w:w="1101" w:type="dxa"/>
            <w:tcBorders>
              <w:tl2br w:val="nil"/>
              <w:tr2bl w:val="nil"/>
            </w:tcBorders>
            <w:noWrap w:val="0"/>
            <w:vAlign w:val="center"/>
          </w:tcPr>
          <w:p w14:paraId="36C929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约6户，</w:t>
            </w:r>
          </w:p>
          <w:p w14:paraId="48B8529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24人</w:t>
            </w:r>
          </w:p>
        </w:tc>
        <w:tc>
          <w:tcPr>
            <w:tcW w:w="2605" w:type="dxa"/>
            <w:tcBorders>
              <w:tl2br w:val="nil"/>
              <w:tr2bl w:val="nil"/>
            </w:tcBorders>
            <w:noWrap w:val="0"/>
            <w:vAlign w:val="center"/>
          </w:tcPr>
          <w:p w14:paraId="67510DB5">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3副坝东侧约40</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151A53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0CCBA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3FE4B61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66E332F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西菱湖</w:t>
            </w:r>
          </w:p>
        </w:tc>
        <w:tc>
          <w:tcPr>
            <w:tcW w:w="1182" w:type="dxa"/>
            <w:tcBorders>
              <w:tl2br w:val="nil"/>
              <w:tr2bl w:val="nil"/>
            </w:tcBorders>
            <w:noWrap w:val="0"/>
            <w:vAlign w:val="center"/>
          </w:tcPr>
          <w:p w14:paraId="04A556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112.564803</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29.379635</w:t>
            </w:r>
          </w:p>
        </w:tc>
        <w:tc>
          <w:tcPr>
            <w:tcW w:w="1101" w:type="dxa"/>
            <w:tcBorders>
              <w:tl2br w:val="nil"/>
              <w:tr2bl w:val="nil"/>
            </w:tcBorders>
            <w:noWrap w:val="0"/>
            <w:vAlign w:val="center"/>
          </w:tcPr>
          <w:p w14:paraId="5F180C9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约16户，</w:t>
            </w:r>
          </w:p>
          <w:p w14:paraId="063605A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64人</w:t>
            </w:r>
          </w:p>
        </w:tc>
        <w:tc>
          <w:tcPr>
            <w:tcW w:w="2605" w:type="dxa"/>
            <w:tcBorders>
              <w:tl2br w:val="nil"/>
              <w:tr2bl w:val="nil"/>
            </w:tcBorders>
            <w:noWrap w:val="0"/>
            <w:vAlign w:val="center"/>
          </w:tcPr>
          <w:p w14:paraId="59B20D98">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3、4副坝间防汛公路南</w:t>
            </w:r>
            <w:r>
              <w:rPr>
                <w:rFonts w:hint="default" w:ascii="Times New Roman" w:hAnsi="Times New Roman" w:eastAsia="宋体" w:cs="Times New Roman"/>
                <w:color w:val="auto"/>
                <w:spacing w:val="0"/>
                <w:w w:val="100"/>
                <w:position w:val="0"/>
                <w:sz w:val="21"/>
                <w:szCs w:val="21"/>
                <w:u w:val="none" w:color="auto"/>
                <w:lang w:val="en-US" w:eastAsia="zh-CN"/>
              </w:rPr>
              <w:t>侧</w:t>
            </w:r>
            <w:r>
              <w:rPr>
                <w:rFonts w:hint="eastAsia" w:ascii="Times New Roman" w:hAnsi="Times New Roman" w:eastAsia="宋体" w:cs="Times New Roman"/>
                <w:color w:val="auto"/>
                <w:spacing w:val="0"/>
                <w:w w:val="100"/>
                <w:position w:val="0"/>
                <w:sz w:val="21"/>
                <w:szCs w:val="21"/>
                <w:u w:val="none" w:color="auto"/>
                <w:lang w:val="en-US" w:eastAsia="zh-CN"/>
              </w:rPr>
              <w:t>最近</w:t>
            </w:r>
            <w:r>
              <w:rPr>
                <w:rFonts w:hint="default" w:ascii="Times New Roman" w:hAnsi="Times New Roman" w:eastAsia="宋体" w:cs="Times New Roman"/>
                <w:color w:val="auto"/>
                <w:spacing w:val="0"/>
                <w:w w:val="100"/>
                <w:position w:val="0"/>
                <w:sz w:val="21"/>
                <w:szCs w:val="21"/>
                <w:u w:val="none" w:color="auto"/>
                <w:lang w:val="en-US" w:eastAsia="zh-CN"/>
              </w:rPr>
              <w:t>约5m</w:t>
            </w:r>
          </w:p>
        </w:tc>
        <w:tc>
          <w:tcPr>
            <w:tcW w:w="1681" w:type="dxa"/>
            <w:vMerge w:val="continue"/>
            <w:tcBorders>
              <w:tl2br w:val="nil"/>
              <w:tr2bl w:val="nil"/>
            </w:tcBorders>
            <w:noWrap w:val="0"/>
            <w:vAlign w:val="center"/>
          </w:tcPr>
          <w:p w14:paraId="3C988BB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7D816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757934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3268694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赵家咀</w:t>
            </w:r>
          </w:p>
        </w:tc>
        <w:tc>
          <w:tcPr>
            <w:tcW w:w="1182" w:type="dxa"/>
            <w:tcBorders>
              <w:tl2br w:val="nil"/>
              <w:tr2bl w:val="nil"/>
            </w:tcBorders>
            <w:noWrap w:val="0"/>
            <w:vAlign w:val="center"/>
          </w:tcPr>
          <w:p w14:paraId="278CE68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112.575912793,29.378063</w:t>
            </w:r>
          </w:p>
        </w:tc>
        <w:tc>
          <w:tcPr>
            <w:tcW w:w="1101" w:type="dxa"/>
            <w:tcBorders>
              <w:tl2br w:val="nil"/>
              <w:tr2bl w:val="nil"/>
            </w:tcBorders>
            <w:noWrap w:val="0"/>
            <w:vAlign w:val="center"/>
          </w:tcPr>
          <w:p w14:paraId="49D825E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约8户，</w:t>
            </w:r>
          </w:p>
          <w:p w14:paraId="4BBDE84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32人</w:t>
            </w:r>
          </w:p>
        </w:tc>
        <w:tc>
          <w:tcPr>
            <w:tcW w:w="2605" w:type="dxa"/>
            <w:tcBorders>
              <w:tl2br w:val="nil"/>
              <w:tr2bl w:val="nil"/>
            </w:tcBorders>
            <w:noWrap w:val="0"/>
            <w:vAlign w:val="center"/>
          </w:tcPr>
          <w:p w14:paraId="7B0FB586">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4副坝西侧约65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71603A9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60503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5009AB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360169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南圻村</w:t>
            </w:r>
          </w:p>
        </w:tc>
        <w:tc>
          <w:tcPr>
            <w:tcW w:w="1182" w:type="dxa"/>
            <w:tcBorders>
              <w:tl2br w:val="nil"/>
              <w:tr2bl w:val="nil"/>
            </w:tcBorders>
            <w:noWrap w:val="0"/>
            <w:vAlign w:val="center"/>
          </w:tcPr>
          <w:p w14:paraId="0F36AA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112.584176</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29.372401</w:t>
            </w:r>
          </w:p>
        </w:tc>
        <w:tc>
          <w:tcPr>
            <w:tcW w:w="1101" w:type="dxa"/>
            <w:tcBorders>
              <w:tl2br w:val="nil"/>
              <w:tr2bl w:val="nil"/>
            </w:tcBorders>
            <w:noWrap w:val="0"/>
            <w:vAlign w:val="center"/>
          </w:tcPr>
          <w:p w14:paraId="0E2CB06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约18户，</w:t>
            </w:r>
          </w:p>
          <w:p w14:paraId="0E64D05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72人</w:t>
            </w:r>
          </w:p>
        </w:tc>
        <w:tc>
          <w:tcPr>
            <w:tcW w:w="2605" w:type="dxa"/>
            <w:tcBorders>
              <w:tl2br w:val="nil"/>
              <w:tr2bl w:val="nil"/>
            </w:tcBorders>
            <w:noWrap w:val="0"/>
            <w:vAlign w:val="center"/>
          </w:tcPr>
          <w:p w14:paraId="6DF414B3">
            <w:pPr>
              <w:keepNext w:val="0"/>
              <w:keepLines w:val="0"/>
              <w:pageBreakBefore w:val="0"/>
              <w:widowControl w:val="0"/>
              <w:kinsoku/>
              <w:wordWrap/>
              <w:overflowPunct/>
              <w:topLinePunct w:val="0"/>
              <w:autoSpaceDE/>
              <w:autoSpaceDN/>
              <w:bidi w:val="0"/>
              <w:adjustRightInd/>
              <w:snapToGrid/>
              <w:spacing w:line="240" w:lineRule="auto"/>
              <w:ind w:left="0" w:right="101" w:hanging="1"/>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5副坝南侧约90</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5F1E45D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00B2B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1CD80A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76C434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高家咀</w:t>
            </w:r>
          </w:p>
        </w:tc>
        <w:tc>
          <w:tcPr>
            <w:tcW w:w="1182" w:type="dxa"/>
            <w:tcBorders>
              <w:tl2br w:val="nil"/>
              <w:tr2bl w:val="nil"/>
            </w:tcBorders>
            <w:noWrap w:val="0"/>
            <w:vAlign w:val="center"/>
          </w:tcPr>
          <w:p w14:paraId="71519C3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112.579836</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29.379847</w:t>
            </w:r>
          </w:p>
        </w:tc>
        <w:tc>
          <w:tcPr>
            <w:tcW w:w="1101" w:type="dxa"/>
            <w:tcBorders>
              <w:tl2br w:val="nil"/>
              <w:tr2bl w:val="nil"/>
            </w:tcBorders>
            <w:noWrap w:val="0"/>
            <w:vAlign w:val="center"/>
          </w:tcPr>
          <w:p w14:paraId="2210C97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约18户，</w:t>
            </w:r>
          </w:p>
          <w:p w14:paraId="0F685C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72人</w:t>
            </w:r>
          </w:p>
        </w:tc>
        <w:tc>
          <w:tcPr>
            <w:tcW w:w="2605" w:type="dxa"/>
            <w:tcBorders>
              <w:tl2br w:val="nil"/>
              <w:tr2bl w:val="nil"/>
            </w:tcBorders>
            <w:noWrap w:val="0"/>
            <w:vAlign w:val="center"/>
          </w:tcPr>
          <w:p w14:paraId="3CB5559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color w:val="auto"/>
                <w:spacing w:val="0"/>
                <w:w w:val="100"/>
                <w:position w:val="0"/>
                <w:sz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4副坝东北约105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06E2517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43A11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3DE3AFB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c>
          <w:tcPr>
            <w:tcW w:w="1097" w:type="dxa"/>
            <w:tcBorders>
              <w:tl2br w:val="nil"/>
              <w:tr2bl w:val="nil"/>
            </w:tcBorders>
            <w:noWrap w:val="0"/>
            <w:vAlign w:val="center"/>
          </w:tcPr>
          <w:p w14:paraId="359361B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eastAsia" w:ascii="Times New Roman" w:hAnsi="Times New Roman" w:eastAsia="宋体" w:cs="Times New Roman"/>
                <w:color w:val="auto"/>
                <w:spacing w:val="0"/>
                <w:w w:val="100"/>
                <w:position w:val="0"/>
                <w:sz w:val="21"/>
                <w:szCs w:val="21"/>
                <w:u w:val="none" w:color="auto"/>
                <w:lang w:eastAsia="zh-CN"/>
              </w:rPr>
              <w:t>安乐岭</w:t>
            </w:r>
          </w:p>
        </w:tc>
        <w:tc>
          <w:tcPr>
            <w:tcW w:w="1182" w:type="dxa"/>
            <w:tcBorders>
              <w:tl2br w:val="nil"/>
              <w:tr2bl w:val="nil"/>
            </w:tcBorders>
            <w:noWrap w:val="0"/>
            <w:vAlign w:val="center"/>
          </w:tcPr>
          <w:p w14:paraId="6E68B24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kern w:val="2"/>
                <w:position w:val="0"/>
                <w:sz w:val="21"/>
                <w:szCs w:val="21"/>
                <w:u w:val="none" w:color="auto"/>
                <w:lang w:val="en-US" w:eastAsia="zh-CN" w:bidi="ar-SA"/>
              </w:rPr>
              <w:t>112.560291</w:t>
            </w:r>
            <w:r>
              <w:rPr>
                <w:rFonts w:hint="eastAsia" w:ascii="Times New Roman" w:hAnsi="Times New Roman" w:eastAsia="宋体" w:cs="Times New Roman"/>
                <w:color w:val="auto"/>
                <w:spacing w:val="0"/>
                <w:w w:val="100"/>
                <w:kern w:val="2"/>
                <w:position w:val="0"/>
                <w:sz w:val="21"/>
                <w:szCs w:val="21"/>
                <w:u w:val="none" w:color="auto"/>
                <w:lang w:val="en-US" w:eastAsia="zh-CN" w:bidi="ar-SA"/>
              </w:rPr>
              <w:t>，</w:t>
            </w:r>
            <w:r>
              <w:rPr>
                <w:rFonts w:hint="default" w:ascii="Times New Roman" w:hAnsi="Times New Roman" w:eastAsia="宋体" w:cs="Times New Roman"/>
                <w:color w:val="auto"/>
                <w:spacing w:val="0"/>
                <w:w w:val="100"/>
                <w:kern w:val="2"/>
                <w:position w:val="0"/>
                <w:sz w:val="21"/>
                <w:szCs w:val="21"/>
                <w:u w:val="none" w:color="auto"/>
                <w:lang w:val="en-US" w:eastAsia="zh-CN" w:bidi="ar-SA"/>
              </w:rPr>
              <w:t>29.392528</w:t>
            </w:r>
          </w:p>
        </w:tc>
        <w:tc>
          <w:tcPr>
            <w:tcW w:w="1101" w:type="dxa"/>
            <w:tcBorders>
              <w:tl2br w:val="nil"/>
              <w:tr2bl w:val="nil"/>
            </w:tcBorders>
            <w:noWrap w:val="0"/>
            <w:vAlign w:val="center"/>
          </w:tcPr>
          <w:p w14:paraId="101E76D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约16户，</w:t>
            </w:r>
          </w:p>
          <w:p w14:paraId="36194CB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64人</w:t>
            </w:r>
          </w:p>
        </w:tc>
        <w:tc>
          <w:tcPr>
            <w:tcW w:w="2605" w:type="dxa"/>
            <w:tcBorders>
              <w:tl2br w:val="nil"/>
              <w:tr2bl w:val="nil"/>
            </w:tcBorders>
            <w:noWrap w:val="0"/>
            <w:vAlign w:val="center"/>
          </w:tcPr>
          <w:p w14:paraId="6CA27E1C">
            <w:pPr>
              <w:keepNext w:val="0"/>
              <w:keepLines w:val="0"/>
              <w:pageBreakBefore w:val="0"/>
              <w:widowControl w:val="0"/>
              <w:kinsoku/>
              <w:wordWrap/>
              <w:overflowPunct/>
              <w:topLinePunct w:val="0"/>
              <w:autoSpaceDE/>
              <w:autoSpaceDN/>
              <w:bidi w:val="0"/>
              <w:adjustRightInd/>
              <w:snapToGrid/>
              <w:spacing w:line="240" w:lineRule="auto"/>
              <w:ind w:left="0" w:leftChars="0" w:right="224" w:rightChars="0" w:hanging="12" w:firstLineChars="0"/>
              <w:jc w:val="center"/>
              <w:textAlignment w:val="auto"/>
              <w:rPr>
                <w:rFonts w:hint="default" w:ascii="Times New Roman" w:hAnsi="Times New Roman" w:eastAsia="Times New Roman"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取土场北侧约70</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253E15D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pacing w:val="0"/>
                <w:w w:val="100"/>
                <w:position w:val="0"/>
                <w:sz w:val="21"/>
                <w:u w:val="none" w:color="auto"/>
              </w:rPr>
            </w:pPr>
          </w:p>
        </w:tc>
      </w:tr>
      <w:tr w14:paraId="711A2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039F0F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c>
          <w:tcPr>
            <w:tcW w:w="1097" w:type="dxa"/>
            <w:tcBorders>
              <w:tl2br w:val="nil"/>
              <w:tr2bl w:val="nil"/>
            </w:tcBorders>
            <w:shd w:val="clear" w:color="auto" w:fill="auto"/>
            <w:noWrap w:val="0"/>
            <w:vAlign w:val="center"/>
          </w:tcPr>
          <w:p w14:paraId="2B6AE0F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疯叭岭</w:t>
            </w:r>
          </w:p>
        </w:tc>
        <w:tc>
          <w:tcPr>
            <w:tcW w:w="1182" w:type="dxa"/>
            <w:tcBorders>
              <w:tl2br w:val="nil"/>
              <w:tr2bl w:val="nil"/>
            </w:tcBorders>
            <w:shd w:val="clear" w:color="auto" w:fill="auto"/>
            <w:noWrap w:val="0"/>
            <w:vAlign w:val="center"/>
          </w:tcPr>
          <w:p w14:paraId="4DA65A0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position w:val="0"/>
                <w:sz w:val="21"/>
                <w:szCs w:val="21"/>
                <w:u w:val="none" w:color="auto"/>
                <w:lang w:eastAsia="zh-CN"/>
              </w:rPr>
              <w:t>112.550163</w:t>
            </w:r>
            <w:r>
              <w:rPr>
                <w:rFonts w:hint="eastAsia" w:ascii="Times New Roman" w:hAnsi="Times New Roman" w:eastAsia="宋体" w:cs="Times New Roman"/>
                <w:color w:val="auto"/>
                <w:spacing w:val="0"/>
                <w:w w:val="100"/>
                <w:position w:val="0"/>
                <w:sz w:val="21"/>
                <w:szCs w:val="21"/>
                <w:u w:val="none" w:color="auto"/>
                <w:lang w:eastAsia="zh-CN"/>
              </w:rPr>
              <w:t>，</w:t>
            </w:r>
            <w:r>
              <w:rPr>
                <w:rFonts w:hint="default" w:ascii="Times New Roman" w:hAnsi="Times New Roman" w:eastAsia="宋体" w:cs="Times New Roman"/>
                <w:color w:val="auto"/>
                <w:spacing w:val="0"/>
                <w:w w:val="100"/>
                <w:position w:val="0"/>
                <w:sz w:val="21"/>
                <w:szCs w:val="21"/>
                <w:u w:val="none" w:color="auto"/>
                <w:lang w:eastAsia="zh-CN"/>
              </w:rPr>
              <w:t>29.386901</w:t>
            </w:r>
          </w:p>
        </w:tc>
        <w:tc>
          <w:tcPr>
            <w:tcW w:w="1101" w:type="dxa"/>
            <w:tcBorders>
              <w:tl2br w:val="nil"/>
              <w:tr2bl w:val="nil"/>
            </w:tcBorders>
            <w:shd w:val="clear" w:color="auto" w:fill="auto"/>
            <w:noWrap w:val="0"/>
            <w:vAlign w:val="center"/>
          </w:tcPr>
          <w:p w14:paraId="68CF062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约46户，</w:t>
            </w:r>
          </w:p>
          <w:p w14:paraId="7BADFAF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184人</w:t>
            </w:r>
          </w:p>
        </w:tc>
        <w:tc>
          <w:tcPr>
            <w:tcW w:w="2605" w:type="dxa"/>
            <w:tcBorders>
              <w:tl2br w:val="nil"/>
              <w:tr2bl w:val="nil"/>
            </w:tcBorders>
            <w:shd w:val="clear" w:color="auto" w:fill="auto"/>
            <w:noWrap w:val="0"/>
            <w:vAlign w:val="center"/>
          </w:tcPr>
          <w:p w14:paraId="316F2AAE">
            <w:pPr>
              <w:keepNext w:val="0"/>
              <w:keepLines w:val="0"/>
              <w:pageBreakBefore w:val="0"/>
              <w:widowControl w:val="0"/>
              <w:kinsoku/>
              <w:wordWrap/>
              <w:overflowPunct/>
              <w:topLinePunct w:val="0"/>
              <w:autoSpaceDE/>
              <w:autoSpaceDN/>
              <w:bidi w:val="0"/>
              <w:adjustRightInd/>
              <w:snapToGrid/>
              <w:spacing w:line="240" w:lineRule="auto"/>
              <w:ind w:left="0" w:leftChars="0" w:right="101" w:rightChars="0" w:hanging="1" w:firstLine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运输路线沿线最近</w:t>
            </w:r>
            <w:r>
              <w:rPr>
                <w:rFonts w:hint="default" w:ascii="Times New Roman" w:hAnsi="Times New Roman" w:eastAsia="宋体" w:cs="Times New Roman"/>
                <w:color w:val="auto"/>
                <w:spacing w:val="0"/>
                <w:w w:val="100"/>
                <w:position w:val="0"/>
                <w:sz w:val="21"/>
                <w:szCs w:val="21"/>
                <w:u w:val="none" w:color="auto"/>
              </w:rPr>
              <w:t>距离</w:t>
            </w:r>
            <w:r>
              <w:rPr>
                <w:rFonts w:hint="default" w:ascii="Times New Roman" w:hAnsi="Times New Roman" w:eastAsia="宋体" w:cs="Times New Roman"/>
                <w:color w:val="auto"/>
                <w:spacing w:val="0"/>
                <w:w w:val="100"/>
                <w:position w:val="0"/>
                <w:sz w:val="21"/>
                <w:szCs w:val="21"/>
                <w:u w:val="none" w:color="auto"/>
                <w:lang w:val="en-US" w:eastAsia="zh-CN"/>
              </w:rPr>
              <w:t>约</w:t>
            </w: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211B53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r>
      <w:tr w14:paraId="459DE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586C0D9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c>
          <w:tcPr>
            <w:tcW w:w="1097" w:type="dxa"/>
            <w:tcBorders>
              <w:tl2br w:val="nil"/>
              <w:tr2bl w:val="nil"/>
            </w:tcBorders>
            <w:noWrap w:val="0"/>
            <w:vAlign w:val="center"/>
          </w:tcPr>
          <w:p w14:paraId="43FEC17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侯家岭</w:t>
            </w:r>
          </w:p>
        </w:tc>
        <w:tc>
          <w:tcPr>
            <w:tcW w:w="1182" w:type="dxa"/>
            <w:tcBorders>
              <w:tl2br w:val="nil"/>
              <w:tr2bl w:val="nil"/>
            </w:tcBorders>
            <w:noWrap w:val="0"/>
            <w:vAlign w:val="center"/>
          </w:tcPr>
          <w:p w14:paraId="7A7BF41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kern w:val="2"/>
                <w:position w:val="0"/>
                <w:sz w:val="21"/>
                <w:szCs w:val="21"/>
                <w:u w:val="none" w:color="auto"/>
                <w:lang w:val="en-US" w:eastAsia="zh-CN" w:bidi="ar-SA"/>
              </w:rPr>
              <w:t>112.554119</w:t>
            </w:r>
            <w:r>
              <w:rPr>
                <w:rFonts w:hint="eastAsia" w:ascii="Times New Roman" w:hAnsi="Times New Roman" w:eastAsia="宋体" w:cs="Times New Roman"/>
                <w:color w:val="auto"/>
                <w:spacing w:val="0"/>
                <w:w w:val="100"/>
                <w:kern w:val="2"/>
                <w:position w:val="0"/>
                <w:sz w:val="21"/>
                <w:szCs w:val="21"/>
                <w:u w:val="none" w:color="auto"/>
                <w:lang w:val="en-US" w:eastAsia="zh-CN" w:bidi="ar-SA"/>
              </w:rPr>
              <w:t>，</w:t>
            </w:r>
            <w:r>
              <w:rPr>
                <w:rFonts w:hint="default" w:ascii="Times New Roman" w:hAnsi="Times New Roman" w:eastAsia="宋体" w:cs="Times New Roman"/>
                <w:color w:val="auto"/>
                <w:spacing w:val="0"/>
                <w:w w:val="100"/>
                <w:kern w:val="2"/>
                <w:position w:val="0"/>
                <w:sz w:val="21"/>
                <w:szCs w:val="21"/>
                <w:u w:val="none" w:color="auto"/>
                <w:lang w:val="en-US" w:eastAsia="zh-CN" w:bidi="ar-SA"/>
              </w:rPr>
              <w:t>29.391367</w:t>
            </w:r>
          </w:p>
        </w:tc>
        <w:tc>
          <w:tcPr>
            <w:tcW w:w="1101" w:type="dxa"/>
            <w:tcBorders>
              <w:tl2br w:val="nil"/>
              <w:tr2bl w:val="nil"/>
            </w:tcBorders>
            <w:noWrap w:val="0"/>
            <w:vAlign w:val="center"/>
          </w:tcPr>
          <w:p w14:paraId="5A7A5AE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约24户，</w:t>
            </w:r>
          </w:p>
          <w:p w14:paraId="609C2DB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96人</w:t>
            </w:r>
          </w:p>
        </w:tc>
        <w:tc>
          <w:tcPr>
            <w:tcW w:w="2605" w:type="dxa"/>
            <w:tcBorders>
              <w:tl2br w:val="nil"/>
              <w:tr2bl w:val="nil"/>
            </w:tcBorders>
            <w:noWrap w:val="0"/>
            <w:vAlign w:val="center"/>
          </w:tcPr>
          <w:p w14:paraId="16B02EB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spacing w:val="0"/>
                <w:w w:val="100"/>
                <w:kern w:val="2"/>
                <w:position w:val="0"/>
                <w:sz w:val="21"/>
                <w:szCs w:val="22"/>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运输路线沿线最近</w:t>
            </w:r>
            <w:r>
              <w:rPr>
                <w:rFonts w:hint="default" w:ascii="Times New Roman" w:hAnsi="Times New Roman" w:eastAsia="宋体" w:cs="Times New Roman"/>
                <w:color w:val="auto"/>
                <w:spacing w:val="0"/>
                <w:w w:val="100"/>
                <w:position w:val="0"/>
                <w:sz w:val="21"/>
                <w:szCs w:val="21"/>
                <w:u w:val="none" w:color="auto"/>
              </w:rPr>
              <w:t>距离</w:t>
            </w:r>
            <w:r>
              <w:rPr>
                <w:rFonts w:hint="default" w:ascii="Times New Roman" w:hAnsi="Times New Roman" w:eastAsia="宋体" w:cs="Times New Roman"/>
                <w:color w:val="auto"/>
                <w:spacing w:val="0"/>
                <w:w w:val="100"/>
                <w:position w:val="0"/>
                <w:sz w:val="21"/>
                <w:szCs w:val="21"/>
                <w:u w:val="none" w:color="auto"/>
                <w:lang w:val="en-US" w:eastAsia="zh-CN"/>
              </w:rPr>
              <w:t>约</w:t>
            </w: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vMerge w:val="continue"/>
            <w:tcBorders>
              <w:tl2br w:val="nil"/>
              <w:tr2bl w:val="nil"/>
            </w:tcBorders>
            <w:noWrap w:val="0"/>
            <w:vAlign w:val="center"/>
          </w:tcPr>
          <w:p w14:paraId="7F1F29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r>
      <w:tr w14:paraId="6D34C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3EB9AE4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c>
          <w:tcPr>
            <w:tcW w:w="1097" w:type="dxa"/>
            <w:tcBorders>
              <w:tl2br w:val="nil"/>
              <w:tr2bl w:val="nil"/>
            </w:tcBorders>
            <w:noWrap w:val="0"/>
            <w:vAlign w:val="center"/>
          </w:tcPr>
          <w:p w14:paraId="3585FF8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石灰冲</w:t>
            </w:r>
          </w:p>
        </w:tc>
        <w:tc>
          <w:tcPr>
            <w:tcW w:w="1182" w:type="dxa"/>
            <w:tcBorders>
              <w:tl2br w:val="nil"/>
              <w:tr2bl w:val="nil"/>
            </w:tcBorders>
            <w:noWrap w:val="0"/>
            <w:vAlign w:val="center"/>
          </w:tcPr>
          <w:p w14:paraId="44C4514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kern w:val="2"/>
                <w:position w:val="0"/>
                <w:sz w:val="21"/>
                <w:szCs w:val="21"/>
                <w:u w:val="none" w:color="auto"/>
                <w:lang w:val="en-US" w:eastAsia="zh-CN" w:bidi="ar-SA"/>
              </w:rPr>
              <w:t>112.564773</w:t>
            </w:r>
            <w:r>
              <w:rPr>
                <w:rFonts w:hint="eastAsia" w:ascii="Times New Roman" w:hAnsi="Times New Roman" w:eastAsia="宋体" w:cs="Times New Roman"/>
                <w:color w:val="auto"/>
                <w:spacing w:val="0"/>
                <w:w w:val="100"/>
                <w:kern w:val="2"/>
                <w:position w:val="0"/>
                <w:sz w:val="21"/>
                <w:szCs w:val="21"/>
                <w:u w:val="none" w:color="auto"/>
                <w:lang w:val="en-US" w:eastAsia="zh-CN" w:bidi="ar-SA"/>
              </w:rPr>
              <w:t>，</w:t>
            </w:r>
            <w:r>
              <w:rPr>
                <w:rFonts w:hint="default" w:ascii="Times New Roman" w:hAnsi="Times New Roman" w:eastAsia="宋体" w:cs="Times New Roman"/>
                <w:color w:val="auto"/>
                <w:spacing w:val="0"/>
                <w:w w:val="100"/>
                <w:kern w:val="2"/>
                <w:position w:val="0"/>
                <w:sz w:val="21"/>
                <w:szCs w:val="21"/>
                <w:u w:val="none" w:color="auto"/>
                <w:lang w:val="en-US" w:eastAsia="zh-CN" w:bidi="ar-SA"/>
              </w:rPr>
              <w:t>29.396758</w:t>
            </w:r>
          </w:p>
        </w:tc>
        <w:tc>
          <w:tcPr>
            <w:tcW w:w="1101" w:type="dxa"/>
            <w:tcBorders>
              <w:tl2br w:val="nil"/>
              <w:tr2bl w:val="nil"/>
            </w:tcBorders>
            <w:noWrap w:val="0"/>
            <w:vAlign w:val="center"/>
          </w:tcPr>
          <w:p w14:paraId="398164B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约4户，</w:t>
            </w:r>
          </w:p>
          <w:p w14:paraId="606FEE1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16人</w:t>
            </w:r>
          </w:p>
        </w:tc>
        <w:tc>
          <w:tcPr>
            <w:tcW w:w="2605" w:type="dxa"/>
            <w:tcBorders>
              <w:tl2br w:val="nil"/>
              <w:tr2bl w:val="nil"/>
            </w:tcBorders>
            <w:noWrap w:val="0"/>
            <w:vAlign w:val="center"/>
          </w:tcPr>
          <w:p w14:paraId="1BE7FDB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运输路线沿线最近</w:t>
            </w:r>
            <w:r>
              <w:rPr>
                <w:rFonts w:hint="default" w:ascii="Times New Roman" w:hAnsi="Times New Roman" w:eastAsia="宋体" w:cs="Times New Roman"/>
                <w:color w:val="auto"/>
                <w:spacing w:val="0"/>
                <w:w w:val="100"/>
                <w:position w:val="0"/>
                <w:sz w:val="21"/>
                <w:szCs w:val="21"/>
                <w:u w:val="none" w:color="auto"/>
              </w:rPr>
              <w:t>距离</w:t>
            </w:r>
            <w:r>
              <w:rPr>
                <w:rFonts w:hint="default" w:ascii="Times New Roman" w:hAnsi="Times New Roman" w:eastAsia="宋体" w:cs="Times New Roman"/>
                <w:color w:val="auto"/>
                <w:spacing w:val="0"/>
                <w:w w:val="100"/>
                <w:position w:val="0"/>
                <w:sz w:val="21"/>
                <w:szCs w:val="21"/>
                <w:u w:val="none" w:color="auto"/>
                <w:lang w:val="en-US" w:eastAsia="zh-CN"/>
              </w:rPr>
              <w:t>约</w:t>
            </w: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tcBorders>
              <w:tl2br w:val="nil"/>
              <w:tr2bl w:val="nil"/>
            </w:tcBorders>
            <w:noWrap w:val="0"/>
            <w:vAlign w:val="center"/>
          </w:tcPr>
          <w:p w14:paraId="27C644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r>
      <w:tr w14:paraId="2CF43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vMerge w:val="continue"/>
            <w:tcBorders>
              <w:tl2br w:val="nil"/>
              <w:tr2bl w:val="nil"/>
            </w:tcBorders>
            <w:noWrap w:val="0"/>
            <w:vAlign w:val="center"/>
          </w:tcPr>
          <w:p w14:paraId="548AC2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c>
          <w:tcPr>
            <w:tcW w:w="1097" w:type="dxa"/>
            <w:tcBorders>
              <w:tl2br w:val="nil"/>
              <w:tr2bl w:val="nil"/>
            </w:tcBorders>
            <w:noWrap w:val="0"/>
            <w:vAlign w:val="center"/>
          </w:tcPr>
          <w:p w14:paraId="3783DC7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猫子山</w:t>
            </w:r>
          </w:p>
        </w:tc>
        <w:tc>
          <w:tcPr>
            <w:tcW w:w="1182" w:type="dxa"/>
            <w:tcBorders>
              <w:tl2br w:val="nil"/>
              <w:tr2bl w:val="nil"/>
            </w:tcBorders>
            <w:noWrap w:val="0"/>
            <w:vAlign w:val="center"/>
          </w:tcPr>
          <w:p w14:paraId="5587AA6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default" w:ascii="Times New Roman" w:hAnsi="Times New Roman" w:eastAsia="宋体" w:cs="Times New Roman"/>
                <w:color w:val="auto"/>
                <w:spacing w:val="0"/>
                <w:w w:val="100"/>
                <w:kern w:val="2"/>
                <w:position w:val="0"/>
                <w:sz w:val="21"/>
                <w:szCs w:val="21"/>
                <w:u w:val="none" w:color="auto"/>
                <w:lang w:val="en-US" w:eastAsia="zh-CN" w:bidi="ar-SA"/>
              </w:rPr>
              <w:t>112.568952</w:t>
            </w:r>
            <w:r>
              <w:rPr>
                <w:rFonts w:hint="eastAsia" w:ascii="Times New Roman" w:hAnsi="Times New Roman" w:eastAsia="宋体" w:cs="Times New Roman"/>
                <w:color w:val="auto"/>
                <w:spacing w:val="0"/>
                <w:w w:val="100"/>
                <w:kern w:val="2"/>
                <w:position w:val="0"/>
                <w:sz w:val="21"/>
                <w:szCs w:val="21"/>
                <w:u w:val="none" w:color="auto"/>
                <w:lang w:val="en-US" w:eastAsia="zh-CN" w:bidi="ar-SA"/>
              </w:rPr>
              <w:t>，</w:t>
            </w:r>
            <w:r>
              <w:rPr>
                <w:rFonts w:hint="default" w:ascii="Times New Roman" w:hAnsi="Times New Roman" w:eastAsia="宋体" w:cs="Times New Roman"/>
                <w:color w:val="auto"/>
                <w:spacing w:val="0"/>
                <w:w w:val="100"/>
                <w:kern w:val="2"/>
                <w:position w:val="0"/>
                <w:sz w:val="21"/>
                <w:szCs w:val="21"/>
                <w:u w:val="none" w:color="auto"/>
                <w:lang w:val="en-US" w:eastAsia="zh-CN" w:bidi="ar-SA"/>
              </w:rPr>
              <w:t>29.401798</w:t>
            </w:r>
          </w:p>
        </w:tc>
        <w:tc>
          <w:tcPr>
            <w:tcW w:w="1101" w:type="dxa"/>
            <w:tcBorders>
              <w:tl2br w:val="nil"/>
              <w:tr2bl w:val="nil"/>
            </w:tcBorders>
            <w:noWrap w:val="0"/>
            <w:vAlign w:val="center"/>
          </w:tcPr>
          <w:p w14:paraId="049C032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约35户，140人</w:t>
            </w:r>
          </w:p>
        </w:tc>
        <w:tc>
          <w:tcPr>
            <w:tcW w:w="2605" w:type="dxa"/>
            <w:tcBorders>
              <w:tl2br w:val="nil"/>
              <w:tr2bl w:val="nil"/>
            </w:tcBorders>
            <w:noWrap w:val="0"/>
            <w:vAlign w:val="center"/>
          </w:tcPr>
          <w:p w14:paraId="27B0408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运输路线沿线最近</w:t>
            </w:r>
            <w:r>
              <w:rPr>
                <w:rFonts w:hint="default" w:ascii="Times New Roman" w:hAnsi="Times New Roman" w:eastAsia="宋体" w:cs="Times New Roman"/>
                <w:color w:val="auto"/>
                <w:spacing w:val="0"/>
                <w:w w:val="100"/>
                <w:position w:val="0"/>
                <w:sz w:val="21"/>
                <w:szCs w:val="21"/>
                <w:u w:val="none" w:color="auto"/>
              </w:rPr>
              <w:t>距离</w:t>
            </w:r>
            <w:r>
              <w:rPr>
                <w:rFonts w:hint="default" w:ascii="Times New Roman" w:hAnsi="Times New Roman" w:eastAsia="宋体" w:cs="Times New Roman"/>
                <w:color w:val="auto"/>
                <w:spacing w:val="0"/>
                <w:w w:val="100"/>
                <w:position w:val="0"/>
                <w:sz w:val="21"/>
                <w:szCs w:val="21"/>
                <w:u w:val="none" w:color="auto"/>
                <w:lang w:val="en-US" w:eastAsia="zh-CN"/>
              </w:rPr>
              <w:t>约</w:t>
            </w: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宋体" w:cs="Times New Roman"/>
                <w:color w:val="auto"/>
                <w:spacing w:val="0"/>
                <w:w w:val="100"/>
                <w:position w:val="0"/>
                <w:sz w:val="21"/>
                <w:szCs w:val="21"/>
                <w:u w:val="none" w:color="auto"/>
                <w:lang w:val="en-US" w:eastAsia="zh-CN"/>
              </w:rPr>
              <w:t>m</w:t>
            </w:r>
          </w:p>
        </w:tc>
        <w:tc>
          <w:tcPr>
            <w:tcW w:w="1681" w:type="dxa"/>
            <w:tcBorders>
              <w:tl2br w:val="nil"/>
              <w:tr2bl w:val="nil"/>
            </w:tcBorders>
            <w:noWrap w:val="0"/>
            <w:vAlign w:val="center"/>
          </w:tcPr>
          <w:p w14:paraId="1B8BBD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p>
        </w:tc>
      </w:tr>
      <w:tr w14:paraId="4E9B0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784" w:type="dxa"/>
            <w:tcBorders>
              <w:tl2br w:val="nil"/>
              <w:tr2bl w:val="nil"/>
            </w:tcBorders>
            <w:noWrap w:val="0"/>
            <w:vAlign w:val="center"/>
          </w:tcPr>
          <w:p w14:paraId="28CD05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w:t>
            </w:r>
          </w:p>
        </w:tc>
        <w:tc>
          <w:tcPr>
            <w:tcW w:w="5985" w:type="dxa"/>
            <w:gridSpan w:val="4"/>
            <w:tcBorders>
              <w:tl2br w:val="nil"/>
              <w:tr2bl w:val="nil"/>
            </w:tcBorders>
            <w:noWrap w:val="0"/>
            <w:vAlign w:val="center"/>
          </w:tcPr>
          <w:p w14:paraId="7A22B31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东湖省级重要湿地</w:t>
            </w:r>
          </w:p>
        </w:tc>
        <w:tc>
          <w:tcPr>
            <w:tcW w:w="1681" w:type="dxa"/>
            <w:tcBorders>
              <w:tl2br w:val="nil"/>
              <w:tr2bl w:val="nil"/>
            </w:tcBorders>
            <w:noWrap w:val="0"/>
            <w:vAlign w:val="center"/>
          </w:tcPr>
          <w:p w14:paraId="1272ACD4">
            <w:pPr>
              <w:keepNext w:val="0"/>
              <w:keepLines w:val="0"/>
              <w:pageBreakBefore w:val="0"/>
              <w:widowControl w:val="0"/>
              <w:kinsoku/>
              <w:wordWrap/>
              <w:overflowPunct/>
              <w:topLinePunct w:val="0"/>
              <w:autoSpaceDE/>
              <w:autoSpaceDN/>
              <w:bidi w:val="0"/>
              <w:adjustRightInd/>
              <w:snapToGrid/>
              <w:spacing w:line="240" w:lineRule="auto"/>
              <w:ind w:left="0" w:right="147" w:firstLine="149"/>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《地表水环境质量标准》(</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rPr>
              <w:t>GB</w:t>
            </w:r>
            <w:r>
              <w:rPr>
                <w:rFonts w:hint="default" w:ascii="Times New Roman" w:hAnsi="Times New Roman" w:eastAsia="Times New Roman" w:cs="Times New Roman"/>
                <w:color w:val="auto"/>
                <w:spacing w:val="0"/>
                <w:w w:val="100"/>
                <w:position w:val="0"/>
                <w:sz w:val="21"/>
                <w:szCs w:val="21"/>
                <w:u w:val="none" w:color="auto"/>
              </w:rPr>
              <w:t>3838-2002</w:t>
            </w:r>
            <w:r>
              <w:rPr>
                <w:rFonts w:hint="default" w:ascii="Times New Roman" w:hAnsi="Times New Roman" w:eastAsia="宋体" w:cs="Times New Roman"/>
                <w:color w:val="auto"/>
                <w:spacing w:val="0"/>
                <w:w w:val="100"/>
                <w:position w:val="0"/>
                <w:sz w:val="21"/>
                <w:szCs w:val="21"/>
                <w:u w:val="none" w:color="auto"/>
              </w:rPr>
              <w:t>)</w:t>
            </w:r>
          </w:p>
          <w:p w14:paraId="4ED07FC5">
            <w:pPr>
              <w:keepNext w:val="0"/>
              <w:keepLines w:val="0"/>
              <w:pageBreakBefore w:val="0"/>
              <w:widowControl w:val="0"/>
              <w:kinsoku/>
              <w:wordWrap/>
              <w:overflowPunct/>
              <w:topLinePunct w:val="0"/>
              <w:autoSpaceDE/>
              <w:autoSpaceDN/>
              <w:bidi w:val="0"/>
              <w:adjustRightInd/>
              <w:snapToGrid/>
              <w:spacing w:line="240" w:lineRule="auto"/>
              <w:ind w:left="0" w:right="147" w:firstLine="149"/>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III</w:t>
            </w:r>
            <w:r>
              <w:rPr>
                <w:rFonts w:hint="default" w:ascii="Times New Roman" w:hAnsi="Times New Roman" w:eastAsia="宋体" w:cs="Times New Roman"/>
                <w:color w:val="auto"/>
                <w:spacing w:val="0"/>
                <w:w w:val="100"/>
                <w:position w:val="0"/>
                <w:sz w:val="21"/>
                <w:szCs w:val="21"/>
                <w:u w:val="none" w:color="auto"/>
              </w:rPr>
              <w:t>类标准</w:t>
            </w:r>
          </w:p>
        </w:tc>
      </w:tr>
      <w:tr w14:paraId="5C32C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 w:type="dxa"/>
            <w:tcBorders>
              <w:tl2br w:val="nil"/>
              <w:tr2bl w:val="nil"/>
            </w:tcBorders>
            <w:noWrap w:val="0"/>
            <w:vAlign w:val="center"/>
          </w:tcPr>
          <w:p w14:paraId="04D4C08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地下水</w:t>
            </w:r>
          </w:p>
        </w:tc>
        <w:tc>
          <w:tcPr>
            <w:tcW w:w="5985" w:type="dxa"/>
            <w:gridSpan w:val="4"/>
            <w:tcBorders>
              <w:tl2br w:val="nil"/>
              <w:tr2bl w:val="nil"/>
            </w:tcBorders>
            <w:noWrap w:val="0"/>
            <w:vAlign w:val="center"/>
          </w:tcPr>
          <w:p w14:paraId="168042D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eastAsia" w:ascii="Times New Roman" w:hAnsi="Times New Roman" w:eastAsia="宋体" w:cs="Times New Roman"/>
                <w:caps w:val="0"/>
                <w:smallCaps w:val="0"/>
                <w:color w:val="auto"/>
                <w:spacing w:val="0"/>
                <w:w w:val="100"/>
                <w:position w:val="0"/>
                <w:sz w:val="21"/>
                <w:szCs w:val="21"/>
                <w:u w:val="none" w:color="auto"/>
                <w:lang w:eastAsia="zh-CN"/>
              </w:rPr>
              <w:t>周边居民</w:t>
            </w:r>
            <w:r>
              <w:rPr>
                <w:rFonts w:hint="default" w:ascii="Times New Roman" w:hAnsi="Times New Roman" w:eastAsia="宋体" w:cs="Times New Roman"/>
                <w:caps w:val="0"/>
                <w:smallCaps w:val="0"/>
                <w:color w:val="auto"/>
                <w:spacing w:val="0"/>
                <w:w w:val="100"/>
                <w:position w:val="0"/>
                <w:sz w:val="21"/>
                <w:szCs w:val="21"/>
                <w:u w:val="none" w:color="auto"/>
              </w:rPr>
              <w:t>地下水</w:t>
            </w:r>
            <w:r>
              <w:rPr>
                <w:rFonts w:hint="default" w:ascii="Times New Roman" w:hAnsi="Times New Roman" w:eastAsia="宋体" w:cs="Times New Roman"/>
                <w:caps w:val="0"/>
                <w:smallCaps w:val="0"/>
                <w:color w:val="auto"/>
                <w:spacing w:val="0"/>
                <w:w w:val="100"/>
                <w:position w:val="0"/>
                <w:sz w:val="21"/>
                <w:szCs w:val="21"/>
                <w:u w:val="none" w:color="auto"/>
                <w:lang w:eastAsia="zh-CN"/>
              </w:rPr>
              <w:t>井</w:t>
            </w:r>
          </w:p>
        </w:tc>
        <w:tc>
          <w:tcPr>
            <w:tcW w:w="1681" w:type="dxa"/>
            <w:tcBorders>
              <w:tl2br w:val="nil"/>
              <w:tr2bl w:val="nil"/>
            </w:tcBorders>
            <w:noWrap w:val="0"/>
            <w:vAlign w:val="center"/>
          </w:tcPr>
          <w:p w14:paraId="435620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rPr>
              <w:t>《</w:t>
            </w:r>
            <w:r>
              <w:rPr>
                <w:rFonts w:hint="default" w:ascii="Times New Roman" w:hAnsi="Times New Roman" w:eastAsia="宋体" w:cs="Times New Roman"/>
                <w:color w:val="auto"/>
                <w:spacing w:val="0"/>
                <w:w w:val="100"/>
                <w:position w:val="0"/>
                <w:sz w:val="21"/>
                <w:szCs w:val="21"/>
                <w:u w:val="none" w:color="auto"/>
              </w:rPr>
              <w:t>地下水质量标准》（</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rPr>
              <w:t>GB/T14848-2017）Ⅲ类标准限值</w:t>
            </w:r>
          </w:p>
        </w:tc>
      </w:tr>
      <w:tr w14:paraId="158D6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82" w:hRule="atLeast"/>
          <w:jc w:val="center"/>
        </w:trPr>
        <w:tc>
          <w:tcPr>
            <w:tcW w:w="784" w:type="dxa"/>
            <w:tcBorders>
              <w:tl2br w:val="nil"/>
              <w:tr2bl w:val="nil"/>
            </w:tcBorders>
            <w:noWrap w:val="0"/>
            <w:vAlign w:val="center"/>
          </w:tcPr>
          <w:p w14:paraId="49D1F2F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土壤</w:t>
            </w:r>
          </w:p>
        </w:tc>
        <w:tc>
          <w:tcPr>
            <w:tcW w:w="5985" w:type="dxa"/>
            <w:gridSpan w:val="4"/>
            <w:tcBorders>
              <w:tl2br w:val="nil"/>
              <w:tr2bl w:val="nil"/>
            </w:tcBorders>
            <w:noWrap w:val="0"/>
            <w:vAlign w:val="center"/>
          </w:tcPr>
          <w:p w14:paraId="5125923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w w:val="100"/>
                <w:position w:val="0"/>
                <w:sz w:val="21"/>
                <w:szCs w:val="21"/>
                <w:u w:val="none" w:color="auto"/>
                <w:lang w:val="en-US"/>
              </w:rPr>
            </w:pPr>
            <w:r>
              <w:rPr>
                <w:rFonts w:hint="default" w:ascii="Times New Roman" w:hAnsi="Times New Roman" w:eastAsia="宋体" w:cs="Times New Roman"/>
                <w:caps w:val="0"/>
                <w:smallCaps w:val="0"/>
                <w:color w:val="auto"/>
                <w:spacing w:val="0"/>
                <w:w w:val="100"/>
                <w:position w:val="0"/>
                <w:sz w:val="21"/>
                <w:szCs w:val="21"/>
                <w:u w:val="none" w:color="auto"/>
              </w:rPr>
              <w:t>评价范围内的</w:t>
            </w:r>
            <w:r>
              <w:rPr>
                <w:rFonts w:hint="default" w:ascii="Times New Roman" w:hAnsi="Times New Roman" w:eastAsia="宋体" w:cs="Times New Roman"/>
                <w:caps w:val="0"/>
                <w:smallCaps w:val="0"/>
                <w:color w:val="auto"/>
                <w:spacing w:val="0"/>
                <w:w w:val="100"/>
                <w:position w:val="0"/>
                <w:sz w:val="21"/>
                <w:szCs w:val="21"/>
                <w:u w:val="none" w:color="auto"/>
                <w:lang w:val="en-US" w:eastAsia="zh-CN"/>
              </w:rPr>
              <w:t>林地、农田等</w:t>
            </w:r>
          </w:p>
        </w:tc>
        <w:tc>
          <w:tcPr>
            <w:tcW w:w="1681" w:type="dxa"/>
            <w:tcBorders>
              <w:tl2br w:val="nil"/>
              <w:tr2bl w:val="nil"/>
            </w:tcBorders>
            <w:shd w:val="clear" w:color="auto" w:fill="auto"/>
            <w:noWrap w:val="0"/>
            <w:vAlign w:val="center"/>
          </w:tcPr>
          <w:p w14:paraId="24F9EE4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 xml:space="preserve">《土壤环境质量  </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eastAsia="zh-CN"/>
              </w:rPr>
              <w:t>农</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用地土壤污染风险管控标准》（GB</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15618</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-2018）</w:t>
            </w:r>
          </w:p>
        </w:tc>
      </w:tr>
    </w:tbl>
    <w:p w14:paraId="3404D82C">
      <w:pPr>
        <w:spacing w:line="360" w:lineRule="auto"/>
        <w:ind w:firstLine="2650" w:firstLineChars="1100"/>
        <w:rPr>
          <w:rFonts w:hint="default" w:ascii="Times New Roman" w:hAnsi="Times New Roman" w:eastAsia="宋体" w:cs="Times New Roman"/>
          <w:b/>
          <w:bCs/>
          <w:color w:val="auto"/>
          <w:spacing w:val="0"/>
          <w:w w:val="100"/>
          <w:position w:val="0"/>
          <w:sz w:val="24"/>
          <w:szCs w:val="24"/>
          <w:u w:val="none" w:color="auto"/>
          <w:lang w:val="en-US" w:eastAsia="zh-CN"/>
        </w:rPr>
      </w:pPr>
      <w:r>
        <w:rPr>
          <w:rFonts w:hint="default" w:ascii="Times New Roman" w:hAnsi="Times New Roman" w:eastAsia="宋体" w:cs="Times New Roman"/>
          <w:b/>
          <w:bCs/>
          <w:color w:val="auto"/>
          <w:spacing w:val="0"/>
          <w:w w:val="100"/>
          <w:position w:val="0"/>
          <w:sz w:val="24"/>
          <w:szCs w:val="24"/>
          <w:u w:val="none" w:color="auto"/>
          <w:lang w:val="en-US" w:eastAsia="zh-CN"/>
        </w:rPr>
        <w:t>表</w:t>
      </w:r>
      <w:r>
        <w:rPr>
          <w:rFonts w:hint="default" w:ascii="Times New Roman" w:hAnsi="Times New Roman" w:eastAsia="宋体" w:cs="Times New Roman"/>
          <w:b/>
          <w:bCs/>
          <w:color w:val="auto"/>
          <w:spacing w:val="0"/>
          <w:w w:val="100"/>
          <w:position w:val="0"/>
          <w:sz w:val="24"/>
          <w:szCs w:val="24"/>
          <w:u w:val="none" w:color="auto"/>
          <w:lang w:val="en-US" w:eastAsia="zh-CN"/>
        </w:rPr>
        <w:fldChar w:fldCharType="begin"/>
      </w:r>
      <w:r>
        <w:rPr>
          <w:rFonts w:hint="default" w:ascii="Times New Roman" w:hAnsi="Times New Roman" w:eastAsia="宋体" w:cs="Times New Roman"/>
          <w:b/>
          <w:bCs/>
          <w:color w:val="auto"/>
          <w:spacing w:val="0"/>
          <w:w w:val="100"/>
          <w:position w:val="0"/>
          <w:sz w:val="24"/>
          <w:szCs w:val="24"/>
          <w:u w:val="none" w:color="auto"/>
          <w:lang w:val="en-US" w:eastAsia="zh-CN"/>
        </w:rPr>
        <w:instrText xml:space="preserve"> STYLEREF 1 \s </w:instrText>
      </w:r>
      <w:r>
        <w:rPr>
          <w:rFonts w:hint="default" w:ascii="Times New Roman" w:hAnsi="Times New Roman" w:eastAsia="宋体" w:cs="Times New Roman"/>
          <w:b/>
          <w:bCs/>
          <w:color w:val="auto"/>
          <w:spacing w:val="0"/>
          <w:w w:val="100"/>
          <w:position w:val="0"/>
          <w:sz w:val="24"/>
          <w:szCs w:val="24"/>
          <w:u w:val="none" w:color="auto"/>
          <w:lang w:val="en-US" w:eastAsia="zh-CN"/>
        </w:rPr>
        <w:fldChar w:fldCharType="separate"/>
      </w:r>
      <w:r>
        <w:rPr>
          <w:rFonts w:hint="default" w:ascii="Times New Roman" w:hAnsi="Times New Roman" w:eastAsia="宋体" w:cs="Times New Roman"/>
          <w:b/>
          <w:bCs/>
          <w:color w:val="auto"/>
          <w:spacing w:val="0"/>
          <w:w w:val="100"/>
          <w:position w:val="0"/>
          <w:sz w:val="24"/>
          <w:szCs w:val="24"/>
          <w:u w:val="none" w:color="auto"/>
          <w:lang w:val="en-US" w:eastAsia="zh-CN"/>
        </w:rPr>
        <w:t>1</w:t>
      </w:r>
      <w:r>
        <w:rPr>
          <w:rFonts w:hint="default" w:ascii="Times New Roman" w:hAnsi="Times New Roman" w:eastAsia="宋体" w:cs="Times New Roman"/>
          <w:b/>
          <w:bCs/>
          <w:color w:val="auto"/>
          <w:spacing w:val="0"/>
          <w:w w:val="100"/>
          <w:position w:val="0"/>
          <w:sz w:val="24"/>
          <w:szCs w:val="24"/>
          <w:u w:val="none" w:color="auto"/>
          <w:lang w:val="en-US" w:eastAsia="zh-CN"/>
        </w:rPr>
        <w:fldChar w:fldCharType="end"/>
      </w:r>
      <w:r>
        <w:rPr>
          <w:rFonts w:hint="default" w:ascii="Times New Roman" w:hAnsi="Times New Roman" w:eastAsia="宋体" w:cs="Times New Roman"/>
          <w:b/>
          <w:bCs/>
          <w:color w:val="auto"/>
          <w:spacing w:val="0"/>
          <w:w w:val="100"/>
          <w:position w:val="0"/>
          <w:sz w:val="24"/>
          <w:szCs w:val="24"/>
          <w:u w:val="none" w:color="auto"/>
          <w:lang w:val="en-US" w:eastAsia="zh-CN"/>
        </w:rPr>
        <w:t>.8-2 评价区生态保护目标一览表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372"/>
        <w:gridCol w:w="2370"/>
        <w:gridCol w:w="2624"/>
        <w:gridCol w:w="1382"/>
      </w:tblGrid>
      <w:tr w14:paraId="36ABC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tcBorders>
              <w:tl2br w:val="nil"/>
              <w:tr2bl w:val="nil"/>
            </w:tcBorders>
            <w:noWrap w:val="0"/>
            <w:vAlign w:val="center"/>
          </w:tcPr>
          <w:p w14:paraId="5B86AE3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z w:val="21"/>
                <w:highlight w:val="none"/>
                <w:u w:val="none" w:color="auto"/>
              </w:rPr>
            </w:pPr>
            <w:bookmarkStart w:id="88" w:name="_Toc6725"/>
            <w:bookmarkStart w:id="89" w:name="_Toc16908"/>
            <w:bookmarkStart w:id="90" w:name="_Toc48"/>
            <w:r>
              <w:rPr>
                <w:rFonts w:hint="default" w:ascii="Times New Roman" w:hAnsi="Times New Roman" w:eastAsia="宋体" w:cs="Times New Roman"/>
                <w:b/>
                <w:caps w:val="0"/>
                <w:smallCaps w:val="0"/>
                <w:color w:val="auto"/>
                <w:sz w:val="21"/>
                <w:highlight w:val="none"/>
                <w:u w:val="none" w:color="auto"/>
              </w:rPr>
              <w:t>类别</w:t>
            </w:r>
          </w:p>
        </w:tc>
        <w:tc>
          <w:tcPr>
            <w:tcW w:w="1372" w:type="dxa"/>
            <w:tcBorders>
              <w:tl2br w:val="nil"/>
              <w:tr2bl w:val="nil"/>
            </w:tcBorders>
            <w:noWrap w:val="0"/>
            <w:vAlign w:val="center"/>
          </w:tcPr>
          <w:p w14:paraId="4638DBE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z w:val="21"/>
                <w:highlight w:val="none"/>
                <w:u w:val="none" w:color="auto"/>
              </w:rPr>
            </w:pPr>
            <w:r>
              <w:rPr>
                <w:rFonts w:hint="default" w:ascii="Times New Roman" w:hAnsi="Times New Roman" w:eastAsia="宋体" w:cs="Times New Roman"/>
                <w:b/>
                <w:caps w:val="0"/>
                <w:smallCaps w:val="0"/>
                <w:color w:val="auto"/>
                <w:sz w:val="21"/>
                <w:highlight w:val="none"/>
                <w:u w:val="none" w:color="auto"/>
                <w:lang w:val="en-US" w:eastAsia="zh-CN"/>
              </w:rPr>
              <w:t>保护</w:t>
            </w:r>
            <w:r>
              <w:rPr>
                <w:rFonts w:hint="default" w:ascii="Times New Roman" w:hAnsi="Times New Roman" w:eastAsia="宋体" w:cs="Times New Roman"/>
                <w:b/>
                <w:caps w:val="0"/>
                <w:smallCaps w:val="0"/>
                <w:color w:val="auto"/>
                <w:sz w:val="21"/>
                <w:highlight w:val="none"/>
                <w:u w:val="none" w:color="auto"/>
              </w:rPr>
              <w:t>目标/区名称</w:t>
            </w:r>
          </w:p>
        </w:tc>
        <w:tc>
          <w:tcPr>
            <w:tcW w:w="2370" w:type="dxa"/>
            <w:tcBorders>
              <w:tl2br w:val="nil"/>
              <w:tr2bl w:val="nil"/>
            </w:tcBorders>
            <w:noWrap w:val="0"/>
            <w:vAlign w:val="center"/>
          </w:tcPr>
          <w:p w14:paraId="2265444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z w:val="21"/>
                <w:highlight w:val="none"/>
                <w:u w:val="none" w:color="auto"/>
              </w:rPr>
            </w:pPr>
            <w:r>
              <w:rPr>
                <w:rFonts w:hint="default" w:ascii="Times New Roman" w:hAnsi="Times New Roman" w:eastAsia="宋体" w:cs="Times New Roman"/>
                <w:b/>
                <w:caps w:val="0"/>
                <w:smallCaps w:val="0"/>
                <w:color w:val="auto"/>
                <w:sz w:val="21"/>
                <w:highlight w:val="none"/>
                <w:u w:val="none" w:color="auto"/>
              </w:rPr>
              <w:t>主要保护对象/受影响要素</w:t>
            </w:r>
          </w:p>
        </w:tc>
        <w:tc>
          <w:tcPr>
            <w:tcW w:w="2624" w:type="dxa"/>
            <w:tcBorders>
              <w:tl2br w:val="nil"/>
              <w:tr2bl w:val="nil"/>
            </w:tcBorders>
            <w:noWrap w:val="0"/>
            <w:vAlign w:val="center"/>
          </w:tcPr>
          <w:p w14:paraId="2A89219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z w:val="21"/>
                <w:highlight w:val="none"/>
                <w:u w:val="none" w:color="auto"/>
              </w:rPr>
            </w:pPr>
            <w:r>
              <w:rPr>
                <w:rFonts w:hint="default" w:ascii="Times New Roman" w:hAnsi="Times New Roman" w:eastAsia="宋体" w:cs="Times New Roman"/>
                <w:b/>
                <w:caps w:val="0"/>
                <w:smallCaps w:val="0"/>
                <w:color w:val="auto"/>
                <w:sz w:val="21"/>
                <w:highlight w:val="none"/>
                <w:u w:val="none" w:color="auto"/>
              </w:rPr>
              <w:t>与工程的位置关系</w:t>
            </w:r>
          </w:p>
        </w:tc>
        <w:tc>
          <w:tcPr>
            <w:tcW w:w="1382" w:type="dxa"/>
            <w:tcBorders>
              <w:tl2br w:val="nil"/>
              <w:tr2bl w:val="nil"/>
            </w:tcBorders>
            <w:noWrap w:val="0"/>
            <w:vAlign w:val="center"/>
          </w:tcPr>
          <w:p w14:paraId="116B24C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z w:val="21"/>
                <w:highlight w:val="none"/>
                <w:u w:val="none" w:color="auto"/>
                <w:lang w:eastAsia="zh-CN"/>
              </w:rPr>
            </w:pPr>
            <w:r>
              <w:rPr>
                <w:rFonts w:hint="default" w:ascii="Times New Roman" w:hAnsi="Times New Roman" w:eastAsia="宋体" w:cs="Times New Roman"/>
                <w:b/>
                <w:caps w:val="0"/>
                <w:smallCaps w:val="0"/>
                <w:color w:val="auto"/>
                <w:sz w:val="21"/>
                <w:highlight w:val="none"/>
                <w:u w:val="none" w:color="auto"/>
                <w:lang w:eastAsia="zh-CN"/>
              </w:rPr>
              <w:t>保护要求</w:t>
            </w:r>
          </w:p>
        </w:tc>
      </w:tr>
      <w:tr w14:paraId="18C00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Merge w:val="restart"/>
            <w:tcBorders>
              <w:tl2br w:val="nil"/>
              <w:tr2bl w:val="nil"/>
            </w:tcBorders>
            <w:noWrap w:val="0"/>
            <w:vAlign w:val="center"/>
          </w:tcPr>
          <w:p w14:paraId="6E97E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重要物种</w:t>
            </w:r>
          </w:p>
        </w:tc>
        <w:tc>
          <w:tcPr>
            <w:tcW w:w="1372" w:type="dxa"/>
            <w:tcBorders>
              <w:tl2br w:val="nil"/>
              <w:tr2bl w:val="nil"/>
            </w:tcBorders>
            <w:noWrap w:val="0"/>
            <w:vAlign w:val="center"/>
          </w:tcPr>
          <w:p w14:paraId="2A3760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重点保护野生动物</w:t>
            </w:r>
          </w:p>
        </w:tc>
        <w:tc>
          <w:tcPr>
            <w:tcW w:w="2370" w:type="dxa"/>
            <w:tcBorders>
              <w:tl2br w:val="nil"/>
              <w:tr2bl w:val="nil"/>
            </w:tcBorders>
            <w:noWrap w:val="0"/>
            <w:vAlign w:val="center"/>
          </w:tcPr>
          <w:p w14:paraId="2E4F33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评价区</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内有</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湖南省级重点保护野生动物</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34</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种</w:t>
            </w:r>
          </w:p>
        </w:tc>
        <w:tc>
          <w:tcPr>
            <w:tcW w:w="2624" w:type="dxa"/>
            <w:tcBorders>
              <w:tl2br w:val="nil"/>
              <w:tr2bl w:val="nil"/>
            </w:tcBorders>
            <w:noWrap w:val="0"/>
            <w:vAlign w:val="center"/>
          </w:tcPr>
          <w:p w14:paraId="7F2C8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工程周边</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区域</w:t>
            </w:r>
          </w:p>
        </w:tc>
        <w:tc>
          <w:tcPr>
            <w:tcW w:w="1382" w:type="dxa"/>
            <w:tcBorders>
              <w:tl2br w:val="nil"/>
              <w:tr2bl w:val="nil"/>
            </w:tcBorders>
            <w:noWrap w:val="0"/>
            <w:vAlign w:val="center"/>
          </w:tcPr>
          <w:p w14:paraId="56F0CB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禁止猎捕</w:t>
            </w:r>
          </w:p>
        </w:tc>
      </w:tr>
      <w:tr w14:paraId="4CC1F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Merge w:val="continue"/>
            <w:tcBorders>
              <w:tl2br w:val="nil"/>
              <w:tr2bl w:val="nil"/>
            </w:tcBorders>
            <w:noWrap w:val="0"/>
            <w:vAlign w:val="center"/>
          </w:tcPr>
          <w:p w14:paraId="114FD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p>
        </w:tc>
        <w:tc>
          <w:tcPr>
            <w:tcW w:w="1372" w:type="dxa"/>
            <w:tcBorders>
              <w:tl2br w:val="nil"/>
              <w:tr2bl w:val="nil"/>
            </w:tcBorders>
            <w:noWrap w:val="0"/>
            <w:vAlign w:val="center"/>
          </w:tcPr>
          <w:p w14:paraId="6ACCF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古树名木</w:t>
            </w:r>
          </w:p>
        </w:tc>
        <w:tc>
          <w:tcPr>
            <w:tcW w:w="2370" w:type="dxa"/>
            <w:tcBorders>
              <w:tl2br w:val="nil"/>
              <w:tr2bl w:val="nil"/>
            </w:tcBorders>
            <w:noWrap w:val="0"/>
            <w:vAlign w:val="center"/>
          </w:tcPr>
          <w:p w14:paraId="16609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2株香樟古树</w:t>
            </w:r>
          </w:p>
        </w:tc>
        <w:tc>
          <w:tcPr>
            <w:tcW w:w="2624" w:type="dxa"/>
            <w:tcBorders>
              <w:tl2br w:val="nil"/>
              <w:tr2bl w:val="nil"/>
            </w:tcBorders>
            <w:noWrap w:val="0"/>
            <w:vAlign w:val="center"/>
          </w:tcPr>
          <w:p w14:paraId="424F0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分别距离工程边界10m、874m</w:t>
            </w:r>
          </w:p>
        </w:tc>
        <w:tc>
          <w:tcPr>
            <w:tcW w:w="1382" w:type="dxa"/>
            <w:tcBorders>
              <w:tl2br w:val="nil"/>
              <w:tr2bl w:val="nil"/>
            </w:tcBorders>
            <w:noWrap w:val="0"/>
            <w:vAlign w:val="center"/>
          </w:tcPr>
          <w:p w14:paraId="546DE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原址保护、禁止砍伐</w:t>
            </w:r>
          </w:p>
        </w:tc>
      </w:tr>
      <w:tr w14:paraId="5D388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Merge w:val="restart"/>
            <w:tcBorders>
              <w:tl2br w:val="nil"/>
              <w:tr2bl w:val="nil"/>
            </w:tcBorders>
            <w:noWrap w:val="0"/>
            <w:vAlign w:val="center"/>
          </w:tcPr>
          <w:p w14:paraId="7CFE2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生态敏感区</w:t>
            </w:r>
          </w:p>
        </w:tc>
        <w:tc>
          <w:tcPr>
            <w:tcW w:w="1372" w:type="dxa"/>
            <w:tcBorders>
              <w:tl2br w:val="nil"/>
              <w:tr2bl w:val="nil"/>
            </w:tcBorders>
            <w:noWrap w:val="0"/>
            <w:vAlign w:val="center"/>
          </w:tcPr>
          <w:p w14:paraId="2EE74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湖南华容</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东湖国家湿地</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公园</w:t>
            </w:r>
          </w:p>
        </w:tc>
        <w:tc>
          <w:tcPr>
            <w:tcW w:w="2370" w:type="dxa"/>
            <w:tcBorders>
              <w:tl2br w:val="nil"/>
              <w:tr2bl w:val="nil"/>
            </w:tcBorders>
            <w:noWrap w:val="0"/>
            <w:vAlign w:val="center"/>
          </w:tcPr>
          <w:p w14:paraId="2C18E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湿地</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生态系统</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及生物多用性</w:t>
            </w:r>
          </w:p>
        </w:tc>
        <w:tc>
          <w:tcPr>
            <w:tcW w:w="2624" w:type="dxa"/>
            <w:tcBorders>
              <w:tl2br w:val="nil"/>
              <w:tr2bl w:val="nil"/>
            </w:tcBorders>
            <w:noWrap w:val="0"/>
            <w:vAlign w:val="center"/>
          </w:tcPr>
          <w:p w14:paraId="735CF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项目大部分工程在合理利用区内</w:t>
            </w:r>
          </w:p>
        </w:tc>
        <w:tc>
          <w:tcPr>
            <w:tcW w:w="1382" w:type="dxa"/>
            <w:tcBorders>
              <w:tl2br w:val="nil"/>
              <w:tr2bl w:val="nil"/>
            </w:tcBorders>
            <w:noWrap w:val="0"/>
            <w:vAlign w:val="center"/>
          </w:tcPr>
          <w:p w14:paraId="041848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严格控制施工范围</w:t>
            </w:r>
          </w:p>
        </w:tc>
      </w:tr>
      <w:tr w14:paraId="24475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Merge w:val="continue"/>
            <w:tcBorders>
              <w:tl2br w:val="nil"/>
              <w:tr2bl w:val="nil"/>
            </w:tcBorders>
            <w:noWrap w:val="0"/>
            <w:vAlign w:val="center"/>
          </w:tcPr>
          <w:p w14:paraId="60FCB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p>
        </w:tc>
        <w:tc>
          <w:tcPr>
            <w:tcW w:w="1372" w:type="dxa"/>
            <w:tcBorders>
              <w:tl2br w:val="nil"/>
              <w:tr2bl w:val="nil"/>
            </w:tcBorders>
            <w:noWrap w:val="0"/>
            <w:vAlign w:val="center"/>
          </w:tcPr>
          <w:p w14:paraId="08E46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eastAsia="zh-CN"/>
              </w:rPr>
              <w:t>生态保护红线</w:t>
            </w:r>
          </w:p>
        </w:tc>
        <w:tc>
          <w:tcPr>
            <w:tcW w:w="2370" w:type="dxa"/>
            <w:tcBorders>
              <w:tl2br w:val="nil"/>
              <w:tr2bl w:val="nil"/>
            </w:tcBorders>
            <w:noWrap w:val="0"/>
            <w:vAlign w:val="center"/>
          </w:tcPr>
          <w:p w14:paraId="508C7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华容县生态保护红线</w:t>
            </w:r>
          </w:p>
        </w:tc>
        <w:tc>
          <w:tcPr>
            <w:tcW w:w="2624" w:type="dxa"/>
            <w:tcBorders>
              <w:tl2br w:val="nil"/>
              <w:tr2bl w:val="nil"/>
            </w:tcBorders>
            <w:noWrap w:val="0"/>
            <w:vAlign w:val="center"/>
          </w:tcPr>
          <w:p w14:paraId="42F4E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多处涉及</w:t>
            </w:r>
          </w:p>
        </w:tc>
        <w:tc>
          <w:tcPr>
            <w:tcW w:w="1382" w:type="dxa"/>
            <w:tcBorders>
              <w:tl2br w:val="nil"/>
              <w:tr2bl w:val="nil"/>
            </w:tcBorders>
            <w:noWrap w:val="0"/>
            <w:vAlign w:val="center"/>
          </w:tcPr>
          <w:p w14:paraId="78A01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严格控制施工范围，减少占用</w:t>
            </w:r>
          </w:p>
        </w:tc>
      </w:tr>
      <w:tr w14:paraId="02648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tcBorders>
              <w:tl2br w:val="nil"/>
              <w:tr2bl w:val="nil"/>
            </w:tcBorders>
            <w:noWrap w:val="0"/>
            <w:vAlign w:val="center"/>
          </w:tcPr>
          <w:p w14:paraId="5B30B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其他</w:t>
            </w:r>
          </w:p>
        </w:tc>
        <w:tc>
          <w:tcPr>
            <w:tcW w:w="1372" w:type="dxa"/>
            <w:tcBorders>
              <w:tl2br w:val="nil"/>
              <w:tr2bl w:val="nil"/>
            </w:tcBorders>
            <w:noWrap w:val="0"/>
            <w:vAlign w:val="center"/>
          </w:tcPr>
          <w:p w14:paraId="1C9E2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湿地</w:t>
            </w:r>
          </w:p>
        </w:tc>
        <w:tc>
          <w:tcPr>
            <w:tcW w:w="2370" w:type="dxa"/>
            <w:tcBorders>
              <w:tl2br w:val="nil"/>
              <w:tr2bl w:val="nil"/>
            </w:tcBorders>
            <w:noWrap w:val="0"/>
            <w:vAlign w:val="center"/>
          </w:tcPr>
          <w:p w14:paraId="2B89A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东湖省级重要湿地</w:t>
            </w:r>
          </w:p>
        </w:tc>
        <w:tc>
          <w:tcPr>
            <w:tcW w:w="2624" w:type="dxa"/>
            <w:tcBorders>
              <w:tl2br w:val="nil"/>
              <w:tr2bl w:val="nil"/>
            </w:tcBorders>
            <w:noWrap w:val="0"/>
            <w:vAlign w:val="center"/>
          </w:tcPr>
          <w:p w14:paraId="33DFC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项目工程临近湿地</w:t>
            </w:r>
          </w:p>
        </w:tc>
        <w:tc>
          <w:tcPr>
            <w:tcW w:w="1382" w:type="dxa"/>
            <w:tcBorders>
              <w:tl2br w:val="nil"/>
              <w:tr2bl w:val="nil"/>
            </w:tcBorders>
            <w:noWrap w:val="0"/>
            <w:vAlign w:val="center"/>
          </w:tcPr>
          <w:p w14:paraId="12589A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禁止非法占用、倾倒废水、固废</w:t>
            </w:r>
          </w:p>
        </w:tc>
      </w:tr>
      <w:bookmarkEnd w:id="88"/>
      <w:bookmarkEnd w:id="89"/>
      <w:bookmarkEnd w:id="90"/>
    </w:tbl>
    <w:p w14:paraId="45F21BCE">
      <w:pPr>
        <w:pStyle w:val="19"/>
        <w:rPr>
          <w:rFonts w:hint="default" w:ascii="Times New Roman" w:hAnsi="Times New Roman" w:cs="Times New Roman"/>
          <w:color w:val="auto"/>
          <w:spacing w:val="0"/>
          <w:w w:val="100"/>
          <w:position w:val="0"/>
          <w:u w:val="none" w:color="auto"/>
        </w:rPr>
        <w:sectPr>
          <w:headerReference r:id="rId7" w:type="default"/>
          <w:footerReference r:id="rId8"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E8AB6FD">
      <w:pPr>
        <w:pStyle w:val="2"/>
        <w:bidi w:val="0"/>
        <w:rPr>
          <w:rFonts w:hint="default" w:ascii="Times New Roman" w:hAnsi="Times New Roman" w:cs="Times New Roman"/>
          <w:u w:val="none" w:color="auto"/>
        </w:rPr>
      </w:pPr>
      <w:bookmarkStart w:id="91" w:name="_Toc28085"/>
      <w:r>
        <w:rPr>
          <w:rFonts w:hint="default" w:ascii="Times New Roman" w:hAnsi="Times New Roman" w:cs="Times New Roman"/>
          <w:u w:val="none" w:color="auto"/>
        </w:rPr>
        <w:t>工程概况与工程分析</w:t>
      </w:r>
      <w:bookmarkEnd w:id="91"/>
    </w:p>
    <w:p w14:paraId="1FA7F2B4">
      <w:pPr>
        <w:pStyle w:val="3"/>
        <w:bidi w:val="0"/>
        <w:rPr>
          <w:rFonts w:hint="default" w:ascii="Times New Roman" w:hAnsi="Times New Roman" w:cs="Times New Roman"/>
          <w:u w:val="none" w:color="auto"/>
        </w:rPr>
      </w:pPr>
      <w:bookmarkStart w:id="92" w:name="_Toc18493"/>
      <w:r>
        <w:rPr>
          <w:rFonts w:hint="default" w:ascii="Times New Roman" w:hAnsi="Times New Roman" w:cs="Times New Roman"/>
          <w:u w:val="none" w:color="auto"/>
          <w:lang w:eastAsia="zh-CN"/>
        </w:rPr>
        <w:t>现有</w:t>
      </w:r>
      <w:r>
        <w:rPr>
          <w:rFonts w:hint="default" w:ascii="Times New Roman" w:hAnsi="Times New Roman" w:cs="Times New Roman"/>
          <w:u w:val="none" w:color="auto"/>
        </w:rPr>
        <w:t>工程概况</w:t>
      </w:r>
      <w:bookmarkEnd w:id="92"/>
    </w:p>
    <w:p w14:paraId="0769E7B1">
      <w:pPr>
        <w:pStyle w:val="4"/>
        <w:bidi w:val="0"/>
        <w:rPr>
          <w:rFonts w:hint="default" w:ascii="Times New Roman" w:hAnsi="Times New Roman" w:cs="Times New Roman"/>
          <w:u w:val="none" w:color="auto"/>
          <w:lang w:val="en-US" w:eastAsia="zh-CN"/>
        </w:rPr>
      </w:pPr>
      <w:bookmarkStart w:id="93" w:name="_Toc11852"/>
      <w:r>
        <w:rPr>
          <w:rFonts w:hint="eastAsia" w:ascii="Times New Roman" w:hAnsi="Times New Roman" w:cs="Times New Roman"/>
          <w:u w:val="none" w:color="auto"/>
          <w:lang w:eastAsia="zh-CN"/>
        </w:rPr>
        <w:t>北汊水库基本</w:t>
      </w:r>
      <w:r>
        <w:rPr>
          <w:rFonts w:hint="default" w:ascii="Times New Roman" w:hAnsi="Times New Roman" w:cs="Times New Roman"/>
          <w:u w:val="none" w:color="auto"/>
          <w:lang w:eastAsia="zh-CN"/>
        </w:rPr>
        <w:t>情况</w:t>
      </w:r>
      <w:bookmarkEnd w:id="93"/>
    </w:p>
    <w:p w14:paraId="5206C6D4">
      <w:pPr>
        <w:pStyle w:val="5"/>
        <w:bidi w:val="0"/>
        <w:rPr>
          <w:rFonts w:hint="default"/>
          <w:lang w:val="en-US" w:eastAsia="zh-CN"/>
        </w:rPr>
      </w:pPr>
      <w:r>
        <w:rPr>
          <w:rFonts w:hint="eastAsia"/>
          <w:lang w:val="en-US" w:eastAsia="zh-CN"/>
        </w:rPr>
        <w:t>基本情况</w:t>
      </w:r>
    </w:p>
    <w:p w14:paraId="5B0A633A">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北汊水库位于湖南省岳阳市华容县禹山镇境内，藕池河东支下游北侧，上西湖北部湖汊上，主坝坝址位于华容县禹山镇老河口村，距华容县城23km。北汊水库始建于1975年，1978年建成</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北汊水库是一座低土坝、大库容的平原型水库，控制流域面积17.5km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，主河道长度3.25km，干流平均坡降3.3‰，水库正常蓄水位为30.50m，校核洪水位31.38m，总库容1423万m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，是一座以灌溉、防洪为主，兼有养殖等综合效益的中型水库。</w:t>
      </w:r>
    </w:p>
    <w:p w14:paraId="790E19E9">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枢纽主要建筑物为主坝、6座副坝（一副坝~六副坝）、泄洪闸、2座输水涵闸和2座进水涵等。该工程等别为III等，主要建筑物为3级，次要建筑物为4级。设计洪水标准为50年一遇，校核洪水标准为300年一遇，永久性泄水建筑物消能防冲设计洪水标准为50年一遇。</w:t>
      </w:r>
    </w:p>
    <w:p w14:paraId="11F40534">
      <w:pPr>
        <w:pStyle w:val="5"/>
        <w:bidi w:val="0"/>
        <w:rPr>
          <w:rFonts w:hint="default"/>
          <w:lang w:val="en-US" w:eastAsia="zh-CN"/>
        </w:rPr>
      </w:pPr>
      <w:r>
        <w:rPr>
          <w:rFonts w:hint="default"/>
          <w:lang w:val="en-US" w:eastAsia="zh-CN"/>
        </w:rPr>
        <w:t xml:space="preserve">工程任务 </w:t>
      </w:r>
    </w:p>
    <w:p w14:paraId="6B4B4F93">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北汊水库是一座以灌溉、防洪为主，兼有养殖等综合效益的中型水库。本次</w:t>
      </w:r>
      <w:r>
        <w:rPr>
          <w:rFonts w:hint="eastAsia" w:ascii="Times New Roman" w:hAnsi="Times New Roman" w:eastAsia="宋体" w:cs="Times New Roman"/>
          <w:color w:val="auto"/>
          <w:spacing w:val="0"/>
          <w:w w:val="100"/>
          <w:position w:val="0"/>
          <w:sz w:val="24"/>
          <w:szCs w:val="24"/>
          <w:highlight w:val="none"/>
          <w:u w:val="none" w:color="auto"/>
          <w:lang w:val="en-US" w:eastAsia="zh-CN"/>
        </w:rPr>
        <w:t>初设</w:t>
      </w:r>
      <w:r>
        <w:rPr>
          <w:rFonts w:hint="default" w:ascii="Times New Roman" w:hAnsi="Times New Roman" w:eastAsia="宋体" w:cs="Times New Roman"/>
          <w:color w:val="auto"/>
          <w:spacing w:val="0"/>
          <w:w w:val="100"/>
          <w:position w:val="0"/>
          <w:sz w:val="24"/>
          <w:szCs w:val="24"/>
          <w:highlight w:val="none"/>
          <w:u w:val="none" w:color="auto"/>
          <w:lang w:val="en-US" w:eastAsia="zh-CN"/>
        </w:rPr>
        <w:t>复核总库容1423万m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，水库地理位置重要，保护下游北景港镇、禹山镇、新河乡、章华镇等4个乡镇的厂矿企业、机关学校，G234国道等，保护人口5.75 万人，保护耕地约8万亩；水库设计灌溉面积</w:t>
      </w:r>
      <w:r>
        <w:rPr>
          <w:rFonts w:hint="eastAsia" w:ascii="Times New Roman" w:hAnsi="Times New Roman" w:eastAsia="宋体" w:cs="Times New Roman"/>
          <w:color w:val="auto"/>
          <w:spacing w:val="0"/>
          <w:w w:val="100"/>
          <w:position w:val="0"/>
          <w:sz w:val="24"/>
          <w:szCs w:val="24"/>
          <w:highlight w:val="none"/>
          <w:u w:val="none" w:color="auto"/>
          <w:lang w:val="en-US" w:eastAsia="zh-CN"/>
        </w:rPr>
        <w:t>9</w:t>
      </w:r>
      <w:r>
        <w:rPr>
          <w:rFonts w:hint="default" w:ascii="Times New Roman" w:hAnsi="Times New Roman" w:eastAsia="宋体" w:cs="Times New Roman"/>
          <w:color w:val="auto"/>
          <w:spacing w:val="0"/>
          <w:w w:val="100"/>
          <w:position w:val="0"/>
          <w:sz w:val="24"/>
          <w:szCs w:val="24"/>
          <w:highlight w:val="none"/>
          <w:u w:val="none" w:color="auto"/>
          <w:lang w:val="en-US" w:eastAsia="zh-CN"/>
        </w:rPr>
        <w:t xml:space="preserve">万亩，实际灌溉面积8.9万亩。 </w:t>
      </w:r>
    </w:p>
    <w:p w14:paraId="7087CB1F">
      <w:pPr>
        <w:pStyle w:val="5"/>
        <w:bidi w:val="0"/>
        <w:rPr>
          <w:rFonts w:hint="default"/>
          <w:lang w:val="en-US" w:eastAsia="zh-CN"/>
        </w:rPr>
      </w:pPr>
      <w:r>
        <w:rPr>
          <w:rFonts w:hint="eastAsia"/>
          <w:lang w:val="en-US" w:eastAsia="zh-CN"/>
        </w:rPr>
        <w:t xml:space="preserve">工程规模 </w:t>
      </w:r>
    </w:p>
    <w:p w14:paraId="0350EEB4">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北汊水库控制流域面积17.5km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，水库正常蓄水位30.50m，死水位27.00m，由于北汊水库本次加固取水建筑物进口底板高程及设计流量均未改变，本次工程除险加固后仍然可满足水库设计时的灌溉要求，本次工程除险加固仍然维持原规模。</w:t>
      </w:r>
    </w:p>
    <w:p w14:paraId="34BFAE14">
      <w:pPr>
        <w:pStyle w:val="5"/>
        <w:bidi w:val="0"/>
        <w:rPr>
          <w:rFonts w:hint="default"/>
          <w:lang w:val="en-US" w:eastAsia="zh-CN"/>
        </w:rPr>
      </w:pPr>
      <w:r>
        <w:rPr>
          <w:rFonts w:hint="eastAsia"/>
          <w:lang w:val="en-US" w:eastAsia="zh-CN"/>
        </w:rPr>
        <w:t>水库管理范围及保护范围</w:t>
      </w:r>
    </w:p>
    <w:p w14:paraId="584185B1">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北汊水库管理现状：</w:t>
      </w: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北汊水库的管理范围已划定，根据华容县人民政府华政发</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1989</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14号文件精神，30.5m（吴淞高程）以下范围属北汊水库管理，国土证待办理。工程保护范围为工程管理范围边界外延20m。</w:t>
      </w:r>
    </w:p>
    <w:p w14:paraId="0D1BE58E">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w:t>
      </w:r>
      <w:r>
        <w:rPr>
          <w:rFonts w:hint="default" w:ascii="Times New Roman" w:hAnsi="Times New Roman" w:eastAsia="宋体" w:cs="Times New Roman"/>
          <w:color w:val="auto"/>
          <w:spacing w:val="0"/>
          <w:w w:val="100"/>
          <w:position w:val="0"/>
          <w:sz w:val="24"/>
          <w:szCs w:val="24"/>
          <w:highlight w:val="none"/>
          <w:u w:val="none" w:color="auto"/>
          <w:lang w:val="en-US" w:eastAsia="zh-CN"/>
        </w:rPr>
        <w:t>管理范围：工程管理范围包括工程区和生产、生活区。工程区管理范围包括：主坝、副坝、泄洪闸、输水涵闸和进水涵等各类建筑物周围和水库土地征用线以内的库区。北汊水库工程区管理范围</w:t>
      </w:r>
      <w:r>
        <w:rPr>
          <w:rFonts w:hint="eastAsia" w:ascii="Times New Roman" w:hAnsi="Times New Roman" w:eastAsia="宋体" w:cs="Times New Roman"/>
          <w:color w:val="auto"/>
          <w:spacing w:val="0"/>
          <w:w w:val="100"/>
          <w:position w:val="0"/>
          <w:sz w:val="24"/>
          <w:szCs w:val="24"/>
          <w:highlight w:val="none"/>
          <w:u w:val="none" w:color="auto"/>
          <w:lang w:val="en-US" w:eastAsia="zh-CN"/>
        </w:rPr>
        <w:t>包括</w:t>
      </w:r>
      <w:r>
        <w:rPr>
          <w:rFonts w:hint="default" w:ascii="Times New Roman" w:hAnsi="Times New Roman" w:eastAsia="宋体" w:cs="Times New Roman"/>
          <w:color w:val="auto"/>
          <w:spacing w:val="0"/>
          <w:w w:val="100"/>
          <w:position w:val="0"/>
          <w:sz w:val="24"/>
          <w:szCs w:val="24"/>
          <w:highlight w:val="none"/>
          <w:u w:val="none" w:color="auto"/>
          <w:lang w:val="en-US" w:eastAsia="zh-CN"/>
        </w:rPr>
        <w:t>：大坝上游从坝脚线向上游不少于100m，下游从坝脚线向下游不少于150m，大坝两端从坝端外延不少于100m，上、下游和左右岸管理范围端线应与库区土地征用线相衔接。 溢洪道：建筑物外轮廓线向外不少于50m，消力池以下不少于100m。其它建筑物：从工程外轮廓线向外不少于 30m。运行区管理范围包括：办公室、会议室、资料档案室、仓库、防汛调度室、值班室、车库、食堂、值班宿舍及其他附属设施等建筑物的周边范围，按（135～235）m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 xml:space="preserve"> /人配置。</w:t>
      </w:r>
    </w:p>
    <w:p w14:paraId="77774392">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北汊水库保护</w:t>
      </w:r>
      <w:r>
        <w:rPr>
          <w:rFonts w:hint="default" w:ascii="Times New Roman" w:hAnsi="Times New Roman" w:eastAsia="宋体" w:cs="Times New Roman"/>
          <w:color w:val="auto"/>
          <w:spacing w:val="0"/>
          <w:w w:val="100"/>
          <w:position w:val="0"/>
          <w:sz w:val="24"/>
          <w:szCs w:val="24"/>
          <w:highlight w:val="none"/>
          <w:u w:val="none" w:color="auto"/>
          <w:lang w:val="en-US" w:eastAsia="zh-CN"/>
        </w:rPr>
        <w:t>范围：保护范围包括工程保护范围和水库保护范围，工程保护范围在工程管理范围边界线外延，在工程管理范围边界线上、下游外延不少于200m，两侧外延不少于100m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水库保护范围：由坝址以上，库区两岸土地征用线以上至第一道分水岭脊线之间的陆地</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4655DB2A">
      <w:pPr>
        <w:pStyle w:val="5"/>
        <w:bidi w:val="0"/>
        <w:rPr>
          <w:rFonts w:hint="eastAsia" w:eastAsia="宋体"/>
          <w:lang w:val="en-US" w:eastAsia="zh-CN"/>
        </w:rPr>
      </w:pPr>
      <w:r>
        <w:rPr>
          <w:rFonts w:hint="eastAsia" w:eastAsia="宋体"/>
          <w:lang w:val="en-US" w:eastAsia="zh-CN"/>
        </w:rPr>
        <w:t>水库调洪计算及特征水位</w:t>
      </w:r>
    </w:p>
    <w:p w14:paraId="5C1AFC9D">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 xml:space="preserve"> </w:t>
      </w:r>
      <w:r>
        <w:rPr>
          <w:rFonts w:hint="default" w:ascii="Times New Roman" w:hAnsi="Times New Roman" w:eastAsia="宋体" w:cs="Times New Roman"/>
          <w:color w:val="auto"/>
          <w:spacing w:val="0"/>
          <w:w w:val="100"/>
          <w:position w:val="0"/>
          <w:sz w:val="24"/>
          <w:szCs w:val="24"/>
          <w:highlight w:val="none"/>
          <w:u w:val="none" w:color="auto"/>
          <w:lang w:val="en-US" w:eastAsia="zh-CN"/>
        </w:rPr>
        <w:t xml:space="preserve">（1）防洪标准 </w:t>
      </w:r>
    </w:p>
    <w:p w14:paraId="60DF5C8B">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北汊水库为平原区水库，本次复核总库容为1423万m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为中型水库。北汊水库大坝为均质土坝，工程等别为Ⅲ等，主要挡水、泄水和输水建筑物级别为3级，次要建筑物为4级。根据《防洪标准》（GB50201-2014）、《水利水电工程等级划分及洪水标准》（SL252-2017），水库防洪标准应按50年～20年一遇洪水设计，300年～100年一遇洪水校核，结合本枢纽的历次设计洪水标准实际情况，本次初步设计洪水标准按50年一遇（P=2%）洪水设计，300年一遇（P=0.33%）洪水校核；根据《水利水电工程等级划分及洪水标准》（SL252-2017）5.2.7条，平原、滨海区水库工程的永久性建筑物消能防冲设计洪水标准，应与相应级别泄水建筑物的洪水标准一致，因此溢洪道消能防冲洪水标准为50年一遇（P=2%）洪水设计。北汊水库以往设计采用的洪水标准见表</w:t>
      </w:r>
      <w:r>
        <w:rPr>
          <w:rFonts w:hint="eastAsia" w:ascii="Times New Roman" w:hAnsi="Times New Roman" w:eastAsia="宋体" w:cs="Times New Roman"/>
          <w:color w:val="auto"/>
          <w:spacing w:val="0"/>
          <w:w w:val="100"/>
          <w:position w:val="0"/>
          <w:sz w:val="24"/>
          <w:szCs w:val="24"/>
          <w:highlight w:val="none"/>
          <w:u w:val="none" w:color="auto"/>
          <w:lang w:val="en-US" w:eastAsia="zh-CN"/>
        </w:rPr>
        <w:t>2.1-1</w:t>
      </w:r>
      <w:r>
        <w:rPr>
          <w:rFonts w:hint="default" w:ascii="Times New Roman" w:hAnsi="Times New Roman" w:eastAsia="宋体" w:cs="Times New Roman"/>
          <w:color w:val="auto"/>
          <w:spacing w:val="0"/>
          <w:w w:val="100"/>
          <w:position w:val="0"/>
          <w:sz w:val="24"/>
          <w:szCs w:val="24"/>
          <w:highlight w:val="none"/>
          <w:u w:val="none" w:color="auto"/>
          <w:lang w:val="en-US" w:eastAsia="zh-CN"/>
        </w:rPr>
        <w:t>。</w:t>
      </w:r>
    </w:p>
    <w:p w14:paraId="62E4FB28">
      <w:pPr>
        <w:pageBreakBefore w:val="0"/>
        <w:kinsoku w:val="0"/>
        <w:wordWrap w:val="0"/>
        <w:overflowPunct/>
        <w:topLinePunct/>
        <w:autoSpaceDE/>
        <w:autoSpaceDN/>
        <w:bidi w:val="0"/>
        <w:adjustRightInd w:val="0"/>
        <w:spacing w:line="240" w:lineRule="auto"/>
        <w:jc w:val="cente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b/>
          <w:caps w:val="0"/>
          <w:smallCaps w:val="0"/>
          <w:color w:val="auto"/>
          <w:spacing w:val="0"/>
          <w:w w:val="100"/>
          <w:kern w:val="0"/>
          <w:position w:val="0"/>
          <w:sz w:val="24"/>
          <w:szCs w:val="24"/>
          <w:u w:val="none" w:color="auto"/>
        </w:rPr>
        <w:t>表2.1-</w:t>
      </w:r>
      <w:r>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水库各设计阶段洪水标准</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3CF44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9" w:type="dxa"/>
            <w:tcBorders>
              <w:tl2br w:val="nil"/>
              <w:tr2bl w:val="nil"/>
            </w:tcBorders>
            <w:vAlign w:val="center"/>
          </w:tcPr>
          <w:p w14:paraId="3576CC99">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设计阶段</w:t>
            </w:r>
          </w:p>
        </w:tc>
        <w:tc>
          <w:tcPr>
            <w:tcW w:w="2129" w:type="dxa"/>
            <w:tcBorders>
              <w:tl2br w:val="nil"/>
              <w:tr2bl w:val="nil"/>
            </w:tcBorders>
            <w:vAlign w:val="center"/>
          </w:tcPr>
          <w:p w14:paraId="6AC21238">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设计洪水频率（%）</w:t>
            </w:r>
          </w:p>
        </w:tc>
        <w:tc>
          <w:tcPr>
            <w:tcW w:w="2129" w:type="dxa"/>
            <w:tcBorders>
              <w:tl2br w:val="nil"/>
              <w:tr2bl w:val="nil"/>
            </w:tcBorders>
            <w:vAlign w:val="center"/>
          </w:tcPr>
          <w:p w14:paraId="29D95993">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校核洪水频率（%）</w:t>
            </w:r>
          </w:p>
        </w:tc>
      </w:tr>
      <w:tr w14:paraId="13B06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9" w:type="dxa"/>
            <w:tcBorders>
              <w:tl2br w:val="nil"/>
              <w:tr2bl w:val="nil"/>
            </w:tcBorders>
            <w:vAlign w:val="center"/>
          </w:tcPr>
          <w:p w14:paraId="07484FF2">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2004年加固设计</w:t>
            </w:r>
          </w:p>
        </w:tc>
        <w:tc>
          <w:tcPr>
            <w:tcW w:w="2129" w:type="dxa"/>
            <w:tcBorders>
              <w:tl2br w:val="nil"/>
              <w:tr2bl w:val="nil"/>
            </w:tcBorders>
            <w:vAlign w:val="center"/>
          </w:tcPr>
          <w:p w14:paraId="790C45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2129" w:type="dxa"/>
            <w:tcBorders>
              <w:tl2br w:val="nil"/>
              <w:tr2bl w:val="nil"/>
            </w:tcBorders>
            <w:vAlign w:val="center"/>
          </w:tcPr>
          <w:p w14:paraId="168DBF3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0.33</w:t>
            </w:r>
          </w:p>
        </w:tc>
      </w:tr>
      <w:tr w14:paraId="5D52B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9" w:type="dxa"/>
            <w:tcBorders>
              <w:tl2br w:val="nil"/>
              <w:tr2bl w:val="nil"/>
            </w:tcBorders>
            <w:vAlign w:val="center"/>
          </w:tcPr>
          <w:p w14:paraId="697C3F50">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r>
              <w:rPr>
                <w:rFonts w:hint="eastAsia"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eastAsia="宋体" w:cs="Times New Roman"/>
                <w:i w:val="0"/>
                <w:iCs w:val="0"/>
                <w:color w:val="000000"/>
                <w:kern w:val="0"/>
                <w:sz w:val="21"/>
                <w:szCs w:val="21"/>
                <w:u w:val="none"/>
                <w:lang w:val="en-US" w:eastAsia="zh-CN" w:bidi="ar"/>
              </w:rPr>
              <w:t>年加固设计</w:t>
            </w:r>
          </w:p>
        </w:tc>
        <w:tc>
          <w:tcPr>
            <w:tcW w:w="2129" w:type="dxa"/>
            <w:tcBorders>
              <w:tl2br w:val="nil"/>
              <w:tr2bl w:val="nil"/>
            </w:tcBorders>
            <w:vAlign w:val="center"/>
          </w:tcPr>
          <w:p w14:paraId="5BCCDAD6">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2129" w:type="dxa"/>
            <w:tcBorders>
              <w:tl2br w:val="nil"/>
              <w:tr2bl w:val="nil"/>
            </w:tcBorders>
            <w:vAlign w:val="center"/>
          </w:tcPr>
          <w:p w14:paraId="75C8C8E4">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0.33</w:t>
            </w:r>
          </w:p>
        </w:tc>
      </w:tr>
      <w:tr w14:paraId="10518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9" w:type="dxa"/>
            <w:tcBorders>
              <w:tl2br w:val="nil"/>
              <w:tr2bl w:val="nil"/>
            </w:tcBorders>
            <w:vAlign w:val="center"/>
          </w:tcPr>
          <w:p w14:paraId="3ECAE0DF">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2021年安全评价</w:t>
            </w:r>
          </w:p>
        </w:tc>
        <w:tc>
          <w:tcPr>
            <w:tcW w:w="2129" w:type="dxa"/>
            <w:tcBorders>
              <w:tl2br w:val="nil"/>
              <w:tr2bl w:val="nil"/>
            </w:tcBorders>
            <w:vAlign w:val="center"/>
          </w:tcPr>
          <w:p w14:paraId="10BF590B">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2129" w:type="dxa"/>
            <w:tcBorders>
              <w:tl2br w:val="nil"/>
              <w:tr2bl w:val="nil"/>
            </w:tcBorders>
            <w:vAlign w:val="center"/>
          </w:tcPr>
          <w:p w14:paraId="75550E2E">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0.33</w:t>
            </w:r>
          </w:p>
        </w:tc>
      </w:tr>
      <w:tr w14:paraId="7BCA8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9" w:type="dxa"/>
            <w:tcBorders>
              <w:tl2br w:val="nil"/>
              <w:tr2bl w:val="nil"/>
            </w:tcBorders>
            <w:vAlign w:val="center"/>
          </w:tcPr>
          <w:p w14:paraId="272B77B4">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本次加固设计</w:t>
            </w:r>
          </w:p>
        </w:tc>
        <w:tc>
          <w:tcPr>
            <w:tcW w:w="2129" w:type="dxa"/>
            <w:tcBorders>
              <w:tl2br w:val="nil"/>
              <w:tr2bl w:val="nil"/>
            </w:tcBorders>
            <w:vAlign w:val="center"/>
          </w:tcPr>
          <w:p w14:paraId="75EA3C7C">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2129" w:type="dxa"/>
            <w:tcBorders>
              <w:tl2br w:val="nil"/>
              <w:tr2bl w:val="nil"/>
            </w:tcBorders>
            <w:vAlign w:val="center"/>
          </w:tcPr>
          <w:p w14:paraId="31FE1174">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0.33</w:t>
            </w:r>
          </w:p>
        </w:tc>
      </w:tr>
    </w:tbl>
    <w:p w14:paraId="42471788">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（2）调洪运用方式</w:t>
      </w:r>
    </w:p>
    <w:p w14:paraId="600B4E3B">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根据 2022年5月9日已批复的《北汊水库防洪抢险应急预案》〔2022年15号〕调度运用方式为：为保护下游农田，北汊库水位控制在汛限水位30.5m。起调水位为30.50m，当来水小于等于下游安全泄量（下游安全泄量为10m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/s）时，水库来多少泄多少，水库维持在汛期限制水位30.5m；水库来水大于下游安全泄量时，水库仍按下游安全泄量下泄，库水位逐渐上升；当库水位大于31.15m时，敞开闸门泄洪。</w:t>
      </w:r>
    </w:p>
    <w:p w14:paraId="67F7425C">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另外考虑到北汊水库无防洪库容，因此本次加固设计增加了从正常蓄水位起调且无控泄的调洪工况。</w:t>
      </w:r>
    </w:p>
    <w:p w14:paraId="00BE8226">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初步</w:t>
      </w:r>
      <w:r>
        <w:rPr>
          <w:rFonts w:hint="default" w:ascii="Times New Roman" w:hAnsi="Times New Roman" w:eastAsia="宋体" w:cs="Times New Roman"/>
          <w:color w:val="auto"/>
          <w:spacing w:val="0"/>
          <w:w w:val="100"/>
          <w:position w:val="0"/>
          <w:sz w:val="24"/>
          <w:szCs w:val="24"/>
          <w:highlight w:val="none"/>
          <w:u w:val="none" w:color="auto"/>
          <w:lang w:val="en-US" w:eastAsia="zh-CN"/>
        </w:rPr>
        <w:t>设计洪水计算方法及采用成果</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50年一遇设计洪峰流量为170.90 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/s， 300年一遇校核洪峰流量为240.12m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/s.</w:t>
      </w:r>
    </w:p>
    <w:p w14:paraId="5E3CD757">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水库调洪演算复核成果</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调洪起调水位采用正常蓄水位30.50m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水库50年一遇设计洪水位31.31m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300年一遇校核洪水位31.38m。</w:t>
      </w:r>
    </w:p>
    <w:p w14:paraId="4D7449B3">
      <w:pPr>
        <w:pStyle w:val="4"/>
        <w:bidi w:val="0"/>
        <w:rPr>
          <w:rFonts w:hint="default" w:ascii="Times New Roman" w:hAnsi="Times New Roman" w:cs="Times New Roman"/>
          <w:u w:val="none" w:color="auto"/>
          <w:lang w:eastAsia="zh-CN"/>
        </w:rPr>
      </w:pPr>
      <w:bookmarkStart w:id="94" w:name="_Toc21788"/>
      <w:r>
        <w:rPr>
          <w:rFonts w:hint="eastAsia" w:ascii="Times New Roman" w:hAnsi="Times New Roman" w:cs="Times New Roman"/>
          <w:u w:val="none" w:color="auto"/>
          <w:lang w:eastAsia="zh-CN"/>
        </w:rPr>
        <w:t>北汊水库</w:t>
      </w:r>
      <w:r>
        <w:rPr>
          <w:rFonts w:hint="eastAsia" w:ascii="Times New Roman" w:hAnsi="Times New Roman" w:cs="Times New Roman"/>
          <w:u w:val="none" w:color="auto"/>
          <w:lang w:val="en-US" w:eastAsia="zh-CN"/>
        </w:rPr>
        <w:t>工程特性</w:t>
      </w:r>
      <w:bookmarkEnd w:id="94"/>
    </w:p>
    <w:p w14:paraId="136FFF9D">
      <w:pPr>
        <w:keepNext w:val="0"/>
        <w:keepLines w:val="0"/>
        <w:pageBreakBefore w:val="0"/>
        <w:widowControl w:val="0"/>
        <w:overflowPunct/>
        <w:autoSpaceDE/>
        <w:autoSpaceDN/>
        <w:bidi w:val="0"/>
        <w:adjustRightInd/>
        <w:snapToGrid/>
        <w:spacing w:line="360" w:lineRule="auto"/>
        <w:ind w:left="0" w:firstLine="478"/>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工程特性表见表2.1-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784034D8">
      <w:pPr>
        <w:pageBreakBefore w:val="0"/>
        <w:kinsoku w:val="0"/>
        <w:wordWrap w:val="0"/>
        <w:overflowPunct/>
        <w:topLinePunct/>
        <w:autoSpaceDE/>
        <w:autoSpaceDN/>
        <w:bidi w:val="0"/>
        <w:adjustRightInd w:val="0"/>
        <w:spacing w:line="240" w:lineRule="auto"/>
        <w:jc w:val="center"/>
        <w:rPr>
          <w:rFonts w:hint="default" w:ascii="Times New Roman" w:hAnsi="Times New Roman" w:eastAsia="宋体" w:cs="Times New Roman"/>
          <w:b/>
          <w:caps w:val="0"/>
          <w:smallCaps w:val="0"/>
          <w:color w:val="auto"/>
          <w:spacing w:val="0"/>
          <w:w w:val="100"/>
          <w:kern w:val="0"/>
          <w:position w:val="0"/>
          <w:sz w:val="24"/>
          <w:szCs w:val="24"/>
          <w:u w:val="none" w:color="auto"/>
        </w:rPr>
      </w:pPr>
      <w:r>
        <w:rPr>
          <w:rFonts w:hint="default" w:ascii="Times New Roman" w:hAnsi="Times New Roman" w:eastAsia="宋体" w:cs="Times New Roman"/>
          <w:b/>
          <w:caps w:val="0"/>
          <w:smallCaps w:val="0"/>
          <w:color w:val="auto"/>
          <w:spacing w:val="0"/>
          <w:w w:val="100"/>
          <w:kern w:val="0"/>
          <w:position w:val="0"/>
          <w:sz w:val="24"/>
          <w:szCs w:val="24"/>
          <w:u w:val="none" w:color="auto"/>
        </w:rPr>
        <w:t>表2.1-</w:t>
      </w:r>
      <w:r>
        <w:rPr>
          <w:rFonts w:hint="eastAsia" w:ascii="Times New Roman" w:hAnsi="Times New Roman" w:eastAsia="宋体" w:cs="Times New Roman"/>
          <w:b/>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b/>
          <w:caps w:val="0"/>
          <w:smallCaps w:val="0"/>
          <w:color w:val="auto"/>
          <w:spacing w:val="0"/>
          <w:w w:val="100"/>
          <w:kern w:val="0"/>
          <w:position w:val="0"/>
          <w:sz w:val="24"/>
          <w:szCs w:val="24"/>
          <w:u w:val="none" w:color="auto"/>
        </w:rPr>
        <w:t xml:space="preserve">  </w:t>
      </w:r>
      <w:r>
        <w:rPr>
          <w:rFonts w:hint="eastAsia" w:ascii="Times New Roman" w:hAnsi="Times New Roman" w:eastAsia="宋体" w:cs="Times New Roman"/>
          <w:b/>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b/>
          <w:caps w:val="0"/>
          <w:smallCaps w:val="0"/>
          <w:color w:val="auto"/>
          <w:spacing w:val="0"/>
          <w:w w:val="100"/>
          <w:kern w:val="0"/>
          <w:position w:val="0"/>
          <w:sz w:val="24"/>
          <w:szCs w:val="24"/>
          <w:u w:val="none" w:color="auto"/>
        </w:rPr>
        <w:t>工程特性表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75"/>
        <w:gridCol w:w="2511"/>
        <w:gridCol w:w="842"/>
        <w:gridCol w:w="1458"/>
        <w:gridCol w:w="1400"/>
        <w:gridCol w:w="1753"/>
        <w:gridCol w:w="543"/>
      </w:tblGrid>
      <w:tr w14:paraId="08897E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blHeader/>
          <w:jc w:val="center"/>
        </w:trPr>
        <w:tc>
          <w:tcPr>
            <w:tcW w:w="666" w:type="dxa"/>
            <w:vMerge w:val="restart"/>
            <w:tcBorders>
              <w:tl2br w:val="nil"/>
              <w:tr2bl w:val="nil"/>
            </w:tcBorders>
            <w:shd w:val="clear" w:color="auto" w:fill="auto"/>
            <w:noWrap/>
            <w:vAlign w:val="center"/>
          </w:tcPr>
          <w:p w14:paraId="751D6A6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iCs w:val="0"/>
                <w:color w:val="000000"/>
                <w:sz w:val="21"/>
                <w:szCs w:val="21"/>
                <w:u w:val="none"/>
                <w:lang w:eastAsia="zh-CN"/>
              </w:rPr>
            </w:pPr>
            <w:r>
              <w:rPr>
                <w:rFonts w:hint="default" w:ascii="Times New Roman" w:hAnsi="Times New Roman" w:eastAsia="宋体" w:cs="Times New Roman"/>
                <w:b/>
                <w:bCs/>
                <w:i w:val="0"/>
                <w:iCs w:val="0"/>
                <w:color w:val="000000"/>
                <w:sz w:val="21"/>
                <w:szCs w:val="21"/>
                <w:u w:val="none"/>
                <w:lang w:eastAsia="zh-CN"/>
              </w:rPr>
              <w:t>序号</w:t>
            </w:r>
          </w:p>
        </w:tc>
        <w:tc>
          <w:tcPr>
            <w:tcW w:w="2530" w:type="dxa"/>
            <w:vMerge w:val="restart"/>
            <w:tcBorders>
              <w:tl2br w:val="nil"/>
              <w:tr2bl w:val="nil"/>
            </w:tcBorders>
            <w:shd w:val="clear" w:color="auto" w:fill="auto"/>
            <w:noWrap/>
            <w:vAlign w:val="center"/>
          </w:tcPr>
          <w:p w14:paraId="3D816CB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名称</w:t>
            </w:r>
          </w:p>
        </w:tc>
        <w:tc>
          <w:tcPr>
            <w:tcW w:w="835" w:type="dxa"/>
            <w:vMerge w:val="restart"/>
            <w:tcBorders>
              <w:tl2br w:val="nil"/>
              <w:tr2bl w:val="nil"/>
            </w:tcBorders>
            <w:shd w:val="clear" w:color="auto" w:fill="auto"/>
            <w:noWrap/>
            <w:vAlign w:val="center"/>
          </w:tcPr>
          <w:p w14:paraId="24A0D66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4621" w:type="dxa"/>
            <w:gridSpan w:val="3"/>
            <w:tcBorders>
              <w:tl2br w:val="nil"/>
              <w:tr2bl w:val="nil"/>
            </w:tcBorders>
            <w:shd w:val="clear" w:color="auto" w:fill="auto"/>
            <w:noWrap/>
            <w:vAlign w:val="center"/>
          </w:tcPr>
          <w:p w14:paraId="46D785F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特性</w:t>
            </w:r>
          </w:p>
        </w:tc>
        <w:tc>
          <w:tcPr>
            <w:tcW w:w="531" w:type="dxa"/>
            <w:vMerge w:val="restart"/>
            <w:tcBorders>
              <w:tl2br w:val="nil"/>
              <w:tr2bl w:val="nil"/>
            </w:tcBorders>
            <w:shd w:val="clear" w:color="auto" w:fill="auto"/>
            <w:noWrap/>
            <w:vAlign w:val="center"/>
          </w:tcPr>
          <w:p w14:paraId="37F0B5F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14:paraId="4D16A0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666" w:type="dxa"/>
            <w:vMerge w:val="continue"/>
            <w:tcBorders>
              <w:tl2br w:val="nil"/>
              <w:tr2bl w:val="nil"/>
            </w:tcBorders>
            <w:shd w:val="clear" w:color="auto" w:fill="auto"/>
            <w:noWrap/>
            <w:vAlign w:val="center"/>
          </w:tcPr>
          <w:p w14:paraId="204254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2530" w:type="dxa"/>
            <w:vMerge w:val="continue"/>
            <w:tcBorders>
              <w:tl2br w:val="nil"/>
              <w:tr2bl w:val="nil"/>
            </w:tcBorders>
            <w:shd w:val="clear" w:color="auto" w:fill="auto"/>
            <w:noWrap/>
            <w:vAlign w:val="center"/>
          </w:tcPr>
          <w:p w14:paraId="6B173C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835" w:type="dxa"/>
            <w:vMerge w:val="continue"/>
            <w:tcBorders>
              <w:tl2br w:val="nil"/>
              <w:tr2bl w:val="nil"/>
            </w:tcBorders>
            <w:shd w:val="clear" w:color="auto" w:fill="auto"/>
            <w:noWrap/>
            <w:vAlign w:val="center"/>
          </w:tcPr>
          <w:p w14:paraId="4E0970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460" w:type="dxa"/>
            <w:tcBorders>
              <w:tl2br w:val="nil"/>
              <w:tr2bl w:val="nil"/>
            </w:tcBorders>
            <w:shd w:val="clear" w:color="auto" w:fill="auto"/>
            <w:noWrap/>
            <w:vAlign w:val="center"/>
          </w:tcPr>
          <w:p w14:paraId="7AEB94B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2002年除险加固初设</w:t>
            </w:r>
          </w:p>
        </w:tc>
        <w:tc>
          <w:tcPr>
            <w:tcW w:w="1401" w:type="dxa"/>
            <w:tcBorders>
              <w:tl2br w:val="nil"/>
              <w:tr2bl w:val="nil"/>
            </w:tcBorders>
            <w:shd w:val="clear" w:color="auto" w:fill="auto"/>
            <w:noWrap/>
            <w:vAlign w:val="center"/>
          </w:tcPr>
          <w:p w14:paraId="6E52F62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2021年</w:t>
            </w:r>
          </w:p>
          <w:p w14:paraId="2F8406C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安全评价</w:t>
            </w:r>
          </w:p>
        </w:tc>
        <w:tc>
          <w:tcPr>
            <w:tcW w:w="1760" w:type="dxa"/>
            <w:tcBorders>
              <w:tl2br w:val="nil"/>
              <w:tr2bl w:val="nil"/>
            </w:tcBorders>
            <w:shd w:val="clear" w:color="auto" w:fill="auto"/>
            <w:noWrap/>
            <w:vAlign w:val="center"/>
          </w:tcPr>
          <w:p w14:paraId="44AD23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本次除险加固后</w:t>
            </w:r>
          </w:p>
        </w:tc>
        <w:tc>
          <w:tcPr>
            <w:tcW w:w="531" w:type="dxa"/>
            <w:vMerge w:val="continue"/>
            <w:tcBorders>
              <w:tl2br w:val="nil"/>
              <w:tr2bl w:val="nil"/>
            </w:tcBorders>
            <w:shd w:val="clear" w:color="auto" w:fill="auto"/>
            <w:noWrap/>
            <w:vAlign w:val="center"/>
          </w:tcPr>
          <w:p w14:paraId="58BD54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45A68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A60114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w:t>
            </w:r>
          </w:p>
        </w:tc>
        <w:tc>
          <w:tcPr>
            <w:tcW w:w="2530" w:type="dxa"/>
            <w:tcBorders>
              <w:tl2br w:val="nil"/>
              <w:tr2bl w:val="nil"/>
            </w:tcBorders>
            <w:shd w:val="clear" w:color="auto" w:fill="auto"/>
            <w:noWrap/>
            <w:vAlign w:val="center"/>
          </w:tcPr>
          <w:p w14:paraId="0AEB3EC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水文</w:t>
            </w:r>
          </w:p>
        </w:tc>
        <w:tc>
          <w:tcPr>
            <w:tcW w:w="835" w:type="dxa"/>
            <w:tcBorders>
              <w:tl2br w:val="nil"/>
              <w:tr2bl w:val="nil"/>
            </w:tcBorders>
            <w:shd w:val="clear" w:color="auto" w:fill="auto"/>
            <w:noWrap/>
            <w:vAlign w:val="center"/>
          </w:tcPr>
          <w:p w14:paraId="468B29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03DF33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680A34F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26C1F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3BD860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6EA05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495C0F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530" w:type="dxa"/>
            <w:tcBorders>
              <w:tl2br w:val="nil"/>
              <w:tr2bl w:val="nil"/>
            </w:tcBorders>
            <w:shd w:val="clear" w:color="auto" w:fill="auto"/>
            <w:noWrap/>
            <w:vAlign w:val="center"/>
          </w:tcPr>
          <w:p w14:paraId="1CDEA51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流城</w:t>
            </w:r>
          </w:p>
        </w:tc>
        <w:tc>
          <w:tcPr>
            <w:tcW w:w="835" w:type="dxa"/>
            <w:tcBorders>
              <w:tl2br w:val="nil"/>
              <w:tr2bl w:val="nil"/>
            </w:tcBorders>
            <w:shd w:val="clear" w:color="auto" w:fill="auto"/>
            <w:noWrap/>
            <w:vAlign w:val="center"/>
          </w:tcPr>
          <w:p w14:paraId="78268A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7ED0B2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3460906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7A6A53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75CD6E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25282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BF8E3E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10CB21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坝址以上集雨面积</w:t>
            </w:r>
          </w:p>
        </w:tc>
        <w:tc>
          <w:tcPr>
            <w:tcW w:w="835" w:type="dxa"/>
            <w:tcBorders>
              <w:tl2br w:val="nil"/>
              <w:tr2bl w:val="nil"/>
            </w:tcBorders>
            <w:shd w:val="clear" w:color="auto" w:fill="auto"/>
            <w:noWrap/>
            <w:vAlign w:val="center"/>
          </w:tcPr>
          <w:p w14:paraId="793FAF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km²</w:t>
            </w:r>
          </w:p>
        </w:tc>
        <w:tc>
          <w:tcPr>
            <w:tcW w:w="1460" w:type="dxa"/>
            <w:tcBorders>
              <w:tl2br w:val="nil"/>
              <w:tr2bl w:val="nil"/>
            </w:tcBorders>
            <w:shd w:val="clear" w:color="auto" w:fill="auto"/>
            <w:noWrap/>
            <w:vAlign w:val="center"/>
          </w:tcPr>
          <w:p w14:paraId="041138C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401" w:type="dxa"/>
            <w:tcBorders>
              <w:tl2br w:val="nil"/>
              <w:tr2bl w:val="nil"/>
            </w:tcBorders>
            <w:shd w:val="clear" w:color="auto" w:fill="auto"/>
            <w:noWrap/>
            <w:vAlign w:val="center"/>
          </w:tcPr>
          <w:p w14:paraId="1664F60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760" w:type="dxa"/>
            <w:tcBorders>
              <w:tl2br w:val="nil"/>
              <w:tr2bl w:val="nil"/>
            </w:tcBorders>
            <w:shd w:val="clear" w:color="auto" w:fill="auto"/>
            <w:noWrap/>
            <w:vAlign w:val="center"/>
          </w:tcPr>
          <w:p w14:paraId="25A144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531" w:type="dxa"/>
            <w:tcBorders>
              <w:tl2br w:val="nil"/>
              <w:tr2bl w:val="nil"/>
            </w:tcBorders>
            <w:shd w:val="clear" w:color="auto" w:fill="auto"/>
            <w:noWrap/>
            <w:vAlign w:val="center"/>
          </w:tcPr>
          <w:p w14:paraId="172B16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CC658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D09C4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1BA83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干流长度</w:t>
            </w:r>
          </w:p>
        </w:tc>
        <w:tc>
          <w:tcPr>
            <w:tcW w:w="835" w:type="dxa"/>
            <w:tcBorders>
              <w:tl2br w:val="nil"/>
              <w:tr2bl w:val="nil"/>
            </w:tcBorders>
            <w:shd w:val="clear" w:color="auto" w:fill="auto"/>
            <w:noWrap/>
            <w:vAlign w:val="center"/>
          </w:tcPr>
          <w:p w14:paraId="30FCFA7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km</w:t>
            </w:r>
          </w:p>
        </w:tc>
        <w:tc>
          <w:tcPr>
            <w:tcW w:w="1460" w:type="dxa"/>
            <w:tcBorders>
              <w:tl2br w:val="nil"/>
              <w:tr2bl w:val="nil"/>
            </w:tcBorders>
            <w:shd w:val="clear" w:color="auto" w:fill="auto"/>
            <w:noWrap/>
            <w:vAlign w:val="center"/>
          </w:tcPr>
          <w:p w14:paraId="3DAC226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401" w:type="dxa"/>
            <w:tcBorders>
              <w:tl2br w:val="nil"/>
              <w:tr2bl w:val="nil"/>
            </w:tcBorders>
            <w:shd w:val="clear" w:color="auto" w:fill="auto"/>
            <w:noWrap/>
            <w:vAlign w:val="center"/>
          </w:tcPr>
          <w:p w14:paraId="34FA3D2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760" w:type="dxa"/>
            <w:tcBorders>
              <w:tl2br w:val="nil"/>
              <w:tr2bl w:val="nil"/>
            </w:tcBorders>
            <w:shd w:val="clear" w:color="auto" w:fill="auto"/>
            <w:noWrap/>
            <w:vAlign w:val="center"/>
          </w:tcPr>
          <w:p w14:paraId="0334D2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531" w:type="dxa"/>
            <w:tcBorders>
              <w:tl2br w:val="nil"/>
              <w:tr2bl w:val="nil"/>
            </w:tcBorders>
            <w:shd w:val="clear" w:color="auto" w:fill="auto"/>
            <w:noWrap/>
            <w:vAlign w:val="center"/>
          </w:tcPr>
          <w:p w14:paraId="5316B2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4A155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27959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B72D5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干流平均坡降</w:t>
            </w:r>
          </w:p>
        </w:tc>
        <w:tc>
          <w:tcPr>
            <w:tcW w:w="835" w:type="dxa"/>
            <w:tcBorders>
              <w:tl2br w:val="nil"/>
              <w:tr2bl w:val="nil"/>
            </w:tcBorders>
            <w:shd w:val="clear" w:color="auto" w:fill="auto"/>
            <w:noWrap/>
            <w:vAlign w:val="center"/>
          </w:tcPr>
          <w:p w14:paraId="167F2E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60" w:type="dxa"/>
            <w:tcBorders>
              <w:tl2br w:val="nil"/>
              <w:tr2bl w:val="nil"/>
            </w:tcBorders>
            <w:shd w:val="clear" w:color="auto" w:fill="auto"/>
            <w:noWrap/>
            <w:vAlign w:val="center"/>
          </w:tcPr>
          <w:p w14:paraId="48A914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401" w:type="dxa"/>
            <w:tcBorders>
              <w:tl2br w:val="nil"/>
              <w:tr2bl w:val="nil"/>
            </w:tcBorders>
            <w:shd w:val="clear" w:color="auto" w:fill="auto"/>
            <w:noWrap/>
            <w:vAlign w:val="center"/>
          </w:tcPr>
          <w:p w14:paraId="6D16BF1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760" w:type="dxa"/>
            <w:tcBorders>
              <w:tl2br w:val="nil"/>
              <w:tr2bl w:val="nil"/>
            </w:tcBorders>
            <w:shd w:val="clear" w:color="auto" w:fill="auto"/>
            <w:noWrap/>
            <w:vAlign w:val="center"/>
          </w:tcPr>
          <w:p w14:paraId="69765F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531" w:type="dxa"/>
            <w:tcBorders>
              <w:tl2br w:val="nil"/>
              <w:tr2bl w:val="nil"/>
            </w:tcBorders>
            <w:shd w:val="clear" w:color="auto" w:fill="auto"/>
            <w:noWrap/>
            <w:vAlign w:val="center"/>
          </w:tcPr>
          <w:p w14:paraId="61FA444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FB1D3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F37E8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530" w:type="dxa"/>
            <w:tcBorders>
              <w:tl2br w:val="nil"/>
              <w:tr2bl w:val="nil"/>
            </w:tcBorders>
            <w:shd w:val="clear" w:color="auto" w:fill="auto"/>
            <w:noWrap/>
            <w:vAlign w:val="center"/>
          </w:tcPr>
          <w:p w14:paraId="06201E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多年平均降雨量</w:t>
            </w:r>
          </w:p>
        </w:tc>
        <w:tc>
          <w:tcPr>
            <w:tcW w:w="835" w:type="dxa"/>
            <w:tcBorders>
              <w:tl2br w:val="nil"/>
              <w:tr2bl w:val="nil"/>
            </w:tcBorders>
            <w:shd w:val="clear" w:color="auto" w:fill="auto"/>
            <w:noWrap/>
            <w:vAlign w:val="center"/>
          </w:tcPr>
          <w:p w14:paraId="34DD648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mm</w:t>
            </w:r>
          </w:p>
        </w:tc>
        <w:tc>
          <w:tcPr>
            <w:tcW w:w="1460" w:type="dxa"/>
            <w:tcBorders>
              <w:tl2br w:val="nil"/>
              <w:tr2bl w:val="nil"/>
            </w:tcBorders>
            <w:shd w:val="clear" w:color="auto" w:fill="auto"/>
            <w:noWrap/>
            <w:vAlign w:val="center"/>
          </w:tcPr>
          <w:p w14:paraId="18CB89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1226</w:t>
            </w:r>
          </w:p>
        </w:tc>
        <w:tc>
          <w:tcPr>
            <w:tcW w:w="1401" w:type="dxa"/>
            <w:tcBorders>
              <w:tl2br w:val="nil"/>
              <w:tr2bl w:val="nil"/>
            </w:tcBorders>
            <w:shd w:val="clear" w:color="auto" w:fill="auto"/>
            <w:noWrap/>
            <w:vAlign w:val="center"/>
          </w:tcPr>
          <w:p w14:paraId="0A3A2A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1264</w:t>
            </w:r>
          </w:p>
        </w:tc>
        <w:tc>
          <w:tcPr>
            <w:tcW w:w="1760" w:type="dxa"/>
            <w:tcBorders>
              <w:tl2br w:val="nil"/>
              <w:tr2bl w:val="nil"/>
            </w:tcBorders>
            <w:shd w:val="clear" w:color="auto" w:fill="auto"/>
            <w:noWrap/>
            <w:vAlign w:val="center"/>
          </w:tcPr>
          <w:p w14:paraId="5A16375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1264</w:t>
            </w:r>
          </w:p>
        </w:tc>
        <w:tc>
          <w:tcPr>
            <w:tcW w:w="531" w:type="dxa"/>
            <w:tcBorders>
              <w:tl2br w:val="nil"/>
              <w:tr2bl w:val="nil"/>
            </w:tcBorders>
            <w:shd w:val="clear" w:color="auto" w:fill="auto"/>
            <w:noWrap/>
            <w:vAlign w:val="center"/>
          </w:tcPr>
          <w:p w14:paraId="624637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0EC60C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C0DC7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F3E13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利用的水文系列年限</w:t>
            </w:r>
          </w:p>
        </w:tc>
        <w:tc>
          <w:tcPr>
            <w:tcW w:w="835" w:type="dxa"/>
            <w:tcBorders>
              <w:tl2br w:val="nil"/>
              <w:tr2bl w:val="nil"/>
            </w:tcBorders>
            <w:shd w:val="clear" w:color="auto" w:fill="auto"/>
            <w:noWrap/>
            <w:vAlign w:val="center"/>
          </w:tcPr>
          <w:p w14:paraId="59BF4E3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年</w:t>
            </w:r>
          </w:p>
        </w:tc>
        <w:tc>
          <w:tcPr>
            <w:tcW w:w="1460" w:type="dxa"/>
            <w:tcBorders>
              <w:tl2br w:val="nil"/>
              <w:tr2bl w:val="nil"/>
            </w:tcBorders>
            <w:shd w:val="clear" w:color="auto" w:fill="auto"/>
            <w:noWrap/>
            <w:vAlign w:val="center"/>
          </w:tcPr>
          <w:p w14:paraId="16A93B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72695DF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760" w:type="dxa"/>
            <w:tcBorders>
              <w:tl2br w:val="nil"/>
              <w:tr2bl w:val="nil"/>
            </w:tcBorders>
            <w:shd w:val="clear" w:color="auto" w:fill="auto"/>
            <w:noWrap/>
            <w:vAlign w:val="center"/>
          </w:tcPr>
          <w:p w14:paraId="6F7066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31" w:type="dxa"/>
            <w:tcBorders>
              <w:tl2br w:val="nil"/>
              <w:tr2bl w:val="nil"/>
            </w:tcBorders>
            <w:shd w:val="clear" w:color="auto" w:fill="auto"/>
            <w:noWrap/>
            <w:vAlign w:val="center"/>
          </w:tcPr>
          <w:p w14:paraId="2FA287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9EAF2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A03CD7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2530" w:type="dxa"/>
            <w:tcBorders>
              <w:tl2br w:val="nil"/>
              <w:tr2bl w:val="nil"/>
            </w:tcBorders>
            <w:shd w:val="clear" w:color="auto" w:fill="auto"/>
            <w:noWrap/>
            <w:vAlign w:val="center"/>
          </w:tcPr>
          <w:p w14:paraId="270AA0F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洪水标准</w:t>
            </w:r>
          </w:p>
        </w:tc>
        <w:tc>
          <w:tcPr>
            <w:tcW w:w="835" w:type="dxa"/>
            <w:tcBorders>
              <w:tl2br w:val="nil"/>
              <w:tr2bl w:val="nil"/>
            </w:tcBorders>
            <w:shd w:val="clear" w:color="auto" w:fill="auto"/>
            <w:noWrap/>
            <w:vAlign w:val="center"/>
          </w:tcPr>
          <w:p w14:paraId="4ED61E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11DEC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110A51E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3FC875A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6AD2D7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ECF43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8A2F34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A683B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设计洪水重现期</w:t>
            </w:r>
          </w:p>
        </w:tc>
        <w:tc>
          <w:tcPr>
            <w:tcW w:w="835" w:type="dxa"/>
            <w:tcBorders>
              <w:tl2br w:val="nil"/>
              <w:tr2bl w:val="nil"/>
            </w:tcBorders>
            <w:shd w:val="clear" w:color="auto" w:fill="auto"/>
            <w:noWrap/>
            <w:vAlign w:val="center"/>
          </w:tcPr>
          <w:p w14:paraId="2992BCE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60" w:type="dxa"/>
            <w:tcBorders>
              <w:tl2br w:val="nil"/>
              <w:tr2bl w:val="nil"/>
            </w:tcBorders>
            <w:shd w:val="clear" w:color="auto" w:fill="auto"/>
            <w:noWrap/>
            <w:vAlign w:val="center"/>
          </w:tcPr>
          <w:p w14:paraId="4A6570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01" w:type="dxa"/>
            <w:tcBorders>
              <w:tl2br w:val="nil"/>
              <w:tr2bl w:val="nil"/>
            </w:tcBorders>
            <w:shd w:val="clear" w:color="auto" w:fill="auto"/>
            <w:noWrap/>
            <w:vAlign w:val="center"/>
          </w:tcPr>
          <w:p w14:paraId="380890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760" w:type="dxa"/>
            <w:tcBorders>
              <w:tl2br w:val="nil"/>
              <w:tr2bl w:val="nil"/>
            </w:tcBorders>
            <w:shd w:val="clear" w:color="auto" w:fill="auto"/>
            <w:noWrap/>
            <w:vAlign w:val="center"/>
          </w:tcPr>
          <w:p w14:paraId="0E8B94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31" w:type="dxa"/>
            <w:tcBorders>
              <w:tl2br w:val="nil"/>
              <w:tr2bl w:val="nil"/>
            </w:tcBorders>
            <w:shd w:val="clear" w:color="auto" w:fill="auto"/>
            <w:noWrap/>
            <w:vAlign w:val="center"/>
          </w:tcPr>
          <w:p w14:paraId="56F61C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1EBC3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15521A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B23B8A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校核洪水重现期</w:t>
            </w:r>
          </w:p>
        </w:tc>
        <w:tc>
          <w:tcPr>
            <w:tcW w:w="835" w:type="dxa"/>
            <w:tcBorders>
              <w:tl2br w:val="nil"/>
              <w:tr2bl w:val="nil"/>
            </w:tcBorders>
            <w:shd w:val="clear" w:color="auto" w:fill="auto"/>
            <w:noWrap/>
            <w:vAlign w:val="center"/>
          </w:tcPr>
          <w:p w14:paraId="001DD2A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60" w:type="dxa"/>
            <w:tcBorders>
              <w:tl2br w:val="nil"/>
              <w:tr2bl w:val="nil"/>
            </w:tcBorders>
            <w:shd w:val="clear" w:color="auto" w:fill="auto"/>
            <w:noWrap/>
            <w:vAlign w:val="center"/>
          </w:tcPr>
          <w:p w14:paraId="54AE18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1401" w:type="dxa"/>
            <w:tcBorders>
              <w:tl2br w:val="nil"/>
              <w:tr2bl w:val="nil"/>
            </w:tcBorders>
            <w:shd w:val="clear" w:color="auto" w:fill="auto"/>
            <w:noWrap/>
            <w:vAlign w:val="center"/>
          </w:tcPr>
          <w:p w14:paraId="7FCEE17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1760" w:type="dxa"/>
            <w:tcBorders>
              <w:tl2br w:val="nil"/>
              <w:tr2bl w:val="nil"/>
            </w:tcBorders>
            <w:shd w:val="clear" w:color="auto" w:fill="auto"/>
            <w:noWrap/>
            <w:vAlign w:val="center"/>
          </w:tcPr>
          <w:p w14:paraId="45A6DAB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531" w:type="dxa"/>
            <w:tcBorders>
              <w:tl2br w:val="nil"/>
              <w:tr2bl w:val="nil"/>
            </w:tcBorders>
            <w:shd w:val="clear" w:color="auto" w:fill="auto"/>
            <w:noWrap/>
            <w:vAlign w:val="center"/>
          </w:tcPr>
          <w:p w14:paraId="0E4707D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7BEB3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69A968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2530" w:type="dxa"/>
            <w:tcBorders>
              <w:tl2br w:val="nil"/>
              <w:tr2bl w:val="nil"/>
            </w:tcBorders>
            <w:shd w:val="clear" w:color="auto" w:fill="auto"/>
            <w:noWrap/>
            <w:vAlign w:val="center"/>
          </w:tcPr>
          <w:p w14:paraId="1FC2A58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代表性流量</w:t>
            </w:r>
          </w:p>
        </w:tc>
        <w:tc>
          <w:tcPr>
            <w:tcW w:w="835" w:type="dxa"/>
            <w:tcBorders>
              <w:tl2br w:val="nil"/>
              <w:tr2bl w:val="nil"/>
            </w:tcBorders>
            <w:shd w:val="clear" w:color="auto" w:fill="auto"/>
            <w:noWrap/>
            <w:vAlign w:val="center"/>
          </w:tcPr>
          <w:p w14:paraId="2546751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5080A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5E9C7A2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46D13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3ABAEC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D0799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9A457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87B0E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设计洪峰流量</w:t>
            </w:r>
          </w:p>
        </w:tc>
        <w:tc>
          <w:tcPr>
            <w:tcW w:w="835" w:type="dxa"/>
            <w:tcBorders>
              <w:tl2br w:val="nil"/>
              <w:tr2bl w:val="nil"/>
            </w:tcBorders>
            <w:shd w:val="clear" w:color="auto" w:fill="auto"/>
            <w:noWrap/>
            <w:vAlign w:val="center"/>
          </w:tcPr>
          <w:p w14:paraId="2E64994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/s</w:t>
            </w:r>
          </w:p>
        </w:tc>
        <w:tc>
          <w:tcPr>
            <w:tcW w:w="1460" w:type="dxa"/>
            <w:tcBorders>
              <w:tl2br w:val="nil"/>
              <w:tr2bl w:val="nil"/>
            </w:tcBorders>
            <w:shd w:val="clear" w:color="auto" w:fill="auto"/>
            <w:noWrap/>
            <w:vAlign w:val="center"/>
          </w:tcPr>
          <w:p w14:paraId="6C844B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1401" w:type="dxa"/>
            <w:tcBorders>
              <w:tl2br w:val="nil"/>
              <w:tr2bl w:val="nil"/>
            </w:tcBorders>
            <w:shd w:val="clear" w:color="auto" w:fill="auto"/>
            <w:noWrap/>
            <w:vAlign w:val="center"/>
          </w:tcPr>
          <w:p w14:paraId="5F6815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153.16</w:t>
            </w:r>
          </w:p>
        </w:tc>
        <w:tc>
          <w:tcPr>
            <w:tcW w:w="1760" w:type="dxa"/>
            <w:tcBorders>
              <w:tl2br w:val="nil"/>
              <w:tr2bl w:val="nil"/>
            </w:tcBorders>
            <w:shd w:val="clear" w:color="auto" w:fill="auto"/>
            <w:noWrap/>
            <w:vAlign w:val="center"/>
          </w:tcPr>
          <w:p w14:paraId="44CF86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153.16</w:t>
            </w:r>
          </w:p>
        </w:tc>
        <w:tc>
          <w:tcPr>
            <w:tcW w:w="531" w:type="dxa"/>
            <w:tcBorders>
              <w:tl2br w:val="nil"/>
              <w:tr2bl w:val="nil"/>
            </w:tcBorders>
            <w:shd w:val="clear" w:color="auto" w:fill="auto"/>
            <w:noWrap/>
            <w:vAlign w:val="center"/>
          </w:tcPr>
          <w:p w14:paraId="51648C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EF8D7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171D12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634E86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校核洪峰流量</w:t>
            </w:r>
          </w:p>
        </w:tc>
        <w:tc>
          <w:tcPr>
            <w:tcW w:w="835" w:type="dxa"/>
            <w:tcBorders>
              <w:tl2br w:val="nil"/>
              <w:tr2bl w:val="nil"/>
            </w:tcBorders>
            <w:shd w:val="clear" w:color="auto" w:fill="auto"/>
            <w:noWrap/>
            <w:vAlign w:val="center"/>
          </w:tcPr>
          <w:p w14:paraId="63AE53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m²/s</w:t>
            </w:r>
          </w:p>
        </w:tc>
        <w:tc>
          <w:tcPr>
            <w:tcW w:w="1460" w:type="dxa"/>
            <w:tcBorders>
              <w:tl2br w:val="nil"/>
              <w:tr2bl w:val="nil"/>
            </w:tcBorders>
            <w:shd w:val="clear" w:color="auto" w:fill="auto"/>
            <w:noWrap/>
            <w:vAlign w:val="center"/>
          </w:tcPr>
          <w:p w14:paraId="6EB596E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210.29</w:t>
            </w:r>
          </w:p>
        </w:tc>
        <w:tc>
          <w:tcPr>
            <w:tcW w:w="1401" w:type="dxa"/>
            <w:tcBorders>
              <w:tl2br w:val="nil"/>
              <w:tr2bl w:val="nil"/>
            </w:tcBorders>
            <w:shd w:val="clear" w:color="auto" w:fill="auto"/>
            <w:noWrap/>
            <w:vAlign w:val="center"/>
          </w:tcPr>
          <w:p w14:paraId="1C0260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210.29</w:t>
            </w:r>
          </w:p>
        </w:tc>
        <w:tc>
          <w:tcPr>
            <w:tcW w:w="1760" w:type="dxa"/>
            <w:tcBorders>
              <w:tl2br w:val="nil"/>
              <w:tr2bl w:val="nil"/>
            </w:tcBorders>
            <w:shd w:val="clear" w:color="auto" w:fill="auto"/>
            <w:noWrap/>
            <w:vAlign w:val="center"/>
          </w:tcPr>
          <w:p w14:paraId="492FEB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210.29</w:t>
            </w:r>
          </w:p>
        </w:tc>
        <w:tc>
          <w:tcPr>
            <w:tcW w:w="531" w:type="dxa"/>
            <w:tcBorders>
              <w:tl2br w:val="nil"/>
              <w:tr2bl w:val="nil"/>
            </w:tcBorders>
            <w:shd w:val="clear" w:color="auto" w:fill="auto"/>
            <w:noWrap/>
            <w:vAlign w:val="center"/>
          </w:tcPr>
          <w:p w14:paraId="2BDE21A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76FAD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11EEBF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w:t>
            </w:r>
          </w:p>
        </w:tc>
        <w:tc>
          <w:tcPr>
            <w:tcW w:w="2530" w:type="dxa"/>
            <w:tcBorders>
              <w:tl2br w:val="nil"/>
              <w:tr2bl w:val="nil"/>
            </w:tcBorders>
            <w:shd w:val="clear" w:color="auto" w:fill="auto"/>
            <w:noWrap/>
            <w:vAlign w:val="center"/>
          </w:tcPr>
          <w:p w14:paraId="71E8F7D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水库</w:t>
            </w:r>
          </w:p>
        </w:tc>
        <w:tc>
          <w:tcPr>
            <w:tcW w:w="835" w:type="dxa"/>
            <w:tcBorders>
              <w:tl2br w:val="nil"/>
              <w:tr2bl w:val="nil"/>
            </w:tcBorders>
            <w:shd w:val="clear" w:color="auto" w:fill="auto"/>
            <w:noWrap/>
            <w:vAlign w:val="center"/>
          </w:tcPr>
          <w:p w14:paraId="436F4E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54EB9A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5A96C0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00A42A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04B6F41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C0719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3915C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5C191D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校核洪水位</w:t>
            </w:r>
          </w:p>
        </w:tc>
        <w:tc>
          <w:tcPr>
            <w:tcW w:w="835" w:type="dxa"/>
            <w:tcBorders>
              <w:tl2br w:val="nil"/>
              <w:tr2bl w:val="nil"/>
            </w:tcBorders>
            <w:shd w:val="clear" w:color="auto" w:fill="auto"/>
            <w:noWrap/>
            <w:vAlign w:val="center"/>
          </w:tcPr>
          <w:p w14:paraId="068B2DD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39E74D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31.38</w:t>
            </w:r>
          </w:p>
        </w:tc>
        <w:tc>
          <w:tcPr>
            <w:tcW w:w="1401" w:type="dxa"/>
            <w:tcBorders>
              <w:tl2br w:val="nil"/>
              <w:tr2bl w:val="nil"/>
            </w:tcBorders>
            <w:shd w:val="clear" w:color="auto" w:fill="auto"/>
            <w:noWrap/>
            <w:vAlign w:val="center"/>
          </w:tcPr>
          <w:p w14:paraId="6DBD80A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31.38</w:t>
            </w:r>
          </w:p>
        </w:tc>
        <w:tc>
          <w:tcPr>
            <w:tcW w:w="1760" w:type="dxa"/>
            <w:tcBorders>
              <w:tl2br w:val="nil"/>
              <w:tr2bl w:val="nil"/>
            </w:tcBorders>
            <w:shd w:val="clear" w:color="auto" w:fill="auto"/>
            <w:noWrap/>
            <w:vAlign w:val="center"/>
          </w:tcPr>
          <w:p w14:paraId="162C6B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31.38</w:t>
            </w:r>
          </w:p>
        </w:tc>
        <w:tc>
          <w:tcPr>
            <w:tcW w:w="531" w:type="dxa"/>
            <w:tcBorders>
              <w:tl2br w:val="nil"/>
              <w:tr2bl w:val="nil"/>
            </w:tcBorders>
            <w:shd w:val="clear" w:color="auto" w:fill="auto"/>
            <w:noWrap/>
            <w:vAlign w:val="center"/>
          </w:tcPr>
          <w:p w14:paraId="3E828C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7EF6D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8F7EA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3476B6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设计洪水位</w:t>
            </w:r>
          </w:p>
        </w:tc>
        <w:tc>
          <w:tcPr>
            <w:tcW w:w="835" w:type="dxa"/>
            <w:tcBorders>
              <w:tl2br w:val="nil"/>
              <w:tr2bl w:val="nil"/>
            </w:tcBorders>
            <w:shd w:val="clear" w:color="auto" w:fill="auto"/>
            <w:noWrap/>
            <w:vAlign w:val="center"/>
          </w:tcPr>
          <w:p w14:paraId="4C9AB92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A4983D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31.31</w:t>
            </w:r>
          </w:p>
        </w:tc>
        <w:tc>
          <w:tcPr>
            <w:tcW w:w="1401" w:type="dxa"/>
            <w:tcBorders>
              <w:tl2br w:val="nil"/>
              <w:tr2bl w:val="nil"/>
            </w:tcBorders>
            <w:shd w:val="clear" w:color="auto" w:fill="auto"/>
            <w:noWrap/>
            <w:vAlign w:val="center"/>
          </w:tcPr>
          <w:p w14:paraId="0213DCA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31.31</w:t>
            </w:r>
          </w:p>
        </w:tc>
        <w:tc>
          <w:tcPr>
            <w:tcW w:w="1760" w:type="dxa"/>
            <w:tcBorders>
              <w:tl2br w:val="nil"/>
              <w:tr2bl w:val="nil"/>
            </w:tcBorders>
            <w:shd w:val="clear" w:color="auto" w:fill="auto"/>
            <w:noWrap/>
            <w:vAlign w:val="center"/>
          </w:tcPr>
          <w:p w14:paraId="3E582F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31.31</w:t>
            </w:r>
          </w:p>
        </w:tc>
        <w:tc>
          <w:tcPr>
            <w:tcW w:w="531" w:type="dxa"/>
            <w:tcBorders>
              <w:tl2br w:val="nil"/>
              <w:tr2bl w:val="nil"/>
            </w:tcBorders>
            <w:shd w:val="clear" w:color="auto" w:fill="auto"/>
            <w:noWrap/>
            <w:vAlign w:val="center"/>
          </w:tcPr>
          <w:p w14:paraId="4CD811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F5266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F14AB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70E82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正常蓄水位</w:t>
            </w:r>
          </w:p>
        </w:tc>
        <w:tc>
          <w:tcPr>
            <w:tcW w:w="835" w:type="dxa"/>
            <w:tcBorders>
              <w:tl2br w:val="nil"/>
              <w:tr2bl w:val="nil"/>
            </w:tcBorders>
            <w:shd w:val="clear" w:color="auto" w:fill="auto"/>
            <w:noWrap/>
            <w:vAlign w:val="center"/>
          </w:tcPr>
          <w:p w14:paraId="501500D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5FBEAA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1401" w:type="dxa"/>
            <w:tcBorders>
              <w:tl2br w:val="nil"/>
              <w:tr2bl w:val="nil"/>
            </w:tcBorders>
            <w:shd w:val="clear" w:color="auto" w:fill="auto"/>
            <w:noWrap/>
            <w:vAlign w:val="center"/>
          </w:tcPr>
          <w:p w14:paraId="50D837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1760" w:type="dxa"/>
            <w:tcBorders>
              <w:tl2br w:val="nil"/>
              <w:tr2bl w:val="nil"/>
            </w:tcBorders>
            <w:shd w:val="clear" w:color="auto" w:fill="auto"/>
            <w:noWrap/>
            <w:vAlign w:val="center"/>
          </w:tcPr>
          <w:p w14:paraId="167920D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531" w:type="dxa"/>
            <w:tcBorders>
              <w:tl2br w:val="nil"/>
              <w:tr2bl w:val="nil"/>
            </w:tcBorders>
            <w:shd w:val="clear" w:color="auto" w:fill="auto"/>
            <w:noWrap/>
            <w:vAlign w:val="center"/>
          </w:tcPr>
          <w:p w14:paraId="0764A9E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70E90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0105E4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E5FF27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死水位</w:t>
            </w:r>
          </w:p>
        </w:tc>
        <w:tc>
          <w:tcPr>
            <w:tcW w:w="835" w:type="dxa"/>
            <w:tcBorders>
              <w:tl2br w:val="nil"/>
              <w:tr2bl w:val="nil"/>
            </w:tcBorders>
            <w:shd w:val="clear" w:color="auto" w:fill="auto"/>
            <w:noWrap/>
            <w:vAlign w:val="center"/>
          </w:tcPr>
          <w:p w14:paraId="700BAF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65AA5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401" w:type="dxa"/>
            <w:tcBorders>
              <w:tl2br w:val="nil"/>
              <w:tr2bl w:val="nil"/>
            </w:tcBorders>
            <w:shd w:val="clear" w:color="auto" w:fill="auto"/>
            <w:noWrap/>
            <w:vAlign w:val="center"/>
          </w:tcPr>
          <w:p w14:paraId="1518809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760" w:type="dxa"/>
            <w:tcBorders>
              <w:tl2br w:val="nil"/>
              <w:tr2bl w:val="nil"/>
            </w:tcBorders>
            <w:shd w:val="clear" w:color="auto" w:fill="auto"/>
            <w:noWrap/>
            <w:vAlign w:val="center"/>
          </w:tcPr>
          <w:p w14:paraId="1E0CFB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531" w:type="dxa"/>
            <w:tcBorders>
              <w:tl2br w:val="nil"/>
              <w:tr2bl w:val="nil"/>
            </w:tcBorders>
            <w:shd w:val="clear" w:color="auto" w:fill="auto"/>
            <w:noWrap/>
            <w:vAlign w:val="center"/>
          </w:tcPr>
          <w:p w14:paraId="50E7CD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1B05C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C9757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3FD19B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总库容</w:t>
            </w:r>
          </w:p>
        </w:tc>
        <w:tc>
          <w:tcPr>
            <w:tcW w:w="835" w:type="dxa"/>
            <w:tcBorders>
              <w:tl2br w:val="nil"/>
              <w:tr2bl w:val="nil"/>
            </w:tcBorders>
            <w:shd w:val="clear" w:color="auto" w:fill="auto"/>
            <w:noWrap/>
            <w:vAlign w:val="center"/>
          </w:tcPr>
          <w:p w14:paraId="68E53C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万m</w:t>
            </w:r>
          </w:p>
        </w:tc>
        <w:tc>
          <w:tcPr>
            <w:tcW w:w="1460" w:type="dxa"/>
            <w:tcBorders>
              <w:tl2br w:val="nil"/>
              <w:tr2bl w:val="nil"/>
            </w:tcBorders>
            <w:shd w:val="clear" w:color="auto" w:fill="auto"/>
            <w:noWrap/>
            <w:vAlign w:val="center"/>
          </w:tcPr>
          <w:p w14:paraId="238F4C3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1345</w:t>
            </w:r>
          </w:p>
        </w:tc>
        <w:tc>
          <w:tcPr>
            <w:tcW w:w="1401" w:type="dxa"/>
            <w:tcBorders>
              <w:tl2br w:val="nil"/>
              <w:tr2bl w:val="nil"/>
            </w:tcBorders>
            <w:shd w:val="clear" w:color="auto" w:fill="auto"/>
            <w:noWrap/>
            <w:vAlign w:val="center"/>
          </w:tcPr>
          <w:p w14:paraId="45577E9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1423</w:t>
            </w:r>
          </w:p>
        </w:tc>
        <w:tc>
          <w:tcPr>
            <w:tcW w:w="1760" w:type="dxa"/>
            <w:tcBorders>
              <w:tl2br w:val="nil"/>
              <w:tr2bl w:val="nil"/>
            </w:tcBorders>
            <w:shd w:val="clear" w:color="auto" w:fill="auto"/>
            <w:noWrap/>
            <w:vAlign w:val="center"/>
          </w:tcPr>
          <w:p w14:paraId="6DC143F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1423</w:t>
            </w:r>
          </w:p>
        </w:tc>
        <w:tc>
          <w:tcPr>
            <w:tcW w:w="531" w:type="dxa"/>
            <w:tcBorders>
              <w:tl2br w:val="nil"/>
              <w:tr2bl w:val="nil"/>
            </w:tcBorders>
            <w:shd w:val="clear" w:color="auto" w:fill="auto"/>
            <w:noWrap/>
            <w:vAlign w:val="center"/>
          </w:tcPr>
          <w:p w14:paraId="21491B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74F2F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04319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BB786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死库容</w:t>
            </w:r>
          </w:p>
        </w:tc>
        <w:tc>
          <w:tcPr>
            <w:tcW w:w="835" w:type="dxa"/>
            <w:tcBorders>
              <w:tl2br w:val="nil"/>
              <w:tr2bl w:val="nil"/>
            </w:tcBorders>
            <w:shd w:val="clear" w:color="auto" w:fill="auto"/>
            <w:noWrap/>
            <w:vAlign w:val="center"/>
          </w:tcPr>
          <w:p w14:paraId="371C59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万m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1460" w:type="dxa"/>
            <w:tcBorders>
              <w:tl2br w:val="nil"/>
              <w:tr2bl w:val="nil"/>
            </w:tcBorders>
            <w:shd w:val="clear" w:color="auto" w:fill="auto"/>
            <w:noWrap/>
            <w:vAlign w:val="center"/>
          </w:tcPr>
          <w:p w14:paraId="15BDE72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1401" w:type="dxa"/>
            <w:tcBorders>
              <w:tl2br w:val="nil"/>
              <w:tr2bl w:val="nil"/>
            </w:tcBorders>
            <w:shd w:val="clear" w:color="auto" w:fill="auto"/>
            <w:noWrap/>
            <w:vAlign w:val="center"/>
          </w:tcPr>
          <w:p w14:paraId="0BBCF6E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1760" w:type="dxa"/>
            <w:tcBorders>
              <w:tl2br w:val="nil"/>
              <w:tr2bl w:val="nil"/>
            </w:tcBorders>
            <w:shd w:val="clear" w:color="auto" w:fill="auto"/>
            <w:noWrap/>
            <w:vAlign w:val="center"/>
          </w:tcPr>
          <w:p w14:paraId="17BA8E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531" w:type="dxa"/>
            <w:tcBorders>
              <w:tl2br w:val="nil"/>
              <w:tr2bl w:val="nil"/>
            </w:tcBorders>
            <w:shd w:val="clear" w:color="auto" w:fill="auto"/>
            <w:noWrap/>
            <w:vAlign w:val="center"/>
          </w:tcPr>
          <w:p w14:paraId="473399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16746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5749D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73E61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校核洪水位时最大泄量</w:t>
            </w:r>
          </w:p>
        </w:tc>
        <w:tc>
          <w:tcPr>
            <w:tcW w:w="835" w:type="dxa"/>
            <w:tcBorders>
              <w:tl2br w:val="nil"/>
              <w:tr2bl w:val="nil"/>
            </w:tcBorders>
            <w:shd w:val="clear" w:color="auto" w:fill="auto"/>
            <w:noWrap/>
            <w:vAlign w:val="center"/>
          </w:tcPr>
          <w:p w14:paraId="43C386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m²/s</w:t>
            </w:r>
          </w:p>
        </w:tc>
        <w:tc>
          <w:tcPr>
            <w:tcW w:w="1460" w:type="dxa"/>
            <w:tcBorders>
              <w:tl2br w:val="nil"/>
              <w:tr2bl w:val="nil"/>
            </w:tcBorders>
            <w:shd w:val="clear" w:color="auto" w:fill="auto"/>
            <w:noWrap/>
            <w:vAlign w:val="center"/>
          </w:tcPr>
          <w:p w14:paraId="264B37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61.07</w:t>
            </w:r>
          </w:p>
        </w:tc>
        <w:tc>
          <w:tcPr>
            <w:tcW w:w="1401" w:type="dxa"/>
            <w:tcBorders>
              <w:tl2br w:val="nil"/>
              <w:tr2bl w:val="nil"/>
            </w:tcBorders>
            <w:shd w:val="clear" w:color="auto" w:fill="auto"/>
            <w:noWrap/>
            <w:vAlign w:val="center"/>
          </w:tcPr>
          <w:p w14:paraId="148FE8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61.07</w:t>
            </w:r>
          </w:p>
        </w:tc>
        <w:tc>
          <w:tcPr>
            <w:tcW w:w="1760" w:type="dxa"/>
            <w:tcBorders>
              <w:tl2br w:val="nil"/>
              <w:tr2bl w:val="nil"/>
            </w:tcBorders>
            <w:shd w:val="clear" w:color="auto" w:fill="auto"/>
            <w:noWrap/>
            <w:vAlign w:val="center"/>
          </w:tcPr>
          <w:p w14:paraId="556E5B3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61.07</w:t>
            </w:r>
          </w:p>
        </w:tc>
        <w:tc>
          <w:tcPr>
            <w:tcW w:w="531" w:type="dxa"/>
            <w:tcBorders>
              <w:tl2br w:val="nil"/>
              <w:tr2bl w:val="nil"/>
            </w:tcBorders>
            <w:shd w:val="clear" w:color="auto" w:fill="auto"/>
            <w:noWrap/>
            <w:vAlign w:val="center"/>
          </w:tcPr>
          <w:p w14:paraId="3766C1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2427E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6F993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41719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设计洪水位时最大泄量</w:t>
            </w:r>
          </w:p>
        </w:tc>
        <w:tc>
          <w:tcPr>
            <w:tcW w:w="835" w:type="dxa"/>
            <w:tcBorders>
              <w:tl2br w:val="nil"/>
              <w:tr2bl w:val="nil"/>
            </w:tcBorders>
            <w:shd w:val="clear" w:color="auto" w:fill="auto"/>
            <w:noWrap/>
            <w:vAlign w:val="center"/>
          </w:tcPr>
          <w:p w14:paraId="389F1E6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m/s</w:t>
            </w:r>
          </w:p>
        </w:tc>
        <w:tc>
          <w:tcPr>
            <w:tcW w:w="1460" w:type="dxa"/>
            <w:tcBorders>
              <w:tl2br w:val="nil"/>
              <w:tr2bl w:val="nil"/>
            </w:tcBorders>
            <w:shd w:val="clear" w:color="auto" w:fill="auto"/>
            <w:noWrap/>
            <w:vAlign w:val="center"/>
          </w:tcPr>
          <w:p w14:paraId="7168124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38.12</w:t>
            </w:r>
          </w:p>
        </w:tc>
        <w:tc>
          <w:tcPr>
            <w:tcW w:w="1401" w:type="dxa"/>
            <w:tcBorders>
              <w:tl2br w:val="nil"/>
              <w:tr2bl w:val="nil"/>
            </w:tcBorders>
            <w:shd w:val="clear" w:color="auto" w:fill="auto"/>
            <w:noWrap/>
            <w:vAlign w:val="center"/>
          </w:tcPr>
          <w:p w14:paraId="292011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38.12</w:t>
            </w:r>
          </w:p>
        </w:tc>
        <w:tc>
          <w:tcPr>
            <w:tcW w:w="1760" w:type="dxa"/>
            <w:tcBorders>
              <w:tl2br w:val="nil"/>
              <w:tr2bl w:val="nil"/>
            </w:tcBorders>
            <w:shd w:val="clear" w:color="auto" w:fill="auto"/>
            <w:noWrap/>
            <w:vAlign w:val="center"/>
          </w:tcPr>
          <w:p w14:paraId="7893A0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38.12</w:t>
            </w:r>
          </w:p>
        </w:tc>
        <w:tc>
          <w:tcPr>
            <w:tcW w:w="531" w:type="dxa"/>
            <w:tcBorders>
              <w:tl2br w:val="nil"/>
              <w:tr2bl w:val="nil"/>
            </w:tcBorders>
            <w:shd w:val="clear" w:color="auto" w:fill="auto"/>
            <w:noWrap/>
            <w:vAlign w:val="center"/>
          </w:tcPr>
          <w:p w14:paraId="4DB4746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4833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1662C1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w:t>
            </w:r>
          </w:p>
        </w:tc>
        <w:tc>
          <w:tcPr>
            <w:tcW w:w="2530" w:type="dxa"/>
            <w:tcBorders>
              <w:tl2br w:val="nil"/>
              <w:tr2bl w:val="nil"/>
            </w:tcBorders>
            <w:shd w:val="clear" w:color="auto" w:fill="auto"/>
            <w:noWrap/>
            <w:vAlign w:val="center"/>
          </w:tcPr>
          <w:p w14:paraId="4F52C4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主要建筑物及设备</w:t>
            </w:r>
          </w:p>
        </w:tc>
        <w:tc>
          <w:tcPr>
            <w:tcW w:w="835" w:type="dxa"/>
            <w:tcBorders>
              <w:tl2br w:val="nil"/>
              <w:tr2bl w:val="nil"/>
            </w:tcBorders>
            <w:shd w:val="clear" w:color="auto" w:fill="auto"/>
            <w:noWrap/>
            <w:vAlign w:val="center"/>
          </w:tcPr>
          <w:p w14:paraId="6A086FF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77F148E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0401F0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1DA51C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462A7E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F7C22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D10AFF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2530" w:type="dxa"/>
            <w:tcBorders>
              <w:tl2br w:val="nil"/>
              <w:tr2bl w:val="nil"/>
            </w:tcBorders>
            <w:shd w:val="clear" w:color="auto" w:fill="auto"/>
            <w:noWrap/>
            <w:vAlign w:val="center"/>
          </w:tcPr>
          <w:p w14:paraId="412B94D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主坝</w:t>
            </w:r>
          </w:p>
        </w:tc>
        <w:tc>
          <w:tcPr>
            <w:tcW w:w="835" w:type="dxa"/>
            <w:tcBorders>
              <w:tl2br w:val="nil"/>
              <w:tr2bl w:val="nil"/>
            </w:tcBorders>
            <w:shd w:val="clear" w:color="auto" w:fill="auto"/>
            <w:noWrap/>
            <w:vAlign w:val="center"/>
          </w:tcPr>
          <w:p w14:paraId="5660DB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C00E6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5C8256E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3120EC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501BD1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7D614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CCB29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66E90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4BE9F3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2CE4B1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56A3CE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4A51E7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16E6F16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1A595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8E544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48D68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17E5ECF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0F8DFCD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33.89</w:t>
            </w:r>
          </w:p>
        </w:tc>
        <w:tc>
          <w:tcPr>
            <w:tcW w:w="1401" w:type="dxa"/>
            <w:tcBorders>
              <w:tl2br w:val="nil"/>
              <w:tr2bl w:val="nil"/>
            </w:tcBorders>
            <w:shd w:val="clear" w:color="auto" w:fill="auto"/>
            <w:noWrap/>
            <w:vAlign w:val="center"/>
          </w:tcPr>
          <w:p w14:paraId="4FFE54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32.30-33.30</w:t>
            </w:r>
          </w:p>
        </w:tc>
        <w:tc>
          <w:tcPr>
            <w:tcW w:w="1760" w:type="dxa"/>
            <w:tcBorders>
              <w:tl2br w:val="nil"/>
              <w:tr2bl w:val="nil"/>
            </w:tcBorders>
            <w:shd w:val="clear" w:color="auto" w:fill="auto"/>
            <w:noWrap/>
            <w:vAlign w:val="center"/>
          </w:tcPr>
          <w:p w14:paraId="500EB2E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坝顶:32.80</w:t>
            </w:r>
          </w:p>
          <w:p w14:paraId="506CE3C5">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防浪墙顶:34.00</w:t>
            </w:r>
          </w:p>
        </w:tc>
        <w:tc>
          <w:tcPr>
            <w:tcW w:w="531" w:type="dxa"/>
            <w:tcBorders>
              <w:tl2br w:val="nil"/>
              <w:tr2bl w:val="nil"/>
            </w:tcBorders>
            <w:shd w:val="clear" w:color="auto" w:fill="auto"/>
            <w:noWrap/>
            <w:vAlign w:val="center"/>
          </w:tcPr>
          <w:p w14:paraId="2AC49C1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7ED9F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5A173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60E13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3FFEE3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DE847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401" w:type="dxa"/>
            <w:tcBorders>
              <w:tl2br w:val="nil"/>
              <w:tr2bl w:val="nil"/>
            </w:tcBorders>
            <w:shd w:val="clear" w:color="auto" w:fill="auto"/>
            <w:noWrap/>
            <w:vAlign w:val="center"/>
          </w:tcPr>
          <w:p w14:paraId="28F2B4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760" w:type="dxa"/>
            <w:tcBorders>
              <w:tl2br w:val="nil"/>
              <w:tr2bl w:val="nil"/>
            </w:tcBorders>
            <w:shd w:val="clear" w:color="auto" w:fill="auto"/>
            <w:noWrap/>
            <w:vAlign w:val="center"/>
          </w:tcPr>
          <w:p w14:paraId="46E8D4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531" w:type="dxa"/>
            <w:tcBorders>
              <w:tl2br w:val="nil"/>
              <w:tr2bl w:val="nil"/>
            </w:tcBorders>
            <w:shd w:val="clear" w:color="auto" w:fill="auto"/>
            <w:noWrap/>
            <w:vAlign w:val="center"/>
          </w:tcPr>
          <w:p w14:paraId="408029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06FB9F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02CB6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7BA474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026833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574376E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401" w:type="dxa"/>
            <w:tcBorders>
              <w:tl2br w:val="nil"/>
              <w:tr2bl w:val="nil"/>
            </w:tcBorders>
            <w:shd w:val="clear" w:color="auto" w:fill="auto"/>
            <w:noWrap/>
            <w:vAlign w:val="center"/>
          </w:tcPr>
          <w:p w14:paraId="5F4A595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760" w:type="dxa"/>
            <w:tcBorders>
              <w:tl2br w:val="nil"/>
              <w:tr2bl w:val="nil"/>
            </w:tcBorders>
            <w:shd w:val="clear" w:color="auto" w:fill="auto"/>
            <w:noWrap/>
            <w:vAlign w:val="center"/>
          </w:tcPr>
          <w:p w14:paraId="1E9361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5BDFBC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18733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1F022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2B02E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7C4C392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08546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1455</w:t>
            </w:r>
          </w:p>
        </w:tc>
        <w:tc>
          <w:tcPr>
            <w:tcW w:w="1401" w:type="dxa"/>
            <w:tcBorders>
              <w:tl2br w:val="nil"/>
              <w:tr2bl w:val="nil"/>
            </w:tcBorders>
            <w:shd w:val="clear" w:color="auto" w:fill="auto"/>
            <w:noWrap/>
            <w:vAlign w:val="center"/>
          </w:tcPr>
          <w:p w14:paraId="553A97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1455</w:t>
            </w:r>
          </w:p>
        </w:tc>
        <w:tc>
          <w:tcPr>
            <w:tcW w:w="1760" w:type="dxa"/>
            <w:tcBorders>
              <w:tl2br w:val="nil"/>
              <w:tr2bl w:val="nil"/>
            </w:tcBorders>
            <w:shd w:val="clear" w:color="auto" w:fill="auto"/>
            <w:noWrap/>
            <w:vAlign w:val="center"/>
          </w:tcPr>
          <w:p w14:paraId="16D42FD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1455</w:t>
            </w:r>
          </w:p>
        </w:tc>
        <w:tc>
          <w:tcPr>
            <w:tcW w:w="531" w:type="dxa"/>
            <w:tcBorders>
              <w:tl2br w:val="nil"/>
              <w:tr2bl w:val="nil"/>
            </w:tcBorders>
            <w:shd w:val="clear" w:color="auto" w:fill="auto"/>
            <w:noWrap/>
            <w:vAlign w:val="center"/>
          </w:tcPr>
          <w:p w14:paraId="4C7107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03D02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FDB531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530" w:type="dxa"/>
            <w:tcBorders>
              <w:tl2br w:val="nil"/>
              <w:tr2bl w:val="nil"/>
            </w:tcBorders>
            <w:shd w:val="clear" w:color="auto" w:fill="auto"/>
            <w:noWrap/>
            <w:vAlign w:val="center"/>
          </w:tcPr>
          <w:p w14:paraId="68B692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一副坝</w:t>
            </w:r>
          </w:p>
        </w:tc>
        <w:tc>
          <w:tcPr>
            <w:tcW w:w="835" w:type="dxa"/>
            <w:tcBorders>
              <w:tl2br w:val="nil"/>
              <w:tr2bl w:val="nil"/>
            </w:tcBorders>
            <w:shd w:val="clear" w:color="auto" w:fill="auto"/>
            <w:noWrap/>
            <w:vAlign w:val="center"/>
          </w:tcPr>
          <w:p w14:paraId="37261F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ECB97E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38B089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56D24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2FBB14C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53418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D24791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31DD9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565144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5294DF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1C61DB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79CE84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6D674B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C16F0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B06B4A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C5161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7F6523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3FA602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33.58</w:t>
            </w:r>
          </w:p>
        </w:tc>
        <w:tc>
          <w:tcPr>
            <w:tcW w:w="1401" w:type="dxa"/>
            <w:tcBorders>
              <w:tl2br w:val="nil"/>
              <w:tr2bl w:val="nil"/>
            </w:tcBorders>
            <w:shd w:val="clear" w:color="auto" w:fill="auto"/>
            <w:noWrap/>
            <w:vAlign w:val="center"/>
          </w:tcPr>
          <w:p w14:paraId="3091EB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32.80-33.20</w:t>
            </w:r>
          </w:p>
        </w:tc>
        <w:tc>
          <w:tcPr>
            <w:tcW w:w="1760" w:type="dxa"/>
            <w:tcBorders>
              <w:tl2br w:val="nil"/>
              <w:tr2bl w:val="nil"/>
            </w:tcBorders>
            <w:shd w:val="clear" w:color="auto" w:fill="auto"/>
            <w:noWrap/>
            <w:vAlign w:val="center"/>
          </w:tcPr>
          <w:p w14:paraId="0513C28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坝顶:32.80</w:t>
            </w:r>
          </w:p>
          <w:p w14:paraId="76803E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防浪墙顶:34.00</w:t>
            </w:r>
          </w:p>
        </w:tc>
        <w:tc>
          <w:tcPr>
            <w:tcW w:w="531" w:type="dxa"/>
            <w:tcBorders>
              <w:tl2br w:val="nil"/>
              <w:tr2bl w:val="nil"/>
            </w:tcBorders>
            <w:shd w:val="clear" w:color="auto" w:fill="auto"/>
            <w:noWrap/>
            <w:vAlign w:val="center"/>
          </w:tcPr>
          <w:p w14:paraId="6538636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A89E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FAF02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FEB46D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675462B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0F9E14D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401" w:type="dxa"/>
            <w:tcBorders>
              <w:tl2br w:val="nil"/>
              <w:tr2bl w:val="nil"/>
            </w:tcBorders>
            <w:shd w:val="clear" w:color="auto" w:fill="auto"/>
            <w:noWrap/>
            <w:vAlign w:val="center"/>
          </w:tcPr>
          <w:p w14:paraId="7E8F4A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9.57</w:t>
            </w:r>
          </w:p>
        </w:tc>
        <w:tc>
          <w:tcPr>
            <w:tcW w:w="1760" w:type="dxa"/>
            <w:tcBorders>
              <w:tl2br w:val="nil"/>
              <w:tr2bl w:val="nil"/>
            </w:tcBorders>
            <w:shd w:val="clear" w:color="auto" w:fill="auto"/>
            <w:noWrap/>
            <w:vAlign w:val="center"/>
          </w:tcPr>
          <w:p w14:paraId="5338A4B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9.57</w:t>
            </w:r>
          </w:p>
        </w:tc>
        <w:tc>
          <w:tcPr>
            <w:tcW w:w="531" w:type="dxa"/>
            <w:tcBorders>
              <w:tl2br w:val="nil"/>
              <w:tr2bl w:val="nil"/>
            </w:tcBorders>
            <w:shd w:val="clear" w:color="auto" w:fill="auto"/>
            <w:noWrap/>
            <w:vAlign w:val="center"/>
          </w:tcPr>
          <w:p w14:paraId="5C02B6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C2A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0BC35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9E68F1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4FB981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042E10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401" w:type="dxa"/>
            <w:tcBorders>
              <w:tl2br w:val="nil"/>
              <w:tr2bl w:val="nil"/>
            </w:tcBorders>
            <w:shd w:val="clear" w:color="auto" w:fill="auto"/>
            <w:noWrap/>
            <w:vAlign w:val="center"/>
          </w:tcPr>
          <w:p w14:paraId="0F80B2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760" w:type="dxa"/>
            <w:tcBorders>
              <w:tl2br w:val="nil"/>
              <w:tr2bl w:val="nil"/>
            </w:tcBorders>
            <w:shd w:val="clear" w:color="auto" w:fill="auto"/>
            <w:noWrap/>
            <w:vAlign w:val="center"/>
          </w:tcPr>
          <w:p w14:paraId="2C14932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6DD1B32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849AD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D2747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D49BC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091902B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714367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401" w:type="dxa"/>
            <w:tcBorders>
              <w:tl2br w:val="nil"/>
              <w:tr2bl w:val="nil"/>
            </w:tcBorders>
            <w:shd w:val="clear" w:color="auto" w:fill="auto"/>
            <w:noWrap/>
            <w:vAlign w:val="center"/>
          </w:tcPr>
          <w:p w14:paraId="7121F78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760" w:type="dxa"/>
            <w:tcBorders>
              <w:tl2br w:val="nil"/>
              <w:tr2bl w:val="nil"/>
            </w:tcBorders>
            <w:shd w:val="clear" w:color="auto" w:fill="auto"/>
            <w:noWrap/>
            <w:vAlign w:val="center"/>
          </w:tcPr>
          <w:p w14:paraId="1849F3B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31" w:type="dxa"/>
            <w:tcBorders>
              <w:tl2br w:val="nil"/>
              <w:tr2bl w:val="nil"/>
            </w:tcBorders>
            <w:shd w:val="clear" w:color="auto" w:fill="auto"/>
            <w:noWrap/>
            <w:vAlign w:val="center"/>
          </w:tcPr>
          <w:p w14:paraId="3854C8E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A7E4E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3811A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2530" w:type="dxa"/>
            <w:tcBorders>
              <w:tl2br w:val="nil"/>
              <w:tr2bl w:val="nil"/>
            </w:tcBorders>
            <w:shd w:val="clear" w:color="auto" w:fill="auto"/>
            <w:noWrap/>
            <w:vAlign w:val="center"/>
          </w:tcPr>
          <w:p w14:paraId="1E5200B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二副坝</w:t>
            </w:r>
          </w:p>
        </w:tc>
        <w:tc>
          <w:tcPr>
            <w:tcW w:w="835" w:type="dxa"/>
            <w:tcBorders>
              <w:tl2br w:val="nil"/>
              <w:tr2bl w:val="nil"/>
            </w:tcBorders>
            <w:shd w:val="clear" w:color="auto" w:fill="auto"/>
            <w:noWrap/>
            <w:vAlign w:val="center"/>
          </w:tcPr>
          <w:p w14:paraId="7FF9AE4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755CA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00B989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1ACF18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1324CF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ABF01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78767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32250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4CDDED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7AB272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5A50FC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0DE88FB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25B568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8960D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F4256D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2E737E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02F1A8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86CD5B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401" w:type="dxa"/>
            <w:tcBorders>
              <w:tl2br w:val="nil"/>
              <w:tr2bl w:val="nil"/>
            </w:tcBorders>
            <w:shd w:val="clear" w:color="auto" w:fill="auto"/>
            <w:noWrap/>
            <w:vAlign w:val="center"/>
          </w:tcPr>
          <w:p w14:paraId="5CC115D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32.10-33.30</w:t>
            </w:r>
          </w:p>
        </w:tc>
        <w:tc>
          <w:tcPr>
            <w:tcW w:w="1760" w:type="dxa"/>
            <w:tcBorders>
              <w:tl2br w:val="nil"/>
              <w:tr2bl w:val="nil"/>
            </w:tcBorders>
            <w:shd w:val="clear" w:color="auto" w:fill="auto"/>
            <w:noWrap/>
            <w:vAlign w:val="center"/>
          </w:tcPr>
          <w:p w14:paraId="0BF454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坝顶:32.80防浪墙顶:34.00</w:t>
            </w:r>
          </w:p>
        </w:tc>
        <w:tc>
          <w:tcPr>
            <w:tcW w:w="531" w:type="dxa"/>
            <w:tcBorders>
              <w:tl2br w:val="nil"/>
              <w:tr2bl w:val="nil"/>
            </w:tcBorders>
            <w:shd w:val="clear" w:color="auto" w:fill="auto"/>
            <w:noWrap/>
            <w:vAlign w:val="center"/>
          </w:tcPr>
          <w:p w14:paraId="1076125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C612E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AAFCE2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64C695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1958A20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914A8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401" w:type="dxa"/>
            <w:tcBorders>
              <w:tl2br w:val="nil"/>
              <w:tr2bl w:val="nil"/>
            </w:tcBorders>
            <w:shd w:val="clear" w:color="auto" w:fill="auto"/>
            <w:noWrap/>
            <w:vAlign w:val="center"/>
          </w:tcPr>
          <w:p w14:paraId="0DEEDE3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760" w:type="dxa"/>
            <w:tcBorders>
              <w:tl2br w:val="nil"/>
              <w:tr2bl w:val="nil"/>
            </w:tcBorders>
            <w:shd w:val="clear" w:color="auto" w:fill="auto"/>
            <w:noWrap/>
            <w:vAlign w:val="center"/>
          </w:tcPr>
          <w:p w14:paraId="4AD035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31" w:type="dxa"/>
            <w:tcBorders>
              <w:tl2br w:val="nil"/>
              <w:tr2bl w:val="nil"/>
            </w:tcBorders>
            <w:shd w:val="clear" w:color="auto" w:fill="auto"/>
            <w:noWrap/>
            <w:vAlign w:val="center"/>
          </w:tcPr>
          <w:p w14:paraId="784B74A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0D4E0C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D69DD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D9EE5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2D980B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0173F3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401" w:type="dxa"/>
            <w:tcBorders>
              <w:tl2br w:val="nil"/>
              <w:tr2bl w:val="nil"/>
            </w:tcBorders>
            <w:shd w:val="clear" w:color="auto" w:fill="auto"/>
            <w:noWrap/>
            <w:vAlign w:val="center"/>
          </w:tcPr>
          <w:p w14:paraId="06936D8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760" w:type="dxa"/>
            <w:tcBorders>
              <w:tl2br w:val="nil"/>
              <w:tr2bl w:val="nil"/>
            </w:tcBorders>
            <w:shd w:val="clear" w:color="auto" w:fill="auto"/>
            <w:noWrap/>
            <w:vAlign w:val="center"/>
          </w:tcPr>
          <w:p w14:paraId="4E824C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681CD39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BCAA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00301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816C7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0005AF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33DAE8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1401" w:type="dxa"/>
            <w:tcBorders>
              <w:tl2br w:val="nil"/>
              <w:tr2bl w:val="nil"/>
            </w:tcBorders>
            <w:shd w:val="clear" w:color="auto" w:fill="auto"/>
            <w:noWrap/>
            <w:vAlign w:val="center"/>
          </w:tcPr>
          <w:p w14:paraId="53F592C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1760" w:type="dxa"/>
            <w:tcBorders>
              <w:tl2br w:val="nil"/>
              <w:tr2bl w:val="nil"/>
            </w:tcBorders>
            <w:shd w:val="clear" w:color="auto" w:fill="auto"/>
            <w:noWrap/>
            <w:vAlign w:val="center"/>
          </w:tcPr>
          <w:p w14:paraId="72C526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531" w:type="dxa"/>
            <w:tcBorders>
              <w:tl2br w:val="nil"/>
              <w:tr2bl w:val="nil"/>
            </w:tcBorders>
            <w:shd w:val="clear" w:color="auto" w:fill="auto"/>
            <w:noWrap/>
            <w:vAlign w:val="center"/>
          </w:tcPr>
          <w:p w14:paraId="6BD991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0A5638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1F7EB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2530" w:type="dxa"/>
            <w:tcBorders>
              <w:tl2br w:val="nil"/>
              <w:tr2bl w:val="nil"/>
            </w:tcBorders>
            <w:shd w:val="clear" w:color="auto" w:fill="auto"/>
            <w:noWrap/>
            <w:vAlign w:val="center"/>
          </w:tcPr>
          <w:p w14:paraId="159919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三副坝</w:t>
            </w:r>
          </w:p>
        </w:tc>
        <w:tc>
          <w:tcPr>
            <w:tcW w:w="835" w:type="dxa"/>
            <w:tcBorders>
              <w:tl2br w:val="nil"/>
              <w:tr2bl w:val="nil"/>
            </w:tcBorders>
            <w:shd w:val="clear" w:color="auto" w:fill="auto"/>
            <w:noWrap/>
            <w:vAlign w:val="center"/>
          </w:tcPr>
          <w:p w14:paraId="593B5C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4702F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2844A07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4B2503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47B4A9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E6324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79804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6BDCB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168C25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7A25AF4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429DF4D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5996670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515961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E20F0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074053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23B1D3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56450AD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593F13E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401" w:type="dxa"/>
            <w:tcBorders>
              <w:tl2br w:val="nil"/>
              <w:tr2bl w:val="nil"/>
            </w:tcBorders>
            <w:shd w:val="clear" w:color="auto" w:fill="auto"/>
            <w:noWrap/>
            <w:vAlign w:val="center"/>
          </w:tcPr>
          <w:p w14:paraId="7C2998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32.10~33.00</w:t>
            </w:r>
          </w:p>
        </w:tc>
        <w:tc>
          <w:tcPr>
            <w:tcW w:w="1760" w:type="dxa"/>
            <w:tcBorders>
              <w:tl2br w:val="nil"/>
              <w:tr2bl w:val="nil"/>
            </w:tcBorders>
            <w:shd w:val="clear" w:color="auto" w:fill="auto"/>
            <w:noWrap/>
            <w:vAlign w:val="center"/>
          </w:tcPr>
          <w:p w14:paraId="55E33CA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坝顶:32.80防浪墙顶:34.00</w:t>
            </w:r>
          </w:p>
        </w:tc>
        <w:tc>
          <w:tcPr>
            <w:tcW w:w="531" w:type="dxa"/>
            <w:tcBorders>
              <w:tl2br w:val="nil"/>
              <w:tr2bl w:val="nil"/>
            </w:tcBorders>
            <w:shd w:val="clear" w:color="auto" w:fill="auto"/>
            <w:noWrap/>
            <w:vAlign w:val="center"/>
          </w:tcPr>
          <w:p w14:paraId="3848BA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9078A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6B324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0B9E08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1C533A5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90623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401" w:type="dxa"/>
            <w:tcBorders>
              <w:tl2br w:val="nil"/>
              <w:tr2bl w:val="nil"/>
            </w:tcBorders>
            <w:shd w:val="clear" w:color="auto" w:fill="auto"/>
            <w:noWrap/>
            <w:vAlign w:val="center"/>
          </w:tcPr>
          <w:p w14:paraId="15CCFE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760" w:type="dxa"/>
            <w:tcBorders>
              <w:tl2br w:val="nil"/>
              <w:tr2bl w:val="nil"/>
            </w:tcBorders>
            <w:shd w:val="clear" w:color="auto" w:fill="auto"/>
            <w:noWrap/>
            <w:vAlign w:val="center"/>
          </w:tcPr>
          <w:p w14:paraId="45398C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531" w:type="dxa"/>
            <w:tcBorders>
              <w:tl2br w:val="nil"/>
              <w:tr2bl w:val="nil"/>
            </w:tcBorders>
            <w:shd w:val="clear" w:color="auto" w:fill="auto"/>
            <w:noWrap/>
            <w:vAlign w:val="center"/>
          </w:tcPr>
          <w:p w14:paraId="098E85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FD109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6B9F1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EC76F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7EFE8C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0DCA2F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401" w:type="dxa"/>
            <w:tcBorders>
              <w:tl2br w:val="nil"/>
              <w:tr2bl w:val="nil"/>
            </w:tcBorders>
            <w:shd w:val="clear" w:color="auto" w:fill="auto"/>
            <w:noWrap/>
            <w:vAlign w:val="center"/>
          </w:tcPr>
          <w:p w14:paraId="742F1C8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760" w:type="dxa"/>
            <w:tcBorders>
              <w:tl2br w:val="nil"/>
              <w:tr2bl w:val="nil"/>
            </w:tcBorders>
            <w:shd w:val="clear" w:color="auto" w:fill="auto"/>
            <w:noWrap/>
            <w:vAlign w:val="center"/>
          </w:tcPr>
          <w:p w14:paraId="0052D3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2C452B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84A06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79C73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4B0049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49A1842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190496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401" w:type="dxa"/>
            <w:tcBorders>
              <w:tl2br w:val="nil"/>
              <w:tr2bl w:val="nil"/>
            </w:tcBorders>
            <w:shd w:val="clear" w:color="auto" w:fill="auto"/>
            <w:noWrap/>
            <w:vAlign w:val="center"/>
          </w:tcPr>
          <w:p w14:paraId="14982E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760" w:type="dxa"/>
            <w:tcBorders>
              <w:tl2br w:val="nil"/>
              <w:tr2bl w:val="nil"/>
            </w:tcBorders>
            <w:shd w:val="clear" w:color="auto" w:fill="auto"/>
            <w:noWrap/>
            <w:vAlign w:val="center"/>
          </w:tcPr>
          <w:p w14:paraId="4E056D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531" w:type="dxa"/>
            <w:tcBorders>
              <w:tl2br w:val="nil"/>
              <w:tr2bl w:val="nil"/>
            </w:tcBorders>
            <w:shd w:val="clear" w:color="auto" w:fill="auto"/>
            <w:noWrap/>
            <w:vAlign w:val="center"/>
          </w:tcPr>
          <w:p w14:paraId="29AB20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14DFA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93CEE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2530" w:type="dxa"/>
            <w:tcBorders>
              <w:tl2br w:val="nil"/>
              <w:tr2bl w:val="nil"/>
            </w:tcBorders>
            <w:shd w:val="clear" w:color="auto" w:fill="auto"/>
            <w:noWrap/>
            <w:vAlign w:val="center"/>
          </w:tcPr>
          <w:p w14:paraId="465371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四副坝</w:t>
            </w:r>
          </w:p>
        </w:tc>
        <w:tc>
          <w:tcPr>
            <w:tcW w:w="835" w:type="dxa"/>
            <w:tcBorders>
              <w:tl2br w:val="nil"/>
              <w:tr2bl w:val="nil"/>
            </w:tcBorders>
            <w:shd w:val="clear" w:color="auto" w:fill="auto"/>
            <w:noWrap/>
            <w:vAlign w:val="center"/>
          </w:tcPr>
          <w:p w14:paraId="693E762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53BF5E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4467E5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1B8DA1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2A3DBD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1F3BE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7C8F6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C9951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4D07D56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BAD20E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33ACAE5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61FD11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488388D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9E68F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E8D0E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1037D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260860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C87817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401" w:type="dxa"/>
            <w:tcBorders>
              <w:tl2br w:val="nil"/>
              <w:tr2bl w:val="nil"/>
            </w:tcBorders>
            <w:shd w:val="clear" w:color="auto" w:fill="auto"/>
            <w:noWrap/>
            <w:vAlign w:val="center"/>
          </w:tcPr>
          <w:p w14:paraId="119118E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32.40-33.00</w:t>
            </w:r>
          </w:p>
        </w:tc>
        <w:tc>
          <w:tcPr>
            <w:tcW w:w="1760" w:type="dxa"/>
            <w:tcBorders>
              <w:tl2br w:val="nil"/>
              <w:tr2bl w:val="nil"/>
            </w:tcBorders>
            <w:shd w:val="clear" w:color="auto" w:fill="auto"/>
            <w:noWrap/>
            <w:vAlign w:val="center"/>
          </w:tcPr>
          <w:p w14:paraId="47962B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坝顶:32.80</w:t>
            </w:r>
          </w:p>
          <w:p w14:paraId="669107E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防浪墙顶:34.00</w:t>
            </w:r>
          </w:p>
        </w:tc>
        <w:tc>
          <w:tcPr>
            <w:tcW w:w="531" w:type="dxa"/>
            <w:tcBorders>
              <w:tl2br w:val="nil"/>
              <w:tr2bl w:val="nil"/>
            </w:tcBorders>
            <w:shd w:val="clear" w:color="auto" w:fill="auto"/>
            <w:noWrap/>
            <w:vAlign w:val="center"/>
          </w:tcPr>
          <w:p w14:paraId="1EDE11E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6F371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2027B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B0C000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57D3B0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3C1332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401" w:type="dxa"/>
            <w:tcBorders>
              <w:tl2br w:val="nil"/>
              <w:tr2bl w:val="nil"/>
            </w:tcBorders>
            <w:shd w:val="clear" w:color="auto" w:fill="auto"/>
            <w:noWrap/>
            <w:vAlign w:val="center"/>
          </w:tcPr>
          <w:p w14:paraId="6018B0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760" w:type="dxa"/>
            <w:tcBorders>
              <w:tl2br w:val="nil"/>
              <w:tr2bl w:val="nil"/>
            </w:tcBorders>
            <w:shd w:val="clear" w:color="auto" w:fill="auto"/>
            <w:noWrap/>
            <w:vAlign w:val="center"/>
          </w:tcPr>
          <w:p w14:paraId="734D25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531" w:type="dxa"/>
            <w:tcBorders>
              <w:tl2br w:val="nil"/>
              <w:tr2bl w:val="nil"/>
            </w:tcBorders>
            <w:shd w:val="clear" w:color="auto" w:fill="auto"/>
            <w:noWrap/>
            <w:vAlign w:val="center"/>
          </w:tcPr>
          <w:p w14:paraId="1F2A01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7F01F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91097D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C661D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734CA7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8FCE00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401" w:type="dxa"/>
            <w:tcBorders>
              <w:tl2br w:val="nil"/>
              <w:tr2bl w:val="nil"/>
            </w:tcBorders>
            <w:shd w:val="clear" w:color="auto" w:fill="auto"/>
            <w:noWrap/>
            <w:vAlign w:val="center"/>
          </w:tcPr>
          <w:p w14:paraId="6C2151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760" w:type="dxa"/>
            <w:tcBorders>
              <w:tl2br w:val="nil"/>
              <w:tr2bl w:val="nil"/>
            </w:tcBorders>
            <w:shd w:val="clear" w:color="auto" w:fill="auto"/>
            <w:noWrap/>
            <w:vAlign w:val="center"/>
          </w:tcPr>
          <w:p w14:paraId="6B38E1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52F412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6EAEB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6627C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DA937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4E271F6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71D7A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1401" w:type="dxa"/>
            <w:tcBorders>
              <w:tl2br w:val="nil"/>
              <w:tr2bl w:val="nil"/>
            </w:tcBorders>
            <w:shd w:val="clear" w:color="auto" w:fill="auto"/>
            <w:noWrap/>
            <w:vAlign w:val="center"/>
          </w:tcPr>
          <w:p w14:paraId="6D1D812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1760" w:type="dxa"/>
            <w:tcBorders>
              <w:tl2br w:val="nil"/>
              <w:tr2bl w:val="nil"/>
            </w:tcBorders>
            <w:shd w:val="clear" w:color="auto" w:fill="auto"/>
            <w:noWrap/>
            <w:vAlign w:val="center"/>
          </w:tcPr>
          <w:p w14:paraId="052C723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531" w:type="dxa"/>
            <w:tcBorders>
              <w:tl2br w:val="nil"/>
              <w:tr2bl w:val="nil"/>
            </w:tcBorders>
            <w:shd w:val="clear" w:color="auto" w:fill="auto"/>
            <w:noWrap/>
            <w:vAlign w:val="center"/>
          </w:tcPr>
          <w:p w14:paraId="13BC572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BFC0E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99B0E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2530" w:type="dxa"/>
            <w:tcBorders>
              <w:tl2br w:val="nil"/>
              <w:tr2bl w:val="nil"/>
            </w:tcBorders>
            <w:shd w:val="clear" w:color="auto" w:fill="auto"/>
            <w:noWrap/>
            <w:vAlign w:val="center"/>
          </w:tcPr>
          <w:p w14:paraId="5A66866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五副坝</w:t>
            </w:r>
          </w:p>
        </w:tc>
        <w:tc>
          <w:tcPr>
            <w:tcW w:w="835" w:type="dxa"/>
            <w:tcBorders>
              <w:tl2br w:val="nil"/>
              <w:tr2bl w:val="nil"/>
            </w:tcBorders>
            <w:shd w:val="clear" w:color="auto" w:fill="auto"/>
            <w:noWrap/>
            <w:vAlign w:val="center"/>
          </w:tcPr>
          <w:p w14:paraId="13F40DF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042E1A7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1E3E99D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2CD0180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7F46E7F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6DCC7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E0D6F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3BC64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601C36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54CD0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4B236A8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0D08DA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4164BF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AB00A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067536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9E299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04D4D2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041424A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401" w:type="dxa"/>
            <w:tcBorders>
              <w:tl2br w:val="nil"/>
              <w:tr2bl w:val="nil"/>
            </w:tcBorders>
            <w:shd w:val="clear" w:color="auto" w:fill="auto"/>
            <w:noWrap/>
            <w:vAlign w:val="center"/>
          </w:tcPr>
          <w:p w14:paraId="18AB5E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32.20-33.00</w:t>
            </w:r>
          </w:p>
        </w:tc>
        <w:tc>
          <w:tcPr>
            <w:tcW w:w="1760" w:type="dxa"/>
            <w:tcBorders>
              <w:tl2br w:val="nil"/>
              <w:tr2bl w:val="nil"/>
            </w:tcBorders>
            <w:shd w:val="clear" w:color="auto" w:fill="auto"/>
            <w:noWrap/>
            <w:vAlign w:val="center"/>
          </w:tcPr>
          <w:p w14:paraId="4E186A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坝顶:32.80</w:t>
            </w:r>
          </w:p>
          <w:p w14:paraId="391E875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防浪墙顶:34.00</w:t>
            </w:r>
          </w:p>
        </w:tc>
        <w:tc>
          <w:tcPr>
            <w:tcW w:w="531" w:type="dxa"/>
            <w:tcBorders>
              <w:tl2br w:val="nil"/>
              <w:tr2bl w:val="nil"/>
            </w:tcBorders>
            <w:shd w:val="clear" w:color="auto" w:fill="auto"/>
            <w:noWrap/>
            <w:vAlign w:val="center"/>
          </w:tcPr>
          <w:p w14:paraId="4D13BD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62239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D5FFE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F90FA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70EC1B7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2E7ADCD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401" w:type="dxa"/>
            <w:tcBorders>
              <w:tl2br w:val="nil"/>
              <w:tr2bl w:val="nil"/>
            </w:tcBorders>
            <w:shd w:val="clear" w:color="auto" w:fill="auto"/>
            <w:noWrap/>
            <w:vAlign w:val="center"/>
          </w:tcPr>
          <w:p w14:paraId="55B2A8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760" w:type="dxa"/>
            <w:tcBorders>
              <w:tl2br w:val="nil"/>
              <w:tr2bl w:val="nil"/>
            </w:tcBorders>
            <w:shd w:val="clear" w:color="auto" w:fill="auto"/>
            <w:noWrap/>
            <w:vAlign w:val="center"/>
          </w:tcPr>
          <w:p w14:paraId="2BB87C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31" w:type="dxa"/>
            <w:tcBorders>
              <w:tl2br w:val="nil"/>
              <w:tr2bl w:val="nil"/>
            </w:tcBorders>
            <w:shd w:val="clear" w:color="auto" w:fill="auto"/>
            <w:noWrap/>
            <w:vAlign w:val="center"/>
          </w:tcPr>
          <w:p w14:paraId="27A8BF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069B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CC8B8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0EF8D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3A0F15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51109A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401" w:type="dxa"/>
            <w:tcBorders>
              <w:tl2br w:val="nil"/>
              <w:tr2bl w:val="nil"/>
            </w:tcBorders>
            <w:shd w:val="clear" w:color="auto" w:fill="auto"/>
            <w:noWrap/>
            <w:vAlign w:val="center"/>
          </w:tcPr>
          <w:p w14:paraId="42729A2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760" w:type="dxa"/>
            <w:tcBorders>
              <w:tl2br w:val="nil"/>
              <w:tr2bl w:val="nil"/>
            </w:tcBorders>
            <w:shd w:val="clear" w:color="auto" w:fill="auto"/>
            <w:noWrap/>
            <w:vAlign w:val="center"/>
          </w:tcPr>
          <w:p w14:paraId="5C16860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71FDCC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CC2D2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3C55BB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809D2F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5523A6C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4E60849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401" w:type="dxa"/>
            <w:tcBorders>
              <w:tl2br w:val="nil"/>
              <w:tr2bl w:val="nil"/>
            </w:tcBorders>
            <w:shd w:val="clear" w:color="auto" w:fill="auto"/>
            <w:noWrap/>
            <w:vAlign w:val="center"/>
          </w:tcPr>
          <w:p w14:paraId="781CEC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760" w:type="dxa"/>
            <w:tcBorders>
              <w:tl2br w:val="nil"/>
              <w:tr2bl w:val="nil"/>
            </w:tcBorders>
            <w:shd w:val="clear" w:color="auto" w:fill="auto"/>
            <w:noWrap/>
            <w:vAlign w:val="center"/>
          </w:tcPr>
          <w:p w14:paraId="73C066D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531" w:type="dxa"/>
            <w:tcBorders>
              <w:tl2br w:val="nil"/>
              <w:tr2bl w:val="nil"/>
            </w:tcBorders>
            <w:shd w:val="clear" w:color="auto" w:fill="auto"/>
            <w:noWrap/>
            <w:vAlign w:val="center"/>
          </w:tcPr>
          <w:p w14:paraId="5942939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0A40F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6DAD4D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2530" w:type="dxa"/>
            <w:tcBorders>
              <w:tl2br w:val="nil"/>
              <w:tr2bl w:val="nil"/>
            </w:tcBorders>
            <w:shd w:val="clear" w:color="auto" w:fill="auto"/>
            <w:noWrap/>
            <w:vAlign w:val="center"/>
          </w:tcPr>
          <w:p w14:paraId="501E1D2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六副坝</w:t>
            </w:r>
          </w:p>
        </w:tc>
        <w:tc>
          <w:tcPr>
            <w:tcW w:w="835" w:type="dxa"/>
            <w:tcBorders>
              <w:tl2br w:val="nil"/>
              <w:tr2bl w:val="nil"/>
            </w:tcBorders>
            <w:shd w:val="clear" w:color="auto" w:fill="auto"/>
            <w:noWrap/>
            <w:vAlign w:val="center"/>
          </w:tcPr>
          <w:p w14:paraId="137DDD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6AB71B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05F6300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7BFA10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76EAA77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3B0FC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9BD8D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E3BD2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2AD83C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5AA2BC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401" w:type="dxa"/>
            <w:tcBorders>
              <w:tl2br w:val="nil"/>
              <w:tr2bl w:val="nil"/>
            </w:tcBorders>
            <w:shd w:val="clear" w:color="auto" w:fill="auto"/>
            <w:noWrap/>
            <w:vAlign w:val="center"/>
          </w:tcPr>
          <w:p w14:paraId="71606C3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1760" w:type="dxa"/>
            <w:tcBorders>
              <w:tl2br w:val="nil"/>
              <w:tr2bl w:val="nil"/>
            </w:tcBorders>
            <w:shd w:val="clear" w:color="auto" w:fill="auto"/>
            <w:noWrap/>
            <w:vAlign w:val="center"/>
          </w:tcPr>
          <w:p w14:paraId="69EA1B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均质土坝</w:t>
            </w:r>
          </w:p>
        </w:tc>
        <w:tc>
          <w:tcPr>
            <w:tcW w:w="531" w:type="dxa"/>
            <w:tcBorders>
              <w:tl2br w:val="nil"/>
              <w:tr2bl w:val="nil"/>
            </w:tcBorders>
            <w:shd w:val="clear" w:color="auto" w:fill="auto"/>
            <w:noWrap/>
            <w:vAlign w:val="center"/>
          </w:tcPr>
          <w:p w14:paraId="0248D6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800A3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D908C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500C1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坝顶高程</w:t>
            </w:r>
          </w:p>
        </w:tc>
        <w:tc>
          <w:tcPr>
            <w:tcW w:w="835" w:type="dxa"/>
            <w:tcBorders>
              <w:tl2br w:val="nil"/>
              <w:tr2bl w:val="nil"/>
            </w:tcBorders>
            <w:shd w:val="clear" w:color="auto" w:fill="auto"/>
            <w:noWrap/>
            <w:vAlign w:val="center"/>
          </w:tcPr>
          <w:p w14:paraId="62B0997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321BC82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401" w:type="dxa"/>
            <w:tcBorders>
              <w:tl2br w:val="nil"/>
              <w:tr2bl w:val="nil"/>
            </w:tcBorders>
            <w:shd w:val="clear" w:color="auto" w:fill="auto"/>
            <w:noWrap/>
            <w:vAlign w:val="center"/>
          </w:tcPr>
          <w:p w14:paraId="465592F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32.40-33.00</w:t>
            </w:r>
          </w:p>
        </w:tc>
        <w:tc>
          <w:tcPr>
            <w:tcW w:w="1760" w:type="dxa"/>
            <w:tcBorders>
              <w:tl2br w:val="nil"/>
              <w:tr2bl w:val="nil"/>
            </w:tcBorders>
            <w:shd w:val="clear" w:color="auto" w:fill="auto"/>
            <w:noWrap/>
            <w:vAlign w:val="center"/>
          </w:tcPr>
          <w:p w14:paraId="4BCEBF9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坝顶:32.80</w:t>
            </w:r>
          </w:p>
          <w:p w14:paraId="43A0B08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防浪墙顶:34.00</w:t>
            </w:r>
          </w:p>
        </w:tc>
        <w:tc>
          <w:tcPr>
            <w:tcW w:w="531" w:type="dxa"/>
            <w:tcBorders>
              <w:tl2br w:val="nil"/>
              <w:tr2bl w:val="nil"/>
            </w:tcBorders>
            <w:shd w:val="clear" w:color="auto" w:fill="auto"/>
            <w:noWrap/>
            <w:vAlign w:val="center"/>
          </w:tcPr>
          <w:p w14:paraId="0A0E88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F3BD4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11300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B419C8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最大坝高</w:t>
            </w:r>
          </w:p>
        </w:tc>
        <w:tc>
          <w:tcPr>
            <w:tcW w:w="835" w:type="dxa"/>
            <w:tcBorders>
              <w:tl2br w:val="nil"/>
              <w:tr2bl w:val="nil"/>
            </w:tcBorders>
            <w:shd w:val="clear" w:color="auto" w:fill="auto"/>
            <w:noWrap/>
            <w:vAlign w:val="center"/>
          </w:tcPr>
          <w:p w14:paraId="7B96D3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59910A5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401" w:type="dxa"/>
            <w:tcBorders>
              <w:tl2br w:val="nil"/>
              <w:tr2bl w:val="nil"/>
            </w:tcBorders>
            <w:shd w:val="clear" w:color="auto" w:fill="auto"/>
            <w:noWrap/>
            <w:vAlign w:val="center"/>
          </w:tcPr>
          <w:p w14:paraId="1C6B21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9.05</w:t>
            </w:r>
          </w:p>
        </w:tc>
        <w:tc>
          <w:tcPr>
            <w:tcW w:w="1760" w:type="dxa"/>
            <w:tcBorders>
              <w:tl2br w:val="nil"/>
              <w:tr2bl w:val="nil"/>
            </w:tcBorders>
            <w:shd w:val="clear" w:color="auto" w:fill="auto"/>
            <w:noWrap/>
            <w:vAlign w:val="center"/>
          </w:tcPr>
          <w:p w14:paraId="23B0EF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9.05</w:t>
            </w:r>
          </w:p>
        </w:tc>
        <w:tc>
          <w:tcPr>
            <w:tcW w:w="531" w:type="dxa"/>
            <w:tcBorders>
              <w:tl2br w:val="nil"/>
              <w:tr2bl w:val="nil"/>
            </w:tcBorders>
            <w:shd w:val="clear" w:color="auto" w:fill="auto"/>
            <w:noWrap/>
            <w:vAlign w:val="center"/>
          </w:tcPr>
          <w:p w14:paraId="3E69A8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8E796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AE298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441C46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坝顶宽</w:t>
            </w:r>
          </w:p>
        </w:tc>
        <w:tc>
          <w:tcPr>
            <w:tcW w:w="835" w:type="dxa"/>
            <w:tcBorders>
              <w:tl2br w:val="nil"/>
              <w:tr2bl w:val="nil"/>
            </w:tcBorders>
            <w:shd w:val="clear" w:color="auto" w:fill="auto"/>
            <w:noWrap/>
            <w:vAlign w:val="center"/>
          </w:tcPr>
          <w:p w14:paraId="22B76E5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81CAD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401" w:type="dxa"/>
            <w:tcBorders>
              <w:tl2br w:val="nil"/>
              <w:tr2bl w:val="nil"/>
            </w:tcBorders>
            <w:shd w:val="clear" w:color="auto" w:fill="auto"/>
            <w:noWrap/>
            <w:vAlign w:val="center"/>
          </w:tcPr>
          <w:p w14:paraId="6009C67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760" w:type="dxa"/>
            <w:tcBorders>
              <w:tl2br w:val="nil"/>
              <w:tr2bl w:val="nil"/>
            </w:tcBorders>
            <w:shd w:val="clear" w:color="auto" w:fill="auto"/>
            <w:noWrap/>
            <w:vAlign w:val="center"/>
          </w:tcPr>
          <w:p w14:paraId="57EB9F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1" w:type="dxa"/>
            <w:tcBorders>
              <w:tl2br w:val="nil"/>
              <w:tr2bl w:val="nil"/>
            </w:tcBorders>
            <w:shd w:val="clear" w:color="auto" w:fill="auto"/>
            <w:noWrap/>
            <w:vAlign w:val="center"/>
          </w:tcPr>
          <w:p w14:paraId="6A25F5D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526E9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F13C53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0674BB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坝顶轴线长</w:t>
            </w:r>
          </w:p>
        </w:tc>
        <w:tc>
          <w:tcPr>
            <w:tcW w:w="835" w:type="dxa"/>
            <w:tcBorders>
              <w:tl2br w:val="nil"/>
              <w:tr2bl w:val="nil"/>
            </w:tcBorders>
            <w:shd w:val="clear" w:color="auto" w:fill="auto"/>
            <w:noWrap/>
            <w:vAlign w:val="center"/>
          </w:tcPr>
          <w:p w14:paraId="498CE53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AB9E8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401" w:type="dxa"/>
            <w:tcBorders>
              <w:tl2br w:val="nil"/>
              <w:tr2bl w:val="nil"/>
            </w:tcBorders>
            <w:shd w:val="clear" w:color="auto" w:fill="auto"/>
            <w:noWrap/>
            <w:vAlign w:val="center"/>
          </w:tcPr>
          <w:p w14:paraId="749B304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1760" w:type="dxa"/>
            <w:tcBorders>
              <w:tl2br w:val="nil"/>
              <w:tr2bl w:val="nil"/>
            </w:tcBorders>
            <w:shd w:val="clear" w:color="auto" w:fill="auto"/>
            <w:noWrap/>
            <w:vAlign w:val="center"/>
          </w:tcPr>
          <w:p w14:paraId="64ED753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31" w:type="dxa"/>
            <w:tcBorders>
              <w:tl2br w:val="nil"/>
              <w:tr2bl w:val="nil"/>
            </w:tcBorders>
            <w:shd w:val="clear" w:color="auto" w:fill="auto"/>
            <w:noWrap/>
            <w:vAlign w:val="center"/>
          </w:tcPr>
          <w:p w14:paraId="5C975B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C3657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2679D3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2530" w:type="dxa"/>
            <w:tcBorders>
              <w:tl2br w:val="nil"/>
              <w:tr2bl w:val="nil"/>
            </w:tcBorders>
            <w:shd w:val="clear" w:color="auto" w:fill="auto"/>
            <w:noWrap/>
            <w:vAlign w:val="center"/>
          </w:tcPr>
          <w:p w14:paraId="3785BB2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泄洪涵闸</w:t>
            </w:r>
          </w:p>
        </w:tc>
        <w:tc>
          <w:tcPr>
            <w:tcW w:w="835" w:type="dxa"/>
            <w:tcBorders>
              <w:tl2br w:val="nil"/>
              <w:tr2bl w:val="nil"/>
            </w:tcBorders>
            <w:shd w:val="clear" w:color="auto" w:fill="auto"/>
            <w:noWrap/>
            <w:vAlign w:val="center"/>
          </w:tcPr>
          <w:p w14:paraId="527301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F8269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0A3616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89437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7F6008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2D043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BA24C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C5909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型式</w:t>
            </w:r>
          </w:p>
        </w:tc>
        <w:tc>
          <w:tcPr>
            <w:tcW w:w="835" w:type="dxa"/>
            <w:tcBorders>
              <w:tl2br w:val="nil"/>
              <w:tr2bl w:val="nil"/>
            </w:tcBorders>
            <w:shd w:val="clear" w:color="auto" w:fill="auto"/>
            <w:noWrap/>
            <w:vAlign w:val="center"/>
          </w:tcPr>
          <w:p w14:paraId="505997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56EE73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w:t>
            </w:r>
          </w:p>
        </w:tc>
        <w:tc>
          <w:tcPr>
            <w:tcW w:w="1401" w:type="dxa"/>
            <w:tcBorders>
              <w:tl2br w:val="nil"/>
              <w:tr2bl w:val="nil"/>
            </w:tcBorders>
            <w:shd w:val="clear" w:color="auto" w:fill="auto"/>
            <w:noWrap/>
            <w:vAlign w:val="center"/>
          </w:tcPr>
          <w:p w14:paraId="51BA0F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w:t>
            </w:r>
          </w:p>
        </w:tc>
        <w:tc>
          <w:tcPr>
            <w:tcW w:w="1760" w:type="dxa"/>
            <w:tcBorders>
              <w:tl2br w:val="nil"/>
              <w:tr2bl w:val="nil"/>
            </w:tcBorders>
            <w:shd w:val="clear" w:color="auto" w:fill="auto"/>
            <w:noWrap/>
            <w:vAlign w:val="center"/>
          </w:tcPr>
          <w:p w14:paraId="719013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w:t>
            </w:r>
          </w:p>
        </w:tc>
        <w:tc>
          <w:tcPr>
            <w:tcW w:w="531" w:type="dxa"/>
            <w:tcBorders>
              <w:tl2br w:val="nil"/>
              <w:tr2bl w:val="nil"/>
            </w:tcBorders>
            <w:shd w:val="clear" w:color="auto" w:fill="auto"/>
            <w:noWrap/>
            <w:vAlign w:val="center"/>
          </w:tcPr>
          <w:p w14:paraId="0BAAFD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D98AA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9CA4A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16791B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底板高程</w:t>
            </w:r>
          </w:p>
        </w:tc>
        <w:tc>
          <w:tcPr>
            <w:tcW w:w="835" w:type="dxa"/>
            <w:tcBorders>
              <w:tl2br w:val="nil"/>
              <w:tr2bl w:val="nil"/>
            </w:tcBorders>
            <w:shd w:val="clear" w:color="auto" w:fill="auto"/>
            <w:noWrap/>
            <w:vAlign w:val="center"/>
          </w:tcPr>
          <w:p w14:paraId="280E54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B6846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401" w:type="dxa"/>
            <w:tcBorders>
              <w:tl2br w:val="nil"/>
              <w:tr2bl w:val="nil"/>
            </w:tcBorders>
            <w:shd w:val="clear" w:color="auto" w:fill="auto"/>
            <w:noWrap/>
            <w:vAlign w:val="center"/>
          </w:tcPr>
          <w:p w14:paraId="39D39E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760" w:type="dxa"/>
            <w:tcBorders>
              <w:tl2br w:val="nil"/>
              <w:tr2bl w:val="nil"/>
            </w:tcBorders>
            <w:shd w:val="clear" w:color="auto" w:fill="auto"/>
            <w:noWrap/>
            <w:vAlign w:val="center"/>
          </w:tcPr>
          <w:p w14:paraId="2CEACA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531" w:type="dxa"/>
            <w:tcBorders>
              <w:tl2br w:val="nil"/>
              <w:tr2bl w:val="nil"/>
            </w:tcBorders>
            <w:shd w:val="clear" w:color="auto" w:fill="auto"/>
            <w:noWrap/>
            <w:vAlign w:val="center"/>
          </w:tcPr>
          <w:p w14:paraId="0CCEFF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A5460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C2B15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7AD2FA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闸孔尺寸</w:t>
            </w:r>
          </w:p>
        </w:tc>
        <w:tc>
          <w:tcPr>
            <w:tcW w:w="835" w:type="dxa"/>
            <w:tcBorders>
              <w:tl2br w:val="nil"/>
              <w:tr2bl w:val="nil"/>
            </w:tcBorders>
            <w:shd w:val="clear" w:color="auto" w:fill="auto"/>
            <w:noWrap/>
            <w:vAlign w:val="center"/>
          </w:tcPr>
          <w:p w14:paraId="4552C1A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38B892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3.5m×4.5m (两孔)</w:t>
            </w:r>
          </w:p>
        </w:tc>
        <w:tc>
          <w:tcPr>
            <w:tcW w:w="1401" w:type="dxa"/>
            <w:tcBorders>
              <w:tl2br w:val="nil"/>
              <w:tr2bl w:val="nil"/>
            </w:tcBorders>
            <w:shd w:val="clear" w:color="auto" w:fill="auto"/>
            <w:noWrap/>
            <w:vAlign w:val="center"/>
          </w:tcPr>
          <w:p w14:paraId="01A170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3.5m×4.0m(两孔)</w:t>
            </w:r>
          </w:p>
        </w:tc>
        <w:tc>
          <w:tcPr>
            <w:tcW w:w="1760" w:type="dxa"/>
            <w:tcBorders>
              <w:tl2br w:val="nil"/>
              <w:tr2bl w:val="nil"/>
            </w:tcBorders>
            <w:shd w:val="clear" w:color="auto" w:fill="auto"/>
            <w:noWrap/>
            <w:vAlign w:val="center"/>
          </w:tcPr>
          <w:p w14:paraId="72A498A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3.5m×4.0m</w:t>
            </w:r>
          </w:p>
          <w:p w14:paraId="07BB81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(两孔)</w:t>
            </w:r>
          </w:p>
        </w:tc>
        <w:tc>
          <w:tcPr>
            <w:tcW w:w="531" w:type="dxa"/>
            <w:tcBorders>
              <w:tl2br w:val="nil"/>
              <w:tr2bl w:val="nil"/>
            </w:tcBorders>
            <w:shd w:val="clear" w:color="auto" w:fill="auto"/>
            <w:noWrap/>
            <w:vAlign w:val="center"/>
          </w:tcPr>
          <w:p w14:paraId="1584CC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25FD9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373C6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14E08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启闭机</w:t>
            </w:r>
          </w:p>
        </w:tc>
        <w:tc>
          <w:tcPr>
            <w:tcW w:w="835" w:type="dxa"/>
            <w:tcBorders>
              <w:tl2br w:val="nil"/>
              <w:tr2bl w:val="nil"/>
            </w:tcBorders>
            <w:shd w:val="clear" w:color="auto" w:fill="auto"/>
            <w:noWrap/>
            <w:vAlign w:val="center"/>
          </w:tcPr>
          <w:p w14:paraId="646FEF1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8A6FC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45337</w:t>
            </w:r>
          </w:p>
        </w:tc>
        <w:tc>
          <w:tcPr>
            <w:tcW w:w="1401" w:type="dxa"/>
            <w:tcBorders>
              <w:tl2br w:val="nil"/>
              <w:tr2bl w:val="nil"/>
            </w:tcBorders>
            <w:shd w:val="clear" w:color="auto" w:fill="auto"/>
            <w:noWrap/>
            <w:vAlign w:val="center"/>
          </w:tcPr>
          <w:p w14:paraId="6A8DD9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45337</w:t>
            </w:r>
          </w:p>
        </w:tc>
        <w:tc>
          <w:tcPr>
            <w:tcW w:w="1760" w:type="dxa"/>
            <w:tcBorders>
              <w:tl2br w:val="nil"/>
              <w:tr2bl w:val="nil"/>
            </w:tcBorders>
            <w:shd w:val="clear" w:color="auto" w:fill="auto"/>
            <w:noWrap/>
            <w:vAlign w:val="center"/>
          </w:tcPr>
          <w:p w14:paraId="55D3F1E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30/2</w:t>
            </w:r>
            <w:r>
              <w:rPr>
                <w:rStyle w:val="120"/>
                <w:rFonts w:hint="default" w:ascii="Times New Roman" w:hAnsi="Times New Roman" w:eastAsia="宋体" w:cs="Times New Roman"/>
                <w:sz w:val="21"/>
                <w:szCs w:val="21"/>
                <w:lang w:val="en-US" w:eastAsia="zh-CN" w:bidi="ar"/>
              </w:rPr>
              <w:t>手电两用螺杆式启闭机操作</w:t>
            </w:r>
          </w:p>
        </w:tc>
        <w:tc>
          <w:tcPr>
            <w:tcW w:w="531" w:type="dxa"/>
            <w:tcBorders>
              <w:tl2br w:val="nil"/>
              <w:tr2bl w:val="nil"/>
            </w:tcBorders>
            <w:shd w:val="clear" w:color="auto" w:fill="auto"/>
            <w:noWrap/>
            <w:vAlign w:val="center"/>
          </w:tcPr>
          <w:p w14:paraId="531A7B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96A54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3B68572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2530" w:type="dxa"/>
            <w:tcBorders>
              <w:tl2br w:val="nil"/>
              <w:tr2bl w:val="nil"/>
            </w:tcBorders>
            <w:shd w:val="clear" w:color="auto" w:fill="auto"/>
            <w:noWrap/>
            <w:vAlign w:val="center"/>
          </w:tcPr>
          <w:p w14:paraId="11279C2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二副坝输水涵</w:t>
            </w:r>
          </w:p>
        </w:tc>
        <w:tc>
          <w:tcPr>
            <w:tcW w:w="835" w:type="dxa"/>
            <w:tcBorders>
              <w:tl2br w:val="nil"/>
              <w:tr2bl w:val="nil"/>
            </w:tcBorders>
            <w:shd w:val="clear" w:color="auto" w:fill="auto"/>
            <w:noWrap/>
            <w:vAlign w:val="center"/>
          </w:tcPr>
          <w:p w14:paraId="3EB4BF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48F141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6956C2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261E80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61C36F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15A08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3CBD87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4DB5E8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管道型式</w:t>
            </w:r>
          </w:p>
        </w:tc>
        <w:tc>
          <w:tcPr>
            <w:tcW w:w="835" w:type="dxa"/>
            <w:tcBorders>
              <w:tl2br w:val="nil"/>
              <w:tr2bl w:val="nil"/>
            </w:tcBorders>
            <w:shd w:val="clear" w:color="auto" w:fill="auto"/>
            <w:noWrap/>
            <w:vAlign w:val="center"/>
          </w:tcPr>
          <w:p w14:paraId="4B8D41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211FC3B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1401" w:type="dxa"/>
            <w:tcBorders>
              <w:tl2br w:val="nil"/>
              <w:tr2bl w:val="nil"/>
            </w:tcBorders>
            <w:shd w:val="clear" w:color="auto" w:fill="auto"/>
            <w:noWrap/>
            <w:vAlign w:val="center"/>
          </w:tcPr>
          <w:p w14:paraId="47A841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1760" w:type="dxa"/>
            <w:tcBorders>
              <w:tl2br w:val="nil"/>
              <w:tr2bl w:val="nil"/>
            </w:tcBorders>
            <w:shd w:val="clear" w:color="auto" w:fill="auto"/>
            <w:noWrap/>
            <w:vAlign w:val="center"/>
          </w:tcPr>
          <w:p w14:paraId="19CAEC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531" w:type="dxa"/>
            <w:tcBorders>
              <w:tl2br w:val="nil"/>
              <w:tr2bl w:val="nil"/>
            </w:tcBorders>
            <w:shd w:val="clear" w:color="auto" w:fill="auto"/>
            <w:noWrap/>
            <w:vAlign w:val="center"/>
          </w:tcPr>
          <w:p w14:paraId="2FA6E9C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80951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519C5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495D23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断面尺寸</w:t>
            </w:r>
          </w:p>
        </w:tc>
        <w:tc>
          <w:tcPr>
            <w:tcW w:w="835" w:type="dxa"/>
            <w:tcBorders>
              <w:tl2br w:val="nil"/>
              <w:tr2bl w:val="nil"/>
            </w:tcBorders>
            <w:shd w:val="clear" w:color="auto" w:fill="auto"/>
            <w:noWrap/>
            <w:vAlign w:val="center"/>
          </w:tcPr>
          <w:p w14:paraId="07B1797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9E623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47FBDA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w:t>
            </w:r>
            <w:r>
              <w:rPr>
                <w:rStyle w:val="120"/>
                <w:rFonts w:hint="default" w:ascii="Times New Roman" w:hAnsi="Times New Roman" w:eastAsia="宋体" w:cs="Times New Roman"/>
                <w:sz w:val="21"/>
                <w:szCs w:val="21"/>
                <w:lang w:val="en-US" w:eastAsia="zh-CN" w:bidi="ar"/>
              </w:rPr>
              <w:t>高)</w:t>
            </w:r>
          </w:p>
        </w:tc>
        <w:tc>
          <w:tcPr>
            <w:tcW w:w="1401" w:type="dxa"/>
            <w:tcBorders>
              <w:tl2br w:val="nil"/>
              <w:tr2bl w:val="nil"/>
            </w:tcBorders>
            <w:shd w:val="clear" w:color="auto" w:fill="auto"/>
            <w:noWrap/>
            <w:vAlign w:val="center"/>
          </w:tcPr>
          <w:p w14:paraId="2D157F6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55AAE23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宽×高)</w:t>
            </w:r>
          </w:p>
        </w:tc>
        <w:tc>
          <w:tcPr>
            <w:tcW w:w="1760" w:type="dxa"/>
            <w:tcBorders>
              <w:tl2br w:val="nil"/>
              <w:tr2bl w:val="nil"/>
            </w:tcBorders>
            <w:shd w:val="clear" w:color="auto" w:fill="auto"/>
            <w:noWrap/>
            <w:vAlign w:val="center"/>
          </w:tcPr>
          <w:p w14:paraId="424668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46B9B67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(宽×高)</w:t>
            </w:r>
          </w:p>
        </w:tc>
        <w:tc>
          <w:tcPr>
            <w:tcW w:w="531" w:type="dxa"/>
            <w:tcBorders>
              <w:tl2br w:val="nil"/>
              <w:tr2bl w:val="nil"/>
            </w:tcBorders>
            <w:shd w:val="clear" w:color="auto" w:fill="auto"/>
            <w:noWrap/>
            <w:vAlign w:val="center"/>
          </w:tcPr>
          <w:p w14:paraId="5D3F83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2A00E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5684F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68C43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长度</w:t>
            </w:r>
          </w:p>
        </w:tc>
        <w:tc>
          <w:tcPr>
            <w:tcW w:w="835" w:type="dxa"/>
            <w:tcBorders>
              <w:tl2br w:val="nil"/>
              <w:tr2bl w:val="nil"/>
            </w:tcBorders>
            <w:shd w:val="clear" w:color="auto" w:fill="auto"/>
            <w:noWrap/>
            <w:vAlign w:val="center"/>
          </w:tcPr>
          <w:p w14:paraId="4FE0C6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71124D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1401" w:type="dxa"/>
            <w:tcBorders>
              <w:tl2br w:val="nil"/>
              <w:tr2bl w:val="nil"/>
            </w:tcBorders>
            <w:shd w:val="clear" w:color="auto" w:fill="auto"/>
            <w:noWrap/>
            <w:vAlign w:val="center"/>
          </w:tcPr>
          <w:p w14:paraId="71C746A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1760" w:type="dxa"/>
            <w:tcBorders>
              <w:tl2br w:val="nil"/>
              <w:tr2bl w:val="nil"/>
            </w:tcBorders>
            <w:shd w:val="clear" w:color="auto" w:fill="auto"/>
            <w:noWrap/>
            <w:vAlign w:val="center"/>
          </w:tcPr>
          <w:p w14:paraId="711BE6F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531" w:type="dxa"/>
            <w:tcBorders>
              <w:tl2br w:val="nil"/>
              <w:tr2bl w:val="nil"/>
            </w:tcBorders>
            <w:shd w:val="clear" w:color="auto" w:fill="auto"/>
            <w:noWrap/>
            <w:vAlign w:val="center"/>
          </w:tcPr>
          <w:p w14:paraId="7E790A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AFF27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3DD3A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4EC80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进口底板高程</w:t>
            </w:r>
          </w:p>
        </w:tc>
        <w:tc>
          <w:tcPr>
            <w:tcW w:w="835" w:type="dxa"/>
            <w:tcBorders>
              <w:tl2br w:val="nil"/>
              <w:tr2bl w:val="nil"/>
            </w:tcBorders>
            <w:shd w:val="clear" w:color="auto" w:fill="auto"/>
            <w:noWrap/>
            <w:vAlign w:val="center"/>
          </w:tcPr>
          <w:p w14:paraId="074A838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28DFD11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401" w:type="dxa"/>
            <w:tcBorders>
              <w:tl2br w:val="nil"/>
              <w:tr2bl w:val="nil"/>
            </w:tcBorders>
            <w:shd w:val="clear" w:color="auto" w:fill="auto"/>
            <w:noWrap/>
            <w:vAlign w:val="center"/>
          </w:tcPr>
          <w:p w14:paraId="36E4A8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760" w:type="dxa"/>
            <w:tcBorders>
              <w:tl2br w:val="nil"/>
              <w:tr2bl w:val="nil"/>
            </w:tcBorders>
            <w:shd w:val="clear" w:color="auto" w:fill="auto"/>
            <w:noWrap/>
            <w:vAlign w:val="center"/>
          </w:tcPr>
          <w:p w14:paraId="19C3DCF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531" w:type="dxa"/>
            <w:tcBorders>
              <w:tl2br w:val="nil"/>
              <w:tr2bl w:val="nil"/>
            </w:tcBorders>
            <w:shd w:val="clear" w:color="auto" w:fill="auto"/>
            <w:noWrap/>
            <w:vAlign w:val="center"/>
          </w:tcPr>
          <w:p w14:paraId="24BA57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13920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33B7CC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BF03E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设计流量</w:t>
            </w:r>
          </w:p>
        </w:tc>
        <w:tc>
          <w:tcPr>
            <w:tcW w:w="835" w:type="dxa"/>
            <w:tcBorders>
              <w:tl2br w:val="nil"/>
              <w:tr2bl w:val="nil"/>
            </w:tcBorders>
            <w:shd w:val="clear" w:color="auto" w:fill="auto"/>
            <w:noWrap/>
            <w:vAlign w:val="center"/>
          </w:tcPr>
          <w:p w14:paraId="31377C2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/s</w:t>
            </w:r>
          </w:p>
        </w:tc>
        <w:tc>
          <w:tcPr>
            <w:tcW w:w="1460" w:type="dxa"/>
            <w:tcBorders>
              <w:tl2br w:val="nil"/>
              <w:tr2bl w:val="nil"/>
            </w:tcBorders>
            <w:shd w:val="clear" w:color="auto" w:fill="auto"/>
            <w:noWrap/>
            <w:vAlign w:val="center"/>
          </w:tcPr>
          <w:p w14:paraId="496270C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01" w:type="dxa"/>
            <w:tcBorders>
              <w:tl2br w:val="nil"/>
              <w:tr2bl w:val="nil"/>
            </w:tcBorders>
            <w:shd w:val="clear" w:color="auto" w:fill="auto"/>
            <w:noWrap/>
            <w:vAlign w:val="center"/>
          </w:tcPr>
          <w:p w14:paraId="5A6A72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60" w:type="dxa"/>
            <w:tcBorders>
              <w:tl2br w:val="nil"/>
              <w:tr2bl w:val="nil"/>
            </w:tcBorders>
            <w:shd w:val="clear" w:color="auto" w:fill="auto"/>
            <w:noWrap/>
            <w:vAlign w:val="center"/>
          </w:tcPr>
          <w:p w14:paraId="6A60E8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31" w:type="dxa"/>
            <w:tcBorders>
              <w:tl2br w:val="nil"/>
              <w:tr2bl w:val="nil"/>
            </w:tcBorders>
            <w:shd w:val="clear" w:color="auto" w:fill="auto"/>
            <w:noWrap/>
            <w:vAlign w:val="center"/>
          </w:tcPr>
          <w:p w14:paraId="487A146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05DAF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9B347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C4BD12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启闭机</w:t>
            </w:r>
          </w:p>
        </w:tc>
        <w:tc>
          <w:tcPr>
            <w:tcW w:w="835" w:type="dxa"/>
            <w:tcBorders>
              <w:tl2br w:val="nil"/>
              <w:tr2bl w:val="nil"/>
            </w:tcBorders>
            <w:shd w:val="clear" w:color="auto" w:fill="auto"/>
            <w:noWrap/>
            <w:vAlign w:val="center"/>
          </w:tcPr>
          <w:p w14:paraId="7453EB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t/台</w:t>
            </w:r>
          </w:p>
        </w:tc>
        <w:tc>
          <w:tcPr>
            <w:tcW w:w="1460" w:type="dxa"/>
            <w:tcBorders>
              <w:tl2br w:val="nil"/>
              <w:tr2bl w:val="nil"/>
            </w:tcBorders>
            <w:shd w:val="clear" w:color="auto" w:fill="auto"/>
            <w:noWrap/>
            <w:vAlign w:val="center"/>
          </w:tcPr>
          <w:p w14:paraId="7D2FC68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r>
              <w:rPr>
                <w:rStyle w:val="120"/>
                <w:rFonts w:hint="default" w:ascii="Times New Roman" w:hAnsi="Times New Roman" w:eastAsia="宋体" w:cs="Times New Roman"/>
                <w:sz w:val="21"/>
                <w:szCs w:val="21"/>
                <w:lang w:val="en-US" w:eastAsia="zh-CN" w:bidi="ar"/>
              </w:rPr>
              <w:t>手动螺杆启闭</w:t>
            </w:r>
          </w:p>
        </w:tc>
        <w:tc>
          <w:tcPr>
            <w:tcW w:w="1401" w:type="dxa"/>
            <w:tcBorders>
              <w:tl2br w:val="nil"/>
              <w:tr2bl w:val="nil"/>
            </w:tcBorders>
            <w:shd w:val="clear" w:color="auto" w:fill="auto"/>
            <w:noWrap/>
            <w:vAlign w:val="center"/>
          </w:tcPr>
          <w:p w14:paraId="74F9F0F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r>
              <w:rPr>
                <w:rStyle w:val="120"/>
                <w:rFonts w:hint="default" w:ascii="Times New Roman" w:hAnsi="Times New Roman" w:eastAsia="宋体" w:cs="Times New Roman"/>
                <w:sz w:val="21"/>
                <w:szCs w:val="21"/>
                <w:lang w:val="en-US" w:eastAsia="zh-CN" w:bidi="ar"/>
              </w:rPr>
              <w:t>手动螺杆启闭</w:t>
            </w:r>
          </w:p>
        </w:tc>
        <w:tc>
          <w:tcPr>
            <w:tcW w:w="1760" w:type="dxa"/>
            <w:tcBorders>
              <w:tl2br w:val="nil"/>
              <w:tr2bl w:val="nil"/>
            </w:tcBorders>
            <w:shd w:val="clear" w:color="auto" w:fill="auto"/>
            <w:noWrap/>
            <w:vAlign w:val="center"/>
          </w:tcPr>
          <w:p w14:paraId="72C357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r>
              <w:rPr>
                <w:rStyle w:val="120"/>
                <w:rFonts w:hint="default" w:ascii="Times New Roman" w:hAnsi="Times New Roman" w:eastAsia="宋体" w:cs="Times New Roman"/>
                <w:sz w:val="21"/>
                <w:szCs w:val="21"/>
                <w:lang w:val="en-US" w:eastAsia="zh-CN" w:bidi="ar"/>
              </w:rPr>
              <w:t>手电两用螺杆式启闭机</w:t>
            </w:r>
          </w:p>
        </w:tc>
        <w:tc>
          <w:tcPr>
            <w:tcW w:w="531" w:type="dxa"/>
            <w:tcBorders>
              <w:tl2br w:val="nil"/>
              <w:tr2bl w:val="nil"/>
            </w:tcBorders>
            <w:shd w:val="clear" w:color="auto" w:fill="auto"/>
            <w:noWrap/>
            <w:vAlign w:val="center"/>
          </w:tcPr>
          <w:p w14:paraId="744917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1CBE8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2B4D7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3.10</w:t>
            </w:r>
          </w:p>
        </w:tc>
        <w:tc>
          <w:tcPr>
            <w:tcW w:w="2530" w:type="dxa"/>
            <w:tcBorders>
              <w:tl2br w:val="nil"/>
              <w:tr2bl w:val="nil"/>
            </w:tcBorders>
            <w:shd w:val="clear" w:color="auto" w:fill="auto"/>
            <w:noWrap/>
            <w:vAlign w:val="center"/>
          </w:tcPr>
          <w:p w14:paraId="1569867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五副坝输水涵</w:t>
            </w:r>
          </w:p>
        </w:tc>
        <w:tc>
          <w:tcPr>
            <w:tcW w:w="835" w:type="dxa"/>
            <w:tcBorders>
              <w:tl2br w:val="nil"/>
              <w:tr2bl w:val="nil"/>
            </w:tcBorders>
            <w:shd w:val="clear" w:color="auto" w:fill="auto"/>
            <w:noWrap/>
            <w:vAlign w:val="center"/>
          </w:tcPr>
          <w:p w14:paraId="2C4A18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6B9F915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53C2BB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7C194D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76AB01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5E7145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BDC3F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9BB7EE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管道型式</w:t>
            </w:r>
          </w:p>
        </w:tc>
        <w:tc>
          <w:tcPr>
            <w:tcW w:w="835" w:type="dxa"/>
            <w:tcBorders>
              <w:tl2br w:val="nil"/>
              <w:tr2bl w:val="nil"/>
            </w:tcBorders>
            <w:shd w:val="clear" w:color="auto" w:fill="auto"/>
            <w:noWrap/>
            <w:vAlign w:val="center"/>
          </w:tcPr>
          <w:p w14:paraId="7532D26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A97142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1401" w:type="dxa"/>
            <w:tcBorders>
              <w:tl2br w:val="nil"/>
              <w:tr2bl w:val="nil"/>
            </w:tcBorders>
            <w:shd w:val="clear" w:color="auto" w:fill="auto"/>
            <w:noWrap/>
            <w:vAlign w:val="center"/>
          </w:tcPr>
          <w:p w14:paraId="6E9D4B2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1760" w:type="dxa"/>
            <w:tcBorders>
              <w:tl2br w:val="nil"/>
              <w:tr2bl w:val="nil"/>
            </w:tcBorders>
            <w:shd w:val="clear" w:color="auto" w:fill="auto"/>
            <w:noWrap/>
            <w:vAlign w:val="center"/>
          </w:tcPr>
          <w:p w14:paraId="27C894F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531" w:type="dxa"/>
            <w:tcBorders>
              <w:tl2br w:val="nil"/>
              <w:tr2bl w:val="nil"/>
            </w:tcBorders>
            <w:shd w:val="clear" w:color="auto" w:fill="auto"/>
            <w:noWrap/>
            <w:vAlign w:val="center"/>
          </w:tcPr>
          <w:p w14:paraId="49E022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8A859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F94F9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037BC8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断面尺寸</w:t>
            </w:r>
          </w:p>
        </w:tc>
        <w:tc>
          <w:tcPr>
            <w:tcW w:w="835" w:type="dxa"/>
            <w:tcBorders>
              <w:tl2br w:val="nil"/>
              <w:tr2bl w:val="nil"/>
            </w:tcBorders>
            <w:shd w:val="clear" w:color="auto" w:fill="auto"/>
            <w:noWrap/>
            <w:vAlign w:val="center"/>
          </w:tcPr>
          <w:p w14:paraId="647D123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716E9D5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0E03739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w:t>
            </w:r>
            <w:r>
              <w:rPr>
                <w:rStyle w:val="120"/>
                <w:rFonts w:hint="default" w:ascii="Times New Roman" w:hAnsi="Times New Roman" w:eastAsia="宋体" w:cs="Times New Roman"/>
                <w:sz w:val="21"/>
                <w:szCs w:val="21"/>
                <w:lang w:val="en-US" w:eastAsia="zh-CN" w:bidi="ar"/>
              </w:rPr>
              <w:t>高)</w:t>
            </w:r>
          </w:p>
        </w:tc>
        <w:tc>
          <w:tcPr>
            <w:tcW w:w="1401" w:type="dxa"/>
            <w:tcBorders>
              <w:tl2br w:val="nil"/>
              <w:tr2bl w:val="nil"/>
            </w:tcBorders>
            <w:shd w:val="clear" w:color="auto" w:fill="auto"/>
            <w:noWrap/>
            <w:vAlign w:val="center"/>
          </w:tcPr>
          <w:p w14:paraId="3C1356D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51786F3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宽×高)</w:t>
            </w:r>
          </w:p>
        </w:tc>
        <w:tc>
          <w:tcPr>
            <w:tcW w:w="1760" w:type="dxa"/>
            <w:tcBorders>
              <w:tl2br w:val="nil"/>
              <w:tr2bl w:val="nil"/>
            </w:tcBorders>
            <w:shd w:val="clear" w:color="auto" w:fill="auto"/>
            <w:noWrap/>
            <w:vAlign w:val="center"/>
          </w:tcPr>
          <w:p w14:paraId="51BD1D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1.5m×2.0m </w:t>
            </w:r>
          </w:p>
          <w:p w14:paraId="6E91C45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(宽×高)</w:t>
            </w:r>
          </w:p>
        </w:tc>
        <w:tc>
          <w:tcPr>
            <w:tcW w:w="531" w:type="dxa"/>
            <w:tcBorders>
              <w:tl2br w:val="nil"/>
              <w:tr2bl w:val="nil"/>
            </w:tcBorders>
            <w:shd w:val="clear" w:color="auto" w:fill="auto"/>
            <w:noWrap/>
            <w:vAlign w:val="center"/>
          </w:tcPr>
          <w:p w14:paraId="4C3CD8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1D938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06C546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5A4E57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长度</w:t>
            </w:r>
          </w:p>
        </w:tc>
        <w:tc>
          <w:tcPr>
            <w:tcW w:w="835" w:type="dxa"/>
            <w:tcBorders>
              <w:tl2br w:val="nil"/>
              <w:tr2bl w:val="nil"/>
            </w:tcBorders>
            <w:shd w:val="clear" w:color="auto" w:fill="auto"/>
            <w:noWrap/>
            <w:vAlign w:val="center"/>
          </w:tcPr>
          <w:p w14:paraId="3C5E5A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22F028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401" w:type="dxa"/>
            <w:tcBorders>
              <w:tl2br w:val="nil"/>
              <w:tr2bl w:val="nil"/>
            </w:tcBorders>
            <w:shd w:val="clear" w:color="auto" w:fill="auto"/>
            <w:noWrap/>
            <w:vAlign w:val="center"/>
          </w:tcPr>
          <w:p w14:paraId="63CDCA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760" w:type="dxa"/>
            <w:tcBorders>
              <w:tl2br w:val="nil"/>
              <w:tr2bl w:val="nil"/>
            </w:tcBorders>
            <w:shd w:val="clear" w:color="auto" w:fill="auto"/>
            <w:noWrap/>
            <w:vAlign w:val="center"/>
          </w:tcPr>
          <w:p w14:paraId="7E3011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531" w:type="dxa"/>
            <w:tcBorders>
              <w:tl2br w:val="nil"/>
              <w:tr2bl w:val="nil"/>
            </w:tcBorders>
            <w:shd w:val="clear" w:color="auto" w:fill="auto"/>
            <w:noWrap/>
            <w:vAlign w:val="center"/>
          </w:tcPr>
          <w:p w14:paraId="2F6C6F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369B1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2F1960A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1F87E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进口底板高程</w:t>
            </w:r>
          </w:p>
        </w:tc>
        <w:tc>
          <w:tcPr>
            <w:tcW w:w="835" w:type="dxa"/>
            <w:tcBorders>
              <w:tl2br w:val="nil"/>
              <w:tr2bl w:val="nil"/>
            </w:tcBorders>
            <w:shd w:val="clear" w:color="auto" w:fill="auto"/>
            <w:noWrap/>
            <w:vAlign w:val="center"/>
          </w:tcPr>
          <w:p w14:paraId="562C463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613E04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401" w:type="dxa"/>
            <w:tcBorders>
              <w:tl2br w:val="nil"/>
              <w:tr2bl w:val="nil"/>
            </w:tcBorders>
            <w:shd w:val="clear" w:color="auto" w:fill="auto"/>
            <w:noWrap/>
            <w:vAlign w:val="center"/>
          </w:tcPr>
          <w:p w14:paraId="27B37F6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760" w:type="dxa"/>
            <w:tcBorders>
              <w:tl2br w:val="nil"/>
              <w:tr2bl w:val="nil"/>
            </w:tcBorders>
            <w:shd w:val="clear" w:color="auto" w:fill="auto"/>
            <w:noWrap/>
            <w:vAlign w:val="center"/>
          </w:tcPr>
          <w:p w14:paraId="3BA5E5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531" w:type="dxa"/>
            <w:tcBorders>
              <w:tl2br w:val="nil"/>
              <w:tr2bl w:val="nil"/>
            </w:tcBorders>
            <w:shd w:val="clear" w:color="auto" w:fill="auto"/>
            <w:noWrap/>
            <w:vAlign w:val="center"/>
          </w:tcPr>
          <w:p w14:paraId="0575D0F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F9198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4964A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E90E67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设计流量</w:t>
            </w:r>
          </w:p>
        </w:tc>
        <w:tc>
          <w:tcPr>
            <w:tcW w:w="835" w:type="dxa"/>
            <w:tcBorders>
              <w:tl2br w:val="nil"/>
              <w:tr2bl w:val="nil"/>
            </w:tcBorders>
            <w:shd w:val="clear" w:color="auto" w:fill="auto"/>
            <w:noWrap/>
            <w:vAlign w:val="center"/>
          </w:tcPr>
          <w:p w14:paraId="5563EB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m³/s</w:t>
            </w:r>
          </w:p>
        </w:tc>
        <w:tc>
          <w:tcPr>
            <w:tcW w:w="1460" w:type="dxa"/>
            <w:tcBorders>
              <w:tl2br w:val="nil"/>
              <w:tr2bl w:val="nil"/>
            </w:tcBorders>
            <w:shd w:val="clear" w:color="auto" w:fill="auto"/>
            <w:noWrap/>
            <w:vAlign w:val="center"/>
          </w:tcPr>
          <w:p w14:paraId="6F2EC7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01" w:type="dxa"/>
            <w:tcBorders>
              <w:tl2br w:val="nil"/>
              <w:tr2bl w:val="nil"/>
            </w:tcBorders>
            <w:shd w:val="clear" w:color="auto" w:fill="auto"/>
            <w:noWrap/>
            <w:vAlign w:val="center"/>
          </w:tcPr>
          <w:p w14:paraId="154725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60" w:type="dxa"/>
            <w:tcBorders>
              <w:tl2br w:val="nil"/>
              <w:tr2bl w:val="nil"/>
            </w:tcBorders>
            <w:shd w:val="clear" w:color="auto" w:fill="auto"/>
            <w:noWrap/>
            <w:vAlign w:val="center"/>
          </w:tcPr>
          <w:p w14:paraId="2694E3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31" w:type="dxa"/>
            <w:tcBorders>
              <w:tl2br w:val="nil"/>
              <w:tr2bl w:val="nil"/>
            </w:tcBorders>
            <w:shd w:val="clear" w:color="auto" w:fill="auto"/>
            <w:noWrap/>
            <w:vAlign w:val="center"/>
          </w:tcPr>
          <w:p w14:paraId="02FD9EA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E715F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1FDB7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3BC46C9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启闭机</w:t>
            </w:r>
          </w:p>
        </w:tc>
        <w:tc>
          <w:tcPr>
            <w:tcW w:w="835" w:type="dxa"/>
            <w:tcBorders>
              <w:tl2br w:val="nil"/>
              <w:tr2bl w:val="nil"/>
            </w:tcBorders>
            <w:shd w:val="clear" w:color="auto" w:fill="auto"/>
            <w:noWrap/>
            <w:vAlign w:val="center"/>
          </w:tcPr>
          <w:p w14:paraId="4FA5CE7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1/台</w:t>
            </w:r>
          </w:p>
        </w:tc>
        <w:tc>
          <w:tcPr>
            <w:tcW w:w="1460" w:type="dxa"/>
            <w:tcBorders>
              <w:tl2br w:val="nil"/>
              <w:tr2bl w:val="nil"/>
            </w:tcBorders>
            <w:shd w:val="clear" w:color="auto" w:fill="auto"/>
            <w:noWrap/>
            <w:vAlign w:val="center"/>
          </w:tcPr>
          <w:p w14:paraId="7330F4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r>
              <w:rPr>
                <w:rStyle w:val="120"/>
                <w:rFonts w:hint="default" w:ascii="Times New Roman" w:hAnsi="Times New Roman" w:eastAsia="宋体" w:cs="Times New Roman"/>
                <w:sz w:val="21"/>
                <w:szCs w:val="21"/>
                <w:lang w:val="en-US" w:eastAsia="zh-CN" w:bidi="ar"/>
              </w:rPr>
              <w:t>手动螺杆</w:t>
            </w:r>
          </w:p>
        </w:tc>
        <w:tc>
          <w:tcPr>
            <w:tcW w:w="1401" w:type="dxa"/>
            <w:tcBorders>
              <w:tl2br w:val="nil"/>
              <w:tr2bl w:val="nil"/>
            </w:tcBorders>
            <w:shd w:val="clear" w:color="auto" w:fill="auto"/>
            <w:noWrap/>
            <w:vAlign w:val="center"/>
          </w:tcPr>
          <w:p w14:paraId="12F1CF2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r>
              <w:rPr>
                <w:rStyle w:val="120"/>
                <w:rFonts w:hint="default" w:ascii="Times New Roman" w:hAnsi="Times New Roman" w:eastAsia="宋体" w:cs="Times New Roman"/>
                <w:sz w:val="21"/>
                <w:szCs w:val="21"/>
                <w:lang w:val="en-US" w:eastAsia="zh-CN" w:bidi="ar"/>
              </w:rPr>
              <w:t>手动螺杆</w:t>
            </w:r>
          </w:p>
        </w:tc>
        <w:tc>
          <w:tcPr>
            <w:tcW w:w="1760" w:type="dxa"/>
            <w:tcBorders>
              <w:tl2br w:val="nil"/>
              <w:tr2bl w:val="nil"/>
            </w:tcBorders>
            <w:shd w:val="clear" w:color="auto" w:fill="auto"/>
            <w:noWrap/>
            <w:vAlign w:val="center"/>
          </w:tcPr>
          <w:p w14:paraId="5F090EF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r>
              <w:rPr>
                <w:rStyle w:val="120"/>
                <w:rFonts w:hint="default" w:ascii="Times New Roman" w:hAnsi="Times New Roman" w:eastAsia="宋体" w:cs="Times New Roman"/>
                <w:sz w:val="21"/>
                <w:szCs w:val="21"/>
                <w:lang w:val="en-US" w:eastAsia="zh-CN" w:bidi="ar"/>
              </w:rPr>
              <w:t>手电两用螺杆式启闭机</w:t>
            </w:r>
          </w:p>
        </w:tc>
        <w:tc>
          <w:tcPr>
            <w:tcW w:w="531" w:type="dxa"/>
            <w:tcBorders>
              <w:tl2br w:val="nil"/>
              <w:tr2bl w:val="nil"/>
            </w:tcBorders>
            <w:shd w:val="clear" w:color="auto" w:fill="auto"/>
            <w:noWrap/>
            <w:vAlign w:val="center"/>
          </w:tcPr>
          <w:p w14:paraId="297B3AA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AEA1A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4798BC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3.11</w:t>
            </w:r>
          </w:p>
        </w:tc>
        <w:tc>
          <w:tcPr>
            <w:tcW w:w="2530" w:type="dxa"/>
            <w:tcBorders>
              <w:tl2br w:val="nil"/>
              <w:tr2bl w:val="nil"/>
            </w:tcBorders>
            <w:shd w:val="clear" w:color="auto" w:fill="auto"/>
            <w:noWrap/>
            <w:vAlign w:val="center"/>
          </w:tcPr>
          <w:p w14:paraId="5BF23A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四副坝进水涵</w:t>
            </w:r>
          </w:p>
        </w:tc>
        <w:tc>
          <w:tcPr>
            <w:tcW w:w="835" w:type="dxa"/>
            <w:tcBorders>
              <w:tl2br w:val="nil"/>
              <w:tr2bl w:val="nil"/>
            </w:tcBorders>
            <w:shd w:val="clear" w:color="auto" w:fill="auto"/>
            <w:noWrap/>
            <w:vAlign w:val="center"/>
          </w:tcPr>
          <w:p w14:paraId="1FD4E2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0ABC62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65BBA0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8647E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2769AE2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F8AB3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597B684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2B94A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管道型式</w:t>
            </w:r>
          </w:p>
        </w:tc>
        <w:tc>
          <w:tcPr>
            <w:tcW w:w="835" w:type="dxa"/>
            <w:tcBorders>
              <w:tl2br w:val="nil"/>
              <w:tr2bl w:val="nil"/>
            </w:tcBorders>
            <w:shd w:val="clear" w:color="auto" w:fill="auto"/>
            <w:noWrap/>
            <w:vAlign w:val="center"/>
          </w:tcPr>
          <w:p w14:paraId="7A112E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40CFAF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钢筋砼箱涵无闸门</w:t>
            </w:r>
          </w:p>
        </w:tc>
        <w:tc>
          <w:tcPr>
            <w:tcW w:w="1401" w:type="dxa"/>
            <w:tcBorders>
              <w:tl2br w:val="nil"/>
              <w:tr2bl w:val="nil"/>
            </w:tcBorders>
            <w:shd w:val="clear" w:color="auto" w:fill="auto"/>
            <w:noWrap/>
            <w:vAlign w:val="center"/>
          </w:tcPr>
          <w:p w14:paraId="31E217E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钢筋砼箱涵无闸门</w:t>
            </w:r>
          </w:p>
        </w:tc>
        <w:tc>
          <w:tcPr>
            <w:tcW w:w="1760" w:type="dxa"/>
            <w:tcBorders>
              <w:tl2br w:val="nil"/>
              <w:tr2bl w:val="nil"/>
            </w:tcBorders>
            <w:shd w:val="clear" w:color="auto" w:fill="auto"/>
            <w:noWrap/>
            <w:vAlign w:val="center"/>
          </w:tcPr>
          <w:p w14:paraId="5ACC4F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531" w:type="dxa"/>
            <w:tcBorders>
              <w:tl2br w:val="nil"/>
              <w:tr2bl w:val="nil"/>
            </w:tcBorders>
            <w:shd w:val="clear" w:color="auto" w:fill="auto"/>
            <w:noWrap/>
            <w:vAlign w:val="center"/>
          </w:tcPr>
          <w:p w14:paraId="3C48CE8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08CCA2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AC682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841C8A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断面尺寸</w:t>
            </w:r>
          </w:p>
        </w:tc>
        <w:tc>
          <w:tcPr>
            <w:tcW w:w="835" w:type="dxa"/>
            <w:tcBorders>
              <w:tl2br w:val="nil"/>
              <w:tr2bl w:val="nil"/>
            </w:tcBorders>
            <w:shd w:val="clear" w:color="auto" w:fill="auto"/>
            <w:noWrap/>
            <w:vAlign w:val="center"/>
          </w:tcPr>
          <w:p w14:paraId="028D12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6F1DC0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365AC6C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w:t>
            </w:r>
            <w:r>
              <w:rPr>
                <w:rStyle w:val="120"/>
                <w:rFonts w:hint="default" w:ascii="Times New Roman" w:hAnsi="Times New Roman" w:eastAsia="宋体" w:cs="Times New Roman"/>
                <w:sz w:val="21"/>
                <w:szCs w:val="21"/>
                <w:lang w:val="en-US" w:eastAsia="zh-CN" w:bidi="ar"/>
              </w:rPr>
              <w:t>高)</w:t>
            </w:r>
          </w:p>
        </w:tc>
        <w:tc>
          <w:tcPr>
            <w:tcW w:w="1401" w:type="dxa"/>
            <w:tcBorders>
              <w:tl2br w:val="nil"/>
              <w:tr2bl w:val="nil"/>
            </w:tcBorders>
            <w:shd w:val="clear" w:color="auto" w:fill="auto"/>
            <w:noWrap/>
            <w:vAlign w:val="center"/>
          </w:tcPr>
          <w:p w14:paraId="7571BE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1.2m×1.8m</w:t>
            </w:r>
          </w:p>
          <w:p w14:paraId="04E9D7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(宽×高)|</w:t>
            </w:r>
          </w:p>
        </w:tc>
        <w:tc>
          <w:tcPr>
            <w:tcW w:w="1760" w:type="dxa"/>
            <w:tcBorders>
              <w:tl2br w:val="nil"/>
              <w:tr2bl w:val="nil"/>
            </w:tcBorders>
            <w:shd w:val="clear" w:color="auto" w:fill="auto"/>
            <w:noWrap/>
            <w:vAlign w:val="center"/>
          </w:tcPr>
          <w:p w14:paraId="6B03A9C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2.5m×2.5m</w:t>
            </w:r>
          </w:p>
          <w:p w14:paraId="4320CB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(宽×高)</w:t>
            </w:r>
          </w:p>
        </w:tc>
        <w:tc>
          <w:tcPr>
            <w:tcW w:w="531" w:type="dxa"/>
            <w:tcBorders>
              <w:tl2br w:val="nil"/>
              <w:tr2bl w:val="nil"/>
            </w:tcBorders>
            <w:shd w:val="clear" w:color="auto" w:fill="auto"/>
            <w:noWrap/>
            <w:vAlign w:val="center"/>
          </w:tcPr>
          <w:p w14:paraId="365D86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1BF91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F7166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517BCB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长度</w:t>
            </w:r>
          </w:p>
        </w:tc>
        <w:tc>
          <w:tcPr>
            <w:tcW w:w="835" w:type="dxa"/>
            <w:tcBorders>
              <w:tl2br w:val="nil"/>
              <w:tr2bl w:val="nil"/>
            </w:tcBorders>
            <w:shd w:val="clear" w:color="auto" w:fill="auto"/>
            <w:noWrap/>
            <w:vAlign w:val="center"/>
          </w:tcPr>
          <w:p w14:paraId="7057FAA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15BB5B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401" w:type="dxa"/>
            <w:tcBorders>
              <w:tl2br w:val="nil"/>
              <w:tr2bl w:val="nil"/>
            </w:tcBorders>
            <w:shd w:val="clear" w:color="auto" w:fill="auto"/>
            <w:noWrap/>
            <w:vAlign w:val="center"/>
          </w:tcPr>
          <w:p w14:paraId="38FE827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760" w:type="dxa"/>
            <w:tcBorders>
              <w:tl2br w:val="nil"/>
              <w:tr2bl w:val="nil"/>
            </w:tcBorders>
            <w:shd w:val="clear" w:color="auto" w:fill="auto"/>
            <w:noWrap/>
            <w:vAlign w:val="center"/>
          </w:tcPr>
          <w:p w14:paraId="2F45C7D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46.17</w:t>
            </w:r>
          </w:p>
        </w:tc>
        <w:tc>
          <w:tcPr>
            <w:tcW w:w="531" w:type="dxa"/>
            <w:tcBorders>
              <w:tl2br w:val="nil"/>
              <w:tr2bl w:val="nil"/>
            </w:tcBorders>
            <w:shd w:val="clear" w:color="auto" w:fill="auto"/>
            <w:noWrap/>
            <w:vAlign w:val="center"/>
          </w:tcPr>
          <w:p w14:paraId="74B978A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7410B4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763F5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5BF3A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进口底板高程</w:t>
            </w:r>
          </w:p>
        </w:tc>
        <w:tc>
          <w:tcPr>
            <w:tcW w:w="835" w:type="dxa"/>
            <w:tcBorders>
              <w:tl2br w:val="nil"/>
              <w:tr2bl w:val="nil"/>
            </w:tcBorders>
            <w:shd w:val="clear" w:color="auto" w:fill="auto"/>
            <w:noWrap/>
            <w:vAlign w:val="center"/>
          </w:tcPr>
          <w:p w14:paraId="45E0084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2213BB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401" w:type="dxa"/>
            <w:tcBorders>
              <w:tl2br w:val="nil"/>
              <w:tr2bl w:val="nil"/>
            </w:tcBorders>
            <w:shd w:val="clear" w:color="auto" w:fill="auto"/>
            <w:noWrap/>
            <w:vAlign w:val="center"/>
          </w:tcPr>
          <w:p w14:paraId="04F24A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760" w:type="dxa"/>
            <w:tcBorders>
              <w:tl2br w:val="nil"/>
              <w:tr2bl w:val="nil"/>
            </w:tcBorders>
            <w:shd w:val="clear" w:color="auto" w:fill="auto"/>
            <w:noWrap/>
            <w:vAlign w:val="center"/>
          </w:tcPr>
          <w:p w14:paraId="13AB2C2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531" w:type="dxa"/>
            <w:tcBorders>
              <w:tl2br w:val="nil"/>
              <w:tr2bl w:val="nil"/>
            </w:tcBorders>
            <w:shd w:val="clear" w:color="auto" w:fill="auto"/>
            <w:noWrap/>
            <w:vAlign w:val="center"/>
          </w:tcPr>
          <w:p w14:paraId="191416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BF109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8D1829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50F4FBB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设计流量</w:t>
            </w:r>
          </w:p>
        </w:tc>
        <w:tc>
          <w:tcPr>
            <w:tcW w:w="835" w:type="dxa"/>
            <w:tcBorders>
              <w:tl2br w:val="nil"/>
              <w:tr2bl w:val="nil"/>
            </w:tcBorders>
            <w:shd w:val="clear" w:color="auto" w:fill="auto"/>
            <w:noWrap/>
            <w:vAlign w:val="center"/>
          </w:tcPr>
          <w:p w14:paraId="401FC26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m²/s</w:t>
            </w:r>
          </w:p>
        </w:tc>
        <w:tc>
          <w:tcPr>
            <w:tcW w:w="1460" w:type="dxa"/>
            <w:tcBorders>
              <w:tl2br w:val="nil"/>
              <w:tr2bl w:val="nil"/>
            </w:tcBorders>
            <w:shd w:val="clear" w:color="auto" w:fill="auto"/>
            <w:noWrap/>
            <w:vAlign w:val="center"/>
          </w:tcPr>
          <w:p w14:paraId="4923782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336B5E5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463EF40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531" w:type="dxa"/>
            <w:tcBorders>
              <w:tl2br w:val="nil"/>
              <w:tr2bl w:val="nil"/>
            </w:tcBorders>
            <w:shd w:val="clear" w:color="auto" w:fill="auto"/>
            <w:noWrap/>
            <w:vAlign w:val="center"/>
          </w:tcPr>
          <w:p w14:paraId="48B83BE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32BA29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48E71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D6D29B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启闭机</w:t>
            </w:r>
          </w:p>
        </w:tc>
        <w:tc>
          <w:tcPr>
            <w:tcW w:w="835" w:type="dxa"/>
            <w:tcBorders>
              <w:tl2br w:val="nil"/>
              <w:tr2bl w:val="nil"/>
            </w:tcBorders>
            <w:shd w:val="clear" w:color="auto" w:fill="auto"/>
            <w:noWrap/>
            <w:vAlign w:val="center"/>
          </w:tcPr>
          <w:p w14:paraId="7DA006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1/台</w:t>
            </w:r>
          </w:p>
        </w:tc>
        <w:tc>
          <w:tcPr>
            <w:tcW w:w="1460" w:type="dxa"/>
            <w:tcBorders>
              <w:tl2br w:val="nil"/>
              <w:tr2bl w:val="nil"/>
            </w:tcBorders>
            <w:shd w:val="clear" w:color="auto" w:fill="auto"/>
            <w:noWrap/>
            <w:vAlign w:val="center"/>
          </w:tcPr>
          <w:p w14:paraId="16ACF4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7EE582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418EAF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45311</w:t>
            </w:r>
          </w:p>
        </w:tc>
        <w:tc>
          <w:tcPr>
            <w:tcW w:w="531" w:type="dxa"/>
            <w:tcBorders>
              <w:tl2br w:val="nil"/>
              <w:tr2bl w:val="nil"/>
            </w:tcBorders>
            <w:shd w:val="clear" w:color="auto" w:fill="auto"/>
            <w:noWrap/>
            <w:vAlign w:val="center"/>
          </w:tcPr>
          <w:p w14:paraId="3EA48E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16B60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CF0CB7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2530" w:type="dxa"/>
            <w:tcBorders>
              <w:tl2br w:val="nil"/>
              <w:tr2bl w:val="nil"/>
            </w:tcBorders>
            <w:shd w:val="clear" w:color="auto" w:fill="auto"/>
            <w:noWrap/>
            <w:vAlign w:val="center"/>
          </w:tcPr>
          <w:p w14:paraId="016A2D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五副坝进水涵</w:t>
            </w:r>
          </w:p>
        </w:tc>
        <w:tc>
          <w:tcPr>
            <w:tcW w:w="835" w:type="dxa"/>
            <w:tcBorders>
              <w:tl2br w:val="nil"/>
              <w:tr2bl w:val="nil"/>
            </w:tcBorders>
            <w:shd w:val="clear" w:color="auto" w:fill="auto"/>
            <w:noWrap/>
            <w:vAlign w:val="center"/>
          </w:tcPr>
          <w:p w14:paraId="7BC010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16CF167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659466C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720906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531" w:type="dxa"/>
            <w:tcBorders>
              <w:tl2br w:val="nil"/>
              <w:tr2bl w:val="nil"/>
            </w:tcBorders>
            <w:shd w:val="clear" w:color="auto" w:fill="auto"/>
            <w:noWrap/>
            <w:vAlign w:val="center"/>
          </w:tcPr>
          <w:p w14:paraId="2BAFAF5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8D422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123ABD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8C35B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管道型式</w:t>
            </w:r>
          </w:p>
        </w:tc>
        <w:tc>
          <w:tcPr>
            <w:tcW w:w="835" w:type="dxa"/>
            <w:tcBorders>
              <w:tl2br w:val="nil"/>
              <w:tr2bl w:val="nil"/>
            </w:tcBorders>
            <w:shd w:val="clear" w:color="auto" w:fill="auto"/>
            <w:noWrap/>
            <w:vAlign w:val="center"/>
          </w:tcPr>
          <w:p w14:paraId="04E8A4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3878C16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预制砼圆涵管</w:t>
            </w:r>
            <w:r>
              <w:rPr>
                <w:rStyle w:val="120"/>
                <w:rFonts w:hint="default" w:ascii="Times New Roman" w:hAnsi="Times New Roman" w:eastAsia="宋体" w:cs="Times New Roman"/>
                <w:sz w:val="21"/>
                <w:szCs w:val="21"/>
                <w:lang w:val="en-US" w:eastAsia="zh-CN" w:bidi="ar"/>
              </w:rPr>
              <w:t>无闸门</w:t>
            </w:r>
          </w:p>
        </w:tc>
        <w:tc>
          <w:tcPr>
            <w:tcW w:w="1401" w:type="dxa"/>
            <w:tcBorders>
              <w:tl2br w:val="nil"/>
              <w:tr2bl w:val="nil"/>
            </w:tcBorders>
            <w:shd w:val="clear" w:color="auto" w:fill="auto"/>
            <w:noWrap/>
            <w:vAlign w:val="center"/>
          </w:tcPr>
          <w:p w14:paraId="134183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预制砼圆涵管</w:t>
            </w:r>
            <w:r>
              <w:rPr>
                <w:rStyle w:val="120"/>
                <w:rFonts w:hint="default" w:ascii="Times New Roman" w:hAnsi="Times New Roman" w:eastAsia="宋体" w:cs="Times New Roman"/>
                <w:sz w:val="21"/>
                <w:szCs w:val="21"/>
                <w:lang w:val="en-US" w:eastAsia="zh-CN" w:bidi="ar"/>
              </w:rPr>
              <w:t>无闸门</w:t>
            </w:r>
          </w:p>
        </w:tc>
        <w:tc>
          <w:tcPr>
            <w:tcW w:w="1760" w:type="dxa"/>
            <w:tcBorders>
              <w:tl2br w:val="nil"/>
              <w:tr2bl w:val="nil"/>
            </w:tcBorders>
            <w:shd w:val="clear" w:color="auto" w:fill="auto"/>
            <w:noWrap/>
            <w:vAlign w:val="center"/>
          </w:tcPr>
          <w:p w14:paraId="16C0B0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钢筋砼箱涵钢质平板闸门</w:t>
            </w:r>
          </w:p>
        </w:tc>
        <w:tc>
          <w:tcPr>
            <w:tcW w:w="531" w:type="dxa"/>
            <w:tcBorders>
              <w:tl2br w:val="nil"/>
              <w:tr2bl w:val="nil"/>
            </w:tcBorders>
            <w:shd w:val="clear" w:color="auto" w:fill="auto"/>
            <w:noWrap/>
            <w:vAlign w:val="center"/>
          </w:tcPr>
          <w:p w14:paraId="103CCD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6FC6C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2A603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75E335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断面尺寸</w:t>
            </w:r>
          </w:p>
        </w:tc>
        <w:tc>
          <w:tcPr>
            <w:tcW w:w="835" w:type="dxa"/>
            <w:tcBorders>
              <w:tl2br w:val="nil"/>
              <w:tr2bl w:val="nil"/>
            </w:tcBorders>
            <w:shd w:val="clear" w:color="auto" w:fill="auto"/>
            <w:noWrap/>
            <w:vAlign w:val="center"/>
          </w:tcPr>
          <w:p w14:paraId="7DDD59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60" w:type="dxa"/>
            <w:tcBorders>
              <w:tl2br w:val="nil"/>
              <w:tr2bl w:val="nil"/>
            </w:tcBorders>
            <w:shd w:val="clear" w:color="auto" w:fill="auto"/>
            <w:noWrap/>
            <w:vAlign w:val="center"/>
          </w:tcPr>
          <w:p w14:paraId="63DFF79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内径:1.5m</w:t>
            </w:r>
          </w:p>
        </w:tc>
        <w:tc>
          <w:tcPr>
            <w:tcW w:w="1401" w:type="dxa"/>
            <w:tcBorders>
              <w:tl2br w:val="nil"/>
              <w:tr2bl w:val="nil"/>
            </w:tcBorders>
            <w:shd w:val="clear" w:color="auto" w:fill="auto"/>
            <w:noWrap/>
            <w:vAlign w:val="center"/>
          </w:tcPr>
          <w:p w14:paraId="6C850E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内径:1.5m</w:t>
            </w:r>
          </w:p>
        </w:tc>
        <w:tc>
          <w:tcPr>
            <w:tcW w:w="1760" w:type="dxa"/>
            <w:tcBorders>
              <w:tl2br w:val="nil"/>
              <w:tr2bl w:val="nil"/>
            </w:tcBorders>
            <w:shd w:val="clear" w:color="auto" w:fill="auto"/>
            <w:noWrap/>
            <w:vAlign w:val="center"/>
          </w:tcPr>
          <w:p w14:paraId="793B710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2.5m×2.5m</w:t>
            </w:r>
          </w:p>
          <w:p w14:paraId="45EEE26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(宽×高)</w:t>
            </w:r>
          </w:p>
        </w:tc>
        <w:tc>
          <w:tcPr>
            <w:tcW w:w="531" w:type="dxa"/>
            <w:tcBorders>
              <w:tl2br w:val="nil"/>
              <w:tr2bl w:val="nil"/>
            </w:tcBorders>
            <w:shd w:val="clear" w:color="auto" w:fill="auto"/>
            <w:noWrap/>
            <w:vAlign w:val="center"/>
          </w:tcPr>
          <w:p w14:paraId="6C3E5F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238D37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DB0F19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18737BC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长度</w:t>
            </w:r>
          </w:p>
        </w:tc>
        <w:tc>
          <w:tcPr>
            <w:tcW w:w="835" w:type="dxa"/>
            <w:tcBorders>
              <w:tl2br w:val="nil"/>
              <w:tr2bl w:val="nil"/>
            </w:tcBorders>
            <w:shd w:val="clear" w:color="auto" w:fill="auto"/>
            <w:noWrap/>
            <w:vAlign w:val="center"/>
          </w:tcPr>
          <w:p w14:paraId="42C9F1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72CFAA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401" w:type="dxa"/>
            <w:tcBorders>
              <w:tl2br w:val="nil"/>
              <w:tr2bl w:val="nil"/>
            </w:tcBorders>
            <w:shd w:val="clear" w:color="auto" w:fill="auto"/>
            <w:noWrap/>
            <w:vAlign w:val="center"/>
          </w:tcPr>
          <w:p w14:paraId="3E6137B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760" w:type="dxa"/>
            <w:tcBorders>
              <w:tl2br w:val="nil"/>
              <w:tr2bl w:val="nil"/>
            </w:tcBorders>
            <w:shd w:val="clear" w:color="auto" w:fill="auto"/>
            <w:noWrap/>
            <w:vAlign w:val="center"/>
          </w:tcPr>
          <w:p w14:paraId="55BBB27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531" w:type="dxa"/>
            <w:tcBorders>
              <w:tl2br w:val="nil"/>
              <w:tr2bl w:val="nil"/>
            </w:tcBorders>
            <w:shd w:val="clear" w:color="auto" w:fill="auto"/>
            <w:noWrap/>
            <w:vAlign w:val="center"/>
          </w:tcPr>
          <w:p w14:paraId="5B4C10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413840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039435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666389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进口底板高程</w:t>
            </w:r>
          </w:p>
        </w:tc>
        <w:tc>
          <w:tcPr>
            <w:tcW w:w="835" w:type="dxa"/>
            <w:tcBorders>
              <w:tl2br w:val="nil"/>
              <w:tr2bl w:val="nil"/>
            </w:tcBorders>
            <w:shd w:val="clear" w:color="auto" w:fill="auto"/>
            <w:noWrap/>
            <w:vAlign w:val="center"/>
          </w:tcPr>
          <w:p w14:paraId="533240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1460" w:type="dxa"/>
            <w:tcBorders>
              <w:tl2br w:val="nil"/>
              <w:tr2bl w:val="nil"/>
            </w:tcBorders>
            <w:shd w:val="clear" w:color="auto" w:fill="auto"/>
            <w:noWrap/>
            <w:vAlign w:val="center"/>
          </w:tcPr>
          <w:p w14:paraId="2A2DFF2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401" w:type="dxa"/>
            <w:tcBorders>
              <w:tl2br w:val="nil"/>
              <w:tr2bl w:val="nil"/>
            </w:tcBorders>
            <w:shd w:val="clear" w:color="auto" w:fill="auto"/>
            <w:noWrap/>
            <w:vAlign w:val="center"/>
          </w:tcPr>
          <w:p w14:paraId="78640C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760" w:type="dxa"/>
            <w:tcBorders>
              <w:tl2br w:val="nil"/>
              <w:tr2bl w:val="nil"/>
            </w:tcBorders>
            <w:shd w:val="clear" w:color="auto" w:fill="auto"/>
            <w:noWrap/>
            <w:vAlign w:val="center"/>
          </w:tcPr>
          <w:p w14:paraId="01D5D7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531" w:type="dxa"/>
            <w:tcBorders>
              <w:tl2br w:val="nil"/>
              <w:tr2bl w:val="nil"/>
            </w:tcBorders>
            <w:shd w:val="clear" w:color="auto" w:fill="auto"/>
            <w:noWrap/>
            <w:vAlign w:val="center"/>
          </w:tcPr>
          <w:p w14:paraId="341D4D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1F1D5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60497A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439A20C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设计流量</w:t>
            </w:r>
          </w:p>
        </w:tc>
        <w:tc>
          <w:tcPr>
            <w:tcW w:w="835" w:type="dxa"/>
            <w:tcBorders>
              <w:tl2br w:val="nil"/>
              <w:tr2bl w:val="nil"/>
            </w:tcBorders>
            <w:shd w:val="clear" w:color="auto" w:fill="auto"/>
            <w:noWrap/>
            <w:vAlign w:val="center"/>
          </w:tcPr>
          <w:p w14:paraId="5E55D4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m²/s</w:t>
            </w:r>
          </w:p>
        </w:tc>
        <w:tc>
          <w:tcPr>
            <w:tcW w:w="1460" w:type="dxa"/>
            <w:tcBorders>
              <w:tl2br w:val="nil"/>
              <w:tr2bl w:val="nil"/>
            </w:tcBorders>
            <w:shd w:val="clear" w:color="auto" w:fill="auto"/>
            <w:noWrap/>
            <w:vAlign w:val="center"/>
          </w:tcPr>
          <w:p w14:paraId="687DD3A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0A74F7C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63AD677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531" w:type="dxa"/>
            <w:tcBorders>
              <w:tl2br w:val="nil"/>
              <w:tr2bl w:val="nil"/>
            </w:tcBorders>
            <w:shd w:val="clear" w:color="auto" w:fill="auto"/>
            <w:noWrap/>
            <w:vAlign w:val="center"/>
          </w:tcPr>
          <w:p w14:paraId="4C2B9B7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14:paraId="637BC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l2br w:val="nil"/>
              <w:tr2bl w:val="nil"/>
            </w:tcBorders>
            <w:shd w:val="clear" w:color="auto" w:fill="auto"/>
            <w:noWrap/>
            <w:vAlign w:val="center"/>
          </w:tcPr>
          <w:p w14:paraId="7996E7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530" w:type="dxa"/>
            <w:tcBorders>
              <w:tl2br w:val="nil"/>
              <w:tr2bl w:val="nil"/>
            </w:tcBorders>
            <w:shd w:val="clear" w:color="auto" w:fill="auto"/>
            <w:noWrap/>
            <w:vAlign w:val="center"/>
          </w:tcPr>
          <w:p w14:paraId="28FAA69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启闭机</w:t>
            </w:r>
          </w:p>
        </w:tc>
        <w:tc>
          <w:tcPr>
            <w:tcW w:w="835" w:type="dxa"/>
            <w:tcBorders>
              <w:tl2br w:val="nil"/>
              <w:tr2bl w:val="nil"/>
            </w:tcBorders>
            <w:shd w:val="clear" w:color="auto" w:fill="auto"/>
            <w:noWrap/>
            <w:vAlign w:val="center"/>
          </w:tcPr>
          <w:p w14:paraId="3AF87C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1/台</w:t>
            </w:r>
          </w:p>
        </w:tc>
        <w:tc>
          <w:tcPr>
            <w:tcW w:w="1460" w:type="dxa"/>
            <w:tcBorders>
              <w:tl2br w:val="nil"/>
              <w:tr2bl w:val="nil"/>
            </w:tcBorders>
            <w:shd w:val="clear" w:color="auto" w:fill="auto"/>
            <w:noWrap/>
            <w:vAlign w:val="center"/>
          </w:tcPr>
          <w:p w14:paraId="047D1EB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401" w:type="dxa"/>
            <w:tcBorders>
              <w:tl2br w:val="nil"/>
              <w:tr2bl w:val="nil"/>
            </w:tcBorders>
            <w:shd w:val="clear" w:color="auto" w:fill="auto"/>
            <w:noWrap/>
            <w:vAlign w:val="center"/>
          </w:tcPr>
          <w:p w14:paraId="7DE04C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60" w:type="dxa"/>
            <w:tcBorders>
              <w:tl2br w:val="nil"/>
              <w:tr2bl w:val="nil"/>
            </w:tcBorders>
            <w:shd w:val="clear" w:color="auto" w:fill="auto"/>
            <w:noWrap/>
            <w:vAlign w:val="center"/>
          </w:tcPr>
          <w:p w14:paraId="155540A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45311</w:t>
            </w:r>
          </w:p>
        </w:tc>
        <w:tc>
          <w:tcPr>
            <w:tcW w:w="531" w:type="dxa"/>
            <w:tcBorders>
              <w:tl2br w:val="nil"/>
              <w:tr2bl w:val="nil"/>
            </w:tcBorders>
            <w:shd w:val="clear" w:color="auto" w:fill="auto"/>
            <w:noWrap/>
            <w:vAlign w:val="center"/>
          </w:tcPr>
          <w:p w14:paraId="6BE1B3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bl>
    <w:p w14:paraId="659E0E4C">
      <w:pPr>
        <w:pageBreakBefore w:val="0"/>
        <w:kinsoku w:val="0"/>
        <w:wordWrap w:val="0"/>
        <w:overflowPunct/>
        <w:topLinePunct/>
        <w:autoSpaceDE/>
        <w:autoSpaceDN/>
        <w:bidi w:val="0"/>
        <w:adjustRightInd w:val="0"/>
        <w:spacing w:line="240" w:lineRule="auto"/>
        <w:jc w:val="center"/>
        <w:rPr>
          <w:rFonts w:hint="eastAsia" w:ascii="Times New Roman" w:hAnsi="Times New Roman" w:eastAsia="宋体" w:cs="Times New Roman"/>
          <w:b/>
          <w:caps w:val="0"/>
          <w:smallCaps w:val="0"/>
          <w:color w:val="FF0000"/>
          <w:spacing w:val="0"/>
          <w:w w:val="100"/>
          <w:kern w:val="0"/>
          <w:position w:val="0"/>
          <w:sz w:val="24"/>
          <w:szCs w:val="24"/>
          <w:u w:val="none" w:color="auto"/>
          <w:lang w:val="en-US" w:eastAsia="zh-CN"/>
        </w:rPr>
      </w:pPr>
    </w:p>
    <w:p w14:paraId="6E3CFD02">
      <w:pPr>
        <w:pStyle w:val="4"/>
        <w:bidi w:val="0"/>
        <w:rPr>
          <w:rFonts w:hint="default" w:ascii="Times New Roman" w:hAnsi="Times New Roman" w:cs="Times New Roman"/>
          <w:u w:val="none" w:color="auto"/>
          <w:lang w:eastAsia="zh-CN"/>
        </w:rPr>
      </w:pPr>
      <w:bookmarkStart w:id="95" w:name="_Toc26593"/>
      <w:r>
        <w:rPr>
          <w:rFonts w:hint="eastAsia" w:ascii="Times New Roman" w:hAnsi="Times New Roman" w:cs="Times New Roman"/>
          <w:u w:val="none" w:color="auto"/>
          <w:lang w:eastAsia="zh-CN"/>
        </w:rPr>
        <w:t>北汊水库</w:t>
      </w:r>
      <w:r>
        <w:rPr>
          <w:rFonts w:hint="default" w:ascii="Times New Roman" w:hAnsi="Times New Roman" w:cs="Times New Roman"/>
          <w:u w:val="none" w:color="auto"/>
          <w:lang w:eastAsia="zh-CN"/>
        </w:rPr>
        <w:t>历年除险加固情况</w:t>
      </w:r>
      <w:r>
        <w:rPr>
          <w:rFonts w:hint="eastAsia" w:ascii="Times New Roman" w:hAnsi="Times New Roman" w:cs="Times New Roman"/>
          <w:u w:val="none" w:color="auto"/>
          <w:lang w:eastAsia="zh-CN"/>
        </w:rPr>
        <w:t>及遗留问题</w:t>
      </w:r>
      <w:bookmarkEnd w:id="95"/>
    </w:p>
    <w:p w14:paraId="71687450">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（1）2008年除险加固 </w:t>
      </w:r>
    </w:p>
    <w:p w14:paraId="321A4DDE">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2008年12月28日北汊水库除险加固主体工程正式开工，并于2009年12月31日完工。除险加固工程主要建设内容为：主坝冲抓回填、上游坝坡护坡加固、坝体加高培厚、坝体路面硬化、下游贴坡排水等；一～六副坝冲抓回填、上游坝坡护坡加固、坝体加高培厚加固、下游贴坡排水等；泄洪闸重建，泄洪渠衬砌；二、三、四副坝输水涵管重建，更换闸门及启闭设施；改建管理所现有办公、生活危房；防汛公路路面硬化；完善大坝安全监测设施。</w:t>
      </w:r>
    </w:p>
    <w:p w14:paraId="48184702">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2010年11月3～4日，湖南省水利厅组织相关参建单位和有关专家对北汊水库除险加固工程进行了竣工验收，形成了华容县北汊水库除险加固工程竣工验收鉴定书。</w:t>
      </w:r>
    </w:p>
    <w:p w14:paraId="33A98D21">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2019年10月16日，岳阳市水利局印发《关于印发华容县东山水库、北汊水库除险加固工程竣工验收鉴定书的通知》（岳市水利函[2019]107号），北汊水库本次除险加固初步设计工程设计及计划工程项目基本完成。存在的遗留问题为：防汛车船、旧房改造、防汛公路U型渠排水沟、1#副坝砼踏步、泄洪闸不锈钢拦杆等项目没有完成</w:t>
      </w:r>
    </w:p>
    <w:p w14:paraId="04F47845">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（2）2016年大坝高喷防渗处理</w:t>
      </w:r>
    </w:p>
    <w:p w14:paraId="7641A1A0">
      <w:pPr>
        <w:keepNext w:val="0"/>
        <w:keepLines w:val="0"/>
        <w:pageBreakBefore w:val="0"/>
        <w:widowControl w:val="0"/>
        <w:numPr>
          <w:ilvl w:val="0"/>
          <w:numId w:val="0"/>
        </w:numPr>
        <w:kinsoku/>
        <w:wordWrap w:val="0"/>
        <w:overflowPunct/>
        <w:topLinePunct/>
        <w:autoSpaceDE/>
        <w:autoSpaceDN/>
        <w:bidi w:val="0"/>
        <w:adjustRightInd w:val="0"/>
        <w:snapToGrid/>
        <w:spacing w:after="0" w:line="360" w:lineRule="auto"/>
        <w:ind w:firstLine="480" w:firstLineChars="200"/>
        <w:jc w:val="both"/>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2016年汛期，主坝桩号K0+000～K0+030、桩号K0+050～K0+340段坝体、坝基渗漏十分严重。当年汛期在大坝下游平台高程32.18m的坡脚，因大坝渗漏出现鼓水，采取了压砂石应急处理（防汛抢险处理措施）。汛后对大坝渗漏严重坝段采用高喷灌浆处理，2017年4月对主坝桩号0+150-0+200坝段进行了高喷防渗处理，高喷灌浆高程23-33m（为坝体及坝体与淤泥质粘土接触带），灌浆轴线在大坝坝顶靠上游1m处，实施时库水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28.3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m</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p>
    <w:p w14:paraId="50787C58">
      <w:pPr>
        <w:pStyle w:val="4"/>
        <w:bidi w:val="0"/>
        <w:rPr>
          <w:rFonts w:hint="default" w:ascii="Times New Roman" w:hAnsi="Times New Roman" w:cs="Times New Roman"/>
          <w:u w:val="none" w:color="auto"/>
          <w:lang w:eastAsia="zh-CN"/>
        </w:rPr>
      </w:pPr>
      <w:bookmarkStart w:id="96" w:name="_Toc9064"/>
      <w:r>
        <w:rPr>
          <w:rFonts w:hint="default" w:ascii="Times New Roman" w:hAnsi="Times New Roman" w:cs="Times New Roman"/>
          <w:u w:val="none" w:color="auto"/>
          <w:lang w:eastAsia="zh-CN"/>
        </w:rPr>
        <w:t>除险加固的必要性</w:t>
      </w:r>
      <w:bookmarkEnd w:id="96"/>
    </w:p>
    <w:p w14:paraId="7D7769E5">
      <w:pPr>
        <w:pStyle w:val="5"/>
        <w:bidi w:val="0"/>
        <w:rPr>
          <w:rFonts w:hint="default"/>
          <w:lang w:val="en-US" w:eastAsia="zh-CN"/>
        </w:rPr>
      </w:pPr>
      <w:r>
        <w:rPr>
          <w:rFonts w:hint="default"/>
          <w:lang w:val="en-US" w:eastAsia="zh-CN"/>
        </w:rPr>
        <w:t xml:space="preserve">工程现状 </w:t>
      </w:r>
    </w:p>
    <w:p w14:paraId="780D370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北汊水库是一座低土坝、大库容的平原型水库，大坝始建于1975年，1978年建成，后经2009年除险加固。水库主要建筑物为主坝、副坝、泄洪闸、输水涵闸和进水涵等。</w:t>
      </w:r>
    </w:p>
    <w:p w14:paraId="431569F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（1）主坝</w:t>
      </w:r>
    </w:p>
    <w:p w14:paraId="67F335C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主坝为均质土坝，坝顶轴线长1455m，坝顶宽4.5m，最大坝高11.0m；一副坝坝顶轴线长200m，坝顶宽4m，最大坝高9.57m。</w:t>
      </w:r>
    </w:p>
    <w:p w14:paraId="3B00DE3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（2）副坝</w:t>
      </w:r>
    </w:p>
    <w:p w14:paraId="2BF9112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座副坝均为均质土坝，一副坝坝顶轴线长200m，坝顶宽4m，最大坝高9.57m；二副坝坝顶轴线长290m，坝顶宽3.3m，最大坝高8.5m；三副坝坝顶轴线长250m，坝顶宽3.5m，最大坝高9.0m；四副坝坝顶轴线长260m，坝顶宽4.3m，最大坝高8.0m；五副坝坝顶轴线长300m，坝顶宽4m，最大坝高8.5m；六副坝坝顶轴线长220m，坝顶宽4m，最大坝高9.05m。</w:t>
      </w:r>
    </w:p>
    <w:p w14:paraId="07BA6CC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（3）泄洪闸</w:t>
      </w:r>
    </w:p>
    <w:p w14:paraId="6CE9269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泄洪闸位于一副坝左侧，为两孔钢筋砼箱涵，闸孔尺寸为3.5m×4.0m（宽×高），长18m，进口底板高程27m，钢质平板闸门，2台15t螺杆手电两用启闭机启闭。</w:t>
      </w:r>
    </w:p>
    <w:p w14:paraId="56893F2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（4）输水涵闸</w:t>
      </w:r>
    </w:p>
    <w:p w14:paraId="7BFAB38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输水涵闸（桩号0+055），结构为钢筋砼箱涵，闸孔尺寸为1.2m×1.8m（宽×高），长28.5m，底板高程27.5m，钢质平板闸门，1台8t螺杆手摇启闭机启闭，设计流量1m3/s。五副坝输水涵闸（桩号0+289），结构为钢筋砼箱涵，闸孔尺寸为1.2m×1.8m（宽×高），长23m，底板高程27.5m，钢质平板闸门，1台8t螺杆手摇启闭机启闭，设计流量1m3/s。</w:t>
      </w:r>
    </w:p>
    <w:p w14:paraId="277B565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（5）进水涵</w:t>
      </w:r>
    </w:p>
    <w:p w14:paraId="744017C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进水涵（桩号0+202），结构为钢筋砼箱涵，闸孔尺寸为1.2m×1.8m（宽×高）双孔，长22m，底板高程27.5m，无启闭设施。五副坝进水涵位于五副坝（桩号0+198），结构为预制砼圆涵管，内径为1.5m双孔，长22m，底板高程27.5m，无启闭设施。</w:t>
      </w:r>
    </w:p>
    <w:p w14:paraId="471B603C">
      <w:pPr>
        <w:pStyle w:val="5"/>
        <w:bidi w:val="0"/>
        <w:rPr>
          <w:rFonts w:hint="default" w:eastAsia="宋体"/>
          <w:lang w:val="en-US" w:eastAsia="zh-CN"/>
        </w:rPr>
      </w:pPr>
      <w:r>
        <w:rPr>
          <w:rFonts w:hint="default" w:eastAsia="宋体"/>
          <w:lang w:val="en-US" w:eastAsia="zh-CN"/>
        </w:rPr>
        <w:t>工程存在的主要问题</w:t>
      </w:r>
    </w:p>
    <w:p w14:paraId="64FB1FF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2021年湖南省岳阳市水利局对北汊水库大坝进行了安全鉴定，经鉴定为三类坝，根据其结论，北汊水库工程存在以下主要问题：</w:t>
      </w:r>
    </w:p>
    <w:p w14:paraId="57E9AED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（1）主要问题</w:t>
      </w:r>
    </w:p>
    <w:p w14:paraId="0439693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1）大坝</w:t>
      </w:r>
    </w:p>
    <w:p w14:paraId="1459000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上游坝坡预制砼六方块局部破损、抛石固脚局部变形。下游坝坡干砌石贴坡排水部分破损、变形，纵横排水沟局部破损。2020年7月库水位29.44m时，下游平台上出现多处明显的渗漏溢出点，左岸有绕渗溢出点。坝顶砼路面有纵向贯穿裂缝。</w:t>
      </w:r>
    </w:p>
    <w:p w14:paraId="73C01D7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一副坝上游坝坡局部变形，预制砼六方块局部破损。下游坝坡局部变形，干砌石贴坡排水部分破损，纵横排水沟局部破损。坝顶泥结石路面，凹凸不平，雨天路面积水，湿滑。</w:t>
      </w:r>
    </w:p>
    <w:p w14:paraId="7973B2C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二副坝上游坝坡局部变形，预制砼六方块局部破损。下游坝坡局部变形，二级坝坡无护砌被风浪淘刷坝脚和坝面，坝面无排水设施。坝顶为土质路面，凹凸不平，雨天路面积水，湿滑。</w:t>
      </w:r>
    </w:p>
    <w:p w14:paraId="6587A20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三副坝上游坝坡局部变形，预制砼六方块和基座局部破损。下游坝坡局部变形，二级坝坡无护砌被风浪淘刷坝脚和坝面，坝面无排水设施。坝顶为土质路面，凹凸不平，雨天路面积水，湿滑。</w:t>
      </w:r>
    </w:p>
    <w:p w14:paraId="38A536A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上游坝坡局部变形，预制砼六方块局部破损，右岸上游一级坝坡前淤积，右岸上游桩号0+210～0+260段坝面无护砌，杂草丛生。下游坝坡局部变形，草皮护坡杂草丛生，二级坝面无护砌，坝坡冲刷变形，坝面无排水设施。坝顶砼路面局部有裂缝。</w:t>
      </w:r>
    </w:p>
    <w:p w14:paraId="6140E0E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上游坝坡局部变形，预制砼六方块局部破损，桩号0+000～0+050坝面无护砌。下游草皮护坡坝面局部不平整，二级坝面无护砌，坝面无排水设施，桩号0+000～0+150坝脚为撇洪渠，坡脚因风浪淘刷坝面变形，桩号0+151～0+300坝脚为水塘，坡脚因风浪淘刷坝面变形严重。</w:t>
      </w:r>
    </w:p>
    <w:p w14:paraId="2F9B2C8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六副坝上游坝坡局部变形，预制砼六方块局部破损。下游草皮护坡坝面局部不平整，杂草丛生，贴坡排水干砌石全部损坏，坝面无排水设施。坝顶为砼路面局部有裂缝。</w:t>
      </w:r>
    </w:p>
    <w:p w14:paraId="5D05A14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主坝和6座副坝坝顶现有高程和坝顶宽度均不满足现行规范要求。</w:t>
      </w:r>
    </w:p>
    <w:p w14:paraId="17F4AC8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主、副坝坝体填筑质量普遍较差，前期除险加固坝体冲抓回填防渗措施逐渐失效，主坝存在坝体及左坝肩渗漏，一～六副坝坝体局部沉陷，上下游坝面变形，坝基存在渗漏问题。</w:t>
      </w:r>
    </w:p>
    <w:p w14:paraId="1BEC827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主坝和各副坝在各种工况下，浸润线下游坝面逸出，出口渗透坡降大多大于允许渗透坡降，下游二级坝面干砌石护砌已破损或无护砌，存在安全隐患。</w:t>
      </w:r>
    </w:p>
    <w:p w14:paraId="332749A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主坝和各副坝上下游坝坡抗滑稳定最小安全系数均有工况不满足规范要求。</w:t>
      </w:r>
    </w:p>
    <w:p w14:paraId="43748CE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2）泄洪涵闸</w:t>
      </w:r>
    </w:p>
    <w:p w14:paraId="4AC8F93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右侧门槽下部变形；在高水位时，消力坎上有渗水点。钢闸门和拦污栅锈蚀严重，存在绕渗。无备用电源。</w:t>
      </w:r>
    </w:p>
    <w:p w14:paraId="036B3AE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3）输水涵闸</w:t>
      </w:r>
    </w:p>
    <w:p w14:paraId="5761734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二副坝输水涵闸门和拦污栅锈蚀严重，启闭机为手摇式，无法实现自动控制。</w:t>
      </w:r>
    </w:p>
    <w:p w14:paraId="6E89AC7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五副坝输水涵闸门和拦污栅锈蚀严重，无启闭机房和工作桥，闸门启闭机为手动螺杆启闭机，无法实现自动控制。启闭机露天安置，启闭机已无法正常工作。</w:t>
      </w:r>
    </w:p>
    <w:p w14:paraId="1565710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4）进水涵</w:t>
      </w:r>
    </w:p>
    <w:p w14:paraId="283E290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四副坝进水涵进水不畅，库内进口无闸门和启闭设施，在水库高水位时，造成下游部分农田淹没。</w:t>
      </w:r>
    </w:p>
    <w:p w14:paraId="76D85D4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五副坝进水涵进水不畅，库内进口无闸门和启闭设施，在水库高水位时，造成下游部分农田淹没。</w:t>
      </w:r>
    </w:p>
    <w:p w14:paraId="2028834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5）其他</w:t>
      </w:r>
    </w:p>
    <w:p w14:paraId="0F23DA9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库岸因风浪淘刷，变形严重，总长约2.58km。位于禹山镇南岭村茶场公路连接处长约150m段库岸浆砌石挡墙，因风浪淘刷，基脚局部淘空，墙体变形垮塌。</w:t>
      </w:r>
    </w:p>
    <w:p w14:paraId="78B1B25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防汛公路现为土路或泥结石路面，路面凹凸不平，雨天积水，不利于防汛抢险，总长约4.01km。</w:t>
      </w:r>
    </w:p>
    <w:p w14:paraId="0945066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目前主坝仅设有变形观测墩，但无相关观测设备，无渗流观测设施。各副坝均无大坝安全设施。</w:t>
      </w:r>
    </w:p>
    <w:p w14:paraId="5660F76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水库管理所办公楼有多处开裂，砖砌体风化，墙面粉饰脱落，雨天漏水，外墙开裂变形，屋顶和墙体有多处渗水。水库没有信息通讯专用房。无防汛仓库。无防汛车船。</w:t>
      </w:r>
    </w:p>
    <w:p w14:paraId="28B108A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水库无气象站和水文站。水库雨水情未实现自动化观测</w:t>
      </w:r>
      <w:r>
        <w:rPr>
          <w:rFonts w:hint="eastAsia" w:ascii="Times New Roman" w:hAnsi="Times New Roman" w:eastAsia="宋体" w:cs="Times New Roman"/>
          <w:color w:val="auto"/>
          <w:spacing w:val="0"/>
          <w:w w:val="100"/>
          <w:position w:val="0"/>
          <w:sz w:val="24"/>
          <w:szCs w:val="24"/>
          <w:u w:val="none" w:color="auto"/>
          <w:lang w:val="en-US" w:eastAsia="zh-CN"/>
        </w:rPr>
        <w:t>。</w:t>
      </w:r>
    </w:p>
    <w:p w14:paraId="6403938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东灌渠渠首过水涵洞已淤积。渠道沿线多处过水涵孔径偏小，且底板高程偏高，渠道有多处淤积，不能正常过水，渠道桩号4+500～7+500段长约2000m渠道渗漏严重。东灌渠渠尾闸排架砼蜂窝麻面，钢筋砼闸门局部损坏，启闭设施锈蚀严重，不能正常启闭，操作平台较小，有安全隐患。</w:t>
      </w:r>
    </w:p>
    <w:p w14:paraId="552380E0">
      <w:pPr>
        <w:pStyle w:val="5"/>
        <w:bidi w:val="0"/>
        <w:rPr>
          <w:rFonts w:hint="default" w:eastAsia="宋体"/>
          <w:lang w:val="en-US" w:eastAsia="zh-CN"/>
        </w:rPr>
      </w:pPr>
      <w:r>
        <w:rPr>
          <w:rFonts w:hint="default" w:eastAsia="宋体"/>
          <w:lang w:val="en-US" w:eastAsia="zh-CN"/>
        </w:rPr>
        <w:t>除险加固的必要性</w:t>
      </w:r>
    </w:p>
    <w:p w14:paraId="0A81B06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北汊水库工程各建筑物存在诸多安全问题，已严重影响北汊水库的安全运行，北汊水库已处于带病状态，使北汊水库不能发挥应有的综合利用效益，应尽早进行除险加固。</w:t>
      </w:r>
    </w:p>
    <w:p w14:paraId="5082330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（1）除险加固是确保北汊水库安全运行的需要</w:t>
      </w:r>
    </w:p>
    <w:p w14:paraId="7AAB414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枢纽工程主要由主坝、副坝、泄洪闸、输水涵闸和进水涵等建筑物组成。水库自2009年加固设计后投入运行数十年以来北汊水库枢纽工程及建筑物存在的问题很多，如主坝和6座副坝坝顶现有高程和坝顶宽度均不满足现行规范要求；主、副坝坝体填筑质量普遍较差，前期除险加固坝体冲抓回填防渗措施逐渐失效，主坝存在坝体及左坝肩渗漏，一～六副坝坝体局部沉陷，上下游坝面变形，坝基存在渗漏问题；主坝和各副坝在各种工况下，浸润线下游坝面逸出，出口渗透坡降大多大于允许渗透坡降；主坝和各副坝上下游坝坡抗滑稳定最小安全系数均有工况不满足规范要求；泄洪涵闸右侧门槽下部变形，钢闸门和拦污栅锈蚀严重，存在绕渗。无备用电源；二副坝输水涵闸门和拦污栅锈蚀严重，五副坝输水涵闸门和拦污栅锈蚀严重，无启闭机房和工作桥；大坝缺乏安全监测设施，硬化坝顶路面，增设路灯和护栏等一系列的工程质量问题，使北汊水库不能正常安全运用，一直带病运行，特别是近几年内情况更为严重，北汊水库大坝已鉴定为三类坝，为尽快确保水库安全运行，对北汊水库除险加固非常必要。</w:t>
      </w:r>
    </w:p>
    <w:p w14:paraId="07F99C2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（2）除险加固是地区经济和社会发展的要求</w:t>
      </w:r>
    </w:p>
    <w:p w14:paraId="6D1E7F3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b/>
          <w:caps w:val="0"/>
          <w:smallCaps w:val="0"/>
          <w:color w:val="auto"/>
          <w:spacing w:val="0"/>
          <w:w w:val="100"/>
          <w:position w:val="0"/>
          <w:sz w:val="28"/>
          <w:szCs w:val="28"/>
          <w:u w:val="none" w:color="auto"/>
          <w:lang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位于华容县禹山镇老河口村，距华容县城23km，是一座以灌溉、防洪为主，兼有养殖等综合效益的中型水库，防洪保护下游北景港镇、禹山镇、新河乡、章华镇等4个乡镇的厂矿企业、机关学校，G234国道等，保护人口5.75万人，保护耕地约8万亩。因目前工程存在安全隐患，北汊水库带病运行威胁下游的安全。除险加固后，排除了工程的安全隐患，枢纽工程能安全运行，北汊水库的综合效益能正常发挥，为地区经济持续快速发展提供安全保障，工程加固实施后带来良好的社会效益和较好的经济效益。综上所述，为保证北汊水库安全运行，促使工程综合利用效益充分发挥，为地区经济持续快速健康发展提供安全保障，北汊水库除险加固非常必要，也十分紧迫。</w:t>
      </w:r>
    </w:p>
    <w:p w14:paraId="4F2C1406">
      <w:pPr>
        <w:pStyle w:val="3"/>
        <w:bidi w:val="0"/>
        <w:rPr>
          <w:rFonts w:hint="default" w:ascii="Times New Roman" w:hAnsi="Times New Roman" w:cs="Times New Roman"/>
          <w:u w:val="none" w:color="auto"/>
        </w:rPr>
      </w:pPr>
      <w:bookmarkStart w:id="97" w:name="_Toc14595"/>
      <w:r>
        <w:rPr>
          <w:rFonts w:hint="default" w:ascii="Times New Roman" w:hAnsi="Times New Roman" w:cs="Times New Roman"/>
          <w:u w:val="none" w:color="auto"/>
          <w:lang w:val="en-US" w:eastAsia="zh-CN"/>
        </w:rPr>
        <w:t>除险加固工程概况</w:t>
      </w:r>
      <w:bookmarkEnd w:id="97"/>
    </w:p>
    <w:p w14:paraId="081A69C6">
      <w:pPr>
        <w:pStyle w:val="4"/>
        <w:bidi w:val="0"/>
        <w:rPr>
          <w:rFonts w:hint="default" w:ascii="Times New Roman" w:hAnsi="Times New Roman" w:cs="Times New Roman"/>
          <w:u w:val="none" w:color="auto"/>
          <w:lang w:val="en-US" w:eastAsia="zh-CN"/>
        </w:rPr>
      </w:pPr>
      <w:bookmarkStart w:id="98" w:name="_Toc29839"/>
      <w:r>
        <w:rPr>
          <w:rFonts w:hint="default" w:ascii="Times New Roman" w:hAnsi="Times New Roman" w:cs="Times New Roman"/>
          <w:u w:val="none" w:color="auto"/>
          <w:lang w:val="en-US" w:eastAsia="zh-CN"/>
        </w:rPr>
        <w:t>工程概况</w:t>
      </w:r>
      <w:bookmarkEnd w:id="98"/>
    </w:p>
    <w:p w14:paraId="58D87952">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（1）项目名称：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除险加固工程</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6622A2C9">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（2）地理位置：</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位于岳阳市华容县</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禹山</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镇，</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主</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坝地理坐标：东经</w:t>
      </w:r>
    </w:p>
    <w:p w14:paraId="5A943F4C">
      <w:pPr>
        <w:keepNext w:val="0"/>
        <w:keepLines w:val="0"/>
        <w:pageBreakBefore w:val="0"/>
        <w:widowControl w:val="0"/>
        <w:kinsoku w:val="0"/>
        <w:wordWrap w:val="0"/>
        <w:overflowPunct/>
        <w:topLinePunct/>
        <w:autoSpaceDE/>
        <w:autoSpaceDN/>
        <w:bidi w:val="0"/>
        <w:adjustRightInd w:val="0"/>
        <w:snapToGrid/>
        <w:spacing w:line="360" w:lineRule="auto"/>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112°33′23.27215″，北纬29°22′22.50438″</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w:t>
      </w:r>
    </w:p>
    <w:p w14:paraId="40D3E476">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（3）建设单位：</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华容县</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管理所</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70CFA29E">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（4）项目性质：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改建；</w:t>
      </w:r>
    </w:p>
    <w:p w14:paraId="152A538E">
      <w:pPr>
        <w:pageBreakBefore w:val="0"/>
        <w:kinsoku w:val="0"/>
        <w:wordWrap w:val="0"/>
        <w:overflowPunct/>
        <w:topLinePunct/>
        <w:autoSpaceDE/>
        <w:autoSpaceDN/>
        <w:bidi w:val="0"/>
        <w:adjustRightInd w:val="0"/>
        <w:spacing w:line="360" w:lineRule="auto"/>
        <w:ind w:firstLine="482" w:firstLineChars="200"/>
        <w:rPr>
          <w:rFonts w:hint="default" w:ascii="Times New Roman" w:hAnsi="Times New Roman" w:eastAsia="宋体" w:cs="Times New Roman"/>
          <w:b w:val="0"/>
          <w:bCs w:val="0"/>
          <w:caps w:val="0"/>
          <w:smallCaps w:val="0"/>
          <w:color w:val="FF0000"/>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（5）总投资：</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9733.03</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万元</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，其中环保投资</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131.57万元</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，环保投资占总投资的1.35%</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w:t>
      </w:r>
    </w:p>
    <w:p w14:paraId="29E1303B">
      <w:pPr>
        <w:pageBreakBefore w:val="0"/>
        <w:kinsoku w:val="0"/>
        <w:wordWrap w:val="0"/>
        <w:overflowPunct/>
        <w:topLinePunct/>
        <w:autoSpaceDE/>
        <w:autoSpaceDN/>
        <w:bidi w:val="0"/>
        <w:adjustRightInd w:val="0"/>
        <w:spacing w:line="360" w:lineRule="auto"/>
        <w:ind w:firstLine="482" w:firstLineChars="200"/>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bidi="ar-SA"/>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bidi="ar-SA"/>
        </w:rPr>
        <w:t>（6）劳动定员：</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施工高峰期施工人员约有300人，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营运期水库管理人员</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448192ED">
      <w:pPr>
        <w:pStyle w:val="4"/>
        <w:bidi w:val="0"/>
        <w:rPr>
          <w:rFonts w:hint="default"/>
          <w:u w:val="none" w:color="auto"/>
          <w:lang w:val="en-US" w:eastAsia="zh-CN"/>
        </w:rPr>
      </w:pPr>
      <w:bookmarkStart w:id="99" w:name="_Toc3584"/>
      <w:r>
        <w:rPr>
          <w:rFonts w:hint="eastAsia"/>
          <w:u w:val="none" w:color="auto"/>
          <w:lang w:val="en-US" w:eastAsia="zh-CN"/>
        </w:rPr>
        <w:t>工程任务及主要建设内容</w:t>
      </w:r>
      <w:bookmarkEnd w:id="99"/>
    </w:p>
    <w:p w14:paraId="2DC9D47D">
      <w:pPr>
        <w:pStyle w:val="5"/>
        <w:bidi w:val="0"/>
        <w:rPr>
          <w:rFonts w:hint="default"/>
          <w:lang w:val="en-US" w:eastAsia="zh-CN"/>
        </w:rPr>
      </w:pPr>
      <w:r>
        <w:rPr>
          <w:rFonts w:hint="eastAsia"/>
          <w:lang w:val="en-US" w:eastAsia="zh-CN"/>
        </w:rPr>
        <w:t>工程任务</w:t>
      </w:r>
    </w:p>
    <w:p w14:paraId="59BEF83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 xml:space="preserve">按本次初步设计对各建筑物安全性的复核计算结果，北汊水库除险加固针对工程存在的主要问题，拟定加固范围与加固对象，初拟加固措施，以消除工程隐患，使北汊水库尽快安全运行，充分发挥效益，为当地的社会稳定和经济发展作出贡献。北汊水库除险加固主要建设内容如下： </w:t>
      </w:r>
    </w:p>
    <w:p w14:paraId="47ADA0C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)主坝左坝肩防渗</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坝顶加高加宽</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新建防浪墙</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坝顶路面改造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上游坝坡采用水泥土搅拌桩加固</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现有预制块护坡整修</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下游坝坡培厚并采用水泥土搅拌桩加固</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现有贴坡排水改造。</w:t>
      </w:r>
    </w:p>
    <w:p w14:paraId="2E7CCB5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)一至六副坝坝顶加高加宽</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新建防浪墙</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坝顶路面改造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上游坝坡现有预制块护坡整修</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一至六副坝下游坝坡培厚</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一副坝、五副坝下游现有坝坡贴坡排水改造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其他副坝下游坝坡采用格宾石笼挡墙加固。</w:t>
      </w:r>
    </w:p>
    <w:p w14:paraId="6045135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)泄洪闸闸室段防渗</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启闭机房加固改造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更换拦污栅、工作闸门及启闭设备。</w:t>
      </w:r>
    </w:p>
    <w:p w14:paraId="59F4CD5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)二副坝输水涵进口清淤</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更换拦污栅、工作闸门及启闭设备</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五副坝输水涵控制闸拆除重建</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新建工作桥</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更换拦污栅、检修闸门、工作闸门及启闭设备</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四副坝、五副坝进水涵拆除重建。</w:t>
      </w:r>
    </w:p>
    <w:p w14:paraId="34E3A1E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lang w:val="en-US" w:eastAsia="zh-CN"/>
        </w:rPr>
        <w:t>)防汛公路改造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近坝库岸防护</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管理用房改造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新建防汛仓库</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完善工程安全监测设施、标准化及信息化建设</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主坝及6座副坝白蚁防治。</w:t>
      </w:r>
    </w:p>
    <w:p w14:paraId="62A527CE">
      <w:pPr>
        <w:pStyle w:val="5"/>
        <w:bidi w:val="0"/>
        <w:rPr>
          <w:rFonts w:hint="default"/>
          <w:lang w:val="en-US" w:eastAsia="zh-CN"/>
        </w:rPr>
      </w:pPr>
      <w:r>
        <w:rPr>
          <w:rFonts w:hint="eastAsia"/>
          <w:lang w:val="en-US" w:eastAsia="zh-CN"/>
        </w:rPr>
        <w:t>主要建设内容</w:t>
      </w:r>
    </w:p>
    <w:p w14:paraId="3750AAC0">
      <w:pPr>
        <w:spacing w:line="360" w:lineRule="auto"/>
        <w:ind w:firstLine="480" w:firstLineChars="200"/>
        <w:rPr>
          <w:rFonts w:hint="eastAsia" w:ascii="Times New Roman" w:hAnsi="Times New Roman" w:eastAsia="宋体" w:cs="Times New Roman"/>
          <w:b/>
          <w:bCs/>
          <w:sz w:val="24"/>
          <w:szCs w:val="24"/>
          <w:u w:val="none" w:color="auto"/>
          <w:lang w:val="en-US" w:eastAsia="zh-CN"/>
        </w:rPr>
      </w:pPr>
      <w:r>
        <w:rPr>
          <w:rFonts w:hint="eastAsia"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项目建设内容主要包括：主体工程、辅助工程、临时工程、公用工程及环保工程等。其组成情况详见下表：</w:t>
      </w:r>
    </w:p>
    <w:p w14:paraId="629414B6">
      <w:pPr>
        <w:spacing w:line="360" w:lineRule="auto"/>
        <w:ind w:left="0" w:leftChars="0" w:firstLine="0" w:firstLineChars="0"/>
        <w:jc w:val="center"/>
        <w:rPr>
          <w:rFonts w:hint="eastAsia" w:ascii="Times New Roman" w:hAnsi="Times New Roman" w:eastAsia="宋体" w:cs="Times New Roman"/>
          <w:b/>
          <w:bCs/>
          <w:sz w:val="24"/>
          <w:u w:val="none" w:color="auto"/>
          <w:lang w:val="en-US" w:eastAsia="zh-CN"/>
        </w:rPr>
      </w:pPr>
      <w:r>
        <w:rPr>
          <w:rFonts w:hint="eastAsia" w:ascii="Times New Roman" w:hAnsi="Times New Roman" w:eastAsia="宋体" w:cs="Times New Roman"/>
          <w:b/>
          <w:bCs/>
          <w:sz w:val="24"/>
          <w:u w:val="none" w:color="auto"/>
          <w:lang w:val="en-US" w:eastAsia="zh-CN"/>
        </w:rPr>
        <w:t>表2.2-3  项目建设内容一览表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482"/>
        <w:gridCol w:w="902"/>
        <w:gridCol w:w="5496"/>
        <w:gridCol w:w="934"/>
      </w:tblGrid>
      <w:tr w14:paraId="05A90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2" w:type="pct"/>
            <w:tcBorders>
              <w:tl2br w:val="nil"/>
              <w:tr2bl w:val="nil"/>
            </w:tcBorders>
            <w:vAlign w:val="center"/>
          </w:tcPr>
          <w:p w14:paraId="72E53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序号</w:t>
            </w:r>
          </w:p>
        </w:tc>
        <w:tc>
          <w:tcPr>
            <w:tcW w:w="812" w:type="pct"/>
            <w:gridSpan w:val="2"/>
            <w:tcBorders>
              <w:tl2br w:val="nil"/>
              <w:tr2bl w:val="nil"/>
            </w:tcBorders>
            <w:vAlign w:val="center"/>
          </w:tcPr>
          <w:p w14:paraId="2AAAC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类别</w:t>
            </w:r>
          </w:p>
        </w:tc>
        <w:tc>
          <w:tcPr>
            <w:tcW w:w="3225" w:type="pct"/>
            <w:tcBorders>
              <w:tl2br w:val="nil"/>
              <w:tr2bl w:val="nil"/>
            </w:tcBorders>
            <w:vAlign w:val="center"/>
          </w:tcPr>
          <w:p w14:paraId="47C77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建设内容</w:t>
            </w:r>
          </w:p>
        </w:tc>
        <w:tc>
          <w:tcPr>
            <w:tcW w:w="548" w:type="pct"/>
            <w:tcBorders>
              <w:tl2br w:val="nil"/>
              <w:tr2bl w:val="nil"/>
            </w:tcBorders>
            <w:vAlign w:val="center"/>
          </w:tcPr>
          <w:p w14:paraId="3AD33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备注</w:t>
            </w:r>
          </w:p>
        </w:tc>
      </w:tr>
      <w:tr w14:paraId="2F7A0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restart"/>
            <w:tcBorders>
              <w:tl2br w:val="nil"/>
              <w:tr2bl w:val="nil"/>
            </w:tcBorders>
            <w:vAlign w:val="center"/>
          </w:tcPr>
          <w:p w14:paraId="12F5A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w:t>
            </w:r>
          </w:p>
        </w:tc>
        <w:tc>
          <w:tcPr>
            <w:tcW w:w="283" w:type="pct"/>
            <w:vMerge w:val="restart"/>
            <w:tcBorders>
              <w:tl2br w:val="nil"/>
              <w:tr2bl w:val="nil"/>
            </w:tcBorders>
            <w:vAlign w:val="center"/>
          </w:tcPr>
          <w:p w14:paraId="4BE27E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主体工程</w:t>
            </w:r>
          </w:p>
        </w:tc>
        <w:tc>
          <w:tcPr>
            <w:tcW w:w="529" w:type="pct"/>
            <w:vMerge w:val="restart"/>
            <w:tcBorders>
              <w:tl2br w:val="nil"/>
              <w:tr2bl w:val="nil"/>
            </w:tcBorders>
            <w:vAlign w:val="center"/>
          </w:tcPr>
          <w:p w14:paraId="61546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主坝</w:t>
            </w:r>
          </w:p>
          <w:p w14:paraId="67C5EF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加固</w:t>
            </w:r>
          </w:p>
        </w:tc>
        <w:tc>
          <w:tcPr>
            <w:tcW w:w="3225" w:type="pct"/>
            <w:tcBorders>
              <w:tl2br w:val="nil"/>
              <w:tr2bl w:val="nil"/>
            </w:tcBorders>
            <w:vAlign w:val="center"/>
          </w:tcPr>
          <w:p w14:paraId="76342A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主坝左坝肩防渗采用水泥土搅拌桩防渗墙+帷幕灌浆相结合的方案，帷幕灌浆与水泥土搅拌桩防渗墙搭接1m。水泥土搅拌桩防渗墙轴线与坝轴线平行位于坝轴线上游侧2m处桩径0.6m桩间距不大于0.55m，防渗墙有效厚度不小于0.2m，防渗墙顶部与C25砼防浪墙相接，底部与坝基泥质粉砂岩相接；帷幕灌浆采用沿水泥土搅拌桩防渗墙轴线布置，并向左岸山体内延伸不小于80m，单排布置，孔距1.5m，底部伸入10Lu线以下不小于5.0m。</w:t>
            </w:r>
          </w:p>
        </w:tc>
        <w:tc>
          <w:tcPr>
            <w:tcW w:w="548" w:type="pct"/>
            <w:tcBorders>
              <w:tl2br w:val="nil"/>
              <w:tr2bl w:val="nil"/>
            </w:tcBorders>
            <w:vAlign w:val="center"/>
          </w:tcPr>
          <w:p w14:paraId="740FC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46148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20C072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1BC9F0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4D715D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23867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结合主坝下游坝坡培厚将坝顶加高加宽，坝顶设计宽度5m，采用沥青砼路面；坝顶上游侧新建L型C25钢筋砼防浪墙，墙顶高程34.00m，下游侧新建C20砼路缘石。</w:t>
            </w:r>
          </w:p>
        </w:tc>
        <w:tc>
          <w:tcPr>
            <w:tcW w:w="548" w:type="pct"/>
            <w:tcBorders>
              <w:tl2br w:val="nil"/>
              <w:tr2bl w:val="nil"/>
            </w:tcBorders>
            <w:vAlign w:val="center"/>
          </w:tcPr>
          <w:p w14:paraId="6CB330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499DC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4C202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4E08A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63B6B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1C37A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在主坝上游坝坡高程28.00m平台新建3排水泥土搅拌桩加固坝坡，桩径0.6m，间排距1m，呈梅花型布置，桩底伸入可塑-硬塑状粘土层或硬塑状网纹状粘土层1m；上游坝坡高程28.00m以下采用抛石护脚，设计坡比1:3，高程28.00m以上至坝顶现有预制块护坡整修，重建部位采用13cm厚C20砼预制块+15cm厚砂砾石垫层；下游一级坝坡培厚并采用草皮护坡，设计坡比1:3，坝坡砼排水沟和踏步拆除重建；在下游坝坡一级平台新建3排水泥土搅拌桩加固坝坡，桩径0.6m，间排距1m，呈梅花型布置，桩底伸入可塑-硬塑状粘土层或硬塑状网纹状粘土层1m；下游一级坝坡新建干砌石贴坡排水，排水体设计顶部高程30.00m，二级坝坡现有贴坡排水局部翻修。</w:t>
            </w:r>
          </w:p>
        </w:tc>
        <w:tc>
          <w:tcPr>
            <w:tcW w:w="548" w:type="pct"/>
            <w:tcBorders>
              <w:tl2br w:val="nil"/>
              <w:tr2bl w:val="nil"/>
            </w:tcBorders>
            <w:vAlign w:val="center"/>
          </w:tcPr>
          <w:p w14:paraId="5FD12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8611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5E844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2B056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restart"/>
            <w:tcBorders>
              <w:tl2br w:val="nil"/>
              <w:tr2bl w:val="nil"/>
            </w:tcBorders>
            <w:vAlign w:val="center"/>
          </w:tcPr>
          <w:p w14:paraId="49EAE2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副坝</w:t>
            </w:r>
          </w:p>
          <w:p w14:paraId="35B4D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加固</w:t>
            </w:r>
          </w:p>
        </w:tc>
        <w:tc>
          <w:tcPr>
            <w:tcW w:w="3225" w:type="pct"/>
            <w:tcBorders>
              <w:tl2br w:val="nil"/>
              <w:tr2bl w:val="nil"/>
            </w:tcBorders>
            <w:vAlign w:val="center"/>
          </w:tcPr>
          <w:p w14:paraId="4D3C1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结合一至六副坝下游坝坡培厚将坝顶加高加宽，坝顶设计宽度均为5m，均采用C25砼路面；坝顶上游侧新建L型C25钢筋砼防浪墙，墙顶高程34.00m，下游侧新建C20砼路缘石。</w:t>
            </w:r>
          </w:p>
        </w:tc>
        <w:tc>
          <w:tcPr>
            <w:tcW w:w="548" w:type="pct"/>
            <w:tcBorders>
              <w:tl2br w:val="nil"/>
              <w:tr2bl w:val="nil"/>
            </w:tcBorders>
            <w:vAlign w:val="center"/>
          </w:tcPr>
          <w:p w14:paraId="51A45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8AAE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072D81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75E7A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18B2F9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2E2E9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一至六副坝上游坝坡现有预制块护坡整修，重建部位采用13cm厚C20砼预制块+15cm厚砂砾石垫层；一至六副坝下游一级坝坡培厚并采用草皮护坡，设计坡比均为1:3，坝坡砼排水沟和踏步拆除重建；二至四副坝下游坝坡采用格宾石笼挡墙加固，墙高1.5~2.5m，挡墙上游侧设反滤层；一副坝、五副坝下游二级坝坡现有贴坡排水局部翻修。</w:t>
            </w:r>
          </w:p>
        </w:tc>
        <w:tc>
          <w:tcPr>
            <w:tcW w:w="548" w:type="pct"/>
            <w:tcBorders>
              <w:tl2br w:val="nil"/>
              <w:tr2bl w:val="nil"/>
            </w:tcBorders>
            <w:vAlign w:val="center"/>
          </w:tcPr>
          <w:p w14:paraId="08FAD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0BC40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27112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04CCF4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37B60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泄洪闸加固</w:t>
            </w:r>
          </w:p>
        </w:tc>
        <w:tc>
          <w:tcPr>
            <w:tcW w:w="3225" w:type="pct"/>
            <w:tcBorders>
              <w:tl2br w:val="nil"/>
              <w:tr2bl w:val="nil"/>
            </w:tcBorders>
            <w:vAlign w:val="center"/>
          </w:tcPr>
          <w:p w14:paraId="7E30A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泄洪闸闸室段底板基础及闸室两侧采用水泥粘土灌浆防渗，灌浆孔共布置2排</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孔距1.5m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排距0.8m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钻孔伸入硬塑状网纹状粘土层2m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启闭排架柱质量缺陷部位修复加固，启闭机房砖墙、门窗及屋面进行局部修复和防水处理</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更换拦污栅、工作闸门及启闭设备。</w:t>
            </w:r>
          </w:p>
        </w:tc>
        <w:tc>
          <w:tcPr>
            <w:tcW w:w="548" w:type="pct"/>
            <w:tcBorders>
              <w:tl2br w:val="nil"/>
              <w:tr2bl w:val="nil"/>
            </w:tcBorders>
            <w:vAlign w:val="center"/>
          </w:tcPr>
          <w:p w14:paraId="0D885C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71464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25A2A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1845E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restart"/>
            <w:tcBorders>
              <w:tl2br w:val="nil"/>
              <w:tr2bl w:val="nil"/>
            </w:tcBorders>
            <w:vAlign w:val="center"/>
          </w:tcPr>
          <w:p w14:paraId="3F1A9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输、进水建筑物加固</w:t>
            </w:r>
          </w:p>
        </w:tc>
        <w:tc>
          <w:tcPr>
            <w:tcW w:w="3225" w:type="pct"/>
            <w:tcBorders>
              <w:tl2br w:val="nil"/>
              <w:tr2bl w:val="nil"/>
            </w:tcBorders>
            <w:vAlign w:val="center"/>
          </w:tcPr>
          <w:p w14:paraId="121EA9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二副坝输水涵进口清淤，更换拦污栅、工作闸门及启闭设备。</w:t>
            </w:r>
          </w:p>
        </w:tc>
        <w:tc>
          <w:tcPr>
            <w:tcW w:w="548" w:type="pct"/>
            <w:tcBorders>
              <w:tl2br w:val="nil"/>
              <w:tr2bl w:val="nil"/>
            </w:tcBorders>
            <w:vAlign w:val="center"/>
          </w:tcPr>
          <w:p w14:paraId="7C996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65896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454DA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73267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24D8B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2D8A9A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五副坝输水涵进口控制闸及部分涵身段拆除重建</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新建进口段、闸室段、衔接段及工作桥。闸室段设2扇潜孔式闸门，孔口尺寸1.5m×2m (宽×高)，底板高程27.5m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涵身重建段采用单孔C25钢筋砼箱涵，净空尺寸1.2×1.8m(宽×高)</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进口段、闸室段及衔接段基础采用水泥土搅拌桩加固处理，桩径0.6m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间排距0.8m，呈梅花型布置，有效桩长5m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更换控制闸拦污栅、检修闸门、工作闸门及启闭设备。</w:t>
            </w:r>
          </w:p>
        </w:tc>
        <w:tc>
          <w:tcPr>
            <w:tcW w:w="548" w:type="pct"/>
            <w:tcBorders>
              <w:tl2br w:val="nil"/>
              <w:tr2bl w:val="nil"/>
            </w:tcBorders>
            <w:vAlign w:val="center"/>
          </w:tcPr>
          <w:p w14:paraId="7FC99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4373B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14194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1C093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36532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61D32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四副坝进水涵原址拆除重建，顺流向依次布置进口段、穿坝箱涵段、控制闸及出口消能段。进口段长20m，宽4.4~2.5m、深2~3m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采用C25钢筋砼整体式结构衬砌</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穿坝箱涵为单孔C25钢筋砼结构，净空尺寸2.5×2.5m (宽×高)，总长20.67m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控制闸顺流向长5m，共1孔，孔口尺寸2.5mx2.5m (宽x高)，设1扇潜孔式闸门</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控制闸出口设消力池和海漫，消力池长5.9m、深0.5m、宽3.2~4.4m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海漫长4m、宽9.5m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进口段、穿坝箱涵段、控制闸基础采用水泥土搅拌桩加固处理，桩径0.6m，间排距0.8m，呈梅花型布置，有效桩长5m</w:t>
            </w:r>
            <w:r>
              <w:rPr>
                <w:rFonts w:hint="eastAsia" w:ascii="Times New Roman" w:hAnsi="Times New Roman" w:eastAsia="宋体" w:cs="Times New Roman"/>
                <w:color w:val="auto"/>
                <w:sz w:val="21"/>
                <w:szCs w:val="21"/>
                <w:u w:val="none" w:color="auto"/>
                <w:vertAlign w:val="baseline"/>
                <w:lang w:val="en-US" w:eastAsia="zh-CN"/>
              </w:rPr>
              <w:t>。</w:t>
            </w:r>
          </w:p>
        </w:tc>
        <w:tc>
          <w:tcPr>
            <w:tcW w:w="548" w:type="pct"/>
            <w:tcBorders>
              <w:tl2br w:val="nil"/>
              <w:tr2bl w:val="nil"/>
            </w:tcBorders>
            <w:vAlign w:val="center"/>
          </w:tcPr>
          <w:p w14:paraId="7E31F3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2FFF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019D3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15FF7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vMerge w:val="continue"/>
            <w:tcBorders>
              <w:tl2br w:val="nil"/>
              <w:tr2bl w:val="nil"/>
            </w:tcBorders>
            <w:vAlign w:val="center"/>
          </w:tcPr>
          <w:p w14:paraId="7724EB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3225" w:type="pct"/>
            <w:tcBorders>
              <w:tl2br w:val="nil"/>
              <w:tr2bl w:val="nil"/>
            </w:tcBorders>
            <w:vAlign w:val="center"/>
          </w:tcPr>
          <w:p w14:paraId="3F479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拆除现有五副坝进水涵，在原址左侧重建，顺流向依次布置进口段、穿坝箱涵段、控制闸及出口消能段。进口段长5.9m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宽4.4~2.5m、深2~3m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采用C25钢筋砼整体式结构衬砌</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穿坝箱涵为单孔C25钢筋砼结构</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净空尺寸2.5×2.5m(宽×高)</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总长21m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控制闸顺流向长5m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共1孔，孔口尺寸2.5mx2.5m (宽×高)</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设1扇潜孔式闸门</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控制闸出口设消力池和海漫，消力池长5.9m、深0.5m、宽3.2~4.4m，海漫长4m、宽9.5m</w:t>
            </w:r>
            <w:r>
              <w:rPr>
                <w:rFonts w:hint="eastAsia" w:ascii="Times New Roman" w:hAnsi="Times New Roman" w:eastAsia="宋体" w:cs="Times New Roman"/>
                <w:color w:val="auto"/>
                <w:sz w:val="21"/>
                <w:szCs w:val="21"/>
                <w:u w:val="none" w:color="auto"/>
                <w:vertAlign w:val="baseline"/>
                <w:lang w:val="en-US" w:eastAsia="zh-CN"/>
              </w:rPr>
              <w:t>。</w:t>
            </w:r>
          </w:p>
        </w:tc>
        <w:tc>
          <w:tcPr>
            <w:tcW w:w="548" w:type="pct"/>
            <w:tcBorders>
              <w:tl2br w:val="nil"/>
              <w:tr2bl w:val="nil"/>
            </w:tcBorders>
            <w:vAlign w:val="center"/>
          </w:tcPr>
          <w:p w14:paraId="173AB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6AC0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4760E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6AEF5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21A875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防汛公路改造</w:t>
            </w:r>
          </w:p>
        </w:tc>
        <w:tc>
          <w:tcPr>
            <w:tcW w:w="3225" w:type="pct"/>
            <w:tcBorders>
              <w:tl2br w:val="nil"/>
              <w:tr2bl w:val="nil"/>
            </w:tcBorders>
            <w:vAlign w:val="center"/>
          </w:tcPr>
          <w:p w14:paraId="200A67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对主坝与各副坝之间4km长环库防汛公路进行路面升级改造，设计路面宽度4.5m,</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铺设沥青砼路面</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主、副坝近坝库岸防护设计，岸坡坡脚采用抛石护脚，坡面采用13cm厚C20砼预制块+15cm厚砂砾石垫层护砌。</w:t>
            </w:r>
          </w:p>
        </w:tc>
        <w:tc>
          <w:tcPr>
            <w:tcW w:w="548" w:type="pct"/>
            <w:tcBorders>
              <w:tl2br w:val="nil"/>
              <w:tr2bl w:val="nil"/>
            </w:tcBorders>
            <w:vAlign w:val="center"/>
          </w:tcPr>
          <w:p w14:paraId="7C1E9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6A42C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restart"/>
            <w:tcBorders>
              <w:tl2br w:val="nil"/>
              <w:tr2bl w:val="nil"/>
            </w:tcBorders>
            <w:vAlign w:val="center"/>
          </w:tcPr>
          <w:p w14:paraId="3A02B2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2</w:t>
            </w:r>
          </w:p>
        </w:tc>
        <w:tc>
          <w:tcPr>
            <w:tcW w:w="283" w:type="pct"/>
            <w:vMerge w:val="restart"/>
            <w:tcBorders>
              <w:tl2br w:val="nil"/>
              <w:tr2bl w:val="nil"/>
            </w:tcBorders>
            <w:vAlign w:val="center"/>
          </w:tcPr>
          <w:p w14:paraId="68FAF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辅助工程</w:t>
            </w:r>
          </w:p>
        </w:tc>
        <w:tc>
          <w:tcPr>
            <w:tcW w:w="529" w:type="pct"/>
            <w:tcBorders>
              <w:tl2br w:val="nil"/>
              <w:tr2bl w:val="nil"/>
            </w:tcBorders>
            <w:vAlign w:val="center"/>
          </w:tcPr>
          <w:p w14:paraId="0853BA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bidi="ar-SA"/>
              </w:rPr>
              <w:t>管理</w:t>
            </w:r>
          </w:p>
          <w:p w14:paraId="04AAE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bidi="ar-SA"/>
              </w:rPr>
              <w:t>用房</w:t>
            </w:r>
          </w:p>
        </w:tc>
        <w:tc>
          <w:tcPr>
            <w:tcW w:w="3225" w:type="pct"/>
            <w:tcBorders>
              <w:tl2br w:val="nil"/>
              <w:tr2bl w:val="nil"/>
            </w:tcBorders>
            <w:vAlign w:val="center"/>
          </w:tcPr>
          <w:p w14:paraId="03454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rPr>
              <w:t>拆除重建管理用房，新建防汛仓库。</w:t>
            </w:r>
            <w:r>
              <w:rPr>
                <w:rFonts w:hint="default" w:ascii="Times New Roman" w:hAnsi="Times New Roman" w:eastAsia="宋体" w:cs="Times New Roman"/>
                <w:color w:val="auto"/>
                <w:spacing w:val="0"/>
                <w:w w:val="100"/>
                <w:position w:val="0"/>
                <w:sz w:val="21"/>
                <w:szCs w:val="21"/>
                <w:u w:val="none" w:color="auto"/>
                <w:lang w:val="en-US" w:eastAsia="zh-CN"/>
              </w:rPr>
              <w:t>总建筑面积为</w:t>
            </w:r>
            <w:r>
              <w:rPr>
                <w:rFonts w:hint="eastAsia" w:ascii="Times New Roman" w:hAnsi="Times New Roman" w:eastAsia="宋体" w:cs="Times New Roman"/>
                <w:color w:val="auto"/>
                <w:spacing w:val="0"/>
                <w:w w:val="100"/>
                <w:position w:val="0"/>
                <w:sz w:val="21"/>
                <w:szCs w:val="21"/>
                <w:u w:val="none" w:color="auto"/>
                <w:lang w:val="en-US" w:eastAsia="zh-CN"/>
              </w:rPr>
              <w:t>599.52m</w:t>
            </w:r>
            <w:r>
              <w:rPr>
                <w:rFonts w:hint="eastAsia" w:ascii="Times New Roman" w:hAnsi="Times New Roman" w:eastAsia="宋体" w:cs="Times New Roman"/>
                <w:color w:val="auto"/>
                <w:spacing w:val="0"/>
                <w:w w:val="100"/>
                <w:position w:val="0"/>
                <w:sz w:val="21"/>
                <w:szCs w:val="21"/>
                <w:u w:val="none" w:color="auto"/>
                <w:vertAlign w:val="superscript"/>
                <w:lang w:val="en-US" w:eastAsia="zh-CN"/>
              </w:rPr>
              <w:t>2</w:t>
            </w:r>
            <w:r>
              <w:rPr>
                <w:rFonts w:hint="default" w:ascii="Times New Roman" w:hAnsi="Times New Roman" w:eastAsia="宋体" w:cs="Times New Roman"/>
                <w:color w:val="auto"/>
                <w:spacing w:val="0"/>
                <w:w w:val="100"/>
                <w:position w:val="0"/>
                <w:sz w:val="21"/>
                <w:szCs w:val="21"/>
                <w:u w:val="none" w:color="auto"/>
                <w:lang w:val="en-US" w:eastAsia="zh-CN"/>
              </w:rPr>
              <w:t>，结合防汛仓库、办公用房及生活用房</w:t>
            </w:r>
            <w:r>
              <w:rPr>
                <w:rFonts w:hint="eastAsia" w:ascii="Times New Roman" w:hAnsi="Times New Roman" w:eastAsia="宋体" w:cs="Times New Roman"/>
                <w:color w:val="auto"/>
                <w:spacing w:val="0"/>
                <w:w w:val="100"/>
                <w:position w:val="0"/>
                <w:sz w:val="21"/>
                <w:szCs w:val="21"/>
                <w:u w:val="none" w:color="auto"/>
                <w:lang w:val="en-US" w:eastAsia="zh-CN"/>
              </w:rPr>
              <w:t>等</w:t>
            </w:r>
            <w:r>
              <w:rPr>
                <w:rFonts w:hint="default" w:ascii="Times New Roman" w:hAnsi="Times New Roman" w:eastAsia="宋体" w:cs="Times New Roman"/>
                <w:color w:val="auto"/>
                <w:spacing w:val="0"/>
                <w:w w:val="100"/>
                <w:position w:val="0"/>
                <w:sz w:val="21"/>
                <w:szCs w:val="21"/>
                <w:u w:val="none" w:color="auto"/>
                <w:lang w:val="en-US" w:eastAsia="zh-CN"/>
              </w:rPr>
              <w:t>共设三层</w:t>
            </w:r>
            <w:r>
              <w:rPr>
                <w:rFonts w:hint="eastAsia" w:ascii="Times New Roman" w:hAnsi="Times New Roman" w:eastAsia="宋体" w:cs="Times New Roman"/>
                <w:color w:val="auto"/>
                <w:spacing w:val="0"/>
                <w:w w:val="100"/>
                <w:position w:val="0"/>
                <w:sz w:val="21"/>
                <w:szCs w:val="21"/>
                <w:u w:val="none" w:color="auto"/>
                <w:lang w:val="en-US" w:eastAsia="zh-CN"/>
              </w:rPr>
              <w:t>。其中</w:t>
            </w:r>
            <w:r>
              <w:rPr>
                <w:rFonts w:hint="default" w:ascii="Times New Roman" w:hAnsi="Times New Roman" w:eastAsia="宋体" w:cs="Times New Roman"/>
                <w:color w:val="auto"/>
                <w:spacing w:val="0"/>
                <w:w w:val="100"/>
                <w:position w:val="0"/>
                <w:sz w:val="21"/>
                <w:szCs w:val="21"/>
                <w:u w:val="none" w:color="auto"/>
                <w:lang w:val="en-US" w:eastAsia="zh-CN"/>
              </w:rPr>
              <w:t>防汛仓库</w:t>
            </w:r>
            <w:r>
              <w:rPr>
                <w:rFonts w:hint="eastAsia" w:ascii="Times New Roman" w:hAnsi="Times New Roman" w:eastAsia="宋体" w:cs="Times New Roman"/>
                <w:color w:val="auto"/>
                <w:spacing w:val="0"/>
                <w:w w:val="100"/>
                <w:position w:val="0"/>
                <w:sz w:val="21"/>
                <w:szCs w:val="21"/>
                <w:u w:val="none" w:color="auto"/>
                <w:lang w:val="en-US" w:eastAsia="zh-CN"/>
              </w:rPr>
              <w:t>建筑面积为64m</w:t>
            </w:r>
            <w:r>
              <w:rPr>
                <w:rFonts w:hint="eastAsia" w:ascii="Times New Roman" w:hAnsi="Times New Roman" w:eastAsia="宋体" w:cs="Times New Roman"/>
                <w:color w:val="auto"/>
                <w:spacing w:val="0"/>
                <w:w w:val="100"/>
                <w:position w:val="0"/>
                <w:sz w:val="21"/>
                <w:szCs w:val="21"/>
                <w:u w:val="none" w:color="auto"/>
                <w:vertAlign w:val="superscript"/>
                <w:lang w:val="en-US" w:eastAsia="zh-CN"/>
              </w:rPr>
              <w:t>2</w:t>
            </w:r>
            <w:r>
              <w:rPr>
                <w:rFonts w:hint="eastAsia" w:ascii="Times New Roman" w:hAnsi="Times New Roman" w:eastAsia="宋体" w:cs="Times New Roman"/>
                <w:color w:val="auto"/>
                <w:spacing w:val="0"/>
                <w:w w:val="100"/>
                <w:position w:val="0"/>
                <w:sz w:val="21"/>
                <w:szCs w:val="21"/>
                <w:u w:val="none" w:color="auto"/>
                <w:lang w:val="en-US" w:eastAsia="zh-CN"/>
              </w:rPr>
              <w:t>，其余各层布置管理用房、会议室等</w:t>
            </w:r>
            <w:r>
              <w:rPr>
                <w:rFonts w:hint="default" w:ascii="Times New Roman" w:hAnsi="Times New Roman" w:eastAsia="宋体" w:cs="Times New Roman"/>
                <w:color w:val="auto"/>
                <w:spacing w:val="0"/>
                <w:w w:val="100"/>
                <w:position w:val="0"/>
                <w:sz w:val="21"/>
                <w:szCs w:val="21"/>
                <w:u w:val="none" w:color="auto"/>
                <w:lang w:val="en-US" w:eastAsia="zh-CN"/>
              </w:rPr>
              <w:t>。</w:t>
            </w:r>
          </w:p>
        </w:tc>
        <w:tc>
          <w:tcPr>
            <w:tcW w:w="548" w:type="pct"/>
            <w:tcBorders>
              <w:tl2br w:val="nil"/>
              <w:tr2bl w:val="nil"/>
            </w:tcBorders>
            <w:vAlign w:val="center"/>
          </w:tcPr>
          <w:p w14:paraId="4FBF2B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w:t>
            </w:r>
          </w:p>
        </w:tc>
      </w:tr>
      <w:tr w14:paraId="0CABC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58826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4C5BD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67927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白蚁</w:t>
            </w:r>
          </w:p>
          <w:p w14:paraId="1D88D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防治</w:t>
            </w:r>
          </w:p>
        </w:tc>
        <w:tc>
          <w:tcPr>
            <w:tcW w:w="3225" w:type="pct"/>
            <w:tcBorders>
              <w:tl2br w:val="nil"/>
              <w:tr2bl w:val="nil"/>
            </w:tcBorders>
            <w:vAlign w:val="center"/>
          </w:tcPr>
          <w:p w14:paraId="1690C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对主坝、6 座副坝和管理所等区采取白蚁防治措施</w:t>
            </w:r>
            <w:r>
              <w:rPr>
                <w:rFonts w:hint="eastAsia" w:ascii="Times New Roman" w:hAnsi="Times New Roman" w:eastAsia="宋体" w:cs="Times New Roman"/>
                <w:color w:val="auto"/>
                <w:spacing w:val="0"/>
                <w:w w:val="100"/>
                <w:position w:val="0"/>
                <w:sz w:val="21"/>
                <w:szCs w:val="21"/>
                <w:u w:val="none" w:color="auto"/>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采用破</w:t>
            </w:r>
            <w:r>
              <w:rPr>
                <w:rFonts w:hint="default" w:ascii="Times New Roman" w:hAnsi="Times New Roman" w:eastAsia="宋体" w:cs="Times New Roman"/>
                <w:color w:val="auto"/>
                <w:spacing w:val="0"/>
                <w:w w:val="100"/>
                <w:position w:val="0"/>
                <w:sz w:val="21"/>
                <w:szCs w:val="21"/>
                <w:u w:val="none" w:color="auto"/>
                <w:lang w:val="en-US" w:eastAsia="zh-CN"/>
              </w:rPr>
              <w:t>巢</w:t>
            </w:r>
            <w:r>
              <w:rPr>
                <w:rFonts w:hint="eastAsia" w:ascii="Times New Roman" w:hAnsi="Times New Roman" w:eastAsia="宋体" w:cs="Times New Roman"/>
                <w:color w:val="auto"/>
                <w:spacing w:val="0"/>
                <w:w w:val="100"/>
                <w:position w:val="0"/>
                <w:sz w:val="21"/>
                <w:szCs w:val="21"/>
                <w:u w:val="none" w:color="auto"/>
                <w:lang w:val="en-US" w:eastAsia="zh-CN"/>
              </w:rPr>
              <w:t>除蚁、药物诱杀、药物灌浆法</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开展白蚁防治。</w:t>
            </w:r>
          </w:p>
        </w:tc>
        <w:tc>
          <w:tcPr>
            <w:tcW w:w="548" w:type="pct"/>
            <w:tcBorders>
              <w:tl2br w:val="nil"/>
              <w:tr2bl w:val="nil"/>
            </w:tcBorders>
            <w:vAlign w:val="center"/>
          </w:tcPr>
          <w:p w14:paraId="05C7F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250E2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2" w:type="pct"/>
            <w:vMerge w:val="continue"/>
            <w:tcBorders>
              <w:tl2br w:val="nil"/>
              <w:tr2bl w:val="nil"/>
            </w:tcBorders>
            <w:vAlign w:val="center"/>
          </w:tcPr>
          <w:p w14:paraId="5E4BE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4109D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30853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安全</w:t>
            </w:r>
          </w:p>
          <w:p w14:paraId="61A6A1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监测</w:t>
            </w:r>
          </w:p>
        </w:tc>
        <w:tc>
          <w:tcPr>
            <w:tcW w:w="3225" w:type="pct"/>
            <w:tcBorders>
              <w:tl2br w:val="nil"/>
              <w:tr2bl w:val="nil"/>
            </w:tcBorders>
            <w:vAlign w:val="center"/>
          </w:tcPr>
          <w:p w14:paraId="4842AAD0">
            <w:pPr>
              <w:keepNext w:val="0"/>
              <w:keepLines w:val="0"/>
              <w:pageBreakBefore w:val="0"/>
              <w:widowControl w:val="0"/>
              <w:numPr>
                <w:ilvl w:val="0"/>
                <w:numId w:val="0"/>
              </w:numPr>
              <w:suppressLineNumbers w:val="0"/>
              <w:overflowPunct/>
              <w:autoSpaceDE/>
              <w:autoSpaceDN/>
              <w:bidi w:val="0"/>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增设安全监测设施，主要包括变形监测、渗流监测、环境质量监测和自动化监测等。</w:t>
            </w:r>
          </w:p>
        </w:tc>
        <w:tc>
          <w:tcPr>
            <w:tcW w:w="548" w:type="pct"/>
            <w:tcBorders>
              <w:tl2br w:val="nil"/>
              <w:tr2bl w:val="nil"/>
            </w:tcBorders>
            <w:vAlign w:val="center"/>
          </w:tcPr>
          <w:p w14:paraId="6CDD8A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7F9DE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restart"/>
            <w:tcBorders>
              <w:tl2br w:val="nil"/>
              <w:tr2bl w:val="nil"/>
            </w:tcBorders>
            <w:vAlign w:val="center"/>
          </w:tcPr>
          <w:p w14:paraId="090C1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3</w:t>
            </w:r>
          </w:p>
        </w:tc>
        <w:tc>
          <w:tcPr>
            <w:tcW w:w="283" w:type="pct"/>
            <w:vMerge w:val="restart"/>
            <w:tcBorders>
              <w:tl2br w:val="nil"/>
              <w:tr2bl w:val="nil"/>
            </w:tcBorders>
            <w:vAlign w:val="center"/>
          </w:tcPr>
          <w:p w14:paraId="33D2B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临时工程</w:t>
            </w:r>
          </w:p>
        </w:tc>
        <w:tc>
          <w:tcPr>
            <w:tcW w:w="529" w:type="pct"/>
            <w:tcBorders>
              <w:tl2br w:val="nil"/>
              <w:tr2bl w:val="nil"/>
            </w:tcBorders>
            <w:vAlign w:val="center"/>
          </w:tcPr>
          <w:p w14:paraId="5301D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施工道路</w:t>
            </w:r>
          </w:p>
        </w:tc>
        <w:tc>
          <w:tcPr>
            <w:tcW w:w="3225" w:type="pct"/>
            <w:tcBorders>
              <w:tl2br w:val="nil"/>
              <w:tr2bl w:val="nil"/>
            </w:tcBorders>
            <w:vAlign w:val="center"/>
          </w:tcPr>
          <w:p w14:paraId="771F0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施工期间场外施工便道利用周边现有乡村道路，场内施工便道沿规划道路在红线内布设</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不新增临时道路占地</w:t>
            </w:r>
          </w:p>
        </w:tc>
        <w:tc>
          <w:tcPr>
            <w:tcW w:w="548" w:type="pct"/>
            <w:tcBorders>
              <w:tl2br w:val="nil"/>
              <w:tr2bl w:val="nil"/>
            </w:tcBorders>
            <w:vAlign w:val="center"/>
          </w:tcPr>
          <w:p w14:paraId="0AA89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4C829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0BCD6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691403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2E118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临时堆料场</w:t>
            </w:r>
          </w:p>
        </w:tc>
        <w:tc>
          <w:tcPr>
            <w:tcW w:w="3225" w:type="pct"/>
            <w:tcBorders>
              <w:tl2br w:val="nil"/>
              <w:tr2bl w:val="nil"/>
            </w:tcBorders>
            <w:vAlign w:val="center"/>
          </w:tcPr>
          <w:p w14:paraId="470A3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主坝左岸、三副坝右岸、四副坝左岸坝肩开敞地带（水库管理范围内），各布置一处临时堆料场，总占地面积约3000</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m</w:t>
            </w:r>
            <w:r>
              <w:rPr>
                <w:rFonts w:hint="eastAsia" w:ascii="Times New Roman" w:hAnsi="Times New Roman" w:eastAsia="宋体" w:cs="Times New Roman"/>
                <w:caps w:val="0"/>
                <w:smallCaps w:val="0"/>
                <w:color w:val="auto"/>
                <w:spacing w:val="0"/>
                <w:w w:val="100"/>
                <w:kern w:val="0"/>
                <w:position w:val="0"/>
                <w:sz w:val="21"/>
                <w:szCs w:val="21"/>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用于临时堆放开挖利用料。</w:t>
            </w:r>
          </w:p>
        </w:tc>
        <w:tc>
          <w:tcPr>
            <w:tcW w:w="548" w:type="pct"/>
            <w:tcBorders>
              <w:tl2br w:val="nil"/>
              <w:tr2bl w:val="nil"/>
            </w:tcBorders>
            <w:vAlign w:val="center"/>
          </w:tcPr>
          <w:p w14:paraId="1DC03A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EDD4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37CF9D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3F4D6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48EC4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施工</w:t>
            </w:r>
          </w:p>
          <w:p w14:paraId="1561D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工</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区</w:t>
            </w:r>
          </w:p>
        </w:tc>
        <w:tc>
          <w:tcPr>
            <w:tcW w:w="3225" w:type="pct"/>
            <w:tcBorders>
              <w:tl2br w:val="nil"/>
              <w:tr2bl w:val="nil"/>
            </w:tcBorders>
            <w:vAlign w:val="center"/>
          </w:tcPr>
          <w:p w14:paraId="06A1D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机械设备停放、钢筋等原材料堆放和加工，均利用水库管理所现有场地，占地面积约800</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m</w:t>
            </w:r>
            <w:r>
              <w:rPr>
                <w:rFonts w:hint="eastAsia" w:ascii="Times New Roman" w:hAnsi="Times New Roman" w:eastAsia="宋体" w:cs="Times New Roman"/>
                <w:caps w:val="0"/>
                <w:smallCaps w:val="0"/>
                <w:color w:val="auto"/>
                <w:spacing w:val="0"/>
                <w:w w:val="100"/>
                <w:kern w:val="0"/>
                <w:position w:val="0"/>
                <w:sz w:val="21"/>
                <w:szCs w:val="21"/>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不另新增施工工区。</w:t>
            </w:r>
          </w:p>
        </w:tc>
        <w:tc>
          <w:tcPr>
            <w:tcW w:w="548" w:type="pct"/>
            <w:tcBorders>
              <w:tl2br w:val="nil"/>
              <w:tr2bl w:val="nil"/>
            </w:tcBorders>
            <w:vAlign w:val="center"/>
          </w:tcPr>
          <w:p w14:paraId="643E24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56E66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58433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0916E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4D2EC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取土</w:t>
            </w: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场</w:t>
            </w:r>
            <w:r>
              <w:rPr>
                <w:rFonts w:hint="eastAsia" w:ascii="Times New Roman" w:hAnsi="Times New Roman" w:eastAsia="宋体" w:cs="Times New Roman"/>
                <w:caps w:val="0"/>
                <w:smallCaps w:val="0"/>
                <w:color w:val="auto"/>
                <w:spacing w:val="0"/>
                <w:w w:val="100"/>
                <w:kern w:val="0"/>
                <w:position w:val="0"/>
                <w:sz w:val="21"/>
                <w:szCs w:val="21"/>
                <w:highlight w:val="none"/>
                <w:u w:val="none" w:color="auto"/>
                <w:lang w:val="en-US" w:eastAsia="zh-CN"/>
              </w:rPr>
              <w:t>（弃渣场）</w:t>
            </w:r>
          </w:p>
        </w:tc>
        <w:tc>
          <w:tcPr>
            <w:tcW w:w="3225" w:type="pct"/>
            <w:tcBorders>
              <w:tl2br w:val="nil"/>
              <w:tr2bl w:val="nil"/>
            </w:tcBorders>
            <w:vAlign w:val="center"/>
          </w:tcPr>
          <w:p w14:paraId="4D57B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一副坝北侧直线距离约500</w:t>
            </w:r>
            <w:r>
              <w:rPr>
                <w:rFonts w:hint="default" w:ascii="Times New Roman" w:hAnsi="Times New Roman" w:eastAsia="宋体" w:cs="Times New Roman"/>
                <w:caps w:val="0"/>
                <w:smallCaps w:val="0"/>
                <w:color w:val="auto"/>
                <w:spacing w:val="0"/>
                <w:w w:val="100"/>
                <w:kern w:val="0"/>
                <w:position w:val="0"/>
                <w:sz w:val="21"/>
                <w:szCs w:val="21"/>
                <w:u w:val="none" w:color="auto"/>
                <w:lang w:val="en-US" w:eastAsia="zh-CN"/>
              </w:rPr>
              <w:t>m</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的青山村侯家岭取土场，取土场和弃渣场合建。其中I区和II区总占地面积2hm</w:t>
            </w:r>
            <w:r>
              <w:rPr>
                <w:rFonts w:hint="eastAsia" w:ascii="Times New Roman" w:hAnsi="Times New Roman" w:eastAsia="宋体" w:cs="Times New Roman"/>
                <w:caps w:val="0"/>
                <w:smallCaps w:val="0"/>
                <w:color w:val="auto"/>
                <w:spacing w:val="0"/>
                <w:w w:val="100"/>
                <w:kern w:val="0"/>
                <w:position w:val="0"/>
                <w:sz w:val="21"/>
                <w:szCs w:val="21"/>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，用于本项目取土；I区开采至高程30m，形成平地后作为本项目弃渣场</w:t>
            </w:r>
            <w:r>
              <w:rPr>
                <w:rFonts w:hint="eastAsia" w:ascii="Times New Roman" w:hAnsi="Times New Roman" w:eastAsia="宋体" w:cs="Times New Roman"/>
                <w:caps w:val="0"/>
                <w:smallCaps w:val="0"/>
                <w:color w:val="auto"/>
                <w:spacing w:val="0"/>
                <w:w w:val="100"/>
                <w:kern w:val="0"/>
                <w:position w:val="0"/>
                <w:sz w:val="21"/>
                <w:szCs w:val="21"/>
                <w:u w:val="none" w:color="auto"/>
                <w:lang w:eastAsia="zh-CN"/>
              </w:rPr>
              <w:t>，占地面积</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1hm</w:t>
            </w:r>
            <w:r>
              <w:rPr>
                <w:rFonts w:hint="eastAsia" w:ascii="Times New Roman" w:hAnsi="Times New Roman" w:eastAsia="宋体" w:cs="Times New Roman"/>
                <w:caps w:val="0"/>
                <w:smallCaps w:val="0"/>
                <w:color w:val="auto"/>
                <w:spacing w:val="0"/>
                <w:w w:val="100"/>
                <w:kern w:val="0"/>
                <w:position w:val="0"/>
                <w:sz w:val="21"/>
                <w:szCs w:val="21"/>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1"/>
                <w:szCs w:val="21"/>
                <w:u w:val="none" w:color="auto"/>
                <w:lang w:val="en-US" w:eastAsia="zh-CN"/>
              </w:rPr>
              <w:t>，用于堆放本项目产生弃土。</w:t>
            </w:r>
          </w:p>
        </w:tc>
        <w:tc>
          <w:tcPr>
            <w:tcW w:w="548" w:type="pct"/>
            <w:tcBorders>
              <w:tl2br w:val="nil"/>
              <w:tr2bl w:val="nil"/>
            </w:tcBorders>
            <w:vAlign w:val="center"/>
          </w:tcPr>
          <w:p w14:paraId="36F19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6A6F0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2" w:type="pct"/>
            <w:vMerge w:val="restart"/>
            <w:tcBorders>
              <w:tl2br w:val="nil"/>
              <w:tr2bl w:val="nil"/>
            </w:tcBorders>
            <w:vAlign w:val="center"/>
          </w:tcPr>
          <w:p w14:paraId="417C3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4</w:t>
            </w:r>
          </w:p>
        </w:tc>
        <w:tc>
          <w:tcPr>
            <w:tcW w:w="283" w:type="pct"/>
            <w:vMerge w:val="restart"/>
            <w:tcBorders>
              <w:tl2br w:val="nil"/>
              <w:tr2bl w:val="nil"/>
            </w:tcBorders>
            <w:vAlign w:val="center"/>
          </w:tcPr>
          <w:p w14:paraId="740EC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vertAlign w:val="baseline"/>
                <w:lang w:val="en-US" w:eastAsia="zh-CN"/>
              </w:rPr>
              <w:t>公用工程</w:t>
            </w:r>
          </w:p>
        </w:tc>
        <w:tc>
          <w:tcPr>
            <w:tcW w:w="529" w:type="pct"/>
            <w:tcBorders>
              <w:tl2br w:val="nil"/>
              <w:tr2bl w:val="nil"/>
            </w:tcBorders>
            <w:vAlign w:val="center"/>
          </w:tcPr>
          <w:p w14:paraId="3BA30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供水</w:t>
            </w:r>
          </w:p>
        </w:tc>
        <w:tc>
          <w:tcPr>
            <w:tcW w:w="3225" w:type="pct"/>
            <w:tcBorders>
              <w:tl2br w:val="nil"/>
              <w:tr2bl w:val="nil"/>
            </w:tcBorders>
            <w:vAlign w:val="center"/>
          </w:tcPr>
          <w:p w14:paraId="267158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eastAsia="zh-CN"/>
              </w:rPr>
              <w:t>利用水泵从</w:t>
            </w:r>
            <w:r>
              <w:rPr>
                <w:rFonts w:hint="default" w:ascii="Times New Roman" w:hAnsi="Times New Roman" w:eastAsia="宋体" w:cs="Times New Roman"/>
                <w:color w:val="auto"/>
                <w:sz w:val="21"/>
                <w:szCs w:val="21"/>
                <w:u w:val="none" w:color="auto"/>
              </w:rPr>
              <w:t>水库抽取使用</w:t>
            </w:r>
          </w:p>
        </w:tc>
        <w:tc>
          <w:tcPr>
            <w:tcW w:w="548" w:type="pct"/>
            <w:tcBorders>
              <w:tl2br w:val="nil"/>
              <w:tr2bl w:val="nil"/>
            </w:tcBorders>
            <w:vAlign w:val="center"/>
          </w:tcPr>
          <w:p w14:paraId="36C6E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51DF5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12" w:type="pct"/>
            <w:vMerge w:val="continue"/>
            <w:tcBorders>
              <w:tl2br w:val="nil"/>
              <w:tr2bl w:val="nil"/>
            </w:tcBorders>
            <w:vAlign w:val="center"/>
          </w:tcPr>
          <w:p w14:paraId="36B20E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5E0E6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529" w:type="pct"/>
            <w:tcBorders>
              <w:tl2br w:val="nil"/>
              <w:tr2bl w:val="nil"/>
            </w:tcBorders>
            <w:vAlign w:val="center"/>
          </w:tcPr>
          <w:p w14:paraId="25BBD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供电</w:t>
            </w:r>
          </w:p>
        </w:tc>
        <w:tc>
          <w:tcPr>
            <w:tcW w:w="3225" w:type="pct"/>
            <w:tcBorders>
              <w:tl2br w:val="nil"/>
              <w:tr2bl w:val="nil"/>
            </w:tcBorders>
            <w:vAlign w:val="center"/>
          </w:tcPr>
          <w:p w14:paraId="451F6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rPr>
              <w:t>管理所的农网电，并自备电源</w:t>
            </w:r>
          </w:p>
        </w:tc>
        <w:tc>
          <w:tcPr>
            <w:tcW w:w="548" w:type="pct"/>
            <w:tcBorders>
              <w:tl2br w:val="nil"/>
              <w:tr2bl w:val="nil"/>
            </w:tcBorders>
            <w:vAlign w:val="center"/>
          </w:tcPr>
          <w:p w14:paraId="43EA3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55349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restart"/>
            <w:tcBorders>
              <w:tl2br w:val="nil"/>
              <w:tr2bl w:val="nil"/>
            </w:tcBorders>
            <w:vAlign w:val="center"/>
          </w:tcPr>
          <w:p w14:paraId="78B2B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5</w:t>
            </w:r>
          </w:p>
        </w:tc>
        <w:tc>
          <w:tcPr>
            <w:tcW w:w="283" w:type="pct"/>
            <w:vMerge w:val="restart"/>
            <w:tcBorders>
              <w:tl2br w:val="nil"/>
              <w:tr2bl w:val="nil"/>
            </w:tcBorders>
            <w:vAlign w:val="center"/>
          </w:tcPr>
          <w:p w14:paraId="5CC816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环保工程</w:t>
            </w:r>
          </w:p>
        </w:tc>
        <w:tc>
          <w:tcPr>
            <w:tcW w:w="529" w:type="pct"/>
            <w:tcBorders>
              <w:tl2br w:val="nil"/>
              <w:tr2bl w:val="nil"/>
            </w:tcBorders>
            <w:vAlign w:val="center"/>
          </w:tcPr>
          <w:p w14:paraId="424F1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废水</w:t>
            </w:r>
          </w:p>
        </w:tc>
        <w:tc>
          <w:tcPr>
            <w:tcW w:w="3225" w:type="pct"/>
            <w:tcBorders>
              <w:tl2br w:val="nil"/>
              <w:tr2bl w:val="nil"/>
            </w:tcBorders>
            <w:vAlign w:val="center"/>
          </w:tcPr>
          <w:p w14:paraId="17C6D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cs="Times New Roman"/>
                <w:color w:val="auto"/>
                <w:u w:val="none" w:color="auto"/>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生活污水：</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施工人员租住民房，生活污水依托现有居民</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化粪池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处理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后用于周边田地施肥</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p>
          <w:p w14:paraId="2157C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pPr>
            <w:r>
              <w:rPr>
                <w:rFonts w:hint="default" w:ascii="Times New Roman" w:hAnsi="Times New Roman" w:eastAsia="微软雅黑" w:cs="Times New Roman"/>
                <w:b w:val="0"/>
                <w:bCs w:val="0"/>
                <w:caps w:val="0"/>
                <w:smallCaps w:val="0"/>
                <w:color w:val="auto"/>
                <w:spacing w:val="0"/>
                <w:w w:val="100"/>
                <w:kern w:val="0"/>
                <w:position w:val="0"/>
                <w:sz w:val="21"/>
                <w:szCs w:val="21"/>
                <w:u w:val="none" w:color="auto"/>
                <w:vertAlign w:val="baseline"/>
                <w:lang w:val="en-US" w:eastAsia="zh-CN"/>
              </w:rPr>
              <w:t>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基坑废水：进水涵进口和输水涵进口围堰各设</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1</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套沉淀池，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1</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套</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2</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池。沉淀池为砖混结构，对池底及表面进行硬化。基坑沉淀池尺寸为：3000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3000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2000mm，回用水池尺寸为：3000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3000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2000mm。基坑废水经沉淀处理后</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回用于施工道路和施工区内洒水降尘、车辆清洗等，不外排</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p>
          <w:p w14:paraId="15AD72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pPr>
            <w:r>
              <w:rPr>
                <w:rFonts w:hint="default" w:ascii="Times New Roman" w:hAnsi="Times New Roman" w:eastAsia="微软雅黑" w:cs="Times New Roman"/>
                <w:b w:val="0"/>
                <w:bCs w:val="0"/>
                <w:caps w:val="0"/>
                <w:smallCaps w:val="0"/>
                <w:color w:val="auto"/>
                <w:spacing w:val="0"/>
                <w:w w:val="100"/>
                <w:kern w:val="0"/>
                <w:position w:val="0"/>
                <w:sz w:val="21"/>
                <w:szCs w:val="21"/>
                <w:u w:val="none" w:color="auto"/>
                <w:vertAlign w:val="baseline"/>
                <w:lang w:eastAsia="zh-CN"/>
              </w:rPr>
              <w:t>③</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灌浆施工废水</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灌浆施工场地设置截排水沟，出口处设置集水集浆池</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收集</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后</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经沉淀池处理回用</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，严禁施工废水流入</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库</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区。沉淀池设计停留时间4h，砖混结构，对池底及表面进行硬化</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沉淀池设计规模5</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×3</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000</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2000mm</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。废水处理后上清液进入蓄水池，用于施工场地洒水</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不外排；</w:t>
            </w:r>
          </w:p>
          <w:p w14:paraId="64F5F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微软雅黑" w:cs="Times New Roman"/>
                <w:b w:val="0"/>
                <w:bCs w:val="0"/>
                <w:caps w:val="0"/>
                <w:smallCaps w:val="0"/>
                <w:color w:val="auto"/>
                <w:spacing w:val="0"/>
                <w:w w:val="100"/>
                <w:kern w:val="0"/>
                <w:position w:val="0"/>
                <w:sz w:val="21"/>
                <w:szCs w:val="21"/>
                <w:u w:val="none" w:color="auto"/>
                <w:vertAlign w:val="baseline"/>
                <w:lang w:eastAsia="zh-CN"/>
              </w:rPr>
              <w:t>④</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含油废水：经</w:t>
            </w:r>
            <w:r>
              <w:rPr>
                <w:rFonts w:hint="eastAsia" w:ascii="Times New Roman" w:hAnsi="Times New Roman" w:eastAsia="宋体" w:cs="Times New Roman"/>
                <w:color w:val="auto"/>
                <w:kern w:val="0"/>
                <w:sz w:val="21"/>
                <w:szCs w:val="21"/>
                <w:u w:val="none" w:color="auto"/>
                <w:lang w:val="en-US" w:eastAsia="zh-CN" w:bidi="ar"/>
              </w:rPr>
              <w:t>隔油沉淀池处理，设计处理规模为</w:t>
            </w:r>
            <w:r>
              <w:rPr>
                <w:rFonts w:hint="default" w:ascii="Times New Roman" w:hAnsi="Times New Roman" w:eastAsia="宋体" w:cs="Times New Roman"/>
                <w:color w:val="auto"/>
                <w:kern w:val="0"/>
                <w:sz w:val="21"/>
                <w:szCs w:val="21"/>
                <w:u w:val="none" w:color="auto"/>
                <w:lang w:val="en-US" w:eastAsia="zh-CN" w:bidi="ar"/>
              </w:rPr>
              <w:t>6.0</w:t>
            </w:r>
            <w:r>
              <w:rPr>
                <w:rFonts w:hint="default" w:ascii="Times New Roman" w:hAnsi="Times New Roman" w:eastAsia="宋体" w:cs="Times New Roman"/>
                <w:caps w:val="0"/>
                <w:smallCaps w:val="0"/>
                <w:color w:val="auto"/>
                <w:spacing w:val="0"/>
                <w:w w:val="100"/>
                <w:kern w:val="0"/>
                <w:position w:val="0"/>
                <w:sz w:val="21"/>
                <w:szCs w:val="21"/>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1"/>
                <w:szCs w:val="21"/>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1"/>
                <w:szCs w:val="21"/>
                <w:u w:val="none" w:color="auto"/>
                <w:lang w:val="en-US" w:eastAsia="zh-CN"/>
              </w:rPr>
              <w:t>/d</w:t>
            </w:r>
            <w:r>
              <w:rPr>
                <w:rFonts w:hint="eastAsia" w:ascii="Times New Roman" w:hAnsi="Times New Roman" w:eastAsia="宋体" w:cs="Times New Roman"/>
                <w:color w:val="auto"/>
                <w:kern w:val="0"/>
                <w:sz w:val="21"/>
                <w:szCs w:val="21"/>
                <w:u w:val="none" w:color="auto"/>
                <w:lang w:val="en-US" w:eastAsia="zh-CN" w:bidi="ar"/>
              </w:rPr>
              <w:t>，共布设1座隔油沉淀池，设计停留时间</w:t>
            </w:r>
            <w:r>
              <w:rPr>
                <w:rFonts w:hint="default" w:ascii="Times New Roman" w:hAnsi="Times New Roman" w:eastAsia="宋体" w:cs="Times New Roman"/>
                <w:color w:val="auto"/>
                <w:kern w:val="0"/>
                <w:sz w:val="21"/>
                <w:szCs w:val="21"/>
                <w:u w:val="none" w:color="auto"/>
                <w:lang w:val="en-US" w:eastAsia="zh-CN" w:bidi="ar"/>
              </w:rPr>
              <w:t>4h</w:t>
            </w:r>
            <w:r>
              <w:rPr>
                <w:rFonts w:hint="eastAsia" w:ascii="Times New Roman" w:hAnsi="Times New Roman" w:eastAsia="宋体" w:cs="Times New Roman"/>
                <w:color w:val="auto"/>
                <w:kern w:val="0"/>
                <w:sz w:val="21"/>
                <w:szCs w:val="21"/>
                <w:u w:val="none" w:color="auto"/>
                <w:lang w:val="en-US" w:eastAsia="zh-CN" w:bidi="ar"/>
              </w:rPr>
              <w:t>，砖混结构，对池底及表面进行硬化，隔油池、沉淀池、蓄水池尺寸均为：2000</w:t>
            </w:r>
            <w:r>
              <w:rPr>
                <w:rFonts w:hint="default" w:ascii="Times New Roman" w:hAnsi="Times New Roman" w:eastAsia="宋体" w:cs="Times New Roman"/>
                <w:color w:val="auto"/>
                <w:kern w:val="0"/>
                <w:sz w:val="21"/>
                <w:szCs w:val="21"/>
                <w:u w:val="none" w:color="auto"/>
                <w:lang w:val="en-US" w:eastAsia="zh-CN" w:bidi="ar"/>
              </w:rPr>
              <w:t>×</w:t>
            </w:r>
            <w:r>
              <w:rPr>
                <w:rFonts w:hint="eastAsia" w:ascii="Times New Roman" w:hAnsi="Times New Roman" w:eastAsia="宋体" w:cs="Times New Roman"/>
                <w:color w:val="auto"/>
                <w:kern w:val="0"/>
                <w:sz w:val="21"/>
                <w:szCs w:val="21"/>
                <w:u w:val="none" w:color="auto"/>
                <w:lang w:val="en-US" w:eastAsia="zh-CN" w:bidi="ar"/>
              </w:rPr>
              <w:t>1500</w:t>
            </w:r>
            <w:r>
              <w:rPr>
                <w:rFonts w:hint="default" w:ascii="Times New Roman" w:hAnsi="Times New Roman" w:eastAsia="宋体" w:cs="Times New Roman"/>
                <w:color w:val="auto"/>
                <w:kern w:val="0"/>
                <w:sz w:val="21"/>
                <w:szCs w:val="21"/>
                <w:u w:val="none" w:color="auto"/>
                <w:lang w:val="en-US" w:eastAsia="zh-CN" w:bidi="ar"/>
              </w:rPr>
              <w:t>×</w:t>
            </w:r>
            <w:r>
              <w:rPr>
                <w:rFonts w:hint="eastAsia" w:ascii="Times New Roman" w:hAnsi="Times New Roman" w:eastAsia="宋体" w:cs="Times New Roman"/>
                <w:color w:val="auto"/>
                <w:kern w:val="0"/>
                <w:sz w:val="21"/>
                <w:szCs w:val="21"/>
                <w:u w:val="none" w:color="auto"/>
                <w:lang w:val="en-US" w:eastAsia="zh-CN" w:bidi="ar"/>
              </w:rPr>
              <w:t>2000mm。处理后的含油废水进入蓄水池，回用于施工场地洒水降尘</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p>
        </w:tc>
        <w:tc>
          <w:tcPr>
            <w:tcW w:w="548" w:type="pct"/>
            <w:tcBorders>
              <w:tl2br w:val="nil"/>
              <w:tr2bl w:val="nil"/>
            </w:tcBorders>
            <w:vAlign w:val="center"/>
          </w:tcPr>
          <w:p w14:paraId="00DD76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7F5DF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431A0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32020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529" w:type="pct"/>
            <w:tcBorders>
              <w:tl2br w:val="nil"/>
              <w:tr2bl w:val="nil"/>
            </w:tcBorders>
            <w:vAlign w:val="center"/>
          </w:tcPr>
          <w:p w14:paraId="332FE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废气</w:t>
            </w:r>
          </w:p>
        </w:tc>
        <w:tc>
          <w:tcPr>
            <w:tcW w:w="3225" w:type="pct"/>
            <w:tcBorders>
              <w:tl2br w:val="nil"/>
              <w:tr2bl w:val="nil"/>
            </w:tcBorders>
            <w:vAlign w:val="center"/>
          </w:tcPr>
          <w:p w14:paraId="3F34EC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cs="Times New Roman"/>
                <w:color w:val="auto"/>
                <w:u w:val="none" w:color="auto"/>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在局部时段对附近敏感目标扬尘影响较大的施工区周围设置连续的围挡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r>
              <w:rPr>
                <w:rFonts w:hint="default" w:ascii="Times New Roman" w:hAnsi="Times New Roman" w:eastAsia="微软雅黑" w:cs="Times New Roman"/>
                <w:b w:val="0"/>
                <w:bCs w:val="0"/>
                <w:caps w:val="0"/>
                <w:smallCaps w:val="0"/>
                <w:color w:val="auto"/>
                <w:spacing w:val="0"/>
                <w:w w:val="100"/>
                <w:kern w:val="0"/>
                <w:position w:val="0"/>
                <w:sz w:val="21"/>
                <w:szCs w:val="21"/>
                <w:u w:val="none" w:color="auto"/>
                <w:vertAlign w:val="baseline"/>
                <w:lang w:val="en-US" w:eastAsia="zh-CN"/>
              </w:rPr>
              <w:t>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定期洒水降尘；</w:t>
            </w:r>
            <w:r>
              <w:rPr>
                <w:rFonts w:hint="default" w:ascii="Times New Roman" w:hAnsi="Times New Roman" w:eastAsia="微软雅黑" w:cs="Times New Roman"/>
                <w:b w:val="0"/>
                <w:bCs w:val="0"/>
                <w:caps w:val="0"/>
                <w:smallCaps w:val="0"/>
                <w:color w:val="auto"/>
                <w:spacing w:val="0"/>
                <w:w w:val="100"/>
                <w:kern w:val="0"/>
                <w:position w:val="0"/>
                <w:sz w:val="21"/>
                <w:szCs w:val="21"/>
                <w:u w:val="none" w:color="auto"/>
                <w:vertAlign w:val="baseline"/>
                <w:lang w:eastAsia="zh-CN"/>
              </w:rPr>
              <w:t>③</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采用</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封闭围挡</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设置喷雾除尘</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④</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堆场及裸露面防尘网覆盖；</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⑤施工道路加强限速管理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；⑥运输粉料采用密闭罐车，其他物料应全封闭或帆布覆盖；⑦运输道路加强清扫，洒水降尘；⑧</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优先选用</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符合国家有关卫生标准的施工机械和运输车辆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fldChar w:fldCharType="begin"/>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instrText xml:space="preserve"> = 9 \* GB3 \* MERGEFORMAT </w:instrTex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t>⑨</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eastAsia="zh-CN"/>
              </w:rPr>
              <w:fldChar w:fldCharType="end"/>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加强管理，文明装卸，</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合理安排施工车辆行驶路线，尽量避开居民集中区</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等管理措施。</w:t>
            </w:r>
          </w:p>
        </w:tc>
        <w:tc>
          <w:tcPr>
            <w:tcW w:w="548" w:type="pct"/>
            <w:tcBorders>
              <w:tl2br w:val="nil"/>
              <w:tr2bl w:val="nil"/>
            </w:tcBorders>
            <w:vAlign w:val="center"/>
          </w:tcPr>
          <w:p w14:paraId="592E8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3580C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6E208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62264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529" w:type="pct"/>
            <w:tcBorders>
              <w:tl2br w:val="nil"/>
              <w:tr2bl w:val="nil"/>
            </w:tcBorders>
            <w:vAlign w:val="center"/>
          </w:tcPr>
          <w:p w14:paraId="78D7E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噪声</w:t>
            </w:r>
          </w:p>
        </w:tc>
        <w:tc>
          <w:tcPr>
            <w:tcW w:w="3225" w:type="pct"/>
            <w:tcBorders>
              <w:tl2br w:val="nil"/>
              <w:tr2bl w:val="nil"/>
            </w:tcBorders>
            <w:vAlign w:val="center"/>
          </w:tcPr>
          <w:p w14:paraId="2D1C40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施工道路设置限速牌，加强交</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通运输管理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，敏感点附近</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降低车速</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禁止使用高音嗽叭；②加强道路和车辆的维护保养；③优化施工布置，</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优先</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选用低噪声施工设备；④合理安排施工时间，禁止夜间施工。若因工艺需要必须在晚上施工，应上报当地生态环境主管部门批准同意，并在施工前公告；⑤钢筋加工等高噪声生产区</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靠近敏感目标处设置临时声屏障。</w:t>
            </w:r>
          </w:p>
        </w:tc>
        <w:tc>
          <w:tcPr>
            <w:tcW w:w="548" w:type="pct"/>
            <w:tcBorders>
              <w:tl2br w:val="nil"/>
              <w:tr2bl w:val="nil"/>
            </w:tcBorders>
            <w:vAlign w:val="center"/>
          </w:tcPr>
          <w:p w14:paraId="4E159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6B18A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33F41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0AF82A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529" w:type="pct"/>
            <w:tcBorders>
              <w:tl2br w:val="nil"/>
              <w:tr2bl w:val="nil"/>
            </w:tcBorders>
            <w:vAlign w:val="center"/>
          </w:tcPr>
          <w:p w14:paraId="71EE6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固废</w:t>
            </w:r>
          </w:p>
        </w:tc>
        <w:tc>
          <w:tcPr>
            <w:tcW w:w="3225" w:type="pct"/>
            <w:tcBorders>
              <w:tl2br w:val="nil"/>
              <w:tr2bl w:val="nil"/>
            </w:tcBorders>
            <w:vAlign w:val="center"/>
          </w:tcPr>
          <w:p w14:paraId="7F634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弃方全部运至</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侯家岭</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弃</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渣</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场，施工弃渣严禁向水库和河道内倾倒</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②拆除的设备外售进行资源回收利用</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③建筑垃圾收集后</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交由专业渣土公司</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运至</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政府部门指定地点处理处置；</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④沉淀池收集的污泥</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定期人工清理，经收集后外售砖厂制砖；</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⑤生活垃圾集中收集，定时清运处理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；⑥</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废油</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采</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用储油桶暂存于危废暂存</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间</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内，</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及时交由</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有资质的单位处理处置</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p>
        </w:tc>
        <w:tc>
          <w:tcPr>
            <w:tcW w:w="548" w:type="pct"/>
            <w:tcBorders>
              <w:tl2br w:val="nil"/>
              <w:tr2bl w:val="nil"/>
            </w:tcBorders>
            <w:vAlign w:val="center"/>
          </w:tcPr>
          <w:p w14:paraId="01571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0528F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787FA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251A0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529" w:type="pct"/>
            <w:tcBorders>
              <w:tl2br w:val="nil"/>
              <w:tr2bl w:val="nil"/>
            </w:tcBorders>
            <w:vAlign w:val="center"/>
          </w:tcPr>
          <w:p w14:paraId="68E7B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生态</w:t>
            </w:r>
          </w:p>
          <w:p w14:paraId="1EB80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环境</w:t>
            </w:r>
          </w:p>
        </w:tc>
        <w:tc>
          <w:tcPr>
            <w:tcW w:w="3225" w:type="pct"/>
            <w:tcBorders>
              <w:tl2br w:val="nil"/>
              <w:tr2bl w:val="nil"/>
            </w:tcBorders>
            <w:vAlign w:val="center"/>
          </w:tcPr>
          <w:p w14:paraId="4B2954FE">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leftChars="0" w:right="0" w:rightChars="0"/>
              <w:jc w:val="left"/>
              <w:textAlignment w:val="auto"/>
              <w:rPr>
                <w:rFonts w:hint="default"/>
                <w:color w:val="auto"/>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加强监管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，严禁</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生活污水和施工废水、生活垃圾与其他固体废弃物直接排放</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进</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入水库及下游河道</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②施工区设置警示牌</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③加强施工期渔业资源监测</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建立鱼类及时救护机制</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④优化工程设计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施工方案</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施工时序</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，尽量安排在枯水期施工，避免</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雨季施工</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，产噪较大的施工</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避开区域冬候鸟栖息时间</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⑤</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严格落实临时截排水沟、临时沉淀池、临时覆盖、挡土、临时工程植被恢复等各项水土保持措施；⑥</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划定施工活动范围，加强施工监理工作</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；⑦</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各施工</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临时用地及时</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实施植被修复措施</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；⑧</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进行</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施工期生态</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监测或调查</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9 \* GB3 \* MERGEFORMAT </w:instrTex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⑨</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加强宣传，增强员工的保护意识，避免意外砍伐</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野生植物，</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严禁捕猎野生动物</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、水生生物等。</w:t>
            </w:r>
          </w:p>
        </w:tc>
        <w:tc>
          <w:tcPr>
            <w:tcW w:w="548" w:type="pct"/>
            <w:tcBorders>
              <w:tl2br w:val="nil"/>
              <w:tr2bl w:val="nil"/>
            </w:tcBorders>
            <w:vAlign w:val="center"/>
          </w:tcPr>
          <w:p w14:paraId="51A9F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1BE48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vMerge w:val="continue"/>
            <w:tcBorders>
              <w:tl2br w:val="nil"/>
              <w:tr2bl w:val="nil"/>
            </w:tcBorders>
            <w:vAlign w:val="center"/>
          </w:tcPr>
          <w:p w14:paraId="6D83F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283" w:type="pct"/>
            <w:vMerge w:val="continue"/>
            <w:tcBorders>
              <w:tl2br w:val="nil"/>
              <w:tr2bl w:val="nil"/>
            </w:tcBorders>
            <w:vAlign w:val="center"/>
          </w:tcPr>
          <w:p w14:paraId="78721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529" w:type="pct"/>
            <w:tcBorders>
              <w:tl2br w:val="nil"/>
              <w:tr2bl w:val="nil"/>
            </w:tcBorders>
            <w:vAlign w:val="center"/>
          </w:tcPr>
          <w:p w14:paraId="68CBB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地下水、土壤</w:t>
            </w:r>
          </w:p>
        </w:tc>
        <w:tc>
          <w:tcPr>
            <w:tcW w:w="3225" w:type="pct"/>
            <w:tcBorders>
              <w:tl2br w:val="nil"/>
              <w:tr2bl w:val="nil"/>
            </w:tcBorders>
            <w:vAlign w:val="center"/>
          </w:tcPr>
          <w:p w14:paraId="497083B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leftChars="0" w:right="0" w:rightChars="0"/>
              <w:jc w:val="left"/>
              <w:textAlignment w:val="auto"/>
              <w:rPr>
                <w:rFonts w:hint="eastAsia"/>
                <w:color w:val="auto"/>
                <w:u w:val="none" w:color="auto"/>
                <w:lang w:val="en-US" w:eastAsia="zh-CN"/>
              </w:rPr>
            </w:pP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begin"/>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instrText xml:space="preserve"> = 1 \* GB3 \* MERGEFORMAT </w:instrTex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separate"/>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①</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fldChar w:fldCharType="end"/>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工程施工过程中各废污水的处理和回用，各项废污水处理构筑物应做好防渗措施</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②</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加强</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管理，及时保养</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机械设备</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，防止跑、冒、滴、漏污染</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③各类固体废物应分类收集，做好收集管理工作</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及时清运处理</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④</w:t>
            </w:r>
            <w:r>
              <w:rPr>
                <w:rFonts w:hint="eastAsia"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落实各项水土保持措施，对施工范围</w:t>
            </w:r>
            <w:r>
              <w:rPr>
                <w:rFonts w:hint="default" w:ascii="Times New Roman" w:hAnsi="Times New Roman" w:eastAsia="宋体" w:cs="Times New Roman"/>
                <w:b w:val="0"/>
                <w:bCs w:val="0"/>
                <w:caps w:val="0"/>
                <w:smallCaps w:val="0"/>
                <w:color w:val="auto"/>
                <w:spacing w:val="0"/>
                <w:w w:val="100"/>
                <w:kern w:val="0"/>
                <w:position w:val="0"/>
                <w:sz w:val="21"/>
                <w:szCs w:val="21"/>
                <w:u w:val="none" w:color="auto"/>
                <w:vertAlign w:val="baseline"/>
                <w:lang w:val="en-US" w:eastAsia="zh-CN"/>
              </w:rPr>
              <w:t>进行表土剥离，并集中堆置防护用于后期植被恢复。</w:t>
            </w:r>
          </w:p>
        </w:tc>
        <w:tc>
          <w:tcPr>
            <w:tcW w:w="548" w:type="pct"/>
            <w:tcBorders>
              <w:tl2br w:val="nil"/>
              <w:tr2bl w:val="nil"/>
            </w:tcBorders>
            <w:vAlign w:val="center"/>
          </w:tcPr>
          <w:p w14:paraId="614489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bl>
    <w:p w14:paraId="15BAA67F">
      <w:pPr>
        <w:spacing w:line="360" w:lineRule="auto"/>
        <w:ind w:left="0" w:leftChars="0" w:firstLine="0" w:firstLineChars="0"/>
        <w:jc w:val="center"/>
        <w:rPr>
          <w:rFonts w:hint="eastAsia" w:ascii="Times New Roman" w:hAnsi="Times New Roman" w:eastAsia="宋体" w:cs="Times New Roman"/>
          <w:b/>
          <w:bCs/>
          <w:sz w:val="24"/>
          <w:u w:val="none" w:color="auto"/>
          <w:lang w:val="en-US" w:eastAsia="zh-CN"/>
        </w:rPr>
      </w:pPr>
    </w:p>
    <w:p w14:paraId="5C1133CC">
      <w:pPr>
        <w:pStyle w:val="4"/>
        <w:bidi w:val="0"/>
        <w:rPr>
          <w:rFonts w:hint="default"/>
          <w:lang w:val="en-US" w:eastAsia="zh-CN"/>
        </w:rPr>
      </w:pPr>
      <w:bookmarkStart w:id="100" w:name="_Toc23009"/>
      <w:r>
        <w:rPr>
          <w:rFonts w:hint="eastAsia"/>
          <w:lang w:val="en-US" w:eastAsia="zh-CN"/>
        </w:rPr>
        <w:t>工程总体布置</w:t>
      </w:r>
      <w:bookmarkEnd w:id="100"/>
    </w:p>
    <w:p w14:paraId="28F20948">
      <w:pPr>
        <w:keepNext w:val="0"/>
        <w:keepLines w:val="0"/>
        <w:pageBreakBefore w:val="0"/>
        <w:widowControl w:val="0"/>
        <w:overflowPunct/>
        <w:autoSpaceDE/>
        <w:autoSpaceDN/>
        <w:bidi w:val="0"/>
        <w:snapToGrid/>
        <w:spacing w:line="360" w:lineRule="auto"/>
        <w:ind w:left="0" w:firstLine="42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lang w:val="en-US" w:eastAsia="zh-CN"/>
        </w:rPr>
        <w:t xml:space="preserve"> </w:t>
      </w:r>
      <w:r>
        <w:rPr>
          <w:rFonts w:hint="default" w:ascii="Times New Roman" w:hAnsi="Times New Roman" w:eastAsia="宋体" w:cs="Times New Roman"/>
          <w:color w:val="auto"/>
          <w:spacing w:val="0"/>
          <w:w w:val="100"/>
          <w:position w:val="0"/>
          <w:sz w:val="24"/>
          <w:szCs w:val="24"/>
          <w:u w:val="none" w:color="auto"/>
          <w:lang w:val="en-US" w:eastAsia="zh-CN"/>
        </w:rPr>
        <w:t>北汊水库本次除险加固后主要建筑物包括主坝、6座副坝、泄洪闸、2座输水涵闸和2座进水涵闸等组成。</w:t>
      </w:r>
    </w:p>
    <w:p w14:paraId="7E9333D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主坝、6座副坝、泄洪闸、二副坝输水涵闸工程总体布置基本不变。</w:t>
      </w:r>
    </w:p>
    <w:p w14:paraId="634E158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四副坝进水涵闸在原址改造，结构为钢筋砼箱涵，闸孔尺寸为2.5m×2.5m（宽×高）单孔，长46.17m，底板高程27.5m，自动化启闭设施。</w:t>
      </w:r>
    </w:p>
    <w:p w14:paraId="52E8C4D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五副坝原进水涵闸封堵停用，在五副坝桩号（0+042.7左坝肩）新建一座进水涵闸，结构为钢筋砼箱涵，闸孔尺寸为2.5m×2.5m（宽×高）单孔，长37.80m，底板高程27.5m，自动化启闭设施。</w:t>
      </w:r>
    </w:p>
    <w:p w14:paraId="464DD0F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五副坝输水涵闸在原址改造，新建控制控制闸及进水池，箱涵部分拆除重建，加固后箱涵为钢筋砼箱涵，闸孔尺寸为1.2m×1.8m（宽×高），长23m，底板高程27.5m，设2个钢质平板闸门，2台8t螺杆手摇启闭机启闭。</w:t>
      </w:r>
    </w:p>
    <w:p w14:paraId="3213EF73">
      <w:pPr>
        <w:pStyle w:val="4"/>
        <w:bidi w:val="0"/>
        <w:rPr>
          <w:rFonts w:hint="default"/>
          <w:lang w:val="en-US" w:eastAsia="zh-CN"/>
        </w:rPr>
      </w:pPr>
      <w:bookmarkStart w:id="101" w:name="_Toc30806"/>
      <w:r>
        <w:rPr>
          <w:rFonts w:hint="eastAsia"/>
          <w:lang w:val="en-US" w:eastAsia="zh-CN"/>
        </w:rPr>
        <w:t>工程设计</w:t>
      </w:r>
      <w:bookmarkEnd w:id="101"/>
    </w:p>
    <w:p w14:paraId="1AA43F3E">
      <w:pPr>
        <w:pStyle w:val="5"/>
        <w:bidi w:val="0"/>
        <w:rPr>
          <w:rFonts w:hint="default"/>
          <w:lang w:val="en-US" w:eastAsia="zh-CN"/>
        </w:rPr>
      </w:pPr>
      <w:r>
        <w:rPr>
          <w:rFonts w:hint="default"/>
          <w:lang w:val="en-US" w:eastAsia="zh-CN"/>
        </w:rPr>
        <w:t>挡水建筑物加固设计</w:t>
      </w:r>
    </w:p>
    <w:p w14:paraId="2C3D52D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挡水建筑物由主坝、一～六副坝等7座大坝组成。</w:t>
      </w:r>
    </w:p>
    <w:p w14:paraId="49FA8939">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（一）</w:t>
      </w:r>
      <w:r>
        <w:rPr>
          <w:rFonts w:hint="default" w:ascii="Times New Roman" w:hAnsi="Times New Roman" w:eastAsia="宋体" w:cs="Times New Roman"/>
          <w:b/>
          <w:bCs/>
          <w:color w:val="auto"/>
          <w:spacing w:val="0"/>
          <w:w w:val="100"/>
          <w:position w:val="0"/>
          <w:sz w:val="24"/>
          <w:szCs w:val="24"/>
          <w:u w:val="none" w:color="auto"/>
          <w:lang w:val="en-US" w:eastAsia="zh-CN"/>
        </w:rPr>
        <w:t>主坝加固设计</w:t>
      </w:r>
    </w:p>
    <w:p w14:paraId="5C365B4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北汊水库主坝存在渗流、稳定安全隐患。本次除险加固对坝体进行防渗处理，对上下游坡脚基础进行加固处理，对坝顶欠高欠宽进行加高培厚加固，对上下游坝坡及坝顶等改造加固。</w:t>
      </w:r>
    </w:p>
    <w:p w14:paraId="125DC5D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1、主坝防渗加固设计</w:t>
      </w:r>
    </w:p>
    <w:p w14:paraId="2CA2C85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主坝下游贴坡排水部分已不能发挥正常的排水功能，坝体浸润线抬高，坝体内土体含水量普遍偏高，高水位时下游坝坡平台排水沟附近出现渗漏险情。根据主坝渗流复核计算，高水位时浸润线基本在现状平台以上高程出逸，浸润线出逸点较高，渗漏量较小，主要为坝坡散浸。</w:t>
      </w:r>
    </w:p>
    <w:p w14:paraId="2712BFE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阶段主坝防渗加固以“下排”为主，根据工程实际情况，以“翻修下游坡脚现有贴坡排水+平台以上新建贴坡排水保护”为主；同时针对左坝肩渗漏问题，结合主坝结构加固拟采用的水泥土搅拌桩方案，采取水泥土搅拌桩防渗墙的防渗措施对左坝肩加强防渗处理。</w:t>
      </w:r>
    </w:p>
    <w:p w14:paraId="64772F5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贴坡排水加固</w:t>
      </w:r>
    </w:p>
    <w:p w14:paraId="1679D5E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贴坡排水翻修根据本次现场调查情况，局部翻修原主坝下游坡脚贴坡排水，贴坡排水顶高程与原贴坡排水高程一致。贴坡排水由下至上依此为厚20cm的砂砾石反滤层、厚20cm的碎石反滤层、厚50cm的干砌石块</w:t>
      </w:r>
      <w:r>
        <w:rPr>
          <w:rFonts w:hint="eastAsia" w:ascii="Times New Roman" w:hAnsi="Times New Roman" w:eastAsia="宋体" w:cs="Times New Roman"/>
          <w:color w:val="auto"/>
          <w:spacing w:val="0"/>
          <w:w w:val="100"/>
          <w:position w:val="0"/>
          <w:sz w:val="24"/>
          <w:szCs w:val="24"/>
          <w:u w:val="none" w:color="auto"/>
          <w:lang w:val="en-US" w:eastAsia="zh-CN"/>
        </w:rPr>
        <w:t>。</w:t>
      </w:r>
    </w:p>
    <w:p w14:paraId="57C4DFD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平台以上新建贴坡排水贴坡排水体结合主坝加高培厚沿坝轴线连续布设，根据渗流计算成果，加固前下游坝坡出逸点高程区间值为26.80m～30.25m，加固后下游坝坡出逸点高程区间值为26.80m～29.5m，根据《碾压式土石坝设计规范》（SL274-2020）5.7.11条，3级中、高坝贴坡排水顶部高程高于坝体浸润线出逸点的高度不应小于1.50m，本工程水库大坝为3级低坝，参照规范及水库特征水位，结合类似工程经验，本阶段本次设计贴坡排水顶高程按超过加固后最高出逸点0.5m控制，即贴坡排水顶高程按30.0m控制。贴坡排水由下至上依此为厚20cm的砂砾石反滤层、厚20cm的碎石反滤层、厚50cm的干砌石块，坡比1：3.0。贴坡排水下游侧沿坝轴线设置纵向混凝土排水沟，底宽35cm，深30cm，壁厚20cm，排水沟上游侧壁布置Φ50mm的排水管伸入贴坡排水体中，排水管长度0.8m，间距5.0m，便于贴坡排水体中积水及时排出。</w:t>
      </w:r>
    </w:p>
    <w:p w14:paraId="4A61E23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）新建水泥土搅拌桩防渗墙+坝基帷幕灌浆</w:t>
      </w:r>
    </w:p>
    <w:p w14:paraId="29F3485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微软雅黑" w:hAnsi="微软雅黑" w:eastAsia="微软雅黑" w:cs="微软雅黑"/>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水泥土搅拌桩防渗墙</w:t>
      </w:r>
    </w:p>
    <w:p w14:paraId="07A1436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本次地勘成果，本阶段针对主坝左坝肩存在含碎石粉质粘土段（桩号KZ1+435～KZ1+455）采用新建水泥土搅拌桩防渗墙的防渗加固方案处理，处理范围为桩号KZ1+425至左岸坝肩出露基岩（泥质粉砂岩），处理长度约60m。防渗墙轴线与坝轴线平行，位于坝轴线上游侧2.0m，顶部与C25混凝土防渗墙相接，底部与坝基泥质粉砂岩相接。</w:t>
      </w:r>
    </w:p>
    <w:p w14:paraId="2B53D2E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水泥土搅拌桩防渗墙设计控制标准为：渗透系数K≤1×10-6cm/s，允许比降大于50。</w:t>
      </w:r>
    </w:p>
    <w:p w14:paraId="6DDE028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左坝肩防渗加固段水头不超过4m，按照防渗墙允许渗流比降计算，防渗墙厚度不小于8cm，结合类似工程经验，并考虑施工成墙工艺要求和施工精度等因素，确定防渗墙有效厚度不小于20cm。采用桩径60cm水泥土搅拌桩，桩间距应不大于0.55m</w:t>
      </w:r>
      <w:r>
        <w:rPr>
          <w:rFonts w:hint="eastAsia" w:ascii="Times New Roman" w:hAnsi="Times New Roman" w:eastAsia="宋体" w:cs="Times New Roman"/>
          <w:color w:val="auto"/>
          <w:spacing w:val="0"/>
          <w:w w:val="100"/>
          <w:position w:val="0"/>
          <w:sz w:val="24"/>
          <w:szCs w:val="24"/>
          <w:u w:val="none" w:color="auto"/>
          <w:lang w:val="en-US" w:eastAsia="zh-CN"/>
        </w:rPr>
        <w:t>。</w:t>
      </w:r>
    </w:p>
    <w:p w14:paraId="02CD3BF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微软雅黑" w:hAnsi="微软雅黑" w:eastAsia="微软雅黑" w:cs="微软雅黑"/>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坝基帷幕灌浆</w:t>
      </w:r>
    </w:p>
    <w:p w14:paraId="1DE0E76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①帷幕灌浆设计</w:t>
      </w:r>
    </w:p>
    <w:p w14:paraId="6339D64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左坝肩坝基采用帷幕灌浆防渗，帷幕灌浆范围为大坝桩号KZ1+425~KZ1+455，并向左岸山体内延伸不小于80m，帷幕灌浆底部伸入10Lu线以下不小于5m。大坝桩号KZ1+425~KZ1+455范围帷幕灌浆轴线与防渗墙轴线重合，向左岸山体延伸段帷幕灌浆轴线与防渗墙轴线延长线重合，遇左坝肩山体时帷幕灌浆轴线沿山体上游侧较缓坡脚布设。帷幕采用单排灌浆，孔距1.5m，底部伸入10Lu线以下不小于5.0m。</w:t>
      </w:r>
    </w:p>
    <w:p w14:paraId="0E6CA46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②灌浆材料及灌浆工艺</w:t>
      </w:r>
    </w:p>
    <w:p w14:paraId="6B37FE1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灌浆材料采用普通硅酸盐水泥浆液，水泥强度等级不低于42.5级。水泥浆采用水灰比5∶1、3∶1、2∶1、1∶1和0.5∶1五个比级，开灌水灰比5∶1。</w:t>
      </w:r>
    </w:p>
    <w:p w14:paraId="5774BA0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帷幕灌浆拟采用孔口封闭法灌浆，分三序施工。为保证帷幕灌浆质量和防渗效果，施工前应进行帷幕灌浆试验，验证帷幕设计参数、灌浆材料和工艺，施工时根据先导孔情况可优化调整灌浆孔布置及灌浆参数。</w:t>
      </w:r>
    </w:p>
    <w:p w14:paraId="5CA1DCA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2、主坝结构加固设计</w:t>
      </w:r>
    </w:p>
    <w:p w14:paraId="1A11BB9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206CACA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本次采用防浪墙与帮坡培厚结合的加高加宽措施。</w:t>
      </w:r>
    </w:p>
    <w:p w14:paraId="6870F33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624A713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主坝坝顶新建混凝土防浪墙，根据计算复核，防浪墙墙顶高程34.00m，顶宽50cm，墙厚30cm，采用L型结构型式，混凝土强度等级为C25，防浪墙按10m一分缝，缝内设一道塑料止水。</w:t>
      </w:r>
    </w:p>
    <w:p w14:paraId="360BFA6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279CB24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根据工程情况，主坝下游加高培厚采用回填土料+贴坡排水的方案，回填土料及贴坡排水均布置在原下游平台以上，贴坡排水在回填土料下方。</w:t>
      </w:r>
    </w:p>
    <w:p w14:paraId="6D9BCCD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方案可减少粘土用量、降低帮坡培厚及贴坡排水占地。坝体帮坡培厚后，主坝坝顶高程32.8m，坝顶宽5.0m，下游坝坡坡比1:3.0，坝顶至高程30.00m采用草皮护坡，高程30.00m以下为贴坡排水，底部通过排水沟与平台相接，平台高程28.1m～28.5m。</w:t>
      </w:r>
    </w:p>
    <w:p w14:paraId="60CBA03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为保证斜坡结合面的稳定性，施工时将原坝坡开挖成阶梯状，再分层碾压填筑。</w:t>
      </w:r>
    </w:p>
    <w:p w14:paraId="05EEE9F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为尽可能降低回填后坝顶的不均匀沉降，填筑土料及碾压填筑施工应满足有关规范和设计要求，严格控制填筑土料的含水率、压实度等质量控制指标。碾压填筑施工前先开展现场碾压试验，取得适用于本工程的最优碾压施工参数后再进行正式碾压填筑施工，并采用重型振动碾等加密措施，以使回填的主要沉降量在填筑期间完成</w:t>
      </w:r>
      <w:r>
        <w:rPr>
          <w:rFonts w:hint="eastAsia" w:ascii="Times New Roman" w:hAnsi="Times New Roman" w:eastAsia="宋体" w:cs="Times New Roman"/>
          <w:color w:val="auto"/>
          <w:spacing w:val="0"/>
          <w:w w:val="100"/>
          <w:position w:val="0"/>
          <w:sz w:val="24"/>
          <w:szCs w:val="24"/>
          <w:u w:val="none" w:color="auto"/>
          <w:lang w:val="en-US" w:eastAsia="zh-CN"/>
        </w:rPr>
        <w:t>。</w:t>
      </w:r>
    </w:p>
    <w:p w14:paraId="7194C3B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52F2BA4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大坝坝顶长1455m，混凝土路面宽4.5m，局部小于4.5m，不满足规范要求。本次除险加固结合坝体加高培厚，对原混凝土路面拆除，新建沥青混凝土路面，宽5m，路面面层采用6cm厚沥青混凝土，下部设20cm厚水泥稳定垫层和15cm厚碎石垫层。</w:t>
      </w:r>
    </w:p>
    <w:p w14:paraId="35BB51F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面层沥青混凝土采用AC-13C细粒式沥青混凝土。水泥稳定碎石垫层的水泥用量不小于5%，水泥稳定碎石层力学性能要求：回弹模量≥2000MPa，7d龄期无侧限抗压强度≥2.0MPa。</w:t>
      </w:r>
    </w:p>
    <w:p w14:paraId="5249B10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（3）上游坝坡加固方案</w:t>
      </w:r>
    </w:p>
    <w:p w14:paraId="1CC8895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相同排数情况下水泥土搅拌桩对坝坡稳定性的提升程度更优，同时经济性方面水泥土搅拌桩方案也更优于振冲碎石桩方案。因此，本阶段选取水泥土搅拌桩方案对上游坝坡加固。上游坝坡加固处理范围为主坝桩号K0+000~K1+455，采用3排水泥土搅拌桩，桩径60cm，间排距1m，梅花型布置，伸入可塑-硬塑状粘土层或硬塑状网纹状粘土层中1m。采取土方抛填方式在主坝上游侧坝脚形成水泥土搅拌桩施工平台，顶部设混凝土预制块护面，顶宽5.7m，顶高程28.00m，上游侧采用抛石护坡，设计坡比1:3.0。</w:t>
      </w:r>
    </w:p>
    <w:p w14:paraId="3CAA8E7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水泥土搅拌桩固化剂宜选用等级为42.5级以上的普通硅酸盐水泥，设计水泥掺量为18%，水灰比为0.5～0.6，设计水泥土搅拌桩桩身抗压强度不小于1.5MPa，黏聚力不小于55kPa，内摩擦角不小于25°。</w:t>
      </w:r>
    </w:p>
    <w:p w14:paraId="44182B2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土搅拌桩施工前按间距30m布置先导孔，根据先导孔揭示的地质情况，进一步确定搅拌桩的深度，局部淤泥深度大地质条件差的部位增加搅拌桩的排数或减小间距。水泥土搅拌桩采用湿法施工，正式施工前进行生产性试验，确定水泥掺量、水灰比、搅拌机转速、提升速度、注浆压力等施工工艺参数</w:t>
      </w:r>
      <w:r>
        <w:rPr>
          <w:rFonts w:hint="eastAsia" w:ascii="Times New Roman" w:hAnsi="Times New Roman" w:eastAsia="宋体" w:cs="Times New Roman"/>
          <w:color w:val="auto"/>
          <w:spacing w:val="0"/>
          <w:w w:val="100"/>
          <w:position w:val="0"/>
          <w:sz w:val="24"/>
          <w:szCs w:val="24"/>
          <w:u w:val="none" w:color="auto"/>
          <w:lang w:val="en-US" w:eastAsia="zh-CN"/>
        </w:rPr>
        <w:t>。</w:t>
      </w:r>
    </w:p>
    <w:p w14:paraId="0725AEF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（4）上游护坡加固</w:t>
      </w:r>
    </w:p>
    <w:p w14:paraId="480DA97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主坝现状上游坝顶至高程31.2m采用草皮护坡，高程31.2m至27.5m为预制混凝土六方块护坡，高程27.5m至坝脚采用抛石固脚。</w:t>
      </w:r>
    </w:p>
    <w:p w14:paraId="3E16A26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预制混凝土护坡局部破损、变形、塌陷，厚度为13cm，经复核，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1607C1C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（5）下游坝坡加固方案</w:t>
      </w:r>
    </w:p>
    <w:p w14:paraId="221EC60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北汊水库主坝下游坝坡存在抗滑稳定安全系数不满足规范要求的问题</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根据工程实际情况，采取同上游坝坡加固方案。</w:t>
      </w:r>
    </w:p>
    <w:p w14:paraId="1A79A83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根据计算复核，下游坝坡加固处理范围为主坝桩号KZ0+000~KZ1+455，采用3排水泥土搅拌桩，桩径60cm，间排距1m，梅花型布置，伸入可塑-硬塑状粘土层或硬塑状网纹状粘土层中1m，局部地质条件较差的部位增加一排。</w:t>
      </w:r>
    </w:p>
    <w:p w14:paraId="6420E32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加固水泥土搅拌桩施工平台布置与大坝下游平台上，水泥土搅拌桩施工前按间距30m布置先导孔，根据先导孔揭示的地质情况，进一步确定搅拌桩的深度，局部淤泥深度大地质条件差的部位增加搅拌桩的排数。水泥土搅拌桩完成后再培厚下游坝体。</w:t>
      </w:r>
    </w:p>
    <w:p w14:paraId="5425392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（6）下游护坡改造</w:t>
      </w:r>
    </w:p>
    <w:p w14:paraId="5F77A0E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下游坝坡坝顶至高程30.00m采用草皮护坡，高程30.00m以下为贴坡排水，平台采用草皮护坡。平台下游侧贴坡排水局部翻修，贴坡排水顶高程与原贴坡排水高程一致</w:t>
      </w:r>
      <w:r>
        <w:rPr>
          <w:rFonts w:hint="eastAsia" w:ascii="Times New Roman" w:hAnsi="Times New Roman" w:eastAsia="宋体" w:cs="Times New Roman"/>
          <w:color w:val="auto"/>
          <w:spacing w:val="0"/>
          <w:w w:val="100"/>
          <w:position w:val="0"/>
          <w:sz w:val="24"/>
          <w:szCs w:val="24"/>
          <w:u w:val="none" w:color="auto"/>
          <w:lang w:val="en-US" w:eastAsia="zh-CN"/>
        </w:rPr>
        <w:t>。</w:t>
      </w:r>
    </w:p>
    <w:p w14:paraId="06D0B55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（7）踏步及排水沟</w:t>
      </w:r>
    </w:p>
    <w:p w14:paraId="5010A88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w:t>
      </w:r>
    </w:p>
    <w:p w14:paraId="70D5BB8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重建混凝土踏步宽1.5m，间隔300m设一处；重建纵横混凝土排水沟，底宽35cm，深30cm，壁厚20cm；纵向排水沟上游侧布置Φ50mm的排水管伸入贴坡排水体中，排水管长度0.8m，间距5.0m；横向排水沟间隔50m设一处。</w:t>
      </w:r>
    </w:p>
    <w:p w14:paraId="09DBCBE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5FD5C61F">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（二）一副坝加固设计</w:t>
      </w:r>
    </w:p>
    <w:p w14:paraId="2ED4BE0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北汊水库一副坝存在渗流、稳定安全隐患。本次除险加固对坝体进行防渗处理，对上游坝坡进行加固处理，对坝顶欠高欠宽进行加高培厚加固，对上下游坝坡及坝顶等改造加固。</w:t>
      </w:r>
    </w:p>
    <w:p w14:paraId="34F53EE2">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宋体" w:hAnsi="宋体" w:eastAsia="宋体" w:cs="宋体"/>
          <w:color w:val="000000"/>
          <w:kern w:val="0"/>
          <w:sz w:val="28"/>
          <w:szCs w:val="28"/>
          <w:lang w:val="en-US" w:eastAsia="zh-CN" w:bidi="ar"/>
        </w:rPr>
        <w:t>1、</w:t>
      </w:r>
      <w:r>
        <w:rPr>
          <w:rFonts w:hint="eastAsia" w:ascii="Times New Roman" w:hAnsi="Times New Roman" w:eastAsia="宋体" w:cs="Times New Roman"/>
          <w:color w:val="auto"/>
          <w:spacing w:val="0"/>
          <w:w w:val="100"/>
          <w:position w:val="0"/>
          <w:sz w:val="24"/>
          <w:szCs w:val="24"/>
          <w:u w:val="none" w:color="auto"/>
          <w:lang w:val="en-US" w:eastAsia="zh-CN"/>
        </w:rPr>
        <w:t>一副坝防渗加固设计</w:t>
      </w:r>
    </w:p>
    <w:p w14:paraId="4E43FEB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根据主坝防渗加固方案，结合一副坝渗流复核成果，本阶段一副坝防渗加固采用翻修下游坡脚贴坡排水保护的方案。</w:t>
      </w:r>
    </w:p>
    <w:p w14:paraId="05C9890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根据本次现场调查情况，局部翻修原主坝下游坡脚贴坡排水，贴坡排水顶高程与原贴坡排水高程一致。贴坡排水由下至上依此为厚20cm的砂砾石反滤层、厚20cm的碎石反滤层、厚50cm的干砌石块。</w:t>
      </w:r>
    </w:p>
    <w:p w14:paraId="0C73680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2、一副坝结构加固设计</w:t>
      </w:r>
    </w:p>
    <w:p w14:paraId="643F676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7CF1FAC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一副坝坝顶高程欠高欠宽，根据类似工程经验，常采用下游帮坡培厚加高加宽坝顶、防浪墙与帮坡培厚结合加高加宽等措施。一副坝欠高80～120cm，坝顶路面欠宽100cm，若全部采用下游帮坡培厚加高加宽坝顶，工程投资太大；大坝下游为鱼塘，若全部采用下游帮坡培厚加高加宽坝顶，加固后下游侧侵占鱼塘面积太大。故根据工程实际情况，本次采用防浪墙与帮坡培厚结合的加高加宽措施。</w:t>
      </w:r>
    </w:p>
    <w:p w14:paraId="6D4D21A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66C3CC8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一副坝坝顶新建混凝土防浪墙，根据计算复核，防浪墙墙顶高程34.00m，顶宽50cm，墙厚30cm，采用L型结构型式，混凝土强度等级为C25，防浪墙按10m一分缝，缝内设一道塑料止水。</w:t>
      </w:r>
    </w:p>
    <w:p w14:paraId="029E86E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0AB4E8D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根据工程情况，一副坝下游加高培厚采用下游侧回填土料的方案。</w:t>
      </w:r>
    </w:p>
    <w:p w14:paraId="0466D9A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坝体帮坡培厚后，一副坝坝顶高程32.8m，坝顶宽5.0m，下游坝坡坡比1:3.0，采用草皮护坡，护坡坡脚设置排水沟，平台高程28.7m。</w:t>
      </w:r>
    </w:p>
    <w:p w14:paraId="3A0963B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w:t>
      </w:r>
    </w:p>
    <w:p w14:paraId="2DA9623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7D59C6A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一副坝坝顶长200m，泥结石路面宽4.0m，不满足规范要求。本次除险加固结合坝体加高培厚，对原泥结石路面拆除，新建混凝土路面，宽5m，路面面层采用20cm厚混凝土，下部设20cm厚水泥稳定垫层。</w:t>
      </w:r>
    </w:p>
    <w:p w14:paraId="0C66615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（3）上游坝坡加固方案</w:t>
      </w:r>
    </w:p>
    <w:p w14:paraId="483F581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本阶段复核计算，一副坝上游坝坡抗滑稳定性在上游不利水位工况时不满足规范要求，但与规范要求最小值1.3相差不大。本次除险加固在上游侧采用抛石固脚，防御风浪淘刷坡脚，同时加固上游坝坡，抛石顶高程28.00m，顶宽3.0m，设计坡比1:3.0。</w:t>
      </w:r>
    </w:p>
    <w:p w14:paraId="2E4436E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（4）上游护坡加固</w:t>
      </w:r>
    </w:p>
    <w:p w14:paraId="6172B10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一副坝现状上游坝顶至高程31.2m采用草皮护坡，高程31.2m至27.5m为预制混凝土六方块护坡，高程27.5m至坝脚采用抛石固脚。</w:t>
      </w:r>
    </w:p>
    <w:p w14:paraId="318A7A5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预制混凝土护坡局部破损、变形、塌陷，厚度为13cm，经复核，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571E879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（5）下游坝坡加固</w:t>
      </w:r>
    </w:p>
    <w:p w14:paraId="60FE358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经复核计算，一副坝下游坝坡加固前后抗滑稳定性均满足规范要求，无需进行加固。</w:t>
      </w:r>
    </w:p>
    <w:p w14:paraId="2E76CC9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（6）下游护坡改造</w:t>
      </w:r>
    </w:p>
    <w:p w14:paraId="04C7707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下游坝坡及平台采用草皮护坡，平台下游侧贴坡排水局部翻修，贴坡排水顶高程与原贴坡排水高程一致。</w:t>
      </w:r>
    </w:p>
    <w:p w14:paraId="06ED722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（7）踏步及排水沟</w:t>
      </w:r>
    </w:p>
    <w:p w14:paraId="1E3C9EF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w:t>
      </w:r>
    </w:p>
    <w:p w14:paraId="2E8E899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下游坝坡桩号0+100处重建一处混凝土踏步，宽1.5m。重建纵横混凝土排水沟，底宽35cm，深30cm，壁厚20cm；横向排水沟间隔50m设一处。</w:t>
      </w:r>
    </w:p>
    <w:p w14:paraId="07419A8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3A6A6ABA">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（三）二副坝加固设计</w:t>
      </w:r>
    </w:p>
    <w:p w14:paraId="2899E6B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北汊水库二副坝存在渗流、稳定安全隐患。本次除险加固对坝体进行防渗处理，对下游坡脚基础进行加固处理，对坝顶欠高欠宽进行加高培厚加固，对上下游坝坡及坝顶等改造加固。</w:t>
      </w:r>
    </w:p>
    <w:p w14:paraId="334AB16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1、二副坝防渗加固设计</w:t>
      </w:r>
    </w:p>
    <w:p w14:paraId="1FF8E90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主坝防渗加固方案，结合二副坝渗流复核成果，二副坝防渗加固采取以排为主的方式。但由于二副坝下游侧紧邻鱼塘，为减少占用鱼塘面积，本阶段二副坝防渗加固拟结合坝体下游新建的石笼挡墙增设反滤层进行防渗加固。</w:t>
      </w:r>
    </w:p>
    <w:p w14:paraId="10D8937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根据坝体渗流计算复核结果，下游反滤顶高程按29.0m控制。反滤设置在坝体和石笼挡墙间，从上游至下游依次为20cm后砂砾石反滤层、20cm厚碎石反滤层。</w:t>
      </w:r>
    </w:p>
    <w:p w14:paraId="6C9527C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2、二副坝结构加固设计</w:t>
      </w:r>
    </w:p>
    <w:p w14:paraId="438B7B9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6D37A3F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二副坝坝顶高程欠高欠宽，根据类似工程经验，常采用下游帮坡培厚加高加宽坝顶、防浪墙与帮坡培厚结合加高加宽等措施。二副坝欠高70～190cm，坝顶路面欠宽1.7m，若全部采用下游帮坡培厚加高加宽坝顶，工程投资太大；大坝下游为鱼塘，若全部采用下游帮坡培厚加高加宽坝顶，加固后下游侧侵占鱼塘面积太大。故根据工程实际情况，本次采用防浪墙与帮坡培厚结合的加高加宽措施。下游坡脚设置石笼挡墙以减少占用占地</w:t>
      </w:r>
      <w:r>
        <w:rPr>
          <w:rFonts w:hint="eastAsia" w:eastAsia="宋体"/>
          <w:lang w:eastAsia="zh-CN"/>
        </w:rPr>
        <w:t>。</w:t>
      </w:r>
    </w:p>
    <w:p w14:paraId="215721A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736A560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二副坝坝顶新建混凝土防浪墙，根据计算复核，防浪墙墙顶高程34.00m，顶宽50cm，墙厚30cm，采用L型结构型式，混凝土强度等级为C25，防浪墙按10m一分缝，缝内设一道塑料止水。</w:t>
      </w:r>
    </w:p>
    <w:p w14:paraId="358E080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2D13E74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根据工程情况，二副坝下游加高培厚采用下游侧回填土料的方案。考虑二副坝下游侧为鱼塘，为避免侵占过多鱼塘面积，下游坡脚设置石笼挡墙。石笼挡墙顶高程29.0m，上下游综合坡比1:1。</w:t>
      </w:r>
    </w:p>
    <w:p w14:paraId="0B96719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坝体帮坡培厚后，二副坝坝顶高程32.8m，坝顶宽5.0m，下游坝坡坡比1:3.0，采用草皮护坡。</w:t>
      </w:r>
    </w:p>
    <w:p w14:paraId="0251CAE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根据现场调查情况，二副坝下游侧现状有较多灌木杂树，根系交织盘错，清基深度不小于50cm。主要包括拆除现有护坡、梯道、排水沟等结构物，对下游坝面进行清理、平整。</w:t>
      </w:r>
    </w:p>
    <w:p w14:paraId="4E6501F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3）格宾石笼设计</w:t>
      </w:r>
    </w:p>
    <w:p w14:paraId="18DA0D6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格宾石笼一般采用0.5m×2m×2m的单元，单元之间再进行连接形成一个整体石笼，每个单元通过网格隔成0.5m×1m×1m的网笼，也可根据具体情况加工设计格宾石笼。钢丝网采用机编网，网孔8cm×10cm，钢丝直径不小于φ2.7mm，抗张拉强度不小于350N/mm2。钢丝厚镀高尔凡（5％铝锌合金＋稀土元素）覆塑防腐处理，镀层的粘附力要求：当钢丝绕具有2倍钢丝直径的心轴6周时，用手指摩擦钢丝，其不会剥落或开裂，符合EN10223-3标准。石笼内装填块石，块石粒径为10cm～40cm。</w:t>
      </w:r>
    </w:p>
    <w:p w14:paraId="6825801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2E54B44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二副坝坝顶长290m，土质路面宽3.3m，不满足规范要求。本次除险加固结合坝体加高培厚，新建混凝土路面，宽5m，路面面层采用20cm厚混凝土，下部设20cm厚水泥稳定垫层。</w:t>
      </w:r>
    </w:p>
    <w:p w14:paraId="75A41AA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（3）上游护坡加固方案</w:t>
      </w:r>
    </w:p>
    <w:p w14:paraId="1562139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二副坝现状上游坝顶至高程31.2m采用草皮护坡；高程31.2m至27.5m为预制混凝土六方块护坡；高程27.5m至坝脚采用抛石固脚。</w:t>
      </w:r>
    </w:p>
    <w:p w14:paraId="12157A9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本次除险加固在上游侧采用抛石固脚，防御风浪淘刷坡脚，抛石顶高程28.00m，顶宽3.0m，设计坡比1:3.0。</w:t>
      </w:r>
    </w:p>
    <w:p w14:paraId="7110F4D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预制混凝土护坡局部破损、变形、塌陷，厚度为13cm，经复核，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38954B0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（4）下游坝坡加固</w:t>
      </w:r>
    </w:p>
    <w:p w14:paraId="61DF0A3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经复核计算，二副坝现状下游坝坡存在抗滑稳定安全系数不满足规范要求，在坝体加高培厚、下游坡脚设置石笼挡墙后，经计算下游坝坡抗滑稳定安全系数满足规范要求。</w:t>
      </w:r>
    </w:p>
    <w:p w14:paraId="7A5C37C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（5）下游护坡改造</w:t>
      </w:r>
    </w:p>
    <w:p w14:paraId="02F958D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下游坝坡采用草皮护坡。</w:t>
      </w:r>
    </w:p>
    <w:p w14:paraId="6694AAF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（6）踏步及排水沟</w:t>
      </w:r>
    </w:p>
    <w:p w14:paraId="00433D7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坝体帮坡培厚拆除下游踏步、排水沟，本次除险加固将重建下游踏步、排水沟。下游坝坡桩号KII0+145处重建一处混凝土踏步，宽1.5m。重建坝肩排水沟。</w:t>
      </w:r>
    </w:p>
    <w:p w14:paraId="70D3E89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55714146">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（四）三副坝加固设计</w:t>
      </w:r>
    </w:p>
    <w:p w14:paraId="4D49588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北汊水库三副坝存在渗流、稳定安全隐患。本次除险加固对坝体进行防渗处理，对下游坡脚基础进行加固处理，对坝顶欠高欠宽进行加高培厚加固，对上下游坝坡及坝顶等改造加固。</w:t>
      </w:r>
    </w:p>
    <w:p w14:paraId="730A778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1、三副坝防渗加固设计</w:t>
      </w:r>
    </w:p>
    <w:p w14:paraId="3B51ECC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与二副坝防渗加固方案相同，本阶段三副坝防渗加固拟结合坝体坝体下游新建的石笼挡墙增设反滤层进行防渗加固。</w:t>
      </w:r>
    </w:p>
    <w:p w14:paraId="4BF743F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根据坝体渗流计算复核结果，下游反滤顶高程按29.0m控制。反滤设置在坝体和石笼挡墙间，从上游至下游依次为20cm后砂砾石反滤层、20cm厚碎石反滤层</w:t>
      </w:r>
      <w:r>
        <w:rPr>
          <w:rFonts w:hint="eastAsia" w:ascii="Times New Roman" w:hAnsi="Times New Roman" w:eastAsia="宋体" w:cs="Times New Roman"/>
          <w:color w:val="auto"/>
          <w:spacing w:val="0"/>
          <w:w w:val="100"/>
          <w:position w:val="0"/>
          <w:sz w:val="24"/>
          <w:szCs w:val="24"/>
          <w:u w:val="none" w:color="auto"/>
          <w:lang w:val="en-US" w:eastAsia="zh-CN"/>
        </w:rPr>
        <w:t>。</w:t>
      </w:r>
    </w:p>
    <w:p w14:paraId="3F70D25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2、三副坝结构加固设计</w:t>
      </w:r>
    </w:p>
    <w:p w14:paraId="62B38DF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22A266F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三副坝坝顶高程欠高欠宽，根据类似工程经验，常采用下游帮坡培厚加高加宽坝顶、防浪墙与帮坡培厚结合加高加宽等措施。三副坝欠高100～190cm，坝顶路面欠宽1.5m，若全部采用下游帮坡培厚加高加宽坝顶，工程投资太大；大坝下游为鱼塘，若全部采用下游帮坡培厚加高加宽坝顶，加固后下游侧侵占鱼塘面积太大。故根据工程实际情况，本次采用防浪墙与帮坡培厚结合的加高加宽措施。</w:t>
      </w:r>
    </w:p>
    <w:p w14:paraId="7985818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6FF4410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三副坝坝顶新建混凝土防浪墙，根据计算复核，防浪墙墙顶高程34.00m，顶宽50cm，墙厚30cm，采用L型结构型式，混凝土强度等级为C25，防浪墙按10m一分缝，缝内设一道塑料止水。</w:t>
      </w:r>
    </w:p>
    <w:p w14:paraId="576B20F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202FD4F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三副坝下游加高培厚采用下游侧回填土料的方案。考虑三副坝下游侧为鱼塘，为避免侵占过多鱼塘面积，下游坡脚设置石笼挡墙。石笼挡墙顶高程29.0m，上下游综合坡比1:1。坝体帮坡培厚后，三副坝坝顶高程32.8m，坝顶宽5.0m，下游坝坡坡比1:3.0，采用草皮护坡。</w:t>
      </w:r>
    </w:p>
    <w:p w14:paraId="7A0417E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w:t>
      </w:r>
    </w:p>
    <w:p w14:paraId="6FE77AA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42B1CE7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三副坝坝顶长250m，土质路面宽3.5m，不满足规范要求。本次除险加固结合坝体加高培厚，新建混凝土路面，宽5m，路面面层采用20cm厚混凝土，下部设20cm厚水泥稳定垫层。</w:t>
      </w:r>
    </w:p>
    <w:p w14:paraId="7D33959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（3）上游护坡加固方案</w:t>
      </w:r>
    </w:p>
    <w:p w14:paraId="227C8D0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三副坝上游坝顶至高程31.2m采用草皮护坡；高程31.2m至27.5m为预制混凝土六方块护坡；高程27.5m至坝脚采用抛石固脚。</w:t>
      </w:r>
    </w:p>
    <w:p w14:paraId="748890A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本次除险加固在上游侧采用抛石固脚，防御风浪淘刷坡脚，抛石顶高程28.00m，顶宽3.0m，设计坡比1:3.0。</w:t>
      </w:r>
    </w:p>
    <w:p w14:paraId="6BE8014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预制混凝土护坡局部破损、变形、塌陷，厚度为13cm，经复核，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476DF5C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（4）下游坝坡加固</w:t>
      </w:r>
    </w:p>
    <w:p w14:paraId="63ABB86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经计算复核，三副坝现状下游坝坡存在抗滑稳定安全系数不满足规范要求。下游坝坡加高培厚以及设置石笼挡墙压脚方案后，复核计算安全系数满足规范要求。</w:t>
      </w:r>
    </w:p>
    <w:p w14:paraId="582687E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（5）下游护坡改造</w:t>
      </w:r>
    </w:p>
    <w:p w14:paraId="27306F2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下游坝坡采用草皮护坡。</w:t>
      </w:r>
    </w:p>
    <w:p w14:paraId="1662A22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（6）踏步及排水沟</w:t>
      </w:r>
    </w:p>
    <w:p w14:paraId="181A98D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坝体帮坡培厚拆除下游踏步、排水沟，本次除险加固将重建下游踏步、排水沟。下游坝坡桩号KIII0+125处重建一处混凝土踏步，宽1.5m。重建坝肩排水沟。</w:t>
      </w:r>
    </w:p>
    <w:p w14:paraId="4F62CF6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6D566E04">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（五）四副坝加固设计</w:t>
      </w:r>
    </w:p>
    <w:p w14:paraId="75FF743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北汊水库四副坝存在渗流、稳定安全隐患。本次除险加固对坝体进行防渗处理，对下游坡脚基础进行加固处理，对坝顶欠高欠宽进行加高培厚加固，对上下游坝坡及坝顶等改造加固。</w:t>
      </w:r>
    </w:p>
    <w:p w14:paraId="16DDA1E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1、四副坝防渗加固设计</w:t>
      </w:r>
    </w:p>
    <w:p w14:paraId="3104373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与二副坝加固方案相同，本阶段四副坝防渗加固拟结合坝体坝体下游新建的石笼挡墙增设反滤层进行防渗加固。</w:t>
      </w:r>
    </w:p>
    <w:p w14:paraId="72E6529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根据坝体渗流计算复核结果，下游反滤顶高程按29.0m控制。反滤设置在坝体和石笼挡墙间，从上游至下游依次为20cm后砂砾石反滤层、20cm厚碎石反滤层。</w:t>
      </w:r>
    </w:p>
    <w:p w14:paraId="21F9C07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2、四副坝结构加固设计</w:t>
      </w:r>
    </w:p>
    <w:p w14:paraId="05B5871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1819F66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四副坝坝顶高程欠高欠宽，根据类似工程经验，常采用下游帮坡培厚加高加宽坝顶、防浪墙与帮坡培厚结合加高加宽等措施。四副坝欠高100～160cm，坝顶路面欠宽1.5m，若全部采用下游帮坡培厚加高加宽坝顶，工程投资太大；大坝下游为鱼塘，若全部采用下游帮坡培厚加高加宽坝顶，加固后下游侧侵占鱼塘面积太大。故根据工程实际情况，本次采用防浪墙与帮坡培厚结合的加高加宽措施。</w:t>
      </w:r>
    </w:p>
    <w:p w14:paraId="7C011C9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436FC8D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四副坝坝顶新建混凝土防浪墙，根据计算复核，防浪墙墙顶高程34.00m，顶宽50cm，墙厚30cm，采用L型结构型式，混凝土强度等级为C25，防浪墙按10m一分缝，缝内设一道塑料止水。</w:t>
      </w:r>
    </w:p>
    <w:p w14:paraId="0716314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17F28D2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根据工程情况，四副坝下游加高培厚采用下游侧回填土料的方案。考虑四副坝下游侧为鱼塘，为避免侵占过多鱼塘面积，下游坡脚设置石笼挡墙。石笼挡墙顶高程29.0m，上下游综合坡比1:1。</w:t>
      </w:r>
    </w:p>
    <w:p w14:paraId="6411B1A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坝体帮坡培厚后，四副坝坝顶高程32.8m，坝顶宽5.0m，下游坝坡坡比1:3.0，采用草皮护坡。</w:t>
      </w:r>
    </w:p>
    <w:p w14:paraId="06ED37F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w:t>
      </w:r>
    </w:p>
    <w:p w14:paraId="65A9439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66B241E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四副坝坝顶长260m，混凝土路面宽3.5m，不满足规范要求。本次除险加固结合坝体加高培厚，对原混凝土路面拆除，新建混凝土路面，宽5m，路面面层采用20cm厚混凝土，下部设20cm厚水泥稳定垫层。</w:t>
      </w:r>
    </w:p>
    <w:p w14:paraId="635787B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（3）上游护坡加固方案</w:t>
      </w:r>
    </w:p>
    <w:p w14:paraId="0EFD615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四副坝上游坝顶至高程31.2m采用草皮护坡；高程31.2m至27.5m为预制混凝土六方块护坡；高程27.5m至坝脚采用抛石固脚。</w:t>
      </w:r>
    </w:p>
    <w:p w14:paraId="21B812C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本次除险加固在上游侧采用抛石固脚，防御风浪淘刷坡脚，抛石顶高程28.00m，顶宽3.0m，设计坡比1:3.0。</w:t>
      </w:r>
    </w:p>
    <w:p w14:paraId="74DF86A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桩号0+000～0+210段坝面预制混凝土护坡局部破损、变形、塌陷，厚度为13cm，经复核，厚度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3CA4637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现状桩号0+210～0+260段坝面无砌护，本次除险加固采用预制混凝土六方块护坡，护坡尺寸与现状尺寸一致。</w:t>
      </w:r>
    </w:p>
    <w:p w14:paraId="21D91D0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（4）下游坝坡加固</w:t>
      </w:r>
    </w:p>
    <w:p w14:paraId="74E435D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经计算复核，四副坝现状下游坝坡存在抗滑稳定安全系数不满足规范要求。下游坝坡加高培厚以及设置石笼挡墙压脚方案后，复核计算安全系数满足规范要求。</w:t>
      </w:r>
    </w:p>
    <w:p w14:paraId="7701551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（5）下游护坡改造</w:t>
      </w:r>
    </w:p>
    <w:p w14:paraId="3DBE895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下游坝坡采用草皮护坡。</w:t>
      </w:r>
    </w:p>
    <w:p w14:paraId="51FE36C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（6）踏步及排水沟</w:t>
      </w:r>
    </w:p>
    <w:p w14:paraId="0606687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坝体帮坡培厚拆除下游踏步、排水沟，本次除险加固将重建下游踏步、排水沟。下游坝坡桩号0+130处重建一处混凝土踏步，宽1.5m。重建坝肩排水沟。</w:t>
      </w:r>
    </w:p>
    <w:p w14:paraId="3150774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7FA717F1">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（六）五副坝加固设计</w:t>
      </w:r>
    </w:p>
    <w:p w14:paraId="62F94C4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北汊水库五副坝存在渗流、稳定安全隐患。本次除险加固对坝体进行防渗处理，对下游坡脚基础进行加固处理，对坝顶欠高欠宽进行加高培厚加固，对上下游坝坡及坝顶等改造加固。</w:t>
      </w:r>
    </w:p>
    <w:p w14:paraId="005FFF3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1、五副坝防渗加固设计</w:t>
      </w:r>
    </w:p>
    <w:p w14:paraId="15FC2CC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根据坝体结构设计，本阶段五副坝防渗加固拟采用在下游二级坡新建贴坡排水的防渗加固措施。贴坡排水由下至上依此为厚20cm的砂砾石反滤层、厚20cm的碎石反滤层、厚50cm的干砌石块。</w:t>
      </w:r>
    </w:p>
    <w:p w14:paraId="25E0377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2、五副坝结构加固设计</w:t>
      </w:r>
    </w:p>
    <w:p w14:paraId="283E831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4A2F492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五副坝坝顶高程欠高欠宽，根据类似工程经验，常采用下游帮坡培厚加高加宽坝顶、防浪墙与帮坡培厚结合加高加宽等措施。五副坝欠高100～180cm，坝顶路面欠宽1m，若全部采用下游帮坡培厚加高加宽坝顶，工程投资太大；大坝下游为鱼塘，若全部采用下游帮坡培厚加高加宽坝顶，加固后下游侧侵占鱼塘面积太大。故根据工程实际情况，本次采用防浪墙与帮坡培厚结合的加高加宽措施。</w:t>
      </w:r>
    </w:p>
    <w:p w14:paraId="713469E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302EBCA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五副坝坝顶新建混凝土防浪墙，根据计算复核，防浪墙墙顶高程34.00m，顶宽50cm，墙厚30cm，采用L型结构型式，混凝土强度等级为C25，防浪墙按10m一分缝，缝内设一道塑料止水。</w:t>
      </w:r>
    </w:p>
    <w:p w14:paraId="28FA566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63A3AD5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根据工程情况，五副坝下游加高培厚采用下游侧回填土料的方案。</w:t>
      </w:r>
    </w:p>
    <w:p w14:paraId="3E1BB18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坝体帮坡培厚后，五副坝坝顶高程32.8m，坝顶宽5.0m，下游坝坡坡比1:3.0，采用草皮护坡，护坡坡脚设置排水沟，平台高程29.32m。</w:t>
      </w:r>
    </w:p>
    <w:p w14:paraId="3BB6DA7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w:t>
      </w:r>
    </w:p>
    <w:p w14:paraId="72482A5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480DD5E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五副坝坝顶长300m，混凝土路面宽4.0m，不满足规范要求。本次除险加固结合坝体加高培厚，对原混凝土路面拆除，新建混凝土路面，宽5m，路面面层采用20cm厚混凝土，下部设20cm厚水泥稳定垫层。</w:t>
      </w:r>
    </w:p>
    <w:p w14:paraId="6AE76EB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（3）上游护坡加固方案</w:t>
      </w:r>
    </w:p>
    <w:p w14:paraId="1A2418E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五副坝上游坝顶至高程31.2m采用草皮护坡；高程31.2m至27.5m为预制混凝土六方块护坡；高程27.5m至坝脚采用抛石固脚。</w:t>
      </w:r>
    </w:p>
    <w:p w14:paraId="271DD3F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本次除险加固在上游侧采用抛石固脚，防御风浪淘刷坡脚，抛石顶高程28.00m，顶宽3.0m，设计坡比1:3.0。</w:t>
      </w:r>
    </w:p>
    <w:p w14:paraId="034AF69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桩号0+050～0+300段预制混凝土护坡局部破损、变形、塌陷，厚度为13cm，经复核，满足规范要求。根据现场调查，上游坝坡灌木杂树较多，根系深入护坡下部，本次除险加固对高程31.2m至27.5m的预制混凝土六方块护坡采取拆除重建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69CFEB7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现状桩号0+000～0+050段坝面无砌护，本次除险加固采用预制混凝土六方块护坡，护坡尺寸与现状尺寸一致。</w:t>
      </w:r>
    </w:p>
    <w:p w14:paraId="0996959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（4）下游坝坡加固</w:t>
      </w:r>
    </w:p>
    <w:p w14:paraId="4D208C9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pPr>
      <w:r>
        <w:rPr>
          <w:rFonts w:hint="default" w:ascii="Times New Roman" w:hAnsi="Times New Roman" w:eastAsia="宋体" w:cs="Times New Roman"/>
          <w:color w:val="auto"/>
          <w:spacing w:val="0"/>
          <w:w w:val="100"/>
          <w:position w:val="0"/>
          <w:sz w:val="24"/>
          <w:szCs w:val="24"/>
          <w:u w:val="none" w:color="auto"/>
          <w:lang w:val="en-US" w:eastAsia="zh-CN"/>
        </w:rPr>
        <w:t>经计算复核，五副坝现状下游坝坡抗滑稳定安全系数不满足规范要求。下游坝坡加高培厚后，安全系数满足规范要</w:t>
      </w:r>
      <w:r>
        <w:rPr>
          <w:rFonts w:ascii="仿宋_GB2312" w:hAnsi="仿宋_GB2312" w:eastAsia="仿宋_GB2312" w:cs="仿宋_GB2312"/>
          <w:color w:val="000000"/>
          <w:kern w:val="0"/>
          <w:sz w:val="28"/>
          <w:szCs w:val="28"/>
          <w:lang w:val="en-US" w:eastAsia="zh-CN" w:bidi="ar"/>
        </w:rPr>
        <w:t>求。</w:t>
      </w:r>
    </w:p>
    <w:p w14:paraId="22F7466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（5）下游护坡改造</w:t>
      </w:r>
    </w:p>
    <w:p w14:paraId="70C8B77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下游坝坡采用草皮护坡。</w:t>
      </w:r>
    </w:p>
    <w:p w14:paraId="6FE4C31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（6）踏步及排水沟</w:t>
      </w:r>
    </w:p>
    <w:p w14:paraId="3598E01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坝体帮坡培厚拆除下游踏步、排水沟等，本次除险加固将重建下游踏步、排水沟。下游坝坡桩号0+150处重建一处混凝土踏步，宽1.5m。重建坝肩排水沟。</w:t>
      </w:r>
    </w:p>
    <w:p w14:paraId="10E1EE4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6EFCB32D">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（七）六副坝加固设计</w:t>
      </w:r>
    </w:p>
    <w:p w14:paraId="44AFF22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北汊水库六副坝存在渗流、稳定安全隐患。本次除险加固对坝体进行防渗处理，对上下游坡脚基础进行加固处理，对坝顶欠高欠宽进行加高培厚加固，对上下游坝坡及坝顶等改造加固。</w:t>
      </w:r>
    </w:p>
    <w:p w14:paraId="030A5F4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1、六副坝防渗加固设计</w:t>
      </w:r>
    </w:p>
    <w:p w14:paraId="118B905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与二副坝防渗加固方案相同，本阶段六副坝防渗加固拟结合坝体坝体下游新建的石笼挡墙增设反滤层进行防渗加固。</w:t>
      </w:r>
    </w:p>
    <w:p w14:paraId="076C622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根据坝体渗流计算复核结果，下游反滤顶高程按29.0m控制。反滤设置在坝体和石笼挡墙间，从上游至下游依次为20cm后砂砾石反滤层、20cm厚碎石反滤层。</w:t>
      </w:r>
    </w:p>
    <w:p w14:paraId="5F883CD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2、六副坝结构加固设计</w:t>
      </w:r>
    </w:p>
    <w:p w14:paraId="2303ADD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（1）坝顶加高加宽设计</w:t>
      </w:r>
    </w:p>
    <w:p w14:paraId="429B32C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六副坝坝顶高程欠高欠宽，根据类似工程经验，常采用下游帮坡培厚加高加宽坝顶、防浪墙与帮坡培厚结合加高加宽等措施。六副坝欠高100～160cm，坝顶路面欠宽200cm，若全部采用下游帮坡培厚加高加宽坝顶，工程投资太大；主坝下游为鱼塘，若全部采用下游帮坡培厚加高加宽坝顶，加固后下游侧侵占鱼塘面积太大。故根据工程实际情况，本次采用防浪墙与帮坡培厚结合的加高加宽措施。</w:t>
      </w:r>
    </w:p>
    <w:p w14:paraId="720AD3B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1）坝顶新建防浪墙</w:t>
      </w:r>
    </w:p>
    <w:p w14:paraId="65D0684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六副坝坝顶新建混凝土防浪墙，根据计算复核，防浪墙墙顶高程34.00m，顶宽50cm，墙厚30cm，采用L型结构型式，混凝土强度等级为C25，防浪墙按10m一分缝，缝内设一道塑料止水。</w:t>
      </w:r>
    </w:p>
    <w:p w14:paraId="03B8454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2）坝体帮坡培厚</w:t>
      </w:r>
    </w:p>
    <w:p w14:paraId="21DE435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根据工程情况，六副坝下游加高培厚采用下游侧回填土料的方案。考虑六副坝下游侧为鱼塘，为避免侵占过多鱼塘面积，下游坡脚设置石笼挡墙。石笼挡墙顶高程29.0m，上下游综合坡比1:1。</w:t>
      </w:r>
    </w:p>
    <w:p w14:paraId="284CC40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坝体帮坡培厚后，六副坝坝顶高程32.8m，坝顶宽5.0m，下游坝坡坡比1:3.0，采用草皮护坡。</w:t>
      </w:r>
    </w:p>
    <w:p w14:paraId="6C707EA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大坝帮坡培厚填筑土料应选择透水性大于原坝体填筑料的土料，填土压实系数不小于0.96。帮坡培厚前，应对现有坝坡进行清理。主要包括拆除现有护坡、梯道、排水沟等结构物，对下游坝面进行清理、平整。</w:t>
      </w:r>
    </w:p>
    <w:p w14:paraId="3B5C0A9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（2）坝顶路面改造</w:t>
      </w:r>
    </w:p>
    <w:p w14:paraId="05D3D6C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六副坝坝顶长220m，混凝土路面宽3.0m，不满足规范要求。本次除险加固结合坝体加高培厚，对原混凝土路面拆除，新建沥青混凝土路面，宽5m，路面面层采用6cm厚沥青混凝土，下部设20cm厚水泥稳定垫层和15cm厚碎石垫层。</w:t>
      </w:r>
    </w:p>
    <w:p w14:paraId="227C9CD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（3）上游坝坡加固方案</w:t>
      </w:r>
    </w:p>
    <w:p w14:paraId="405544F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经复核计算，六副坝上游坝坡抗滑稳定性满足规范要求。本次除险加固在上游侧采用抛石固脚，防御风浪淘刷坡脚，抛石顶高程28.00m，顶宽3.0m，设计坡比1:3.0。</w:t>
      </w:r>
    </w:p>
    <w:p w14:paraId="31BF10D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（4）上游护坡加固</w:t>
      </w:r>
    </w:p>
    <w:p w14:paraId="4BA2531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六副坝上游坝顶至高程31.2m采用草皮护坡；高程31.2m至27.5m为预制混凝土六方块护坡；高程27.5m至坝脚采用抛石固脚现状预制混凝土护坡局部破损、变形、塌陷，厚度为13cm，经复核，满足规范要求，本次除险加固对高程31.2m至27.5m的预制混凝土六方块护坡采取翻修处理，护坡尺寸与现状尺寸一致；对高程31.2m以上护坡采取拆除原草皮护坡、新建预制混凝土六方块护坡处理，护坡尺寸与现状尺寸一致，护坡底部铺设厚15cm的砂砾石垫层，护坡顶部与防浪墙相接；新建预制混凝土六方块护坡与原预制混凝土六方块护坡间沿坝轴线设置断面尺寸为0.3m×0.3m的C20混凝土脚槽。</w:t>
      </w:r>
    </w:p>
    <w:p w14:paraId="2C7278B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（5）下游坝坡加固</w:t>
      </w:r>
    </w:p>
    <w:p w14:paraId="67DC813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经复核计算，六副坝下游坝坡抗滑稳定性不满足规范要求。六副坝坝基仅在下游坡脚处存在淤泥质粘土层，本阶段下游拟结合坝体帮坡培厚设置的石笼挡墙进行加固。经计算，加固后下游坝坡抗滑稳定性可满足规范要求。</w:t>
      </w:r>
    </w:p>
    <w:p w14:paraId="13C08E6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（6）下游护坡改造</w:t>
      </w:r>
    </w:p>
    <w:p w14:paraId="33D53BE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下游坝坡及平台采用草皮护坡，平台下游侧贴坡排水局部翻修，贴坡排水顶高程与原贴坡排水高程一致。</w:t>
      </w:r>
    </w:p>
    <w:p w14:paraId="26AE3B6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（7）踏步及排水沟</w:t>
      </w:r>
    </w:p>
    <w:p w14:paraId="3BD3996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坝体帮坡培厚拆除下游踏步、排水沟，本次除险加固将重建下游踏步、排水沟。</w:t>
      </w:r>
    </w:p>
    <w:p w14:paraId="24B7C23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下游坝坡桩号0+110处重建一处混凝土踏步，宽1.5m。重建纵横混凝土排水沟，底宽35cm，深30cm，壁厚20cm；横向排水沟间隔50m设一处。</w:t>
      </w:r>
    </w:p>
    <w:p w14:paraId="6C5A43E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重建踏步和排水沟的混凝土强度等级为C20。</w:t>
      </w:r>
    </w:p>
    <w:p w14:paraId="4C050C4E">
      <w:pPr>
        <w:pStyle w:val="5"/>
        <w:bidi w:val="0"/>
        <w:rPr>
          <w:rFonts w:hint="default"/>
          <w:lang w:val="en-US" w:eastAsia="zh-CN"/>
        </w:rPr>
      </w:pPr>
      <w:r>
        <w:rPr>
          <w:rFonts w:hint="default"/>
          <w:lang w:val="en-US" w:eastAsia="zh-CN"/>
        </w:rPr>
        <w:t>泄洪建筑物加固设计</w:t>
      </w:r>
    </w:p>
    <w:p w14:paraId="0C8F27A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本次设计拟对泄洪闸对启闭机房进行加固处理，对泄洪闸进行防渗加固，更换金属结构及启闭设备，结构保持不变。</w:t>
      </w:r>
    </w:p>
    <w:p w14:paraId="35E2737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1、启闭机房加固设计</w:t>
      </w:r>
    </w:p>
    <w:p w14:paraId="70B8FCE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安全评价报告和现场调查情况，启闭机房排架柱混凝土存在脱落、露筋、裂缝等现象，启闭机房墙面存在开裂、渗水等问题，本次除险加固拟对泄洪闸启闭机房排架柱混凝土进行适当维修加固，对启闭机房砖墙、门窗及屋面进行局部修复和防水处理。</w:t>
      </w:r>
    </w:p>
    <w:p w14:paraId="2248ADD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2、泄洪闸防渗加固</w:t>
      </w:r>
    </w:p>
    <w:p w14:paraId="6EBE7B6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针对泄洪闸存在的渗流问题，本次除险加固拟对闸室底板下部及闸室两侧采用水泥粘土灌浆。</w:t>
      </w:r>
    </w:p>
    <w:p w14:paraId="677109F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（1）泄洪闸防渗加固设计</w:t>
      </w:r>
    </w:p>
    <w:p w14:paraId="0FF3E1D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闸室底板下部灌浆布置在闸室工作闸门下游0.5m处，灌浆轴线垂直于水流方向，宽度为闸孔净宽，灌浆穿过闸室底板，深入闸室基础硬塑状网纹状粘土层2.0m，灌浆共布置2排，钻孔间距为1.5m，排距为0.8m。灌浆完成后采用高标号混凝土对闸室底板钻孔封孔。</w:t>
      </w:r>
    </w:p>
    <w:p w14:paraId="51BDF3B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闸室两侧水泥粘土灌浆轴线呈“几”字形对称布置，灌浆垂直闸室边墩向外侧1.0m，然后顺水流方向延伸至坝顶道路上游侧2.0m，然后平行坝轴线延伸5.0m。灌浆深入硬塑状网纹状粘土层2.0m，灌浆共布置2排，钻孔间距为1.5m，排距为0.8m。</w:t>
      </w:r>
    </w:p>
    <w:p w14:paraId="6F2BB55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（2）水泥粘土灌浆材料及工艺</w:t>
      </w:r>
    </w:p>
    <w:p w14:paraId="3F57F67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①水泥粘土灌浆的主要目的为：在土体内初步形成结石体帷幕，为下游排化学灌浆施工提供无酸或少酸环境。坝体灌浆形成的防渗幕体的设计指标为：注水试验渗透系数K＜1×10-5cm/s或压水试验透水率q≤1Lu；允许渗透比降J≥5；抗压强度R28≥3MPa；</w:t>
      </w:r>
    </w:p>
    <w:p w14:paraId="0D7C770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②水泥粘土浆主要材料为：高抗硫酸盐硅酸盐水泥、粘土、水，必要时可加入水玻璃、减水剂等外加剂。灌浆用粘土的塑性指数不宜小于14，黏粒含量不宜少于25%，含砂量不大于3%，有机物含量不大于3%。初拟参考水灰比为0.8:1，水泥与粘土比例为1:1，即水：水泥：粘土为0.8:0.5:0.5，施工前通过灌浆试验确定。</w:t>
      </w:r>
    </w:p>
    <w:p w14:paraId="2AB0F06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③灌浆方法：坝体内水泥粘土灌浆采用套阀管法灌浆，套阀管管体采用聚乙烯（PE），管径不小于56mm；水泥粘土灌浆采用自下而上、纯压式灌浆法；每排孔分三序进行灌浆。</w:t>
      </w:r>
    </w:p>
    <w:p w14:paraId="0D0C1C7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④灌浆段长：各灌浆孔第一段段长为1m，第二段段长为2m，第三段为2m，第四段以下孔段段长为5m，特殊情况下可适当缩短。</w:t>
      </w:r>
    </w:p>
    <w:p w14:paraId="070F394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⑤灌浆压力：坝体灌浆压力采用0.1MPa~0.2MPa。</w:t>
      </w:r>
    </w:p>
    <w:p w14:paraId="3141983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⑥灌浆结束标准：在最大设计压力下，当注入率小于1L/min时，继续灌注10min后结束。</w:t>
      </w:r>
    </w:p>
    <w:p w14:paraId="737AA81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⑦质量检查：质量检查以检查孔压水试验成果为主，结合对施工记录成果资料和检验测试资料的分析，进行综合评定。</w:t>
      </w:r>
    </w:p>
    <w:p w14:paraId="310D7D9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水泥粘土灌浆材料及工艺经灌浆试验确定。</w:t>
      </w:r>
    </w:p>
    <w:p w14:paraId="24D66FA7">
      <w:pPr>
        <w:pStyle w:val="5"/>
        <w:bidi w:val="0"/>
        <w:rPr>
          <w:rFonts w:hint="default"/>
          <w:lang w:val="en-US" w:eastAsia="zh-CN"/>
        </w:rPr>
      </w:pPr>
      <w:r>
        <w:rPr>
          <w:rFonts w:hint="default"/>
          <w:lang w:val="en-US" w:eastAsia="zh-CN"/>
        </w:rPr>
        <w:t>输水建筑物加固设计</w:t>
      </w:r>
    </w:p>
    <w:p w14:paraId="702CF84F">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（一）二副坝输水涵闸加固设计</w:t>
      </w:r>
    </w:p>
    <w:p w14:paraId="2D2F0F2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本次设计拟更换金属结构和启闭设备，其他结构维持不变。</w:t>
      </w:r>
    </w:p>
    <w:p w14:paraId="6F369CA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二副坝输水涵闸进口淤堵，本次除险加固拟对进口清淤，清淤范围为进水口27.5m至26.5m水边线，清淤宽度为闸孔单侧不少于3倍闸孔净宽，具体根据现场实际情况调整。</w:t>
      </w:r>
    </w:p>
    <w:p w14:paraId="57A4DA8C">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（二）五副坝输水涵闸加固设计</w:t>
      </w:r>
    </w:p>
    <w:p w14:paraId="4FF9C50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控制闸拆除重建，新建控制控制闸及进水池，箱涵部分拆除重建，闸孔尺寸为1.5m×2.0m（宽×高），底板高程27.5m，设2个钢质平板闸门，2台8t螺杆手摇启闭机启闭。</w:t>
      </w:r>
    </w:p>
    <w:p w14:paraId="6CF1030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1、结构加固设计</w:t>
      </w:r>
    </w:p>
    <w:p w14:paraId="77F0EF3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本次设计在原五副坝输水闸轴线上拆除现状控制闸，新建闸室、进水池、启闭机房，拆除现状部分箱涵，进口单个闸孔尺寸由1.2m×1.8m扩大为1.5m×2.0m；为改善进水条件，新闸址较原闸址略向水库侧偏移。</w:t>
      </w:r>
    </w:p>
    <w:p w14:paraId="3501898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加固后，北汊水库工程等别为Ⅲ等，主要建筑物级别为3级，五副坝新建输水涵闸室按3级建筑物设计，设计洪水标准为50年一遇。设计涵洞进口高程为27.50m，出口高程为27.50m。顺流向依次布置进口段、控制闸、穿坝箱涵段、和原出口段。</w:t>
      </w:r>
    </w:p>
    <w:p w14:paraId="570835F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口段长5.9m，采用八字式洞口与天然渠道平顺衔接，两侧边墙由八字形斜降墙组成，采用C25混凝土重力式挡墙，挡墙高度2.0~3.0m，顶宽0.5m，背坡坡比1：0.3，挡墙基础设10cmC15混凝土垫层，挡墙墙按间、排距2.0m设置Φ50PVC排水管，端部设置反滤层。进口段底板采用50cm厚C25混凝土底板，底板设10cm厚砂砾石垫层。</w:t>
      </w:r>
    </w:p>
    <w:p w14:paraId="64DC095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控制闸为潜孔式平面钢闸门型式，顺流向长5.5m，共2孔，孔口尺寸1.5m×2.0m（宽×高），闸室进口过流面顶高程29.5m，出口接穿坝箱涵段。新建穿坝箱涵与原穿坝箱涵和闸室平顺衔接，为单孔结构，过流断面1.2×1.8m（宽×高），总长2.97m，箱涵与闸室连接缝间采用铜片止水，结构缝部位设置截水环。箱涵底高程为27.50m，箱涵顶板厚度由1.2m渐变放宽至与箱涵平顺衔接，底板厚度0.5m，两侧墙设置1：0.1的变坡，基础设置10cm厚的C15混凝土垫层。箱涵结构混凝土强度等级为C25。箱涵两侧采用1：0.1的斜坡有利于箱涵填土紧密接触，同时在箱涵结构缝处设置截水环，可起到防止穿坝箱涵接触冲刷等问题。</w:t>
      </w:r>
    </w:p>
    <w:p w14:paraId="39D803A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启闭机房位于控制闸上部，排架柱为C25钢筋混凝土结构，启闭机房为砖混结构，启闭平台高程为35.45m。启闭机房通过交通桥与坝顶连接，桥两侧设钢栏杆，栏杆高1.2m。</w:t>
      </w:r>
    </w:p>
    <w:p w14:paraId="505CCA3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拆除现状控制闸时，同时考虑进水口清淤，清淤范围为进水口27.5m至26.5m水边线，清淤宽度为闸孔单侧不少于3倍闸孔净宽，具体根据现场实际情况调整。</w:t>
      </w:r>
    </w:p>
    <w:p w14:paraId="393E15D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2、地基处理设计</w:t>
      </w:r>
    </w:p>
    <w:p w14:paraId="1400509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五副坝输水闸基础处理措施为：对进口段、控制闸、新建穿坝箱涵段基础以下淤泥质粘土层采用水泥搅拌桩处理，搅拌桩水泥采用R42.5级普通硅酸盐水泥，水泥掺入量不小于12%，水泥土搅拌桩桩径为0.6m,有效桩长3.0m，桩体28d无侧限抗压强度不小于1.0MPa。基础经水泥搅拌桩处理后，复核地基承载力不低于150kPa。</w:t>
      </w:r>
    </w:p>
    <w:p w14:paraId="124F231F">
      <w:pPr>
        <w:pStyle w:val="5"/>
        <w:bidi w:val="0"/>
        <w:rPr>
          <w:rFonts w:hint="default"/>
          <w:lang w:val="en-US" w:eastAsia="zh-CN"/>
        </w:rPr>
      </w:pPr>
      <w:r>
        <w:rPr>
          <w:rFonts w:hint="default"/>
          <w:lang w:val="en-US" w:eastAsia="zh-CN"/>
        </w:rPr>
        <w:t>进水建筑物加固设计</w:t>
      </w:r>
    </w:p>
    <w:p w14:paraId="0B67ABA6">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（一）四副坝进水涵加固设计</w:t>
      </w:r>
    </w:p>
    <w:p w14:paraId="6FC65A5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对</w:t>
      </w:r>
      <w:r>
        <w:rPr>
          <w:rFonts w:hint="eastAsia" w:ascii="Times New Roman" w:hAnsi="Times New Roman" w:eastAsia="宋体" w:cs="Times New Roman"/>
          <w:color w:val="auto"/>
          <w:spacing w:val="0"/>
          <w:w w:val="100"/>
          <w:position w:val="0"/>
          <w:sz w:val="24"/>
          <w:szCs w:val="24"/>
          <w:u w:val="none" w:color="auto"/>
          <w:lang w:val="en-US" w:eastAsia="zh-CN"/>
        </w:rPr>
        <w:t>四</w:t>
      </w:r>
      <w:r>
        <w:rPr>
          <w:rFonts w:hint="default" w:ascii="Times New Roman" w:hAnsi="Times New Roman" w:eastAsia="宋体" w:cs="Times New Roman"/>
          <w:color w:val="auto"/>
          <w:spacing w:val="0"/>
          <w:w w:val="100"/>
          <w:position w:val="0"/>
          <w:sz w:val="24"/>
          <w:szCs w:val="24"/>
          <w:u w:val="none" w:color="auto"/>
          <w:lang w:val="en-US" w:eastAsia="zh-CN"/>
        </w:rPr>
        <w:t>副坝进水涵原址拆除重建，为改善进口处入流条件，箱涵设置转弯段，与渠道顺接，并增加自动化启闭设施。</w:t>
      </w:r>
    </w:p>
    <w:p w14:paraId="7B615D0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1、结构加固设计</w:t>
      </w:r>
    </w:p>
    <w:p w14:paraId="2F9FABE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在四副坝进水涵原址（桩号KIV0+202）处重建一下穿水库受闸门控制的涵洞，当发生较大降雨时，库外水位高于库内水位，打开闸门，可将水库外天然明渠汇集洪水引至水库；同时，当明渠退水后，库内水位高于库外水位，为防止水库水量外泄，关闭闸门。北汊水库工程等别为Ⅲ等，主要建筑物级别为3级，四副坝新建进水涵按3级建筑物设计，设计洪水标准为50年一遇，设计引水流量8.0m3/s。设计涵洞进口高程为27.50m，出口高程为27.50m。顺流向依次布置进口段、穿坝箱涵段、控制闸和出口段。</w:t>
      </w:r>
    </w:p>
    <w:p w14:paraId="349E157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口段长14.6m采用扭曲面式洞口与天然渠道平顺衔接，两侧边墙采用曲线布置，弯曲半径为13.0m，转角为36°，采用C25混凝土重力式挡墙，挡墙高度2.0~3.0m，顶宽0.5m，背坡坡比1：0.3，挡墙基础设10cmC15混凝土垫层，挡墙墙按间、排距2.0m设置Φ50PVC排水管，端部设置反滤层。</w:t>
      </w:r>
    </w:p>
    <w:p w14:paraId="2A4D7B9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进口段底板采用50cm厚C25混凝土底板，底板设10cm厚砂砾石垫层。</w:t>
      </w:r>
    </w:p>
    <w:p w14:paraId="6C26DBA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穿坝箱涵为单孔结构，过流断面2.5×2.5m（宽×高），总长20.67m，包括直线段和弯曲段两段，分缝长度分别为8.4、12.28m，缝间采用铜片止水，结构缝部位设置截水环。箱涵进口底和出口底高程均为27.50m，箱涵顶板厚度0.5m，底板厚度0.5m，两侧墙设置1：0.1的变坡，基础设置10cm厚的C15混凝土垫层。箱涵结构混凝土强度等级为C25。箱涵两侧采用1：0.1的斜坡有利于箱涵填土紧密接触，同时在箱涵结构缝处设置截水环，可起到防止穿坝箱涵接触冲刷等问题。</w:t>
      </w:r>
    </w:p>
    <w:p w14:paraId="0D8CECD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控制闸为潜孔式平面钢闸门型式，顺流向长5.0m，共1孔，孔口尺寸2.5m×2.5m（宽×高），闸室进口过流面顶高程31.0m，出口接消力池。启闭机布置在闸室右侧。</w:t>
      </w:r>
    </w:p>
    <w:p w14:paraId="53A76EB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出口段设置消力池和海漫，总长9.9m。消力池段总长5.9m，宽度3.2~4.4m，池深0.5m，底板高程27.0m，底板厚0.4m，下设砂砾石层及碎石垫层，厚度均为10cm。消力池边墙为重力式混凝土结构，挡墙高度为1.5m～2.76m，顶宽0.5m。消力池边墙及底板末端按间、排距2.0m设置Φ50PVC排水管，端部设置反滤层。消力池结构混凝土强度等级为C25。海漫段长4m，宽9.5m，采用40cm厚干砌石块，下设砂砾石垫层，厚度均为10cm。</w:t>
      </w:r>
    </w:p>
    <w:p w14:paraId="1A48010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启闭机房位于控制闸上部，排架柱为C25钢筋混凝土结构，启闭机房为砖混结构，启闭平台高程为34.6m。启闭机房通过交通桥与坝顶连接，桥两侧设钢栏杆，栏杆高1.2m。</w:t>
      </w:r>
    </w:p>
    <w:p w14:paraId="52082DC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2、地基处理设计</w:t>
      </w:r>
    </w:p>
    <w:p w14:paraId="461C926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四副坝进水闸基础处理措施为：对进口段、穿坝箱涵段、控制闸基础以下淤泥质粘层采用水泥搅拌桩处理，搅拌桩水泥采用R42.5级普通硅酸盐水泥，水泥掺入量不小于12%，水泥土搅拌桩桩径为0.6m,有效桩长3.0m，桩体28d无侧限抗压强度不小于1.0MPa。基础经水泥搅拌桩处理后，复核地基承载力不低于150kPa。</w:t>
      </w:r>
    </w:p>
    <w:p w14:paraId="48974318">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（二）五副坝进水涵加固设计</w:t>
      </w:r>
    </w:p>
    <w:p w14:paraId="5A31259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本次设计拟对五副坝进水涵拆除重建，为改善进口处入流条件，新建进水涵布置原进水涵左侧，并增加自动化启闭设施，原进水涵拆除后回填粘土。</w:t>
      </w:r>
    </w:p>
    <w:p w14:paraId="1D06E50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1、结构加固设计</w:t>
      </w:r>
    </w:p>
    <w:p w14:paraId="5C89A26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次设计在五副坝靠左坝肩（桩号KV0+43）设置一下穿水库受闸门控制的涵洞，当发生较大降雨时，库外水位高于库内水位，打开闸门，可将水库外天然明渠汇集洪水引至水库；同时，当明渠退水后，库内水位高于库外水位，为防止水库水量外泄，关闭闸门。北汊水库工程等别为Ⅲ等，主要建筑物级别为3级，五副坝新建进水涵按3级建筑物设计，设计洪水标准为50年一遇，设计引水流量5.2m3/s。设计涵洞进口高程为27.50m，出口高程为27.50m。顺流向依次布置进口段、穿坝箱涵段、控制闸和出口段。</w:t>
      </w:r>
    </w:p>
    <w:p w14:paraId="4140168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口段长14.6m采用八字式洞口与天然渠道平顺衔接，两侧边墙由八字形斜降墙组成，采用C25混凝土重力式挡墙，挡墙高度2.0~3.0m，顶宽0.5m，背坡坡比1：0.3，挡墙基础设10cmC15混凝土垫层，挡墙墙按间、排距2.0m设置Φ50PVC排水管，端部设置反滤层。进口段底板采用50cm厚C25混凝土底板，底板设10cm厚砂砾石垫层。</w:t>
      </w:r>
    </w:p>
    <w:p w14:paraId="11B54B1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穿坝箱涵为单孔结构，过流断面2.5×2.5m（宽×高），总长21.0m，按间距7m分缝，缝间采用铜片止水，结构缝部位设置截水环。箱涵进口底和出口底高程均为27.50m，箱涵顶板厚度0.5m，底板厚度0.5m，两侧墙设置1：0.1的变坡，基础设置10cm厚的C15混凝土垫层。箱涵结构混凝土强度等级为C25。箱涵两侧采用1：0.1的斜坡，有利于箱涵填土紧密接触，同时在箱涵结构缝处设置截水环，可起到防止穿坝箱涵接触冲刷等问题。</w:t>
      </w:r>
    </w:p>
    <w:p w14:paraId="7B4A23E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控制闸为潜孔式平面钢闸门型式，顺流向长5.0m，共1孔，孔口尺寸2.5m×2.5m（宽×高），闸室进口过流面顶高程30.0m，出口接消力池。启闭机布置在闸室右侧。</w:t>
      </w:r>
    </w:p>
    <w:p w14:paraId="08EF8F7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出口段设置消力池和海漫，总长9.9m。消力池段总长5.9m，宽度3.2~4.4m，池深0.5m，底板高程27.0m，底板厚0.4m，下设砂砾石层及碎石垫层，厚度均为10cm。消力池边墙为重力式混凝土结构，挡墙高度为1.5m～2.76m，顶宽0.5m。消力池边墙及底板末端按间、排距2.0m设置Φ50PVC排水管，端部设置反滤层。消力池结构混凝土强度等级为C25。海漫段长4m，宽9.5m，采用40cm厚干砌石块，下设砂砾石垫层，厚度均为10cm。</w:t>
      </w:r>
    </w:p>
    <w:p w14:paraId="0BB49FE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2、地基处理设计</w:t>
      </w:r>
    </w:p>
    <w:p w14:paraId="273D492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五副坝进水闸顺流向依次为进口段、穿坝箱涵段、控制闸、出口段。五副坝进水闸进口段、控制闸、穿坝箱涵段基础均坐落在硬塑状网纹状粘土上，根据地勘成果，淤泥质粘土，其物理力学性质较好，允许承载力可达170Kpa，抗变形能力较强，可作为基础持力层。本次五副坝进水闸基础处理措施为：对进口段、穿坝箱涵段、控制闸、出口段基础以下铺设10cm厚C15混凝混凝土垫层。</w:t>
      </w:r>
    </w:p>
    <w:p w14:paraId="5025BE99">
      <w:pPr>
        <w:pStyle w:val="5"/>
        <w:bidi w:val="0"/>
        <w:rPr>
          <w:rFonts w:hint="default"/>
          <w:lang w:val="en-US" w:eastAsia="zh-CN"/>
        </w:rPr>
      </w:pPr>
      <w:r>
        <w:rPr>
          <w:rFonts w:hint="default"/>
          <w:lang w:val="en-US" w:eastAsia="zh-CN"/>
        </w:rPr>
        <w:t>防汛公路改造</w:t>
      </w:r>
    </w:p>
    <w:p w14:paraId="2FFF9A2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根据《水库工程管理设计规范》（SL106-2017）规定，应根据水库管理的需要确定内、外交通道路的建设要求，对外交通道路不宜低于4级。</w:t>
      </w:r>
    </w:p>
    <w:p w14:paraId="71D0E4C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针对北汊水库防汛公路存在问题，根据工程情况采用混凝土路面或沥青混凝土路面加宽改造方案，设计防汛公路宽4.5m，局部路段不小于现状宽度。</w:t>
      </w:r>
    </w:p>
    <w:p w14:paraId="540BB46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防汛公路路面设计</w:t>
      </w:r>
    </w:p>
    <w:p w14:paraId="36C5790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（1）混凝土路面</w:t>
      </w:r>
    </w:p>
    <w:p w14:paraId="50C79B9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混凝土路面总厚度40cm，结构形式为：20cm水泥混凝土面层（C25）+20cm厚6%水泥稳定碎石层。</w:t>
      </w:r>
    </w:p>
    <w:p w14:paraId="2D24FF3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水泥稳定碎石层力学性能要求：回弹模量≥2000MPa，7d龄期无侧限抗压强度≥2.0MPa。路面混凝土设计强度为C25，路面按照《公路水泥混凝土路面设计规范》（JTGD40-2011）要求设置接缝、拉杆、传力杆。</w:t>
      </w:r>
    </w:p>
    <w:p w14:paraId="248598D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（2）沥青混凝土路面</w:t>
      </w:r>
    </w:p>
    <w:p w14:paraId="375DFB7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路面面层采用6cm厚AC-13C细粒式沥青混凝土+20cm厚6%水泥稳定垫层，下部设15cm厚碎石层</w:t>
      </w:r>
      <w:r>
        <w:rPr>
          <w:rFonts w:hint="eastAsia" w:ascii="Times New Roman" w:hAnsi="Times New Roman" w:eastAsia="宋体" w:cs="Times New Roman"/>
          <w:color w:val="auto"/>
          <w:spacing w:val="0"/>
          <w:w w:val="100"/>
          <w:position w:val="0"/>
          <w:sz w:val="24"/>
          <w:szCs w:val="24"/>
          <w:u w:val="none" w:color="auto"/>
          <w:lang w:val="en-US" w:eastAsia="zh-CN"/>
        </w:rPr>
        <w:t>。</w:t>
      </w:r>
    </w:p>
    <w:p w14:paraId="2E4F308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近坝库岸防护设计</w:t>
      </w:r>
    </w:p>
    <w:p w14:paraId="68A4D93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安全评价报告，北汊水库库岸因风浪淘刷，变形严重，总长约2.58km。其中，位于禹山镇南岭村茶场公路连接处长约150m段库岸浆砌石挡墙，因风浪淘刷，基脚局部淘空，墙体变形垮塌，本次除险加固结合防汛公路改造对禹山镇南岭村茶场公路连接段同时进行库岸防护</w:t>
      </w:r>
      <w:r>
        <w:rPr>
          <w:rFonts w:hint="eastAsia" w:ascii="Times New Roman" w:hAnsi="Times New Roman" w:eastAsia="宋体" w:cs="Times New Roman"/>
          <w:color w:val="auto"/>
          <w:spacing w:val="0"/>
          <w:w w:val="100"/>
          <w:position w:val="0"/>
          <w:sz w:val="24"/>
          <w:szCs w:val="24"/>
          <w:u w:val="none" w:color="auto"/>
          <w:lang w:val="en-US" w:eastAsia="zh-CN"/>
        </w:rPr>
        <w:t>。</w:t>
      </w:r>
    </w:p>
    <w:p w14:paraId="251BAA4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主、副坝近坝库岸防护设计防护形式采用：岸坡坡脚采用抛石护脚，坡面采用13cm厚C20砼预制块+15cm厚砂砾石垫层护砌。</w:t>
      </w:r>
    </w:p>
    <w:p w14:paraId="5FBA0F62">
      <w:pPr>
        <w:pStyle w:val="5"/>
        <w:bidi w:val="0"/>
        <w:rPr>
          <w:rFonts w:hint="eastAsia"/>
          <w:lang w:val="en-US" w:eastAsia="zh-CN"/>
        </w:rPr>
      </w:pPr>
      <w:r>
        <w:rPr>
          <w:rFonts w:hint="eastAsia"/>
          <w:lang w:val="en-US" w:eastAsia="zh-CN"/>
        </w:rPr>
        <w:t>白蚁防治</w:t>
      </w:r>
    </w:p>
    <w:p w14:paraId="563BA85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北汊水库主坝、</w:t>
      </w:r>
      <w:r>
        <w:rPr>
          <w:rFonts w:hint="default" w:ascii="Times New Roman" w:hAnsi="Times New Roman" w:eastAsia="宋体" w:cs="Times New Roman"/>
          <w:color w:val="auto"/>
          <w:spacing w:val="0"/>
          <w:w w:val="100"/>
          <w:position w:val="0"/>
          <w:sz w:val="24"/>
          <w:szCs w:val="24"/>
          <w:u w:val="none" w:color="auto"/>
          <w:lang w:val="en-US" w:eastAsia="zh-CN"/>
        </w:rPr>
        <w:t>6</w:t>
      </w:r>
      <w:r>
        <w:rPr>
          <w:rFonts w:hint="eastAsia" w:ascii="Times New Roman" w:hAnsi="Times New Roman" w:eastAsia="宋体" w:cs="Times New Roman"/>
          <w:color w:val="auto"/>
          <w:spacing w:val="0"/>
          <w:w w:val="100"/>
          <w:position w:val="0"/>
          <w:sz w:val="24"/>
          <w:szCs w:val="24"/>
          <w:u w:val="none" w:color="auto"/>
          <w:lang w:val="en-US" w:eastAsia="zh-CN"/>
        </w:rPr>
        <w:t>座副坝以及管理所附近均有白蚁危害。大坝下游坝坡以及周边</w:t>
      </w:r>
      <w:r>
        <w:rPr>
          <w:rFonts w:hint="default" w:ascii="Times New Roman" w:hAnsi="Times New Roman" w:eastAsia="宋体" w:cs="Times New Roman"/>
          <w:color w:val="auto"/>
          <w:spacing w:val="0"/>
          <w:w w:val="100"/>
          <w:position w:val="0"/>
          <w:sz w:val="24"/>
          <w:szCs w:val="24"/>
          <w:u w:val="none" w:color="auto"/>
          <w:lang w:val="en-US" w:eastAsia="zh-CN"/>
        </w:rPr>
        <w:t>50m</w:t>
      </w:r>
      <w:r>
        <w:rPr>
          <w:rFonts w:hint="eastAsia" w:ascii="Times New Roman" w:hAnsi="Times New Roman" w:eastAsia="宋体" w:cs="Times New Roman"/>
          <w:color w:val="auto"/>
          <w:spacing w:val="0"/>
          <w:w w:val="100"/>
          <w:position w:val="0"/>
          <w:sz w:val="24"/>
          <w:szCs w:val="24"/>
          <w:u w:val="none" w:color="auto"/>
          <w:lang w:val="en-US" w:eastAsia="zh-CN"/>
        </w:rPr>
        <w:t>范围内为白蚁危害治理重点，其他部位根据具体情况采取相应的措施。白蚁防治措施应按照检查、预防、灭杀三个环节进行，常用的方法有破巢除蚁、药物诱杀和药物灌浆等。</w:t>
      </w:r>
    </w:p>
    <w:p w14:paraId="2CBE2E07">
      <w:pPr>
        <w:pStyle w:val="4"/>
        <w:bidi w:val="0"/>
        <w:rPr>
          <w:rFonts w:hint="default"/>
          <w:lang w:val="en-US" w:eastAsia="zh-CN"/>
        </w:rPr>
      </w:pPr>
      <w:bookmarkStart w:id="102" w:name="_Toc30369"/>
      <w:r>
        <w:rPr>
          <w:rFonts w:hint="default"/>
          <w:lang w:val="en-US" w:eastAsia="zh-CN"/>
        </w:rPr>
        <w:t>主要工程量</w:t>
      </w:r>
      <w:bookmarkEnd w:id="102"/>
    </w:p>
    <w:p w14:paraId="4C315D7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根据各建筑物加固方案，北汊水库除险加固工程各主要建筑物加固工程量汇总见</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12FEC0A1">
      <w:pPr>
        <w:pageBreakBefore w:val="0"/>
        <w:kinsoku w:val="0"/>
        <w:wordWrap w:val="0"/>
        <w:overflowPunct/>
        <w:topLinePunct/>
        <w:autoSpaceDE/>
        <w:autoSpaceDN/>
        <w:bidi w:val="0"/>
        <w:adjustRightInd w:val="0"/>
        <w:spacing w:line="360" w:lineRule="auto"/>
        <w:ind w:firstLine="482" w:firstLineChars="200"/>
        <w:jc w:val="cente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表2.2-</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 xml:space="preserve">  主要</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建筑物加固</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工程量表</w:t>
      </w:r>
    </w:p>
    <w:tbl>
      <w:tblPr>
        <w:tblStyle w:val="39"/>
        <w:tblW w:w="52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51"/>
        <w:gridCol w:w="2360"/>
        <w:gridCol w:w="690"/>
        <w:gridCol w:w="750"/>
        <w:gridCol w:w="4496"/>
      </w:tblGrid>
      <w:tr w14:paraId="01F670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blHeader/>
          <w:jc w:val="center"/>
        </w:trPr>
        <w:tc>
          <w:tcPr>
            <w:tcW w:w="651" w:type="dxa"/>
            <w:tcBorders>
              <w:tl2br w:val="nil"/>
              <w:tr2bl w:val="nil"/>
            </w:tcBorders>
            <w:shd w:val="clear" w:color="auto" w:fill="auto"/>
            <w:noWrap/>
            <w:vAlign w:val="center"/>
          </w:tcPr>
          <w:p w14:paraId="4D56623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编号</w:t>
            </w:r>
          </w:p>
        </w:tc>
        <w:tc>
          <w:tcPr>
            <w:tcW w:w="2360" w:type="dxa"/>
            <w:tcBorders>
              <w:tl2br w:val="nil"/>
              <w:tr2bl w:val="nil"/>
            </w:tcBorders>
            <w:shd w:val="clear" w:color="auto" w:fill="auto"/>
            <w:noWrap/>
            <w:vAlign w:val="center"/>
          </w:tcPr>
          <w:p w14:paraId="70AD49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项目</w:t>
            </w:r>
          </w:p>
        </w:tc>
        <w:tc>
          <w:tcPr>
            <w:tcW w:w="690" w:type="dxa"/>
            <w:tcBorders>
              <w:tl2br w:val="nil"/>
              <w:tr2bl w:val="nil"/>
            </w:tcBorders>
            <w:shd w:val="clear" w:color="auto" w:fill="auto"/>
            <w:noWrap/>
            <w:vAlign w:val="center"/>
          </w:tcPr>
          <w:p w14:paraId="668FD69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750" w:type="dxa"/>
            <w:tcBorders>
              <w:tl2br w:val="nil"/>
              <w:tr2bl w:val="nil"/>
            </w:tcBorders>
            <w:shd w:val="clear" w:color="auto" w:fill="auto"/>
            <w:noWrap/>
            <w:vAlign w:val="center"/>
          </w:tcPr>
          <w:p w14:paraId="4463A3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w:t>
            </w:r>
          </w:p>
        </w:tc>
        <w:tc>
          <w:tcPr>
            <w:tcW w:w="4496" w:type="dxa"/>
            <w:tcBorders>
              <w:tl2br w:val="nil"/>
              <w:tr2bl w:val="nil"/>
            </w:tcBorders>
            <w:shd w:val="clear" w:color="auto" w:fill="auto"/>
            <w:noWrap/>
            <w:vAlign w:val="center"/>
          </w:tcPr>
          <w:p w14:paraId="28F2D0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14:paraId="2B45DB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850C5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iCs w:val="0"/>
                <w:color w:val="000000"/>
                <w:sz w:val="21"/>
                <w:szCs w:val="21"/>
                <w:u w:val="none"/>
                <w:lang w:eastAsia="zh-CN"/>
              </w:rPr>
            </w:pPr>
            <w:r>
              <w:rPr>
                <w:rFonts w:hint="default" w:ascii="Times New Roman" w:hAnsi="Times New Roman" w:eastAsia="宋体" w:cs="Times New Roman"/>
                <w:b/>
                <w:bCs/>
                <w:i w:val="0"/>
                <w:iCs w:val="0"/>
                <w:color w:val="000000"/>
                <w:sz w:val="21"/>
                <w:szCs w:val="21"/>
                <w:u w:val="none"/>
                <w:lang w:eastAsia="zh-CN"/>
              </w:rPr>
              <w:t>一</w:t>
            </w:r>
          </w:p>
        </w:tc>
        <w:tc>
          <w:tcPr>
            <w:tcW w:w="2360" w:type="dxa"/>
            <w:tcBorders>
              <w:tl2br w:val="nil"/>
              <w:tr2bl w:val="nil"/>
            </w:tcBorders>
            <w:shd w:val="clear" w:color="auto" w:fill="auto"/>
            <w:noWrap/>
            <w:vAlign w:val="center"/>
          </w:tcPr>
          <w:p w14:paraId="1CA09A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主坝加固</w:t>
            </w:r>
          </w:p>
        </w:tc>
        <w:tc>
          <w:tcPr>
            <w:tcW w:w="690" w:type="dxa"/>
            <w:tcBorders>
              <w:tl2br w:val="nil"/>
              <w:tr2bl w:val="nil"/>
            </w:tcBorders>
            <w:shd w:val="clear" w:color="auto" w:fill="auto"/>
            <w:noWrap/>
            <w:vAlign w:val="center"/>
          </w:tcPr>
          <w:p w14:paraId="3A00BB1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bCs/>
                <w:i w:val="0"/>
                <w:iCs w:val="0"/>
                <w:color w:val="000000"/>
                <w:sz w:val="21"/>
                <w:szCs w:val="21"/>
                <w:u w:val="none"/>
              </w:rPr>
            </w:pPr>
          </w:p>
        </w:tc>
        <w:tc>
          <w:tcPr>
            <w:tcW w:w="750" w:type="dxa"/>
            <w:tcBorders>
              <w:tl2br w:val="nil"/>
              <w:tr2bl w:val="nil"/>
            </w:tcBorders>
            <w:shd w:val="clear" w:color="auto" w:fill="auto"/>
            <w:noWrap/>
            <w:vAlign w:val="center"/>
          </w:tcPr>
          <w:p w14:paraId="4DFF57A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bCs/>
                <w:i w:val="0"/>
                <w:iCs w:val="0"/>
                <w:color w:val="000000"/>
                <w:sz w:val="21"/>
                <w:szCs w:val="21"/>
                <w:u w:val="none"/>
              </w:rPr>
            </w:pPr>
          </w:p>
        </w:tc>
        <w:tc>
          <w:tcPr>
            <w:tcW w:w="4496" w:type="dxa"/>
            <w:tcBorders>
              <w:tl2br w:val="nil"/>
              <w:tr2bl w:val="nil"/>
            </w:tcBorders>
            <w:shd w:val="clear" w:color="auto" w:fill="auto"/>
            <w:noWrap/>
            <w:vAlign w:val="center"/>
          </w:tcPr>
          <w:p w14:paraId="32EA4F4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bCs/>
                <w:i w:val="0"/>
                <w:iCs w:val="0"/>
                <w:color w:val="000000"/>
                <w:sz w:val="21"/>
                <w:szCs w:val="21"/>
                <w:u w:val="none"/>
              </w:rPr>
            </w:pPr>
          </w:p>
        </w:tc>
      </w:tr>
      <w:tr w14:paraId="153AED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73D64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641D96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5FB4B5B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5C065FB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524C0F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0F00A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541E6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D50D6A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水泥土搅拌桩防渗墙</w:t>
            </w:r>
          </w:p>
        </w:tc>
        <w:tc>
          <w:tcPr>
            <w:tcW w:w="690" w:type="dxa"/>
            <w:tcBorders>
              <w:tl2br w:val="nil"/>
              <w:tr2bl w:val="nil"/>
            </w:tcBorders>
            <w:shd w:val="clear" w:color="auto" w:fill="auto"/>
            <w:noWrap/>
            <w:vAlign w:val="center"/>
          </w:tcPr>
          <w:p w14:paraId="38F6E81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1E4A7A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4496" w:type="dxa"/>
            <w:tcBorders>
              <w:tl2br w:val="nil"/>
              <w:tr2bl w:val="nil"/>
            </w:tcBorders>
            <w:shd w:val="clear" w:color="auto" w:fill="auto"/>
            <w:noWrap/>
            <w:vAlign w:val="center"/>
          </w:tcPr>
          <w:p w14:paraId="7FC642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18%水泥，桩径60cm，按防渗面积计</w:t>
            </w:r>
          </w:p>
        </w:tc>
      </w:tr>
      <w:tr w14:paraId="5DADE6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B04647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C8C554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坝体帷幕灌浆钻孔进尺</w:t>
            </w:r>
          </w:p>
        </w:tc>
        <w:tc>
          <w:tcPr>
            <w:tcW w:w="690" w:type="dxa"/>
            <w:tcBorders>
              <w:tl2br w:val="nil"/>
              <w:tr2bl w:val="nil"/>
            </w:tcBorders>
            <w:shd w:val="clear" w:color="auto" w:fill="auto"/>
            <w:noWrap/>
            <w:vAlign w:val="center"/>
          </w:tcPr>
          <w:p w14:paraId="4A2A57D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50C79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4496" w:type="dxa"/>
            <w:tcBorders>
              <w:tl2br w:val="nil"/>
              <w:tr2bl w:val="nil"/>
            </w:tcBorders>
            <w:shd w:val="clear" w:color="auto" w:fill="auto"/>
            <w:noWrap/>
            <w:vAlign w:val="center"/>
          </w:tcPr>
          <w:p w14:paraId="4C5B02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坝体：回填粉质粘土、粘土、含碎石</w:t>
            </w:r>
            <w:r>
              <w:rPr>
                <w:rStyle w:val="91"/>
                <w:rFonts w:hint="default" w:ascii="Times New Roman" w:hAnsi="Times New Roman" w:eastAsia="宋体" w:cs="Times New Roman"/>
                <w:sz w:val="21"/>
                <w:szCs w:val="21"/>
                <w:lang w:val="en-US" w:eastAsia="zh-CN" w:bidi="ar"/>
              </w:rPr>
              <w:t>粉质粘土</w:t>
            </w:r>
          </w:p>
        </w:tc>
      </w:tr>
      <w:tr w14:paraId="62C48D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B1A92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28D27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钢套管</w:t>
            </w:r>
          </w:p>
        </w:tc>
        <w:tc>
          <w:tcPr>
            <w:tcW w:w="690" w:type="dxa"/>
            <w:tcBorders>
              <w:tl2br w:val="nil"/>
              <w:tr2bl w:val="nil"/>
            </w:tcBorders>
            <w:shd w:val="clear" w:color="auto" w:fill="auto"/>
            <w:noWrap/>
            <w:vAlign w:val="center"/>
          </w:tcPr>
          <w:p w14:paraId="4067F71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6E73F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4496" w:type="dxa"/>
            <w:tcBorders>
              <w:tl2br w:val="nil"/>
              <w:tr2bl w:val="nil"/>
            </w:tcBorders>
            <w:shd w:val="clear" w:color="auto" w:fill="auto"/>
            <w:noWrap/>
            <w:vAlign w:val="center"/>
          </w:tcPr>
          <w:p w14:paraId="6E34807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5030C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3F498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893BD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帷幕灌浆钻孔进尺</w:t>
            </w:r>
          </w:p>
        </w:tc>
        <w:tc>
          <w:tcPr>
            <w:tcW w:w="690" w:type="dxa"/>
            <w:tcBorders>
              <w:tl2br w:val="nil"/>
              <w:tr2bl w:val="nil"/>
            </w:tcBorders>
            <w:shd w:val="clear" w:color="auto" w:fill="auto"/>
            <w:noWrap/>
            <w:vAlign w:val="center"/>
          </w:tcPr>
          <w:p w14:paraId="2705E42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FB52A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930</w:t>
            </w:r>
          </w:p>
        </w:tc>
        <w:tc>
          <w:tcPr>
            <w:tcW w:w="4496" w:type="dxa"/>
            <w:tcBorders>
              <w:tl2br w:val="nil"/>
              <w:tr2bl w:val="nil"/>
            </w:tcBorders>
            <w:shd w:val="clear" w:color="auto" w:fill="auto"/>
            <w:noWrap/>
            <w:vAlign w:val="center"/>
          </w:tcPr>
          <w:p w14:paraId="620B4CA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基岩：泥质粉砂岩</w:t>
            </w:r>
          </w:p>
        </w:tc>
      </w:tr>
      <w:tr w14:paraId="215DE5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8F7515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012044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帷幕灌浆进尺</w:t>
            </w:r>
          </w:p>
        </w:tc>
        <w:tc>
          <w:tcPr>
            <w:tcW w:w="690" w:type="dxa"/>
            <w:tcBorders>
              <w:tl2br w:val="nil"/>
              <w:tr2bl w:val="nil"/>
            </w:tcBorders>
            <w:shd w:val="clear" w:color="auto" w:fill="auto"/>
            <w:noWrap/>
            <w:vAlign w:val="center"/>
          </w:tcPr>
          <w:p w14:paraId="7508191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44E0710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930</w:t>
            </w:r>
          </w:p>
        </w:tc>
        <w:tc>
          <w:tcPr>
            <w:tcW w:w="4496" w:type="dxa"/>
            <w:tcBorders>
              <w:tl2br w:val="nil"/>
              <w:tr2bl w:val="nil"/>
            </w:tcBorders>
            <w:shd w:val="clear" w:color="auto" w:fill="auto"/>
            <w:noWrap/>
            <w:vAlign w:val="center"/>
          </w:tcPr>
          <w:p w14:paraId="713409B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F4B96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0CECC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7F1B40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1098485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5FE42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3935</w:t>
            </w:r>
          </w:p>
        </w:tc>
        <w:tc>
          <w:tcPr>
            <w:tcW w:w="4496" w:type="dxa"/>
            <w:tcBorders>
              <w:tl2br w:val="nil"/>
              <w:tr2bl w:val="nil"/>
            </w:tcBorders>
            <w:shd w:val="clear" w:color="auto" w:fill="auto"/>
            <w:noWrap/>
            <w:vAlign w:val="center"/>
          </w:tcPr>
          <w:p w14:paraId="2839B02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1D3C9D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E44F1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E03D4C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2787379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207AED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3935</w:t>
            </w:r>
          </w:p>
        </w:tc>
        <w:tc>
          <w:tcPr>
            <w:tcW w:w="4496" w:type="dxa"/>
            <w:tcBorders>
              <w:tl2br w:val="nil"/>
              <w:tr2bl w:val="nil"/>
            </w:tcBorders>
            <w:shd w:val="clear" w:color="auto" w:fill="auto"/>
            <w:noWrap/>
            <w:vAlign w:val="center"/>
          </w:tcPr>
          <w:p w14:paraId="3BB0BC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5B03E7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45C2B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2DA3F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干砌块石</w:t>
            </w:r>
          </w:p>
        </w:tc>
        <w:tc>
          <w:tcPr>
            <w:tcW w:w="690" w:type="dxa"/>
            <w:tcBorders>
              <w:tl2br w:val="nil"/>
              <w:tr2bl w:val="nil"/>
            </w:tcBorders>
            <w:shd w:val="clear" w:color="auto" w:fill="auto"/>
            <w:noWrap/>
            <w:vAlign w:val="center"/>
          </w:tcPr>
          <w:p w14:paraId="6A1888C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C3726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11916</w:t>
            </w:r>
          </w:p>
        </w:tc>
        <w:tc>
          <w:tcPr>
            <w:tcW w:w="4496" w:type="dxa"/>
            <w:tcBorders>
              <w:tl2br w:val="nil"/>
              <w:tr2bl w:val="nil"/>
            </w:tcBorders>
            <w:shd w:val="clear" w:color="auto" w:fill="auto"/>
            <w:noWrap/>
            <w:vAlign w:val="center"/>
          </w:tcPr>
          <w:p w14:paraId="7323B07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厚50cm，20cm-40cm</w:t>
            </w:r>
          </w:p>
        </w:tc>
      </w:tr>
      <w:tr w14:paraId="1084D1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E4864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6EEE7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浆砌块石</w:t>
            </w:r>
          </w:p>
        </w:tc>
        <w:tc>
          <w:tcPr>
            <w:tcW w:w="690" w:type="dxa"/>
            <w:tcBorders>
              <w:tl2br w:val="nil"/>
              <w:tr2bl w:val="nil"/>
            </w:tcBorders>
            <w:shd w:val="clear" w:color="auto" w:fill="auto"/>
            <w:noWrap/>
            <w:vAlign w:val="center"/>
          </w:tcPr>
          <w:p w14:paraId="3EC2BFF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5B7918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458</w:t>
            </w:r>
          </w:p>
        </w:tc>
        <w:tc>
          <w:tcPr>
            <w:tcW w:w="4496" w:type="dxa"/>
            <w:tcBorders>
              <w:tl2br w:val="nil"/>
              <w:tr2bl w:val="nil"/>
            </w:tcBorders>
            <w:shd w:val="clear" w:color="auto" w:fill="auto"/>
            <w:noWrap/>
            <w:vAlign w:val="center"/>
          </w:tcPr>
          <w:p w14:paraId="3868A69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厚50cm，宽2m</w:t>
            </w:r>
          </w:p>
        </w:tc>
      </w:tr>
      <w:tr w14:paraId="2B6ED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DC1F6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42922B4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0B86DEE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C0ED9C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478EBDF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07C2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FF8B9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E8509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346DEEE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F5085A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16805</w:t>
            </w:r>
          </w:p>
        </w:tc>
        <w:tc>
          <w:tcPr>
            <w:tcW w:w="4496" w:type="dxa"/>
            <w:tcBorders>
              <w:tl2br w:val="nil"/>
              <w:tr2bl w:val="nil"/>
            </w:tcBorders>
            <w:shd w:val="clear" w:color="auto" w:fill="auto"/>
            <w:noWrap/>
            <w:vAlign w:val="center"/>
          </w:tcPr>
          <w:p w14:paraId="4941B74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449EA4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399C7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4E6A81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混凝土路面拆除</w:t>
            </w:r>
          </w:p>
        </w:tc>
        <w:tc>
          <w:tcPr>
            <w:tcW w:w="690" w:type="dxa"/>
            <w:tcBorders>
              <w:tl2br w:val="nil"/>
              <w:tr2bl w:val="nil"/>
            </w:tcBorders>
            <w:shd w:val="clear" w:color="auto" w:fill="auto"/>
            <w:noWrap/>
            <w:vAlign w:val="center"/>
          </w:tcPr>
          <w:p w14:paraId="4DEFDF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92276B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1069</w:t>
            </w:r>
          </w:p>
        </w:tc>
        <w:tc>
          <w:tcPr>
            <w:tcW w:w="4496" w:type="dxa"/>
            <w:tcBorders>
              <w:tl2br w:val="nil"/>
              <w:tr2bl w:val="nil"/>
            </w:tcBorders>
            <w:shd w:val="clear" w:color="auto" w:fill="auto"/>
            <w:noWrap/>
            <w:vAlign w:val="center"/>
          </w:tcPr>
          <w:p w14:paraId="0273CF2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厚度20cm</w:t>
            </w:r>
          </w:p>
        </w:tc>
      </w:tr>
      <w:tr w14:paraId="7D422E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589C7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E5B9E0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14B3706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72F1B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19173</w:t>
            </w:r>
          </w:p>
        </w:tc>
        <w:tc>
          <w:tcPr>
            <w:tcW w:w="4496" w:type="dxa"/>
            <w:tcBorders>
              <w:tl2br w:val="nil"/>
              <w:tr2bl w:val="nil"/>
            </w:tcBorders>
            <w:shd w:val="clear" w:color="auto" w:fill="auto"/>
            <w:noWrap/>
            <w:vAlign w:val="center"/>
          </w:tcPr>
          <w:p w14:paraId="49ED0F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5047E3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E4E49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2A5699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土方抛填</w:t>
            </w:r>
          </w:p>
        </w:tc>
        <w:tc>
          <w:tcPr>
            <w:tcW w:w="690" w:type="dxa"/>
            <w:tcBorders>
              <w:tl2br w:val="nil"/>
              <w:tr2bl w:val="nil"/>
            </w:tcBorders>
            <w:shd w:val="clear" w:color="auto" w:fill="auto"/>
            <w:noWrap/>
            <w:vAlign w:val="center"/>
          </w:tcPr>
          <w:p w14:paraId="2F4A5FC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FFD3BA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7792</w:t>
            </w:r>
          </w:p>
        </w:tc>
        <w:tc>
          <w:tcPr>
            <w:tcW w:w="4496" w:type="dxa"/>
            <w:tcBorders>
              <w:tl2br w:val="nil"/>
              <w:tr2bl w:val="nil"/>
            </w:tcBorders>
            <w:shd w:val="clear" w:color="auto" w:fill="auto"/>
            <w:noWrap/>
            <w:vAlign w:val="center"/>
          </w:tcPr>
          <w:p w14:paraId="6B694CE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上游坝脚深搅施工平台</w:t>
            </w:r>
          </w:p>
        </w:tc>
      </w:tr>
      <w:tr w14:paraId="1AB964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A3ED5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F2E4C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376797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5AB527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3972</w:t>
            </w:r>
          </w:p>
        </w:tc>
        <w:tc>
          <w:tcPr>
            <w:tcW w:w="4496" w:type="dxa"/>
            <w:tcBorders>
              <w:tl2br w:val="nil"/>
              <w:tr2bl w:val="nil"/>
            </w:tcBorders>
            <w:shd w:val="clear" w:color="auto" w:fill="auto"/>
            <w:noWrap/>
            <w:vAlign w:val="center"/>
          </w:tcPr>
          <w:p w14:paraId="57606D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30EECD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19F29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91E8B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C20混凝土预制块护面</w:t>
            </w:r>
          </w:p>
        </w:tc>
        <w:tc>
          <w:tcPr>
            <w:tcW w:w="690" w:type="dxa"/>
            <w:tcBorders>
              <w:tl2br w:val="nil"/>
              <w:tr2bl w:val="nil"/>
            </w:tcBorders>
            <w:shd w:val="clear" w:color="auto" w:fill="auto"/>
            <w:noWrap/>
            <w:vAlign w:val="center"/>
          </w:tcPr>
          <w:p w14:paraId="6DB313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C3C92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1132</w:t>
            </w:r>
          </w:p>
        </w:tc>
        <w:tc>
          <w:tcPr>
            <w:tcW w:w="4496" w:type="dxa"/>
            <w:tcBorders>
              <w:tl2br w:val="nil"/>
              <w:tr2bl w:val="nil"/>
            </w:tcBorders>
            <w:shd w:val="clear" w:color="auto" w:fill="auto"/>
            <w:noWrap/>
            <w:vAlign w:val="center"/>
          </w:tcPr>
          <w:p w14:paraId="333A28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4C1C06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374A4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CFE24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水泥土搅拌桩</w:t>
            </w:r>
          </w:p>
        </w:tc>
        <w:tc>
          <w:tcPr>
            <w:tcW w:w="690" w:type="dxa"/>
            <w:tcBorders>
              <w:tl2br w:val="nil"/>
              <w:tr2bl w:val="nil"/>
            </w:tcBorders>
            <w:shd w:val="clear" w:color="auto" w:fill="auto"/>
            <w:noWrap/>
            <w:vAlign w:val="center"/>
          </w:tcPr>
          <w:p w14:paraId="6F9A72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839F8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91865</w:t>
            </w:r>
          </w:p>
        </w:tc>
        <w:tc>
          <w:tcPr>
            <w:tcW w:w="4496" w:type="dxa"/>
            <w:tcBorders>
              <w:tl2br w:val="nil"/>
              <w:tr2bl w:val="nil"/>
            </w:tcBorders>
            <w:shd w:val="clear" w:color="auto" w:fill="auto"/>
            <w:noWrap/>
            <w:vAlign w:val="center"/>
          </w:tcPr>
          <w:p w14:paraId="6F8440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18%水泥，桩径60cm，按进尺计</w:t>
            </w:r>
          </w:p>
        </w:tc>
      </w:tr>
      <w:tr w14:paraId="2D9E89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4118B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14AEE6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495829C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3ADE58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2913CD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0A4BB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428D0B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CEE3C2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100D6A9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81423E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1604</w:t>
            </w:r>
          </w:p>
        </w:tc>
        <w:tc>
          <w:tcPr>
            <w:tcW w:w="4496" w:type="dxa"/>
            <w:tcBorders>
              <w:tl2br w:val="nil"/>
              <w:tr2bl w:val="nil"/>
            </w:tcBorders>
            <w:shd w:val="clear" w:color="auto" w:fill="auto"/>
            <w:noWrap/>
            <w:vAlign w:val="center"/>
          </w:tcPr>
          <w:p w14:paraId="481F80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5778E9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1C1D75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56EFA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5A96BA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6E6E40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4496" w:type="dxa"/>
            <w:tcBorders>
              <w:tl2br w:val="nil"/>
              <w:tr2bl w:val="nil"/>
            </w:tcBorders>
            <w:shd w:val="clear" w:color="auto" w:fill="auto"/>
            <w:noWrap/>
            <w:vAlign w:val="center"/>
          </w:tcPr>
          <w:p w14:paraId="566CED3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B0653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1008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C0B59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7CAF5A8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2FFDBB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494</w:t>
            </w:r>
          </w:p>
        </w:tc>
        <w:tc>
          <w:tcPr>
            <w:tcW w:w="4496" w:type="dxa"/>
            <w:tcBorders>
              <w:tl2br w:val="nil"/>
              <w:tr2bl w:val="nil"/>
            </w:tcBorders>
            <w:shd w:val="clear" w:color="auto" w:fill="auto"/>
            <w:noWrap/>
            <w:vAlign w:val="center"/>
          </w:tcPr>
          <w:p w14:paraId="38B6986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65F5A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28160A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71DF82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7997C1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2C800C0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4496" w:type="dxa"/>
            <w:tcBorders>
              <w:tl2br w:val="nil"/>
              <w:tr2bl w:val="nil"/>
            </w:tcBorders>
            <w:shd w:val="clear" w:color="auto" w:fill="auto"/>
            <w:noWrap/>
            <w:vAlign w:val="center"/>
          </w:tcPr>
          <w:p w14:paraId="0D5F7A3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14EABC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EC2C5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D5E82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级配碎石垫层</w:t>
            </w:r>
          </w:p>
        </w:tc>
        <w:tc>
          <w:tcPr>
            <w:tcW w:w="690" w:type="dxa"/>
            <w:tcBorders>
              <w:tl2br w:val="nil"/>
              <w:tr2bl w:val="nil"/>
            </w:tcBorders>
            <w:shd w:val="clear" w:color="auto" w:fill="auto"/>
            <w:noWrap/>
            <w:vAlign w:val="center"/>
          </w:tcPr>
          <w:p w14:paraId="3D5696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A712BD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1077</w:t>
            </w:r>
          </w:p>
        </w:tc>
        <w:tc>
          <w:tcPr>
            <w:tcW w:w="4496" w:type="dxa"/>
            <w:tcBorders>
              <w:tl2br w:val="nil"/>
              <w:tr2bl w:val="nil"/>
            </w:tcBorders>
            <w:shd w:val="clear" w:color="auto" w:fill="auto"/>
            <w:noWrap/>
            <w:vAlign w:val="center"/>
          </w:tcPr>
          <w:p w14:paraId="50E33B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2627AC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862D5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4EFAC0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0B4A48E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DF52B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1436</w:t>
            </w:r>
          </w:p>
        </w:tc>
        <w:tc>
          <w:tcPr>
            <w:tcW w:w="4496" w:type="dxa"/>
            <w:tcBorders>
              <w:tl2br w:val="nil"/>
              <w:tr2bl w:val="nil"/>
            </w:tcBorders>
            <w:shd w:val="clear" w:color="auto" w:fill="auto"/>
            <w:noWrap/>
            <w:vAlign w:val="center"/>
          </w:tcPr>
          <w:p w14:paraId="72EFBB2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4E6BBD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00DC4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E7533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沥青混凝土面层AC13</w:t>
            </w:r>
          </w:p>
        </w:tc>
        <w:tc>
          <w:tcPr>
            <w:tcW w:w="690" w:type="dxa"/>
            <w:tcBorders>
              <w:tl2br w:val="nil"/>
              <w:tr2bl w:val="nil"/>
            </w:tcBorders>
            <w:shd w:val="clear" w:color="auto" w:fill="auto"/>
            <w:noWrap/>
            <w:vAlign w:val="center"/>
          </w:tcPr>
          <w:p w14:paraId="18050B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6C8C5F5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7180</w:t>
            </w:r>
          </w:p>
        </w:tc>
        <w:tc>
          <w:tcPr>
            <w:tcW w:w="4496" w:type="dxa"/>
            <w:tcBorders>
              <w:tl2br w:val="nil"/>
              <w:tr2bl w:val="nil"/>
            </w:tcBorders>
            <w:shd w:val="clear" w:color="auto" w:fill="auto"/>
            <w:noWrap/>
            <w:vAlign w:val="center"/>
          </w:tcPr>
          <w:p w14:paraId="24EDABF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厚6cm</w:t>
            </w:r>
          </w:p>
        </w:tc>
      </w:tr>
      <w:tr w14:paraId="30CFF8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D1300B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AAE78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625805C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4F8CF0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433</w:t>
            </w:r>
          </w:p>
        </w:tc>
        <w:tc>
          <w:tcPr>
            <w:tcW w:w="4496" w:type="dxa"/>
            <w:tcBorders>
              <w:tl2br w:val="nil"/>
              <w:tr2bl w:val="nil"/>
            </w:tcBorders>
            <w:shd w:val="clear" w:color="auto" w:fill="auto"/>
            <w:noWrap/>
            <w:vAlign w:val="center"/>
          </w:tcPr>
          <w:p w14:paraId="6BA4577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057BFF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70B2C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F04DCB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37F13B0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5F2EE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536</w:t>
            </w:r>
          </w:p>
        </w:tc>
        <w:tc>
          <w:tcPr>
            <w:tcW w:w="4496" w:type="dxa"/>
            <w:tcBorders>
              <w:tl2br w:val="nil"/>
              <w:tr2bl w:val="nil"/>
            </w:tcBorders>
            <w:shd w:val="clear" w:color="auto" w:fill="auto"/>
            <w:noWrap/>
            <w:vAlign w:val="center"/>
          </w:tcPr>
          <w:p w14:paraId="1CEF2D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66D37B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1D1EE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FC8BDF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1301F46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F1C0A7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1351</w:t>
            </w:r>
          </w:p>
        </w:tc>
        <w:tc>
          <w:tcPr>
            <w:tcW w:w="4496" w:type="dxa"/>
            <w:tcBorders>
              <w:tl2br w:val="nil"/>
              <w:tr2bl w:val="nil"/>
            </w:tcBorders>
            <w:shd w:val="clear" w:color="auto" w:fill="auto"/>
            <w:noWrap/>
            <w:vAlign w:val="center"/>
          </w:tcPr>
          <w:p w14:paraId="5082F30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1A65E3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592E3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B08BF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46AE8C6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E2DA3D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1558</w:t>
            </w:r>
          </w:p>
        </w:tc>
        <w:tc>
          <w:tcPr>
            <w:tcW w:w="4496" w:type="dxa"/>
            <w:tcBorders>
              <w:tl2br w:val="nil"/>
              <w:tr2bl w:val="nil"/>
            </w:tcBorders>
            <w:shd w:val="clear" w:color="auto" w:fill="auto"/>
            <w:noWrap/>
            <w:vAlign w:val="center"/>
          </w:tcPr>
          <w:p w14:paraId="7F5BC1B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3B164D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A2600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B6C60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291393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F39802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4496" w:type="dxa"/>
            <w:tcBorders>
              <w:tl2br w:val="nil"/>
              <w:tr2bl w:val="nil"/>
            </w:tcBorders>
            <w:shd w:val="clear" w:color="auto" w:fill="auto"/>
            <w:noWrap/>
            <w:vAlign w:val="center"/>
          </w:tcPr>
          <w:p w14:paraId="328B68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4CA4D0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B6DB70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6C3321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1C8359B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09E331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4278</w:t>
            </w:r>
          </w:p>
        </w:tc>
        <w:tc>
          <w:tcPr>
            <w:tcW w:w="4496" w:type="dxa"/>
            <w:tcBorders>
              <w:tl2br w:val="nil"/>
              <w:tr2bl w:val="nil"/>
            </w:tcBorders>
            <w:shd w:val="clear" w:color="auto" w:fill="auto"/>
            <w:noWrap/>
            <w:vAlign w:val="center"/>
          </w:tcPr>
          <w:p w14:paraId="4268DC6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63EDA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12B8EB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22D83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5E3E60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3CCEA56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21389</w:t>
            </w:r>
          </w:p>
        </w:tc>
        <w:tc>
          <w:tcPr>
            <w:tcW w:w="4496" w:type="dxa"/>
            <w:tcBorders>
              <w:tl2br w:val="nil"/>
              <w:tr2bl w:val="nil"/>
            </w:tcBorders>
            <w:shd w:val="clear" w:color="auto" w:fill="auto"/>
            <w:noWrap/>
            <w:vAlign w:val="center"/>
          </w:tcPr>
          <w:p w14:paraId="4B5C34A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43659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CF1E9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A9573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混凝土排水沟拆除</w:t>
            </w:r>
          </w:p>
        </w:tc>
        <w:tc>
          <w:tcPr>
            <w:tcW w:w="690" w:type="dxa"/>
            <w:tcBorders>
              <w:tl2br w:val="nil"/>
              <w:tr2bl w:val="nil"/>
            </w:tcBorders>
            <w:shd w:val="clear" w:color="auto" w:fill="auto"/>
            <w:noWrap/>
            <w:vAlign w:val="center"/>
          </w:tcPr>
          <w:p w14:paraId="2E38EC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3F7AB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920</w:t>
            </w:r>
          </w:p>
        </w:tc>
        <w:tc>
          <w:tcPr>
            <w:tcW w:w="4496" w:type="dxa"/>
            <w:tcBorders>
              <w:tl2br w:val="nil"/>
              <w:tr2bl w:val="nil"/>
            </w:tcBorders>
            <w:shd w:val="clear" w:color="auto" w:fill="auto"/>
            <w:noWrap/>
            <w:vAlign w:val="center"/>
          </w:tcPr>
          <w:p w14:paraId="6992B74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BD7AC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49A3B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F79D7D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16EADE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B91EB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371</w:t>
            </w:r>
          </w:p>
        </w:tc>
        <w:tc>
          <w:tcPr>
            <w:tcW w:w="4496" w:type="dxa"/>
            <w:tcBorders>
              <w:tl2br w:val="nil"/>
              <w:tr2bl w:val="nil"/>
            </w:tcBorders>
            <w:shd w:val="clear" w:color="auto" w:fill="auto"/>
            <w:noWrap/>
            <w:vAlign w:val="center"/>
          </w:tcPr>
          <w:p w14:paraId="72E0984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坝坡纵横向排水沟</w:t>
            </w:r>
          </w:p>
        </w:tc>
      </w:tr>
      <w:tr w14:paraId="5E76AC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25EC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FC33F0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130672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3AEC67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496" w:type="dxa"/>
            <w:tcBorders>
              <w:tl2br w:val="nil"/>
              <w:tr2bl w:val="nil"/>
            </w:tcBorders>
            <w:shd w:val="clear" w:color="auto" w:fill="auto"/>
            <w:noWrap/>
            <w:vAlign w:val="center"/>
          </w:tcPr>
          <w:p w14:paraId="3625CB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1.5m宽台阶，间距300m</w:t>
            </w:r>
          </w:p>
        </w:tc>
      </w:tr>
      <w:tr w14:paraId="32AFF9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B7E2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0C7A7D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排水管</w:t>
            </w:r>
          </w:p>
        </w:tc>
        <w:tc>
          <w:tcPr>
            <w:tcW w:w="690" w:type="dxa"/>
            <w:tcBorders>
              <w:tl2br w:val="nil"/>
              <w:tr2bl w:val="nil"/>
            </w:tcBorders>
            <w:shd w:val="clear" w:color="auto" w:fill="auto"/>
            <w:noWrap/>
            <w:vAlign w:val="center"/>
          </w:tcPr>
          <w:p w14:paraId="4ABDCB2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4C6DA16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c>
          <w:tcPr>
            <w:tcW w:w="4496" w:type="dxa"/>
            <w:tcBorders>
              <w:tl2br w:val="nil"/>
              <w:tr2bl w:val="nil"/>
            </w:tcBorders>
            <w:shd w:val="clear" w:color="auto" w:fill="auto"/>
            <w:noWrap/>
            <w:vAlign w:val="center"/>
          </w:tcPr>
          <w:p w14:paraId="52F4900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q50mm排水管(长0.8m，间距5.0m</w:t>
            </w:r>
            <w:r>
              <w:rPr>
                <w:rStyle w:val="91"/>
                <w:rFonts w:hint="default" w:ascii="Times New Roman" w:hAnsi="Times New Roman" w:eastAsia="宋体" w:cs="Times New Roman"/>
                <w:sz w:val="21"/>
                <w:szCs w:val="21"/>
                <w:lang w:val="en-US" w:eastAsia="zh-CN" w:bidi="ar"/>
              </w:rPr>
              <w:t>布置)</w:t>
            </w:r>
          </w:p>
        </w:tc>
      </w:tr>
      <w:tr w14:paraId="26E93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D7424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7EB3F45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右岸近坝库岸防护</w:t>
            </w:r>
          </w:p>
        </w:tc>
        <w:tc>
          <w:tcPr>
            <w:tcW w:w="690" w:type="dxa"/>
            <w:tcBorders>
              <w:tl2br w:val="nil"/>
              <w:tr2bl w:val="nil"/>
            </w:tcBorders>
            <w:shd w:val="clear" w:color="auto" w:fill="auto"/>
            <w:noWrap/>
            <w:vAlign w:val="center"/>
          </w:tcPr>
          <w:p w14:paraId="09CC7B9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68AD8F4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4DF8A29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93565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95937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3D4B62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3A8660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940F47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344</w:t>
            </w:r>
          </w:p>
        </w:tc>
        <w:tc>
          <w:tcPr>
            <w:tcW w:w="4496" w:type="dxa"/>
            <w:tcBorders>
              <w:tl2br w:val="nil"/>
              <w:tr2bl w:val="nil"/>
            </w:tcBorders>
            <w:shd w:val="clear" w:color="auto" w:fill="auto"/>
            <w:noWrap/>
            <w:vAlign w:val="center"/>
          </w:tcPr>
          <w:p w14:paraId="77E46CD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31D114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E690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31293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7BE2A5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FA2778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2A5D8B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1ADC62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088CE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D0C22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3466BE4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ABB5F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07256B3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44BF39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9A616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B512F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681C6E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005AB6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4496" w:type="dxa"/>
            <w:tcBorders>
              <w:tl2br w:val="nil"/>
              <w:tr2bl w:val="nil"/>
            </w:tcBorders>
            <w:shd w:val="clear" w:color="auto" w:fill="auto"/>
            <w:noWrap/>
            <w:vAlign w:val="center"/>
          </w:tcPr>
          <w:p w14:paraId="0DF882D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5D9435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722D7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FD4E5E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4FEE26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532078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4496" w:type="dxa"/>
            <w:tcBorders>
              <w:tl2br w:val="nil"/>
              <w:tr2bl w:val="nil"/>
            </w:tcBorders>
            <w:shd w:val="clear" w:color="auto" w:fill="auto"/>
            <w:noWrap/>
            <w:vAlign w:val="center"/>
          </w:tcPr>
          <w:p w14:paraId="0B32617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厚13cm，C20，六边形预制块</w:t>
            </w:r>
          </w:p>
        </w:tc>
      </w:tr>
      <w:tr w14:paraId="653E9B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813F88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37ED5BC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0FCFD51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7D4B1FB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DA68B9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228C7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778A9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514B1C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w:t>
            </w:r>
          </w:p>
        </w:tc>
        <w:tc>
          <w:tcPr>
            <w:tcW w:w="690" w:type="dxa"/>
            <w:tcBorders>
              <w:tl2br w:val="nil"/>
              <w:tr2bl w:val="nil"/>
            </w:tcBorders>
            <w:shd w:val="clear" w:color="auto" w:fill="auto"/>
            <w:noWrap/>
            <w:vAlign w:val="center"/>
          </w:tcPr>
          <w:p w14:paraId="5346B4B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21347BB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13995</w:t>
            </w:r>
          </w:p>
        </w:tc>
        <w:tc>
          <w:tcPr>
            <w:tcW w:w="4496" w:type="dxa"/>
            <w:tcBorders>
              <w:tl2br w:val="nil"/>
              <w:tr2bl w:val="nil"/>
            </w:tcBorders>
            <w:shd w:val="clear" w:color="auto" w:fill="auto"/>
            <w:noWrap/>
            <w:vAlign w:val="center"/>
          </w:tcPr>
          <w:p w14:paraId="597F556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诱杀坑尺寸30×30×25cm，间距10m，</w:t>
            </w:r>
            <w:r>
              <w:rPr>
                <w:rStyle w:val="91"/>
                <w:rFonts w:hint="default" w:ascii="Times New Roman" w:hAnsi="Times New Roman" w:eastAsia="宋体" w:cs="Times New Roman"/>
                <w:sz w:val="21"/>
                <w:szCs w:val="21"/>
                <w:lang w:val="en-US" w:eastAsia="zh-CN" w:bidi="ar"/>
              </w:rPr>
              <w:t>梅花形布置</w:t>
            </w:r>
          </w:p>
        </w:tc>
      </w:tr>
      <w:tr w14:paraId="419CE7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80FE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085730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w:t>
            </w:r>
          </w:p>
        </w:tc>
        <w:tc>
          <w:tcPr>
            <w:tcW w:w="690" w:type="dxa"/>
            <w:tcBorders>
              <w:tl2br w:val="nil"/>
              <w:tr2bl w:val="nil"/>
            </w:tcBorders>
            <w:shd w:val="clear" w:color="auto" w:fill="auto"/>
            <w:noWrap/>
            <w:vAlign w:val="center"/>
          </w:tcPr>
          <w:p w14:paraId="5DC4DD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93101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8397</w:t>
            </w:r>
          </w:p>
        </w:tc>
        <w:tc>
          <w:tcPr>
            <w:tcW w:w="4496" w:type="dxa"/>
            <w:tcBorders>
              <w:tl2br w:val="nil"/>
              <w:tr2bl w:val="nil"/>
            </w:tcBorders>
            <w:shd w:val="clear" w:color="auto" w:fill="auto"/>
            <w:noWrap/>
            <w:vAlign w:val="center"/>
          </w:tcPr>
          <w:p w14:paraId="2655BEC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BAE1A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A9C9A8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791F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w:t>
            </w:r>
          </w:p>
        </w:tc>
        <w:tc>
          <w:tcPr>
            <w:tcW w:w="690" w:type="dxa"/>
            <w:tcBorders>
              <w:tl2br w:val="nil"/>
              <w:tr2bl w:val="nil"/>
            </w:tcBorders>
            <w:shd w:val="clear" w:color="auto" w:fill="auto"/>
            <w:noWrap/>
            <w:vAlign w:val="center"/>
          </w:tcPr>
          <w:p w14:paraId="11444B5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6C18020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496" w:type="dxa"/>
            <w:tcBorders>
              <w:tl2br w:val="nil"/>
              <w:tr2bl w:val="nil"/>
            </w:tcBorders>
            <w:shd w:val="clear" w:color="auto" w:fill="auto"/>
            <w:noWrap/>
            <w:vAlign w:val="center"/>
          </w:tcPr>
          <w:p w14:paraId="3CE87BE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42917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4E6C18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73AAC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w:t>
            </w:r>
          </w:p>
        </w:tc>
        <w:tc>
          <w:tcPr>
            <w:tcW w:w="690" w:type="dxa"/>
            <w:tcBorders>
              <w:tl2br w:val="nil"/>
              <w:tr2bl w:val="nil"/>
            </w:tcBorders>
            <w:shd w:val="clear" w:color="auto" w:fill="auto"/>
            <w:noWrap/>
            <w:vAlign w:val="center"/>
          </w:tcPr>
          <w:p w14:paraId="3017811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5979D8A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660</w:t>
            </w:r>
          </w:p>
        </w:tc>
        <w:tc>
          <w:tcPr>
            <w:tcW w:w="4496" w:type="dxa"/>
            <w:tcBorders>
              <w:tl2br w:val="nil"/>
              <w:tr2bl w:val="nil"/>
            </w:tcBorders>
            <w:shd w:val="clear" w:color="auto" w:fill="auto"/>
            <w:noWrap/>
            <w:vAlign w:val="center"/>
          </w:tcPr>
          <w:p w14:paraId="2CD32D4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E785A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D35AD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A8AD8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w:t>
            </w:r>
          </w:p>
        </w:tc>
        <w:tc>
          <w:tcPr>
            <w:tcW w:w="690" w:type="dxa"/>
            <w:tcBorders>
              <w:tl2br w:val="nil"/>
              <w:tr2bl w:val="nil"/>
            </w:tcBorders>
            <w:shd w:val="clear" w:color="auto" w:fill="auto"/>
            <w:noWrap/>
            <w:vAlign w:val="center"/>
          </w:tcPr>
          <w:p w14:paraId="0D711F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5E017CF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4496" w:type="dxa"/>
            <w:tcBorders>
              <w:tl2br w:val="nil"/>
              <w:tr2bl w:val="nil"/>
            </w:tcBorders>
            <w:shd w:val="clear" w:color="auto" w:fill="auto"/>
            <w:noWrap/>
            <w:vAlign w:val="center"/>
          </w:tcPr>
          <w:p w14:paraId="6AD8194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ABDC3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F90785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二</w:t>
            </w:r>
          </w:p>
        </w:tc>
        <w:tc>
          <w:tcPr>
            <w:tcW w:w="2360" w:type="dxa"/>
            <w:tcBorders>
              <w:tl2br w:val="nil"/>
              <w:tr2bl w:val="nil"/>
            </w:tcBorders>
            <w:shd w:val="clear" w:color="auto" w:fill="auto"/>
            <w:noWrap/>
            <w:vAlign w:val="center"/>
          </w:tcPr>
          <w:p w14:paraId="0E2F8F5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1副坝加固</w:t>
            </w:r>
          </w:p>
        </w:tc>
        <w:tc>
          <w:tcPr>
            <w:tcW w:w="690" w:type="dxa"/>
            <w:tcBorders>
              <w:tl2br w:val="nil"/>
              <w:tr2bl w:val="nil"/>
            </w:tcBorders>
            <w:shd w:val="clear" w:color="auto" w:fill="auto"/>
            <w:noWrap/>
            <w:vAlign w:val="center"/>
          </w:tcPr>
          <w:p w14:paraId="54D936F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E4BAA9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F89A04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0ACB4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2F0D9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72D6AE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2F9430C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194663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9EF5EA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58C1B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277D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92C32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0C6A97A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54513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336</w:t>
            </w:r>
          </w:p>
        </w:tc>
        <w:tc>
          <w:tcPr>
            <w:tcW w:w="4496" w:type="dxa"/>
            <w:tcBorders>
              <w:tl2br w:val="nil"/>
              <w:tr2bl w:val="nil"/>
            </w:tcBorders>
            <w:shd w:val="clear" w:color="auto" w:fill="auto"/>
            <w:noWrap/>
            <w:vAlign w:val="center"/>
          </w:tcPr>
          <w:p w14:paraId="66CC4F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0DE145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844E9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F4C676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272908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6FC50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336</w:t>
            </w:r>
          </w:p>
        </w:tc>
        <w:tc>
          <w:tcPr>
            <w:tcW w:w="4496" w:type="dxa"/>
            <w:tcBorders>
              <w:tl2br w:val="nil"/>
              <w:tr2bl w:val="nil"/>
            </w:tcBorders>
            <w:shd w:val="clear" w:color="auto" w:fill="auto"/>
            <w:noWrap/>
            <w:vAlign w:val="center"/>
          </w:tcPr>
          <w:p w14:paraId="71833D5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2860FE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C9E16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06B243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干砌块石</w:t>
            </w:r>
          </w:p>
        </w:tc>
        <w:tc>
          <w:tcPr>
            <w:tcW w:w="690" w:type="dxa"/>
            <w:tcBorders>
              <w:tl2br w:val="nil"/>
              <w:tr2bl w:val="nil"/>
            </w:tcBorders>
            <w:shd w:val="clear" w:color="auto" w:fill="auto"/>
            <w:noWrap/>
            <w:vAlign w:val="center"/>
          </w:tcPr>
          <w:p w14:paraId="03D03BF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90D7D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1050</w:t>
            </w:r>
          </w:p>
        </w:tc>
        <w:tc>
          <w:tcPr>
            <w:tcW w:w="4496" w:type="dxa"/>
            <w:tcBorders>
              <w:tl2br w:val="nil"/>
              <w:tr2bl w:val="nil"/>
            </w:tcBorders>
            <w:shd w:val="clear" w:color="auto" w:fill="auto"/>
            <w:noWrap/>
            <w:vAlign w:val="center"/>
          </w:tcPr>
          <w:p w14:paraId="3EB978A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厚50cm，20cm-40cm</w:t>
            </w:r>
          </w:p>
        </w:tc>
      </w:tr>
      <w:tr w14:paraId="2BF57D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BB811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62C6C2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浆砌块石</w:t>
            </w:r>
          </w:p>
        </w:tc>
        <w:tc>
          <w:tcPr>
            <w:tcW w:w="690" w:type="dxa"/>
            <w:tcBorders>
              <w:tl2br w:val="nil"/>
              <w:tr2bl w:val="nil"/>
            </w:tcBorders>
            <w:shd w:val="clear" w:color="auto" w:fill="auto"/>
            <w:noWrap/>
            <w:vAlign w:val="center"/>
          </w:tcPr>
          <w:p w14:paraId="16A750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01B1C4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4496" w:type="dxa"/>
            <w:tcBorders>
              <w:tl2br w:val="nil"/>
              <w:tr2bl w:val="nil"/>
            </w:tcBorders>
            <w:shd w:val="clear" w:color="auto" w:fill="auto"/>
            <w:noWrap/>
            <w:vAlign w:val="center"/>
          </w:tcPr>
          <w:p w14:paraId="6A060BE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厚50cm，宽2m</w:t>
            </w:r>
          </w:p>
        </w:tc>
      </w:tr>
      <w:tr w14:paraId="10F052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A457BC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34DA980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225263A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47F075D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64009D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851ED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7A1DD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4094D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2B83E22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6DE4D2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2142</w:t>
            </w:r>
          </w:p>
        </w:tc>
        <w:tc>
          <w:tcPr>
            <w:tcW w:w="4496" w:type="dxa"/>
            <w:tcBorders>
              <w:tl2br w:val="nil"/>
              <w:tr2bl w:val="nil"/>
            </w:tcBorders>
            <w:shd w:val="clear" w:color="auto" w:fill="auto"/>
            <w:noWrap/>
            <w:vAlign w:val="center"/>
          </w:tcPr>
          <w:p w14:paraId="1839E5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426B33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0AC63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BF5D80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22F5FD7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8CCEC5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3045</w:t>
            </w:r>
          </w:p>
        </w:tc>
        <w:tc>
          <w:tcPr>
            <w:tcW w:w="4496" w:type="dxa"/>
            <w:tcBorders>
              <w:tl2br w:val="nil"/>
              <w:tr2bl w:val="nil"/>
            </w:tcBorders>
            <w:shd w:val="clear" w:color="auto" w:fill="auto"/>
            <w:noWrap/>
            <w:vAlign w:val="center"/>
          </w:tcPr>
          <w:p w14:paraId="0FB8B8A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2DFC56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2FB8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513A1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3577DB0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F53641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462</w:t>
            </w:r>
          </w:p>
        </w:tc>
        <w:tc>
          <w:tcPr>
            <w:tcW w:w="4496" w:type="dxa"/>
            <w:tcBorders>
              <w:tl2br w:val="nil"/>
              <w:tr2bl w:val="nil"/>
            </w:tcBorders>
            <w:shd w:val="clear" w:color="auto" w:fill="auto"/>
            <w:noWrap/>
            <w:vAlign w:val="center"/>
          </w:tcPr>
          <w:p w14:paraId="42BFEE7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68BBD3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C2F59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15E25C6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4EB6FDC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531D830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6821971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D40A8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EDB42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571176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4B08201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FD4F7D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4496" w:type="dxa"/>
            <w:tcBorders>
              <w:tl2br w:val="nil"/>
              <w:tr2bl w:val="nil"/>
            </w:tcBorders>
            <w:shd w:val="clear" w:color="auto" w:fill="auto"/>
            <w:noWrap/>
            <w:vAlign w:val="center"/>
          </w:tcPr>
          <w:p w14:paraId="6BF3BE8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660C89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24A8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459C9A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56A97EA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2AAEA14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496" w:type="dxa"/>
            <w:tcBorders>
              <w:tl2br w:val="nil"/>
              <w:tr2bl w:val="nil"/>
            </w:tcBorders>
            <w:shd w:val="clear" w:color="auto" w:fill="auto"/>
            <w:noWrap/>
            <w:vAlign w:val="center"/>
          </w:tcPr>
          <w:p w14:paraId="402C81C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5D7F1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0A37E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A246C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171D3B6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282BB40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4496" w:type="dxa"/>
            <w:tcBorders>
              <w:tl2br w:val="nil"/>
              <w:tr2bl w:val="nil"/>
            </w:tcBorders>
            <w:shd w:val="clear" w:color="auto" w:fill="auto"/>
            <w:noWrap/>
            <w:vAlign w:val="center"/>
          </w:tcPr>
          <w:p w14:paraId="583ED2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5BC3F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D4F3C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DF02E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5A4E93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2DAEB22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4496" w:type="dxa"/>
            <w:tcBorders>
              <w:tl2br w:val="nil"/>
              <w:tr2bl w:val="nil"/>
            </w:tcBorders>
            <w:shd w:val="clear" w:color="auto" w:fill="auto"/>
            <w:noWrap/>
            <w:vAlign w:val="center"/>
          </w:tcPr>
          <w:p w14:paraId="3213C75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5D4C23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C8645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204BC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C25混凝土路面</w:t>
            </w:r>
          </w:p>
        </w:tc>
        <w:tc>
          <w:tcPr>
            <w:tcW w:w="690" w:type="dxa"/>
            <w:tcBorders>
              <w:tl2br w:val="nil"/>
              <w:tr2bl w:val="nil"/>
            </w:tcBorders>
            <w:shd w:val="clear" w:color="auto" w:fill="auto"/>
            <w:noWrap/>
            <w:vAlign w:val="center"/>
          </w:tcPr>
          <w:p w14:paraId="57731F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AF553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4496" w:type="dxa"/>
            <w:tcBorders>
              <w:tl2br w:val="nil"/>
              <w:tr2bl w:val="nil"/>
            </w:tcBorders>
            <w:shd w:val="clear" w:color="auto" w:fill="auto"/>
            <w:noWrap/>
            <w:vAlign w:val="center"/>
          </w:tcPr>
          <w:p w14:paraId="5C92F6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3924FB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4652F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B0FBF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14071C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45C18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4496" w:type="dxa"/>
            <w:tcBorders>
              <w:tl2br w:val="nil"/>
              <w:tr2bl w:val="nil"/>
            </w:tcBorders>
            <w:shd w:val="clear" w:color="auto" w:fill="auto"/>
            <w:noWrap/>
            <w:vAlign w:val="center"/>
          </w:tcPr>
          <w:p w14:paraId="57BEC0F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516BD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13B2A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06938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311E6B1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E2A7A2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496" w:type="dxa"/>
            <w:tcBorders>
              <w:tl2br w:val="nil"/>
              <w:tr2bl w:val="nil"/>
            </w:tcBorders>
            <w:shd w:val="clear" w:color="auto" w:fill="auto"/>
            <w:noWrap/>
            <w:vAlign w:val="center"/>
          </w:tcPr>
          <w:p w14:paraId="19BE16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156DBF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04387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879B58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7CCECFC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89B949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4496" w:type="dxa"/>
            <w:tcBorders>
              <w:tl2br w:val="nil"/>
              <w:tr2bl w:val="nil"/>
            </w:tcBorders>
            <w:shd w:val="clear" w:color="auto" w:fill="auto"/>
            <w:noWrap/>
            <w:vAlign w:val="center"/>
          </w:tcPr>
          <w:p w14:paraId="3304EE1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4D5446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16144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49469D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39FC884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A3516F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4496" w:type="dxa"/>
            <w:tcBorders>
              <w:tl2br w:val="nil"/>
              <w:tr2bl w:val="nil"/>
            </w:tcBorders>
            <w:shd w:val="clear" w:color="auto" w:fill="auto"/>
            <w:noWrap/>
            <w:vAlign w:val="center"/>
          </w:tcPr>
          <w:p w14:paraId="337217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5F3DB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2BAAD3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6DD918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60AAF28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94ACA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4496" w:type="dxa"/>
            <w:tcBorders>
              <w:tl2br w:val="nil"/>
              <w:tr2bl w:val="nil"/>
            </w:tcBorders>
            <w:shd w:val="clear" w:color="auto" w:fill="auto"/>
            <w:noWrap/>
            <w:vAlign w:val="center"/>
          </w:tcPr>
          <w:p w14:paraId="118771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1E2611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669E4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44D81E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1F462C1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45EFF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496" w:type="dxa"/>
            <w:tcBorders>
              <w:tl2br w:val="nil"/>
              <w:tr2bl w:val="nil"/>
            </w:tcBorders>
            <w:shd w:val="clear" w:color="auto" w:fill="auto"/>
            <w:noWrap/>
            <w:vAlign w:val="center"/>
          </w:tcPr>
          <w:p w14:paraId="3C75E4C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1C732A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71419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48135F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7A37067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AFE82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672</w:t>
            </w:r>
          </w:p>
        </w:tc>
        <w:tc>
          <w:tcPr>
            <w:tcW w:w="4496" w:type="dxa"/>
            <w:tcBorders>
              <w:tl2br w:val="nil"/>
              <w:tr2bl w:val="nil"/>
            </w:tcBorders>
            <w:shd w:val="clear" w:color="auto" w:fill="auto"/>
            <w:noWrap/>
            <w:vAlign w:val="center"/>
          </w:tcPr>
          <w:p w14:paraId="68C098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0FC89A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59D33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895EF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0395C4D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21AC3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2730</w:t>
            </w:r>
          </w:p>
        </w:tc>
        <w:tc>
          <w:tcPr>
            <w:tcW w:w="4496" w:type="dxa"/>
            <w:tcBorders>
              <w:tl2br w:val="nil"/>
              <w:tr2bl w:val="nil"/>
            </w:tcBorders>
            <w:shd w:val="clear" w:color="auto" w:fill="auto"/>
            <w:noWrap/>
            <w:vAlign w:val="center"/>
          </w:tcPr>
          <w:p w14:paraId="6853C1C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251EB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EBDFC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607078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混凝土排水沟拆除</w:t>
            </w:r>
          </w:p>
        </w:tc>
        <w:tc>
          <w:tcPr>
            <w:tcW w:w="690" w:type="dxa"/>
            <w:tcBorders>
              <w:tl2br w:val="nil"/>
              <w:tr2bl w:val="nil"/>
            </w:tcBorders>
            <w:shd w:val="clear" w:color="auto" w:fill="auto"/>
            <w:noWrap/>
            <w:vAlign w:val="center"/>
          </w:tcPr>
          <w:p w14:paraId="30945D3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8B405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4496" w:type="dxa"/>
            <w:tcBorders>
              <w:tl2br w:val="nil"/>
              <w:tr2bl w:val="nil"/>
            </w:tcBorders>
            <w:shd w:val="clear" w:color="auto" w:fill="auto"/>
            <w:noWrap/>
            <w:vAlign w:val="center"/>
          </w:tcPr>
          <w:p w14:paraId="2B9B653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5C4E2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02856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455D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16BADC2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00D0D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4496" w:type="dxa"/>
            <w:tcBorders>
              <w:tl2br w:val="nil"/>
              <w:tr2bl w:val="nil"/>
            </w:tcBorders>
            <w:shd w:val="clear" w:color="auto" w:fill="auto"/>
            <w:noWrap/>
            <w:vAlign w:val="center"/>
          </w:tcPr>
          <w:p w14:paraId="212AFB2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坝坡纵横向排水沟</w:t>
            </w:r>
          </w:p>
        </w:tc>
      </w:tr>
      <w:tr w14:paraId="528ADB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0F65E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C0888E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13B977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378A1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496" w:type="dxa"/>
            <w:tcBorders>
              <w:tl2br w:val="nil"/>
              <w:tr2bl w:val="nil"/>
            </w:tcBorders>
            <w:shd w:val="clear" w:color="auto" w:fill="auto"/>
            <w:noWrap/>
            <w:vAlign w:val="center"/>
          </w:tcPr>
          <w:p w14:paraId="29076BB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272F47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74744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9BD04D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1E2CCC7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88ADF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4496" w:type="dxa"/>
            <w:tcBorders>
              <w:tl2br w:val="nil"/>
              <w:tr2bl w:val="nil"/>
            </w:tcBorders>
            <w:shd w:val="clear" w:color="auto" w:fill="auto"/>
            <w:noWrap/>
            <w:vAlign w:val="center"/>
          </w:tcPr>
          <w:p w14:paraId="79F051B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7C7AC5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7B201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DDC41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排水管</w:t>
            </w:r>
          </w:p>
        </w:tc>
        <w:tc>
          <w:tcPr>
            <w:tcW w:w="690" w:type="dxa"/>
            <w:tcBorders>
              <w:tl2br w:val="nil"/>
              <w:tr2bl w:val="nil"/>
            </w:tcBorders>
            <w:shd w:val="clear" w:color="auto" w:fill="auto"/>
            <w:noWrap/>
            <w:vAlign w:val="center"/>
          </w:tcPr>
          <w:p w14:paraId="3ACB84F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0C647B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4496" w:type="dxa"/>
            <w:tcBorders>
              <w:tl2br w:val="nil"/>
              <w:tr2bl w:val="nil"/>
            </w:tcBorders>
            <w:shd w:val="clear" w:color="auto" w:fill="auto"/>
            <w:noWrap/>
            <w:vAlign w:val="center"/>
          </w:tcPr>
          <w:p w14:paraId="4EABD0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p50mm排水管(长0.8m，间距5.0m</w:t>
            </w:r>
            <w:r>
              <w:rPr>
                <w:rStyle w:val="91"/>
                <w:rFonts w:hint="default" w:ascii="Times New Roman" w:hAnsi="Times New Roman" w:eastAsia="宋体" w:cs="Times New Roman"/>
                <w:sz w:val="21"/>
                <w:szCs w:val="21"/>
                <w:lang w:val="en-US" w:eastAsia="zh-CN" w:bidi="ar"/>
              </w:rPr>
              <w:t>布置)</w:t>
            </w:r>
          </w:p>
        </w:tc>
      </w:tr>
      <w:tr w14:paraId="54A0F2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752EE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6BF7447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右岸近坝库岸防护</w:t>
            </w:r>
          </w:p>
        </w:tc>
        <w:tc>
          <w:tcPr>
            <w:tcW w:w="690" w:type="dxa"/>
            <w:tcBorders>
              <w:tl2br w:val="nil"/>
              <w:tr2bl w:val="nil"/>
            </w:tcBorders>
            <w:shd w:val="clear" w:color="auto" w:fill="auto"/>
            <w:noWrap/>
            <w:vAlign w:val="center"/>
          </w:tcPr>
          <w:p w14:paraId="506A6AD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0E7DB38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5BCCC80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8F09F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81BF5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013ED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646C651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0F41242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4496" w:type="dxa"/>
            <w:tcBorders>
              <w:tl2br w:val="nil"/>
              <w:tr2bl w:val="nil"/>
            </w:tcBorders>
            <w:shd w:val="clear" w:color="auto" w:fill="auto"/>
            <w:noWrap/>
            <w:vAlign w:val="center"/>
          </w:tcPr>
          <w:p w14:paraId="0C5368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21170F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DC9C9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53E42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343F4F7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048057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3AA15C1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2FDFED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9B5E7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7E3C8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55F40D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888385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74D2DB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25E37B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B17562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1A6E97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4A3A51E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9DFC14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4496" w:type="dxa"/>
            <w:tcBorders>
              <w:tl2br w:val="nil"/>
              <w:tr2bl w:val="nil"/>
            </w:tcBorders>
            <w:shd w:val="clear" w:color="auto" w:fill="auto"/>
            <w:noWrap/>
            <w:vAlign w:val="center"/>
          </w:tcPr>
          <w:p w14:paraId="4006B5D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2FD586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EFE4C6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B6B68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2016EB4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01EE1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4496" w:type="dxa"/>
            <w:tcBorders>
              <w:tl2br w:val="nil"/>
              <w:tr2bl w:val="nil"/>
            </w:tcBorders>
            <w:shd w:val="clear" w:color="auto" w:fill="auto"/>
            <w:noWrap/>
            <w:vAlign w:val="center"/>
          </w:tcPr>
          <w:p w14:paraId="0580F97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厚13cm，C20，六边形预制块</w:t>
            </w:r>
          </w:p>
        </w:tc>
      </w:tr>
      <w:tr w14:paraId="1E4126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2A85D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4EEBF4F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43AE0F6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EA5D71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5BE1229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981F4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1E1E9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D5737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诱杀坑(1副坝)</w:t>
            </w:r>
          </w:p>
        </w:tc>
        <w:tc>
          <w:tcPr>
            <w:tcW w:w="690" w:type="dxa"/>
            <w:tcBorders>
              <w:tl2br w:val="nil"/>
              <w:tr2bl w:val="nil"/>
            </w:tcBorders>
            <w:shd w:val="clear" w:color="auto" w:fill="auto"/>
            <w:noWrap/>
            <w:vAlign w:val="center"/>
          </w:tcPr>
          <w:p w14:paraId="7C123E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160258E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2250</w:t>
            </w:r>
          </w:p>
        </w:tc>
        <w:tc>
          <w:tcPr>
            <w:tcW w:w="4496" w:type="dxa"/>
            <w:tcBorders>
              <w:tl2br w:val="nil"/>
              <w:tr2bl w:val="nil"/>
            </w:tcBorders>
            <w:shd w:val="clear" w:color="auto" w:fill="auto"/>
            <w:noWrap/>
            <w:vAlign w:val="center"/>
          </w:tcPr>
          <w:p w14:paraId="73DDD6E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诱杀坑尺寸30×30×25cm，间距10m</w:t>
            </w:r>
            <w:r>
              <w:rPr>
                <w:rFonts w:hint="eastAsia" w:ascii="Times New Roman" w:hAnsi="Times New Roman" w:eastAsia="宋体" w:cs="Times New Roman"/>
                <w:i w:val="0"/>
                <w:iCs w:val="0"/>
                <w:color w:val="000000"/>
                <w:kern w:val="0"/>
                <w:sz w:val="21"/>
                <w:szCs w:val="21"/>
                <w:u w:val="none"/>
                <w:lang w:val="en-US" w:eastAsia="zh-CN" w:bidi="ar"/>
              </w:rPr>
              <w:t>,</w:t>
            </w:r>
            <w:r>
              <w:rPr>
                <w:rStyle w:val="91"/>
                <w:rFonts w:hint="default" w:ascii="Times New Roman" w:hAnsi="Times New Roman" w:eastAsia="宋体" w:cs="Times New Roman"/>
                <w:sz w:val="21"/>
                <w:szCs w:val="21"/>
                <w:lang w:val="en-US" w:eastAsia="zh-CN" w:bidi="ar"/>
              </w:rPr>
              <w:t>梅花形布置</w:t>
            </w:r>
          </w:p>
        </w:tc>
      </w:tr>
      <w:tr w14:paraId="35F40C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7534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13DFF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白蚁危害监测(1副坝)</w:t>
            </w:r>
          </w:p>
        </w:tc>
        <w:tc>
          <w:tcPr>
            <w:tcW w:w="690" w:type="dxa"/>
            <w:tcBorders>
              <w:tl2br w:val="nil"/>
              <w:tr2bl w:val="nil"/>
            </w:tcBorders>
            <w:shd w:val="clear" w:color="auto" w:fill="auto"/>
            <w:noWrap/>
            <w:vAlign w:val="center"/>
          </w:tcPr>
          <w:p w14:paraId="5AD3984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FF2FC3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1530</w:t>
            </w:r>
          </w:p>
        </w:tc>
        <w:tc>
          <w:tcPr>
            <w:tcW w:w="4496" w:type="dxa"/>
            <w:tcBorders>
              <w:tl2br w:val="nil"/>
              <w:tr2bl w:val="nil"/>
            </w:tcBorders>
            <w:shd w:val="clear" w:color="auto" w:fill="auto"/>
            <w:noWrap/>
            <w:vAlign w:val="center"/>
          </w:tcPr>
          <w:p w14:paraId="33EBB9D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9CE79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B1C6D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B6C6A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挖巢(1副坝)</w:t>
            </w:r>
          </w:p>
        </w:tc>
        <w:tc>
          <w:tcPr>
            <w:tcW w:w="690" w:type="dxa"/>
            <w:tcBorders>
              <w:tl2br w:val="nil"/>
              <w:tr2bl w:val="nil"/>
            </w:tcBorders>
            <w:shd w:val="clear" w:color="auto" w:fill="auto"/>
            <w:noWrap/>
            <w:vAlign w:val="center"/>
          </w:tcPr>
          <w:p w14:paraId="7C95E41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7EE662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96" w:type="dxa"/>
            <w:tcBorders>
              <w:tl2br w:val="nil"/>
              <w:tr2bl w:val="nil"/>
            </w:tcBorders>
            <w:shd w:val="clear" w:color="auto" w:fill="auto"/>
            <w:noWrap/>
            <w:vAlign w:val="center"/>
          </w:tcPr>
          <w:p w14:paraId="504C33D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31646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ADCCB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F60FD0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钻孔灌浆(1副坝)</w:t>
            </w:r>
          </w:p>
        </w:tc>
        <w:tc>
          <w:tcPr>
            <w:tcW w:w="690" w:type="dxa"/>
            <w:tcBorders>
              <w:tl2br w:val="nil"/>
              <w:tr2bl w:val="nil"/>
            </w:tcBorders>
            <w:shd w:val="clear" w:color="auto" w:fill="auto"/>
            <w:noWrap/>
            <w:vAlign w:val="center"/>
          </w:tcPr>
          <w:p w14:paraId="5D39233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50E48FE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4496" w:type="dxa"/>
            <w:tcBorders>
              <w:tl2br w:val="nil"/>
              <w:tr2bl w:val="nil"/>
            </w:tcBorders>
            <w:shd w:val="clear" w:color="auto" w:fill="auto"/>
            <w:noWrap/>
            <w:vAlign w:val="center"/>
          </w:tcPr>
          <w:p w14:paraId="508550B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EC4C0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8114B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B11151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防蚁隔离毒土带(1副</w:t>
            </w:r>
            <w:r>
              <w:rPr>
                <w:rStyle w:val="91"/>
                <w:rFonts w:hint="default" w:ascii="Times New Roman" w:hAnsi="Times New Roman" w:eastAsia="宋体" w:cs="Times New Roman"/>
                <w:sz w:val="21"/>
                <w:szCs w:val="21"/>
                <w:lang w:val="en-US" w:eastAsia="zh-CN" w:bidi="ar"/>
              </w:rPr>
              <w:t>坝)</w:t>
            </w:r>
          </w:p>
        </w:tc>
        <w:tc>
          <w:tcPr>
            <w:tcW w:w="690" w:type="dxa"/>
            <w:tcBorders>
              <w:tl2br w:val="nil"/>
              <w:tr2bl w:val="nil"/>
            </w:tcBorders>
            <w:shd w:val="clear" w:color="auto" w:fill="auto"/>
            <w:noWrap/>
            <w:vAlign w:val="center"/>
          </w:tcPr>
          <w:p w14:paraId="708DE4A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5D8DA8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496" w:type="dxa"/>
            <w:tcBorders>
              <w:tl2br w:val="nil"/>
              <w:tr2bl w:val="nil"/>
            </w:tcBorders>
            <w:shd w:val="clear" w:color="auto" w:fill="auto"/>
            <w:noWrap/>
            <w:vAlign w:val="center"/>
          </w:tcPr>
          <w:p w14:paraId="181A993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AC230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02900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682F8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诱杀坑(管理所)</w:t>
            </w:r>
          </w:p>
        </w:tc>
        <w:tc>
          <w:tcPr>
            <w:tcW w:w="690" w:type="dxa"/>
            <w:tcBorders>
              <w:tl2br w:val="nil"/>
              <w:tr2bl w:val="nil"/>
            </w:tcBorders>
            <w:shd w:val="clear" w:color="auto" w:fill="auto"/>
            <w:noWrap/>
            <w:vAlign w:val="center"/>
          </w:tcPr>
          <w:p w14:paraId="0BC0B21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1B80350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1050</w:t>
            </w:r>
          </w:p>
        </w:tc>
        <w:tc>
          <w:tcPr>
            <w:tcW w:w="4496" w:type="dxa"/>
            <w:tcBorders>
              <w:tl2br w:val="nil"/>
              <w:tr2bl w:val="nil"/>
            </w:tcBorders>
            <w:shd w:val="clear" w:color="auto" w:fill="auto"/>
            <w:noWrap/>
            <w:vAlign w:val="center"/>
          </w:tcPr>
          <w:p w14:paraId="6DC900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诱杀坑尺寸30×30×25cm，间距10m，</w:t>
            </w:r>
            <w:r>
              <w:rPr>
                <w:rStyle w:val="91"/>
                <w:rFonts w:hint="default" w:ascii="Times New Roman" w:hAnsi="Times New Roman" w:eastAsia="宋体" w:cs="Times New Roman"/>
                <w:sz w:val="21"/>
                <w:szCs w:val="21"/>
                <w:lang w:val="en-US" w:eastAsia="zh-CN" w:bidi="ar"/>
              </w:rPr>
              <w:t>梅花形布置</w:t>
            </w:r>
          </w:p>
        </w:tc>
      </w:tr>
      <w:tr w14:paraId="227453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345BC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C1EE2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白蚁危害监测(管理所)</w:t>
            </w:r>
          </w:p>
        </w:tc>
        <w:tc>
          <w:tcPr>
            <w:tcW w:w="690" w:type="dxa"/>
            <w:tcBorders>
              <w:tl2br w:val="nil"/>
              <w:tr2bl w:val="nil"/>
            </w:tcBorders>
            <w:shd w:val="clear" w:color="auto" w:fill="auto"/>
            <w:noWrap/>
            <w:vAlign w:val="center"/>
          </w:tcPr>
          <w:p w14:paraId="0D4163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1358CB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630</w:t>
            </w:r>
          </w:p>
        </w:tc>
        <w:tc>
          <w:tcPr>
            <w:tcW w:w="4496" w:type="dxa"/>
            <w:tcBorders>
              <w:tl2br w:val="nil"/>
              <w:tr2bl w:val="nil"/>
            </w:tcBorders>
            <w:shd w:val="clear" w:color="auto" w:fill="auto"/>
            <w:noWrap/>
            <w:vAlign w:val="center"/>
          </w:tcPr>
          <w:p w14:paraId="7120BE8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A8EDD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7B981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三</w:t>
            </w:r>
          </w:p>
        </w:tc>
        <w:tc>
          <w:tcPr>
            <w:tcW w:w="2360" w:type="dxa"/>
            <w:tcBorders>
              <w:tl2br w:val="nil"/>
              <w:tr2bl w:val="nil"/>
            </w:tcBorders>
            <w:shd w:val="clear" w:color="auto" w:fill="auto"/>
            <w:noWrap/>
            <w:vAlign w:val="center"/>
          </w:tcPr>
          <w:p w14:paraId="27651DB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2副坝加固</w:t>
            </w:r>
          </w:p>
        </w:tc>
        <w:tc>
          <w:tcPr>
            <w:tcW w:w="690" w:type="dxa"/>
            <w:tcBorders>
              <w:tl2br w:val="nil"/>
              <w:tr2bl w:val="nil"/>
            </w:tcBorders>
            <w:shd w:val="clear" w:color="auto" w:fill="auto"/>
            <w:noWrap/>
            <w:vAlign w:val="center"/>
          </w:tcPr>
          <w:p w14:paraId="5CA6BF2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422343A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444352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986ED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2DDE4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091BFCA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7F29821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3C5D3C8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AE3B1E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03144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5D25B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E9AE8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1570D0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046CAB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496" w:type="dxa"/>
            <w:tcBorders>
              <w:tl2br w:val="nil"/>
              <w:tr2bl w:val="nil"/>
            </w:tcBorders>
            <w:shd w:val="clear" w:color="auto" w:fill="auto"/>
            <w:noWrap/>
            <w:vAlign w:val="center"/>
          </w:tcPr>
          <w:p w14:paraId="7CA3E8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683D2C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A676A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21ABB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4CE177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47C61B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496" w:type="dxa"/>
            <w:tcBorders>
              <w:tl2br w:val="nil"/>
              <w:tr2bl w:val="nil"/>
            </w:tcBorders>
            <w:shd w:val="clear" w:color="auto" w:fill="auto"/>
            <w:noWrap/>
            <w:vAlign w:val="center"/>
          </w:tcPr>
          <w:p w14:paraId="78292E5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464C40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74F42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E3CB0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格宾石笼挡墙</w:t>
            </w:r>
          </w:p>
        </w:tc>
        <w:tc>
          <w:tcPr>
            <w:tcW w:w="690" w:type="dxa"/>
            <w:tcBorders>
              <w:tl2br w:val="nil"/>
              <w:tr2bl w:val="nil"/>
            </w:tcBorders>
            <w:shd w:val="clear" w:color="auto" w:fill="auto"/>
            <w:noWrap/>
            <w:vAlign w:val="center"/>
          </w:tcPr>
          <w:p w14:paraId="4D0141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19FF47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2375</w:t>
            </w:r>
          </w:p>
        </w:tc>
        <w:tc>
          <w:tcPr>
            <w:tcW w:w="4496" w:type="dxa"/>
            <w:tcBorders>
              <w:tl2br w:val="nil"/>
              <w:tr2bl w:val="nil"/>
            </w:tcBorders>
            <w:shd w:val="clear" w:color="auto" w:fill="auto"/>
            <w:noWrap/>
            <w:vAlign w:val="center"/>
          </w:tcPr>
          <w:p w14:paraId="2C525F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块石粒径10~40cm，</w:t>
            </w:r>
            <w:r>
              <w:rPr>
                <w:rStyle w:val="91"/>
                <w:rFonts w:hint="default" w:ascii="Times New Roman" w:hAnsi="Times New Roman" w:eastAsia="宋体" w:cs="Times New Roman"/>
                <w:sz w:val="21"/>
                <w:szCs w:val="21"/>
                <w:lang w:val="en-US" w:eastAsia="zh-CN" w:bidi="ar"/>
              </w:rPr>
              <w:t>格宾钢筋笼含格宾钢丝网7.5m²/m³及钢筋11kg/m³</w:t>
            </w:r>
          </w:p>
        </w:tc>
      </w:tr>
      <w:tr w14:paraId="33087F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01CDF5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0943321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5E03F1D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62211F9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7433404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F2BC3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9E318E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4BFD9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3EBA4C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602FD4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8343</w:t>
            </w:r>
          </w:p>
        </w:tc>
        <w:tc>
          <w:tcPr>
            <w:tcW w:w="4496" w:type="dxa"/>
            <w:tcBorders>
              <w:tl2br w:val="nil"/>
              <w:tr2bl w:val="nil"/>
            </w:tcBorders>
            <w:shd w:val="clear" w:color="auto" w:fill="auto"/>
            <w:noWrap/>
            <w:vAlign w:val="center"/>
          </w:tcPr>
          <w:p w14:paraId="7FE794E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0720CC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4780B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74B16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270AB11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091B7F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15834</w:t>
            </w:r>
          </w:p>
        </w:tc>
        <w:tc>
          <w:tcPr>
            <w:tcW w:w="4496" w:type="dxa"/>
            <w:tcBorders>
              <w:tl2br w:val="nil"/>
              <w:tr2bl w:val="nil"/>
            </w:tcBorders>
            <w:shd w:val="clear" w:color="auto" w:fill="auto"/>
            <w:noWrap/>
            <w:vAlign w:val="center"/>
          </w:tcPr>
          <w:p w14:paraId="4C5EA26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548852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3C1A7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AB556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7375D6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131A6B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914</w:t>
            </w:r>
          </w:p>
        </w:tc>
        <w:tc>
          <w:tcPr>
            <w:tcW w:w="4496" w:type="dxa"/>
            <w:tcBorders>
              <w:tl2br w:val="nil"/>
              <w:tr2bl w:val="nil"/>
            </w:tcBorders>
            <w:shd w:val="clear" w:color="auto" w:fill="auto"/>
            <w:noWrap/>
            <w:vAlign w:val="center"/>
          </w:tcPr>
          <w:p w14:paraId="55BC7D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32174B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D93B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CA279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抛石挤淤</w:t>
            </w:r>
          </w:p>
        </w:tc>
        <w:tc>
          <w:tcPr>
            <w:tcW w:w="690" w:type="dxa"/>
            <w:tcBorders>
              <w:tl2br w:val="nil"/>
              <w:tr2bl w:val="nil"/>
            </w:tcBorders>
            <w:shd w:val="clear" w:color="auto" w:fill="auto"/>
            <w:noWrap/>
            <w:vAlign w:val="center"/>
          </w:tcPr>
          <w:p w14:paraId="415081F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D24967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2436</w:t>
            </w:r>
          </w:p>
        </w:tc>
        <w:tc>
          <w:tcPr>
            <w:tcW w:w="4496" w:type="dxa"/>
            <w:tcBorders>
              <w:tl2br w:val="nil"/>
              <w:tr2bl w:val="nil"/>
            </w:tcBorders>
            <w:shd w:val="clear" w:color="auto" w:fill="auto"/>
            <w:noWrap/>
            <w:vAlign w:val="center"/>
          </w:tcPr>
          <w:p w14:paraId="2360B3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粒径20~40cm</w:t>
            </w:r>
          </w:p>
        </w:tc>
      </w:tr>
      <w:tr w14:paraId="3102B7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85B45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63F1015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4E84A0D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7680711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C7B4D7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78A54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9F349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9BF50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176E415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CCCE49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4496" w:type="dxa"/>
            <w:tcBorders>
              <w:tl2br w:val="nil"/>
              <w:tr2bl w:val="nil"/>
            </w:tcBorders>
            <w:shd w:val="clear" w:color="auto" w:fill="auto"/>
            <w:noWrap/>
            <w:vAlign w:val="center"/>
          </w:tcPr>
          <w:p w14:paraId="1295677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5C5F76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ABA6C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66F9C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194A042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41A4EE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496" w:type="dxa"/>
            <w:tcBorders>
              <w:tl2br w:val="nil"/>
              <w:tr2bl w:val="nil"/>
            </w:tcBorders>
            <w:shd w:val="clear" w:color="auto" w:fill="auto"/>
            <w:noWrap/>
            <w:vAlign w:val="center"/>
          </w:tcPr>
          <w:p w14:paraId="54F58A6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F8F13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2CC6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9C9653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537B6F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469EF1D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4496" w:type="dxa"/>
            <w:tcBorders>
              <w:tl2br w:val="nil"/>
              <w:tr2bl w:val="nil"/>
            </w:tcBorders>
            <w:shd w:val="clear" w:color="auto" w:fill="auto"/>
            <w:noWrap/>
            <w:vAlign w:val="center"/>
          </w:tcPr>
          <w:p w14:paraId="33DB010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05AFC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CE597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393D4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1A156F5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4E4EF3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4496" w:type="dxa"/>
            <w:tcBorders>
              <w:tl2br w:val="nil"/>
              <w:tr2bl w:val="nil"/>
            </w:tcBorders>
            <w:shd w:val="clear" w:color="auto" w:fill="auto"/>
            <w:noWrap/>
            <w:vAlign w:val="center"/>
          </w:tcPr>
          <w:p w14:paraId="042ABC1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34187E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3AF8E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05873F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C25混凝土路面</w:t>
            </w:r>
          </w:p>
        </w:tc>
        <w:tc>
          <w:tcPr>
            <w:tcW w:w="690" w:type="dxa"/>
            <w:tcBorders>
              <w:tl2br w:val="nil"/>
              <w:tr2bl w:val="nil"/>
            </w:tcBorders>
            <w:shd w:val="clear" w:color="auto" w:fill="auto"/>
            <w:noWrap/>
            <w:vAlign w:val="center"/>
          </w:tcPr>
          <w:p w14:paraId="0847C9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50979F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4496" w:type="dxa"/>
            <w:tcBorders>
              <w:tl2br w:val="nil"/>
              <w:tr2bl w:val="nil"/>
            </w:tcBorders>
            <w:shd w:val="clear" w:color="auto" w:fill="auto"/>
            <w:noWrap/>
            <w:vAlign w:val="center"/>
          </w:tcPr>
          <w:p w14:paraId="18DDCB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57FEB3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088393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107FC9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78C8FE7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438025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4496" w:type="dxa"/>
            <w:tcBorders>
              <w:tl2br w:val="nil"/>
              <w:tr2bl w:val="nil"/>
            </w:tcBorders>
            <w:shd w:val="clear" w:color="auto" w:fill="auto"/>
            <w:noWrap/>
            <w:vAlign w:val="center"/>
          </w:tcPr>
          <w:p w14:paraId="3081C37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509568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6D6C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061E9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3411364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F00199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4496" w:type="dxa"/>
            <w:tcBorders>
              <w:tl2br w:val="nil"/>
              <w:tr2bl w:val="nil"/>
            </w:tcBorders>
            <w:shd w:val="clear" w:color="auto" w:fill="auto"/>
            <w:noWrap/>
            <w:vAlign w:val="center"/>
          </w:tcPr>
          <w:p w14:paraId="1089E9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60C180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4B49B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444A8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15095B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63E7D3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4496" w:type="dxa"/>
            <w:tcBorders>
              <w:tl2br w:val="nil"/>
              <w:tr2bl w:val="nil"/>
            </w:tcBorders>
            <w:shd w:val="clear" w:color="auto" w:fill="auto"/>
            <w:noWrap/>
            <w:vAlign w:val="center"/>
          </w:tcPr>
          <w:p w14:paraId="240C37C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511C6F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28DC7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80883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1B3498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9234CA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271</w:t>
            </w:r>
          </w:p>
        </w:tc>
        <w:tc>
          <w:tcPr>
            <w:tcW w:w="4496" w:type="dxa"/>
            <w:tcBorders>
              <w:tl2br w:val="nil"/>
              <w:tr2bl w:val="nil"/>
            </w:tcBorders>
            <w:shd w:val="clear" w:color="auto" w:fill="auto"/>
            <w:noWrap/>
            <w:vAlign w:val="center"/>
          </w:tcPr>
          <w:p w14:paraId="3BA3807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4D38B5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43AB2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BF0ACB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3B43BC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868849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w:t>
            </w:r>
          </w:p>
        </w:tc>
        <w:tc>
          <w:tcPr>
            <w:tcW w:w="4496" w:type="dxa"/>
            <w:tcBorders>
              <w:tl2br w:val="nil"/>
              <w:tr2bl w:val="nil"/>
            </w:tcBorders>
            <w:shd w:val="clear" w:color="auto" w:fill="auto"/>
            <w:noWrap/>
            <w:vAlign w:val="center"/>
          </w:tcPr>
          <w:p w14:paraId="7A3D6C7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4349C7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248D7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9E9DA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3452E24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5DBCF3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4496" w:type="dxa"/>
            <w:tcBorders>
              <w:tl2br w:val="nil"/>
              <w:tr2bl w:val="nil"/>
            </w:tcBorders>
            <w:shd w:val="clear" w:color="auto" w:fill="auto"/>
            <w:noWrap/>
            <w:vAlign w:val="center"/>
          </w:tcPr>
          <w:p w14:paraId="0D9F6B8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575414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2A72C6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08DEB8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60ABE2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F3651E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761</w:t>
            </w:r>
          </w:p>
        </w:tc>
        <w:tc>
          <w:tcPr>
            <w:tcW w:w="4496" w:type="dxa"/>
            <w:tcBorders>
              <w:tl2br w:val="nil"/>
              <w:tr2bl w:val="nil"/>
            </w:tcBorders>
            <w:shd w:val="clear" w:color="auto" w:fill="auto"/>
            <w:noWrap/>
            <w:vAlign w:val="center"/>
          </w:tcPr>
          <w:p w14:paraId="7E83797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32225F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7163A6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1DB02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0440151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022C3E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3806</w:t>
            </w:r>
          </w:p>
        </w:tc>
        <w:tc>
          <w:tcPr>
            <w:tcW w:w="4496" w:type="dxa"/>
            <w:tcBorders>
              <w:tl2br w:val="nil"/>
              <w:tr2bl w:val="nil"/>
            </w:tcBorders>
            <w:shd w:val="clear" w:color="auto" w:fill="auto"/>
            <w:noWrap/>
            <w:vAlign w:val="center"/>
          </w:tcPr>
          <w:p w14:paraId="1163C1E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FF394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D0229F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1F915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5165FEF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9E2DE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496" w:type="dxa"/>
            <w:tcBorders>
              <w:tl2br w:val="nil"/>
              <w:tr2bl w:val="nil"/>
            </w:tcBorders>
            <w:shd w:val="clear" w:color="auto" w:fill="auto"/>
            <w:noWrap/>
            <w:vAlign w:val="center"/>
          </w:tcPr>
          <w:p w14:paraId="5883C91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周边排水沟</w:t>
            </w:r>
          </w:p>
        </w:tc>
      </w:tr>
      <w:tr w14:paraId="6B309A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2C12D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97F7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4997CE7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D94CA4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1513</w:t>
            </w:r>
          </w:p>
        </w:tc>
        <w:tc>
          <w:tcPr>
            <w:tcW w:w="4496" w:type="dxa"/>
            <w:tcBorders>
              <w:tl2br w:val="nil"/>
              <w:tr2bl w:val="nil"/>
            </w:tcBorders>
            <w:shd w:val="clear" w:color="auto" w:fill="auto"/>
            <w:noWrap/>
            <w:vAlign w:val="center"/>
          </w:tcPr>
          <w:p w14:paraId="43DC049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0A2296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DE4D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2409F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47B7C9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B49A1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4496" w:type="dxa"/>
            <w:tcBorders>
              <w:tl2br w:val="nil"/>
              <w:tr2bl w:val="nil"/>
            </w:tcBorders>
            <w:shd w:val="clear" w:color="auto" w:fill="auto"/>
            <w:noWrap/>
            <w:vAlign w:val="center"/>
          </w:tcPr>
          <w:p w14:paraId="794B175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3C0ED7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B7A99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4C74BB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左岸近坝库岸防护</w:t>
            </w:r>
          </w:p>
        </w:tc>
        <w:tc>
          <w:tcPr>
            <w:tcW w:w="690" w:type="dxa"/>
            <w:tcBorders>
              <w:tl2br w:val="nil"/>
              <w:tr2bl w:val="nil"/>
            </w:tcBorders>
            <w:shd w:val="clear" w:color="auto" w:fill="auto"/>
            <w:noWrap/>
            <w:vAlign w:val="center"/>
          </w:tcPr>
          <w:p w14:paraId="7F08FD7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0345FC0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15B7F36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D5F49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7BEC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47612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215089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30623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4496" w:type="dxa"/>
            <w:tcBorders>
              <w:tl2br w:val="nil"/>
              <w:tr2bl w:val="nil"/>
            </w:tcBorders>
            <w:shd w:val="clear" w:color="auto" w:fill="auto"/>
            <w:noWrap/>
            <w:vAlign w:val="center"/>
          </w:tcPr>
          <w:p w14:paraId="6289846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7E4ACD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0A8DE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B16106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2547EBE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A6B17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35665E9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41D08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0AAFF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CC605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501811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3F88DC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31DFB0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642D2C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3851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2C421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26A65E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D1CC9B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4496" w:type="dxa"/>
            <w:tcBorders>
              <w:tl2br w:val="nil"/>
              <w:tr2bl w:val="nil"/>
            </w:tcBorders>
            <w:shd w:val="clear" w:color="auto" w:fill="auto"/>
            <w:noWrap/>
            <w:vAlign w:val="center"/>
          </w:tcPr>
          <w:p w14:paraId="7AA5FC1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304A85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1654D5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BDE427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18309EA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35E58C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4496" w:type="dxa"/>
            <w:tcBorders>
              <w:tl2br w:val="nil"/>
              <w:tr2bl w:val="nil"/>
            </w:tcBorders>
            <w:shd w:val="clear" w:color="auto" w:fill="auto"/>
            <w:noWrap/>
            <w:vAlign w:val="center"/>
          </w:tcPr>
          <w:p w14:paraId="4CC67F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厚13cm，C20，六边形预制块</w:t>
            </w:r>
          </w:p>
        </w:tc>
      </w:tr>
      <w:tr w14:paraId="60CC28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1560F2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0208B95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2AD49DC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164778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4AEEF4F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7039E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40E4D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83CD4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w:t>
            </w:r>
          </w:p>
        </w:tc>
        <w:tc>
          <w:tcPr>
            <w:tcW w:w="690" w:type="dxa"/>
            <w:tcBorders>
              <w:tl2br w:val="nil"/>
              <w:tr2bl w:val="nil"/>
            </w:tcBorders>
            <w:shd w:val="clear" w:color="auto" w:fill="auto"/>
            <w:noWrap/>
            <w:vAlign w:val="center"/>
          </w:tcPr>
          <w:p w14:paraId="03C0B6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30F9CD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2340</w:t>
            </w:r>
          </w:p>
        </w:tc>
        <w:tc>
          <w:tcPr>
            <w:tcW w:w="4496" w:type="dxa"/>
            <w:tcBorders>
              <w:tl2br w:val="nil"/>
              <w:tr2bl w:val="nil"/>
            </w:tcBorders>
            <w:shd w:val="clear" w:color="auto" w:fill="auto"/>
            <w:noWrap/>
            <w:vAlign w:val="center"/>
          </w:tcPr>
          <w:p w14:paraId="50C1904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间距10m，</w:t>
            </w:r>
            <w:r>
              <w:rPr>
                <w:rStyle w:val="91"/>
                <w:rFonts w:hint="default" w:ascii="Times New Roman" w:hAnsi="Times New Roman" w:eastAsia="宋体" w:cs="Times New Roman"/>
                <w:sz w:val="21"/>
                <w:szCs w:val="21"/>
                <w:lang w:val="en-US" w:eastAsia="zh-CN" w:bidi="ar"/>
              </w:rPr>
              <w:t>梅花形布置</w:t>
            </w:r>
          </w:p>
        </w:tc>
      </w:tr>
      <w:tr w14:paraId="540583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1ADD6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835A1F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w:t>
            </w:r>
          </w:p>
        </w:tc>
        <w:tc>
          <w:tcPr>
            <w:tcW w:w="690" w:type="dxa"/>
            <w:tcBorders>
              <w:tl2br w:val="nil"/>
              <w:tr2bl w:val="nil"/>
            </w:tcBorders>
            <w:shd w:val="clear" w:color="auto" w:fill="auto"/>
            <w:noWrap/>
            <w:vAlign w:val="center"/>
          </w:tcPr>
          <w:p w14:paraId="66654C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15C55D1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1404</w:t>
            </w:r>
          </w:p>
        </w:tc>
        <w:tc>
          <w:tcPr>
            <w:tcW w:w="4496" w:type="dxa"/>
            <w:tcBorders>
              <w:tl2br w:val="nil"/>
              <w:tr2bl w:val="nil"/>
            </w:tcBorders>
            <w:shd w:val="clear" w:color="auto" w:fill="auto"/>
            <w:noWrap/>
            <w:vAlign w:val="center"/>
          </w:tcPr>
          <w:p w14:paraId="295E5AC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CC341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22BD3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FD40D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w:t>
            </w:r>
          </w:p>
        </w:tc>
        <w:tc>
          <w:tcPr>
            <w:tcW w:w="690" w:type="dxa"/>
            <w:tcBorders>
              <w:tl2br w:val="nil"/>
              <w:tr2bl w:val="nil"/>
            </w:tcBorders>
            <w:shd w:val="clear" w:color="auto" w:fill="auto"/>
            <w:noWrap/>
            <w:vAlign w:val="center"/>
          </w:tcPr>
          <w:p w14:paraId="04AA9E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448F8E4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96" w:type="dxa"/>
            <w:tcBorders>
              <w:tl2br w:val="nil"/>
              <w:tr2bl w:val="nil"/>
            </w:tcBorders>
            <w:shd w:val="clear" w:color="auto" w:fill="auto"/>
            <w:noWrap/>
            <w:vAlign w:val="center"/>
          </w:tcPr>
          <w:p w14:paraId="763EDA5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6936B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9AC918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0B5076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w:t>
            </w:r>
          </w:p>
        </w:tc>
        <w:tc>
          <w:tcPr>
            <w:tcW w:w="690" w:type="dxa"/>
            <w:tcBorders>
              <w:tl2br w:val="nil"/>
              <w:tr2bl w:val="nil"/>
            </w:tcBorders>
            <w:shd w:val="clear" w:color="auto" w:fill="auto"/>
            <w:noWrap/>
            <w:vAlign w:val="center"/>
          </w:tcPr>
          <w:p w14:paraId="04A36D5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FAE7B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232</w:t>
            </w:r>
          </w:p>
        </w:tc>
        <w:tc>
          <w:tcPr>
            <w:tcW w:w="4496" w:type="dxa"/>
            <w:tcBorders>
              <w:tl2br w:val="nil"/>
              <w:tr2bl w:val="nil"/>
            </w:tcBorders>
            <w:shd w:val="clear" w:color="auto" w:fill="auto"/>
            <w:noWrap/>
            <w:vAlign w:val="center"/>
          </w:tcPr>
          <w:p w14:paraId="1B98A74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2D4E4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1F07F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D5854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w:t>
            </w:r>
          </w:p>
        </w:tc>
        <w:tc>
          <w:tcPr>
            <w:tcW w:w="690" w:type="dxa"/>
            <w:tcBorders>
              <w:tl2br w:val="nil"/>
              <w:tr2bl w:val="nil"/>
            </w:tcBorders>
            <w:shd w:val="clear" w:color="auto" w:fill="auto"/>
            <w:noWrap/>
            <w:vAlign w:val="center"/>
          </w:tcPr>
          <w:p w14:paraId="506142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0F8645D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496" w:type="dxa"/>
            <w:tcBorders>
              <w:tl2br w:val="nil"/>
              <w:tr2bl w:val="nil"/>
            </w:tcBorders>
            <w:shd w:val="clear" w:color="auto" w:fill="auto"/>
            <w:noWrap/>
            <w:vAlign w:val="center"/>
          </w:tcPr>
          <w:p w14:paraId="42767FD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837FD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AAE41F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四</w:t>
            </w:r>
          </w:p>
        </w:tc>
        <w:tc>
          <w:tcPr>
            <w:tcW w:w="2360" w:type="dxa"/>
            <w:tcBorders>
              <w:tl2br w:val="nil"/>
              <w:tr2bl w:val="nil"/>
            </w:tcBorders>
            <w:shd w:val="clear" w:color="auto" w:fill="auto"/>
            <w:noWrap/>
            <w:vAlign w:val="center"/>
          </w:tcPr>
          <w:p w14:paraId="0311C8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3副坝加固</w:t>
            </w:r>
          </w:p>
        </w:tc>
        <w:tc>
          <w:tcPr>
            <w:tcW w:w="690" w:type="dxa"/>
            <w:tcBorders>
              <w:tl2br w:val="nil"/>
              <w:tr2bl w:val="nil"/>
            </w:tcBorders>
            <w:shd w:val="clear" w:color="auto" w:fill="auto"/>
            <w:noWrap/>
            <w:vAlign w:val="center"/>
          </w:tcPr>
          <w:p w14:paraId="724D984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CFE6AD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1B03D3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DC41F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51C4D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46DD41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0435021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30D07F4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9D9E09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766C6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C7781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40E9B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6713B9B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6CBB1A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307461C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23FDD4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084B9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EB13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179F07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37EEB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59707F6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7FCD45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D435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BDB2C7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格宾石笼挡墙</w:t>
            </w:r>
          </w:p>
        </w:tc>
        <w:tc>
          <w:tcPr>
            <w:tcW w:w="690" w:type="dxa"/>
            <w:tcBorders>
              <w:tl2br w:val="nil"/>
              <w:tr2bl w:val="nil"/>
            </w:tcBorders>
            <w:shd w:val="clear" w:color="auto" w:fill="auto"/>
            <w:noWrap/>
            <w:vAlign w:val="center"/>
          </w:tcPr>
          <w:p w14:paraId="472D46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E96866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2835</w:t>
            </w:r>
          </w:p>
        </w:tc>
        <w:tc>
          <w:tcPr>
            <w:tcW w:w="4496" w:type="dxa"/>
            <w:tcBorders>
              <w:tl2br w:val="nil"/>
              <w:tr2bl w:val="nil"/>
            </w:tcBorders>
            <w:shd w:val="clear" w:color="auto" w:fill="auto"/>
            <w:noWrap/>
            <w:vAlign w:val="center"/>
          </w:tcPr>
          <w:p w14:paraId="696A17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块石粒径10~40cm，</w:t>
            </w:r>
            <w:r>
              <w:rPr>
                <w:rStyle w:val="91"/>
                <w:rFonts w:hint="default" w:ascii="Times New Roman" w:hAnsi="Times New Roman" w:eastAsia="宋体" w:cs="Times New Roman"/>
                <w:sz w:val="21"/>
                <w:szCs w:val="21"/>
                <w:lang w:val="en-US" w:eastAsia="zh-CN" w:bidi="ar"/>
              </w:rPr>
              <w:t>格宾钢筋笼含格宾钢丝网7.5m/m³及钢筋11kg/m³</w:t>
            </w:r>
          </w:p>
        </w:tc>
      </w:tr>
      <w:tr w14:paraId="5A1041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4516CD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7B67D35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49D3A26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7236D9C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DFA731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9F9B6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96FB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8418DB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4BAB20A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CA9DDD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5119</w:t>
            </w:r>
          </w:p>
        </w:tc>
        <w:tc>
          <w:tcPr>
            <w:tcW w:w="4496" w:type="dxa"/>
            <w:tcBorders>
              <w:tl2br w:val="nil"/>
              <w:tr2bl w:val="nil"/>
            </w:tcBorders>
            <w:shd w:val="clear" w:color="auto" w:fill="auto"/>
            <w:noWrap/>
            <w:vAlign w:val="center"/>
          </w:tcPr>
          <w:p w14:paraId="5E63FAE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2BB798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D4359A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23F74C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219DA1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A920E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12338</w:t>
            </w:r>
          </w:p>
        </w:tc>
        <w:tc>
          <w:tcPr>
            <w:tcW w:w="4496" w:type="dxa"/>
            <w:tcBorders>
              <w:tl2br w:val="nil"/>
              <w:tr2bl w:val="nil"/>
            </w:tcBorders>
            <w:shd w:val="clear" w:color="auto" w:fill="auto"/>
            <w:noWrap/>
            <w:vAlign w:val="center"/>
          </w:tcPr>
          <w:p w14:paraId="6832153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587338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1D8D8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07010A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60A416D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3510D4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604</w:t>
            </w:r>
          </w:p>
        </w:tc>
        <w:tc>
          <w:tcPr>
            <w:tcW w:w="4496" w:type="dxa"/>
            <w:tcBorders>
              <w:tl2br w:val="nil"/>
              <w:tr2bl w:val="nil"/>
            </w:tcBorders>
            <w:shd w:val="clear" w:color="auto" w:fill="auto"/>
            <w:noWrap/>
            <w:vAlign w:val="center"/>
          </w:tcPr>
          <w:p w14:paraId="6F40A9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329106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8E80E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03F8078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5A05FB5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12FE3D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6F5B8F3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67601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92AA3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4FD80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3A70B8E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10FD43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4496" w:type="dxa"/>
            <w:tcBorders>
              <w:tl2br w:val="nil"/>
              <w:tr2bl w:val="nil"/>
            </w:tcBorders>
            <w:shd w:val="clear" w:color="auto" w:fill="auto"/>
            <w:noWrap/>
            <w:vAlign w:val="center"/>
          </w:tcPr>
          <w:p w14:paraId="5E35450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551454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3343B6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FFBE7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52E0B5A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6F8906F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4496" w:type="dxa"/>
            <w:tcBorders>
              <w:tl2br w:val="nil"/>
              <w:tr2bl w:val="nil"/>
            </w:tcBorders>
            <w:shd w:val="clear" w:color="auto" w:fill="auto"/>
            <w:noWrap/>
            <w:vAlign w:val="center"/>
          </w:tcPr>
          <w:p w14:paraId="444CCE9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621DB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8AC6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DC605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00B2E3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224766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4496" w:type="dxa"/>
            <w:tcBorders>
              <w:tl2br w:val="nil"/>
              <w:tr2bl w:val="nil"/>
            </w:tcBorders>
            <w:shd w:val="clear" w:color="auto" w:fill="auto"/>
            <w:noWrap/>
            <w:vAlign w:val="center"/>
          </w:tcPr>
          <w:p w14:paraId="7E4B6D1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2AAE7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39B1E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1527A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3DEB452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6CC23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4496" w:type="dxa"/>
            <w:tcBorders>
              <w:tl2br w:val="nil"/>
              <w:tr2bl w:val="nil"/>
            </w:tcBorders>
            <w:shd w:val="clear" w:color="auto" w:fill="auto"/>
            <w:noWrap/>
            <w:vAlign w:val="center"/>
          </w:tcPr>
          <w:p w14:paraId="465B8ED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F4DF7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9D70E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4BB60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C25混凝土路面</w:t>
            </w:r>
          </w:p>
        </w:tc>
        <w:tc>
          <w:tcPr>
            <w:tcW w:w="690" w:type="dxa"/>
            <w:tcBorders>
              <w:tl2br w:val="nil"/>
              <w:tr2bl w:val="nil"/>
            </w:tcBorders>
            <w:shd w:val="clear" w:color="auto" w:fill="auto"/>
            <w:noWrap/>
            <w:vAlign w:val="center"/>
          </w:tcPr>
          <w:p w14:paraId="1DFCF6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53D1D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4496" w:type="dxa"/>
            <w:tcBorders>
              <w:tl2br w:val="nil"/>
              <w:tr2bl w:val="nil"/>
            </w:tcBorders>
            <w:shd w:val="clear" w:color="auto" w:fill="auto"/>
            <w:noWrap/>
            <w:vAlign w:val="center"/>
          </w:tcPr>
          <w:p w14:paraId="6FB3E7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6FE61B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C9DB7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CEBB9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2F1FEFA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5254D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4496" w:type="dxa"/>
            <w:tcBorders>
              <w:tl2br w:val="nil"/>
              <w:tr2bl w:val="nil"/>
            </w:tcBorders>
            <w:shd w:val="clear" w:color="auto" w:fill="auto"/>
            <w:noWrap/>
            <w:vAlign w:val="center"/>
          </w:tcPr>
          <w:p w14:paraId="64FC0F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72C348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DE6D6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A53493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0C6BA5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C89FEE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4496" w:type="dxa"/>
            <w:tcBorders>
              <w:tl2br w:val="nil"/>
              <w:tr2bl w:val="nil"/>
            </w:tcBorders>
            <w:shd w:val="clear" w:color="auto" w:fill="auto"/>
            <w:noWrap/>
            <w:vAlign w:val="center"/>
          </w:tcPr>
          <w:p w14:paraId="22FD29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590D32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438FF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C4528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70F2C08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21799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4496" w:type="dxa"/>
            <w:tcBorders>
              <w:tl2br w:val="nil"/>
              <w:tr2bl w:val="nil"/>
            </w:tcBorders>
            <w:shd w:val="clear" w:color="auto" w:fill="auto"/>
            <w:noWrap/>
            <w:vAlign w:val="center"/>
          </w:tcPr>
          <w:p w14:paraId="1A33EE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0D4F60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346D8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0F4CF9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1AD93FE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9C322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4496" w:type="dxa"/>
            <w:tcBorders>
              <w:tl2br w:val="nil"/>
              <w:tr2bl w:val="nil"/>
            </w:tcBorders>
            <w:shd w:val="clear" w:color="auto" w:fill="auto"/>
            <w:noWrap/>
            <w:vAlign w:val="center"/>
          </w:tcPr>
          <w:p w14:paraId="34CFC8D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45A1BC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E6EE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7E93AB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3BB5BC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C1736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4496" w:type="dxa"/>
            <w:tcBorders>
              <w:tl2br w:val="nil"/>
              <w:tr2bl w:val="nil"/>
            </w:tcBorders>
            <w:shd w:val="clear" w:color="auto" w:fill="auto"/>
            <w:noWrap/>
            <w:vAlign w:val="center"/>
          </w:tcPr>
          <w:p w14:paraId="6642A7A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0A8D72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26BDC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C0F4E7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66B16DF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62677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4496" w:type="dxa"/>
            <w:tcBorders>
              <w:tl2br w:val="nil"/>
              <w:tr2bl w:val="nil"/>
            </w:tcBorders>
            <w:shd w:val="clear" w:color="auto" w:fill="auto"/>
            <w:noWrap/>
            <w:vAlign w:val="center"/>
          </w:tcPr>
          <w:p w14:paraId="310007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783DA2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84A78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546D13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67E4F42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78866A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630</w:t>
            </w:r>
          </w:p>
        </w:tc>
        <w:tc>
          <w:tcPr>
            <w:tcW w:w="4496" w:type="dxa"/>
            <w:tcBorders>
              <w:tl2br w:val="nil"/>
              <w:tr2bl w:val="nil"/>
            </w:tcBorders>
            <w:shd w:val="clear" w:color="auto" w:fill="auto"/>
            <w:noWrap/>
            <w:vAlign w:val="center"/>
          </w:tcPr>
          <w:p w14:paraId="4CA7D47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16DE2E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A0974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D7FB4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4C681AA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3FA792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3150</w:t>
            </w:r>
          </w:p>
        </w:tc>
        <w:tc>
          <w:tcPr>
            <w:tcW w:w="4496" w:type="dxa"/>
            <w:tcBorders>
              <w:tl2br w:val="nil"/>
              <w:tr2bl w:val="nil"/>
            </w:tcBorders>
            <w:shd w:val="clear" w:color="auto" w:fill="auto"/>
            <w:noWrap/>
            <w:vAlign w:val="center"/>
          </w:tcPr>
          <w:p w14:paraId="4227709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687D6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BE31B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671F5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69DB64C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5BF22A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496" w:type="dxa"/>
            <w:tcBorders>
              <w:tl2br w:val="nil"/>
              <w:tr2bl w:val="nil"/>
            </w:tcBorders>
            <w:shd w:val="clear" w:color="auto" w:fill="auto"/>
            <w:noWrap/>
            <w:vAlign w:val="center"/>
          </w:tcPr>
          <w:p w14:paraId="4F6E9B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周边排水沟</w:t>
            </w:r>
          </w:p>
        </w:tc>
      </w:tr>
      <w:tr w14:paraId="295F9B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6BB93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8A45A4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29527CD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C2DDCD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96" w:type="dxa"/>
            <w:tcBorders>
              <w:tl2br w:val="nil"/>
              <w:tr2bl w:val="nil"/>
            </w:tcBorders>
            <w:shd w:val="clear" w:color="auto" w:fill="auto"/>
            <w:noWrap/>
            <w:vAlign w:val="center"/>
          </w:tcPr>
          <w:p w14:paraId="33B521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561BF3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C454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24C3C8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121B7CD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3289D7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4496" w:type="dxa"/>
            <w:tcBorders>
              <w:tl2br w:val="nil"/>
              <w:tr2bl w:val="nil"/>
            </w:tcBorders>
            <w:shd w:val="clear" w:color="auto" w:fill="auto"/>
            <w:noWrap/>
            <w:vAlign w:val="center"/>
          </w:tcPr>
          <w:p w14:paraId="47C0941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08087C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F86110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02FC9E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右岸近坝库岸防护</w:t>
            </w:r>
          </w:p>
        </w:tc>
        <w:tc>
          <w:tcPr>
            <w:tcW w:w="690" w:type="dxa"/>
            <w:tcBorders>
              <w:tl2br w:val="nil"/>
              <w:tr2bl w:val="nil"/>
            </w:tcBorders>
            <w:shd w:val="clear" w:color="auto" w:fill="auto"/>
            <w:noWrap/>
            <w:vAlign w:val="center"/>
          </w:tcPr>
          <w:p w14:paraId="626FF42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6B6BBDA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90FBA6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105F9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7C5E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3F1A0F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7D56FA1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3686E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4496" w:type="dxa"/>
            <w:tcBorders>
              <w:tl2br w:val="nil"/>
              <w:tr2bl w:val="nil"/>
            </w:tcBorders>
            <w:shd w:val="clear" w:color="auto" w:fill="auto"/>
            <w:noWrap/>
            <w:vAlign w:val="center"/>
          </w:tcPr>
          <w:p w14:paraId="506F77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5BC5FA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6C5D7E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FE9CE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077DD3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0AC60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6F34BF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2E4591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5EE19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89BA41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439F23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E525A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2259832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22709F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779F5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DDF9A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381389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C6EAD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4496" w:type="dxa"/>
            <w:tcBorders>
              <w:tl2br w:val="nil"/>
              <w:tr2bl w:val="nil"/>
            </w:tcBorders>
            <w:shd w:val="clear" w:color="auto" w:fill="auto"/>
            <w:noWrap/>
            <w:vAlign w:val="center"/>
          </w:tcPr>
          <w:p w14:paraId="03A1D15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4DB65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A2B13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5D3E2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7006097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59E240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4496" w:type="dxa"/>
            <w:tcBorders>
              <w:tl2br w:val="nil"/>
              <w:tr2bl w:val="nil"/>
            </w:tcBorders>
            <w:shd w:val="clear" w:color="auto" w:fill="auto"/>
            <w:noWrap/>
            <w:vAlign w:val="center"/>
          </w:tcPr>
          <w:p w14:paraId="62B8BFB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厚13cm，C20，六边形预制块</w:t>
            </w:r>
          </w:p>
        </w:tc>
      </w:tr>
      <w:tr w14:paraId="684A72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49E855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15CDA17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5AE0966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0C968EB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73996B6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B462F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FFAD9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9FFC98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w:t>
            </w:r>
          </w:p>
        </w:tc>
        <w:tc>
          <w:tcPr>
            <w:tcW w:w="690" w:type="dxa"/>
            <w:tcBorders>
              <w:tl2br w:val="nil"/>
              <w:tr2bl w:val="nil"/>
            </w:tcBorders>
            <w:shd w:val="clear" w:color="auto" w:fill="auto"/>
            <w:noWrap/>
            <w:vAlign w:val="center"/>
          </w:tcPr>
          <w:p w14:paraId="5C506B6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B4C0A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4496" w:type="dxa"/>
            <w:tcBorders>
              <w:tl2br w:val="nil"/>
              <w:tr2bl w:val="nil"/>
            </w:tcBorders>
            <w:shd w:val="clear" w:color="auto" w:fill="auto"/>
            <w:noWrap/>
            <w:vAlign w:val="center"/>
          </w:tcPr>
          <w:p w14:paraId="3C739F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间距10m，</w:t>
            </w:r>
            <w:r>
              <w:rPr>
                <w:rStyle w:val="91"/>
                <w:rFonts w:hint="default" w:ascii="Times New Roman" w:hAnsi="Times New Roman" w:eastAsia="宋体" w:cs="Times New Roman"/>
                <w:sz w:val="21"/>
                <w:szCs w:val="21"/>
                <w:lang w:val="en-US" w:eastAsia="zh-CN" w:bidi="ar"/>
              </w:rPr>
              <w:t>梅花形布置</w:t>
            </w:r>
          </w:p>
        </w:tc>
      </w:tr>
      <w:tr w14:paraId="156051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25561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0490B4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w:t>
            </w:r>
          </w:p>
        </w:tc>
        <w:tc>
          <w:tcPr>
            <w:tcW w:w="690" w:type="dxa"/>
            <w:tcBorders>
              <w:tl2br w:val="nil"/>
              <w:tr2bl w:val="nil"/>
            </w:tcBorders>
            <w:shd w:val="clear" w:color="auto" w:fill="auto"/>
            <w:noWrap/>
            <w:vAlign w:val="center"/>
          </w:tcPr>
          <w:p w14:paraId="6057951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85A1D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1260</w:t>
            </w:r>
          </w:p>
        </w:tc>
        <w:tc>
          <w:tcPr>
            <w:tcW w:w="4496" w:type="dxa"/>
            <w:tcBorders>
              <w:tl2br w:val="nil"/>
              <w:tr2bl w:val="nil"/>
            </w:tcBorders>
            <w:shd w:val="clear" w:color="auto" w:fill="auto"/>
            <w:noWrap/>
            <w:vAlign w:val="center"/>
          </w:tcPr>
          <w:p w14:paraId="49CAD76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66459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EC764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501645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w:t>
            </w:r>
          </w:p>
        </w:tc>
        <w:tc>
          <w:tcPr>
            <w:tcW w:w="690" w:type="dxa"/>
            <w:tcBorders>
              <w:tl2br w:val="nil"/>
              <w:tr2bl w:val="nil"/>
            </w:tcBorders>
            <w:shd w:val="clear" w:color="auto" w:fill="auto"/>
            <w:noWrap/>
            <w:vAlign w:val="center"/>
          </w:tcPr>
          <w:p w14:paraId="79D4C7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192E847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96" w:type="dxa"/>
            <w:tcBorders>
              <w:tl2br w:val="nil"/>
              <w:tr2bl w:val="nil"/>
            </w:tcBorders>
            <w:shd w:val="clear" w:color="auto" w:fill="auto"/>
            <w:noWrap/>
            <w:vAlign w:val="center"/>
          </w:tcPr>
          <w:p w14:paraId="642A667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96021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310E5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9815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w:t>
            </w:r>
          </w:p>
        </w:tc>
        <w:tc>
          <w:tcPr>
            <w:tcW w:w="690" w:type="dxa"/>
            <w:tcBorders>
              <w:tl2br w:val="nil"/>
              <w:tr2bl w:val="nil"/>
            </w:tcBorders>
            <w:shd w:val="clear" w:color="auto" w:fill="auto"/>
            <w:noWrap/>
            <w:vAlign w:val="center"/>
          </w:tcPr>
          <w:p w14:paraId="57A67A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7AC0E80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4496" w:type="dxa"/>
            <w:tcBorders>
              <w:tl2br w:val="nil"/>
              <w:tr2bl w:val="nil"/>
            </w:tcBorders>
            <w:shd w:val="clear" w:color="auto" w:fill="auto"/>
            <w:noWrap/>
            <w:vAlign w:val="center"/>
          </w:tcPr>
          <w:p w14:paraId="193EB3E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B0CBB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823D8B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9D2E9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w:t>
            </w:r>
          </w:p>
        </w:tc>
        <w:tc>
          <w:tcPr>
            <w:tcW w:w="690" w:type="dxa"/>
            <w:tcBorders>
              <w:tl2br w:val="nil"/>
              <w:tr2bl w:val="nil"/>
            </w:tcBorders>
            <w:shd w:val="clear" w:color="auto" w:fill="auto"/>
            <w:noWrap/>
            <w:vAlign w:val="center"/>
          </w:tcPr>
          <w:p w14:paraId="4B088E9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001635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496" w:type="dxa"/>
            <w:tcBorders>
              <w:tl2br w:val="nil"/>
              <w:tr2bl w:val="nil"/>
            </w:tcBorders>
            <w:shd w:val="clear" w:color="auto" w:fill="auto"/>
            <w:noWrap/>
            <w:vAlign w:val="center"/>
          </w:tcPr>
          <w:p w14:paraId="0F47F44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0DD55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02A4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五</w:t>
            </w:r>
          </w:p>
        </w:tc>
        <w:tc>
          <w:tcPr>
            <w:tcW w:w="2360" w:type="dxa"/>
            <w:tcBorders>
              <w:tl2br w:val="nil"/>
              <w:tr2bl w:val="nil"/>
            </w:tcBorders>
            <w:shd w:val="clear" w:color="auto" w:fill="auto"/>
            <w:noWrap/>
            <w:vAlign w:val="center"/>
          </w:tcPr>
          <w:p w14:paraId="27E366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4副坝加固</w:t>
            </w:r>
          </w:p>
        </w:tc>
        <w:tc>
          <w:tcPr>
            <w:tcW w:w="690" w:type="dxa"/>
            <w:tcBorders>
              <w:tl2br w:val="nil"/>
              <w:tr2bl w:val="nil"/>
            </w:tcBorders>
            <w:shd w:val="clear" w:color="auto" w:fill="auto"/>
            <w:noWrap/>
            <w:vAlign w:val="center"/>
          </w:tcPr>
          <w:p w14:paraId="595C3CD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4751B0E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997DB9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C15B9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C858E2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5781D6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5C3FC14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51FA583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8F80E8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EC554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CBD96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7F764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23CBB1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7FBF412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4496" w:type="dxa"/>
            <w:tcBorders>
              <w:tl2br w:val="nil"/>
              <w:tr2bl w:val="nil"/>
            </w:tcBorders>
            <w:shd w:val="clear" w:color="auto" w:fill="auto"/>
            <w:noWrap/>
            <w:vAlign w:val="center"/>
          </w:tcPr>
          <w:p w14:paraId="5B37EC9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793798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508B0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4F848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0D6D11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AD9462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4496" w:type="dxa"/>
            <w:tcBorders>
              <w:tl2br w:val="nil"/>
              <w:tr2bl w:val="nil"/>
            </w:tcBorders>
            <w:shd w:val="clear" w:color="auto" w:fill="auto"/>
            <w:noWrap/>
            <w:vAlign w:val="center"/>
          </w:tcPr>
          <w:p w14:paraId="063208D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652E28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26955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01811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格宾石笼挡墙</w:t>
            </w:r>
          </w:p>
        </w:tc>
        <w:tc>
          <w:tcPr>
            <w:tcW w:w="690" w:type="dxa"/>
            <w:tcBorders>
              <w:tl2br w:val="nil"/>
              <w:tr2bl w:val="nil"/>
            </w:tcBorders>
            <w:shd w:val="clear" w:color="auto" w:fill="auto"/>
            <w:noWrap/>
            <w:vAlign w:val="center"/>
          </w:tcPr>
          <w:p w14:paraId="100BB3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A53104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2184</w:t>
            </w:r>
          </w:p>
        </w:tc>
        <w:tc>
          <w:tcPr>
            <w:tcW w:w="4496" w:type="dxa"/>
            <w:tcBorders>
              <w:tl2br w:val="nil"/>
              <w:tr2bl w:val="nil"/>
            </w:tcBorders>
            <w:shd w:val="clear" w:color="auto" w:fill="auto"/>
            <w:noWrap/>
            <w:vAlign w:val="center"/>
          </w:tcPr>
          <w:p w14:paraId="6765A58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块石粒径10~40cm，</w:t>
            </w:r>
            <w:r>
              <w:rPr>
                <w:rStyle w:val="91"/>
                <w:rFonts w:hint="default" w:ascii="Times New Roman" w:hAnsi="Times New Roman" w:eastAsia="宋体" w:cs="Times New Roman"/>
                <w:sz w:val="21"/>
                <w:szCs w:val="21"/>
                <w:lang w:val="en-US" w:eastAsia="zh-CN" w:bidi="ar"/>
              </w:rPr>
              <w:t>格宾钢筋笼含格宾钢丝网7.5m²/m³及钢筋11kg/m³</w:t>
            </w:r>
          </w:p>
        </w:tc>
      </w:tr>
      <w:tr w14:paraId="553643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0517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0143EF6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2A56BD1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73A796F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36C932E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70E78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24F8EA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BF9F9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29C19CB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994377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4095</w:t>
            </w:r>
          </w:p>
        </w:tc>
        <w:tc>
          <w:tcPr>
            <w:tcW w:w="4496" w:type="dxa"/>
            <w:tcBorders>
              <w:tl2br w:val="nil"/>
              <w:tr2bl w:val="nil"/>
            </w:tcBorders>
            <w:shd w:val="clear" w:color="auto" w:fill="auto"/>
            <w:noWrap/>
            <w:vAlign w:val="center"/>
          </w:tcPr>
          <w:p w14:paraId="2D0E72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475DB0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F3C86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DB768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混凝土路面拆除</w:t>
            </w:r>
          </w:p>
        </w:tc>
        <w:tc>
          <w:tcPr>
            <w:tcW w:w="690" w:type="dxa"/>
            <w:tcBorders>
              <w:tl2br w:val="nil"/>
              <w:tr2bl w:val="nil"/>
            </w:tcBorders>
            <w:shd w:val="clear" w:color="auto" w:fill="auto"/>
            <w:noWrap/>
            <w:vAlign w:val="center"/>
          </w:tcPr>
          <w:p w14:paraId="1B75CA0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E4124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4496" w:type="dxa"/>
            <w:tcBorders>
              <w:tl2br w:val="nil"/>
              <w:tr2bl w:val="nil"/>
            </w:tcBorders>
            <w:shd w:val="clear" w:color="auto" w:fill="auto"/>
            <w:noWrap/>
            <w:vAlign w:val="center"/>
          </w:tcPr>
          <w:p w14:paraId="4B916F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厚度20cm</w:t>
            </w:r>
          </w:p>
        </w:tc>
      </w:tr>
      <w:tr w14:paraId="6A3CFC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4578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7D25F9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1108F8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246CD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9009</w:t>
            </w:r>
          </w:p>
        </w:tc>
        <w:tc>
          <w:tcPr>
            <w:tcW w:w="4496" w:type="dxa"/>
            <w:tcBorders>
              <w:tl2br w:val="nil"/>
              <w:tr2bl w:val="nil"/>
            </w:tcBorders>
            <w:shd w:val="clear" w:color="auto" w:fill="auto"/>
            <w:noWrap/>
            <w:vAlign w:val="center"/>
          </w:tcPr>
          <w:p w14:paraId="29EB48E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47AB67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8315D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1CFF6A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10CC194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FD7710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491</w:t>
            </w:r>
          </w:p>
        </w:tc>
        <w:tc>
          <w:tcPr>
            <w:tcW w:w="4496" w:type="dxa"/>
            <w:tcBorders>
              <w:tl2br w:val="nil"/>
              <w:tr2bl w:val="nil"/>
            </w:tcBorders>
            <w:shd w:val="clear" w:color="auto" w:fill="auto"/>
            <w:noWrap/>
            <w:vAlign w:val="center"/>
          </w:tcPr>
          <w:p w14:paraId="5D3DB66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6102AC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29188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6602EFD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59C9A96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5572E4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38B6A0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AC33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5C0D2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68F1C6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7CFAEE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A1F332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287</w:t>
            </w:r>
          </w:p>
        </w:tc>
        <w:tc>
          <w:tcPr>
            <w:tcW w:w="4496" w:type="dxa"/>
            <w:tcBorders>
              <w:tl2br w:val="nil"/>
              <w:tr2bl w:val="nil"/>
            </w:tcBorders>
            <w:shd w:val="clear" w:color="auto" w:fill="auto"/>
            <w:noWrap/>
            <w:vAlign w:val="center"/>
          </w:tcPr>
          <w:p w14:paraId="1FDE499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05065C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8C2BD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3FE333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3D5D3C1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705CCD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4496" w:type="dxa"/>
            <w:tcBorders>
              <w:tl2br w:val="nil"/>
              <w:tr2bl w:val="nil"/>
            </w:tcBorders>
            <w:shd w:val="clear" w:color="auto" w:fill="auto"/>
            <w:noWrap/>
            <w:vAlign w:val="center"/>
          </w:tcPr>
          <w:p w14:paraId="33EA087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753D9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6FB75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9D46D4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176E252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DBD8EC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4496" w:type="dxa"/>
            <w:tcBorders>
              <w:tl2br w:val="nil"/>
              <w:tr2bl w:val="nil"/>
            </w:tcBorders>
            <w:shd w:val="clear" w:color="auto" w:fill="auto"/>
            <w:noWrap/>
            <w:vAlign w:val="center"/>
          </w:tcPr>
          <w:p w14:paraId="65A80EE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2F11B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27F8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79EDEE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6BC065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5337A8D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4496" w:type="dxa"/>
            <w:tcBorders>
              <w:tl2br w:val="nil"/>
              <w:tr2bl w:val="nil"/>
            </w:tcBorders>
            <w:shd w:val="clear" w:color="auto" w:fill="auto"/>
            <w:noWrap/>
            <w:vAlign w:val="center"/>
          </w:tcPr>
          <w:p w14:paraId="67DAE8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18615B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721EB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DACA6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C25混凝土路面</w:t>
            </w:r>
          </w:p>
        </w:tc>
        <w:tc>
          <w:tcPr>
            <w:tcW w:w="690" w:type="dxa"/>
            <w:tcBorders>
              <w:tl2br w:val="nil"/>
              <w:tr2bl w:val="nil"/>
            </w:tcBorders>
            <w:shd w:val="clear" w:color="auto" w:fill="auto"/>
            <w:noWrap/>
            <w:vAlign w:val="center"/>
          </w:tcPr>
          <w:p w14:paraId="25564A0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539E9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4496" w:type="dxa"/>
            <w:tcBorders>
              <w:tl2br w:val="nil"/>
              <w:tr2bl w:val="nil"/>
            </w:tcBorders>
            <w:shd w:val="clear" w:color="auto" w:fill="auto"/>
            <w:noWrap/>
            <w:vAlign w:val="center"/>
          </w:tcPr>
          <w:p w14:paraId="0514BE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556755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E6B45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E1318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1DFBF39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8CFA45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4496" w:type="dxa"/>
            <w:tcBorders>
              <w:tl2br w:val="nil"/>
              <w:tr2bl w:val="nil"/>
            </w:tcBorders>
            <w:shd w:val="clear" w:color="auto" w:fill="auto"/>
            <w:noWrap/>
            <w:vAlign w:val="center"/>
          </w:tcPr>
          <w:p w14:paraId="6AF894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562022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F7350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295128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5F55F04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90DBFC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4496" w:type="dxa"/>
            <w:tcBorders>
              <w:tl2br w:val="nil"/>
              <w:tr2bl w:val="nil"/>
            </w:tcBorders>
            <w:shd w:val="clear" w:color="auto" w:fill="auto"/>
            <w:noWrap/>
            <w:vAlign w:val="center"/>
          </w:tcPr>
          <w:p w14:paraId="4B4AB47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0B4DE1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27B66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79F59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6210BC5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4CAE7A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4496" w:type="dxa"/>
            <w:tcBorders>
              <w:tl2br w:val="nil"/>
              <w:tr2bl w:val="nil"/>
            </w:tcBorders>
            <w:shd w:val="clear" w:color="auto" w:fill="auto"/>
            <w:noWrap/>
            <w:vAlign w:val="center"/>
          </w:tcPr>
          <w:p w14:paraId="555ED7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6C0B09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1E473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3C22A5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01D5DB4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C6EE5A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296</w:t>
            </w:r>
          </w:p>
        </w:tc>
        <w:tc>
          <w:tcPr>
            <w:tcW w:w="4496" w:type="dxa"/>
            <w:tcBorders>
              <w:tl2br w:val="nil"/>
              <w:tr2bl w:val="nil"/>
            </w:tcBorders>
            <w:shd w:val="clear" w:color="auto" w:fill="auto"/>
            <w:noWrap/>
            <w:vAlign w:val="center"/>
          </w:tcPr>
          <w:p w14:paraId="1E354D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519A7E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7C5A01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E44621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4B26110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80E9D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341</w:t>
            </w:r>
          </w:p>
        </w:tc>
        <w:tc>
          <w:tcPr>
            <w:tcW w:w="4496" w:type="dxa"/>
            <w:tcBorders>
              <w:tl2br w:val="nil"/>
              <w:tr2bl w:val="nil"/>
            </w:tcBorders>
            <w:shd w:val="clear" w:color="auto" w:fill="auto"/>
            <w:noWrap/>
            <w:vAlign w:val="center"/>
          </w:tcPr>
          <w:p w14:paraId="303F9C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5E47BB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F7855A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75B543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5A426C8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FEB873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496" w:type="dxa"/>
            <w:tcBorders>
              <w:tl2br w:val="nil"/>
              <w:tr2bl w:val="nil"/>
            </w:tcBorders>
            <w:shd w:val="clear" w:color="auto" w:fill="auto"/>
            <w:noWrap/>
            <w:vAlign w:val="center"/>
          </w:tcPr>
          <w:p w14:paraId="71E6B84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7F769E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11F13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E4FE7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56BFDBA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F03DAE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655</w:t>
            </w:r>
          </w:p>
        </w:tc>
        <w:tc>
          <w:tcPr>
            <w:tcW w:w="4496" w:type="dxa"/>
            <w:tcBorders>
              <w:tl2br w:val="nil"/>
              <w:tr2bl w:val="nil"/>
            </w:tcBorders>
            <w:shd w:val="clear" w:color="auto" w:fill="auto"/>
            <w:noWrap/>
            <w:vAlign w:val="center"/>
          </w:tcPr>
          <w:p w14:paraId="0EC6331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59A188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CC386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61EE77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7F8F31C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2FB81F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3276</w:t>
            </w:r>
          </w:p>
        </w:tc>
        <w:tc>
          <w:tcPr>
            <w:tcW w:w="4496" w:type="dxa"/>
            <w:tcBorders>
              <w:tl2br w:val="nil"/>
              <w:tr2bl w:val="nil"/>
            </w:tcBorders>
            <w:shd w:val="clear" w:color="auto" w:fill="auto"/>
            <w:noWrap/>
            <w:vAlign w:val="center"/>
          </w:tcPr>
          <w:p w14:paraId="6CCB76A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94DAA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C67F8D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02031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2FF101A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8AFF5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496" w:type="dxa"/>
            <w:tcBorders>
              <w:tl2br w:val="nil"/>
              <w:tr2bl w:val="nil"/>
            </w:tcBorders>
            <w:shd w:val="clear" w:color="auto" w:fill="auto"/>
            <w:noWrap/>
            <w:vAlign w:val="center"/>
          </w:tcPr>
          <w:p w14:paraId="39E1AE9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周边排水沟</w:t>
            </w:r>
          </w:p>
        </w:tc>
      </w:tr>
      <w:tr w14:paraId="7259C6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539D9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6445A4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737ABCA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F3C8AE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96" w:type="dxa"/>
            <w:tcBorders>
              <w:tl2br w:val="nil"/>
              <w:tr2bl w:val="nil"/>
            </w:tcBorders>
            <w:shd w:val="clear" w:color="auto" w:fill="auto"/>
            <w:noWrap/>
            <w:vAlign w:val="center"/>
          </w:tcPr>
          <w:p w14:paraId="44AEC8B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7837C3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DEAEB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79DE95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3C3FE0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47D681D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4496" w:type="dxa"/>
            <w:tcBorders>
              <w:tl2br w:val="nil"/>
              <w:tr2bl w:val="nil"/>
            </w:tcBorders>
            <w:shd w:val="clear" w:color="auto" w:fill="auto"/>
            <w:noWrap/>
            <w:vAlign w:val="center"/>
          </w:tcPr>
          <w:p w14:paraId="6EF7611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14600B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384AB4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4543F2E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30A3CA5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4C3E0F2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40ABB3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E5E9F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76A66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B99BC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w:t>
            </w:r>
          </w:p>
        </w:tc>
        <w:tc>
          <w:tcPr>
            <w:tcW w:w="690" w:type="dxa"/>
            <w:tcBorders>
              <w:tl2br w:val="nil"/>
              <w:tr2bl w:val="nil"/>
            </w:tcBorders>
            <w:shd w:val="clear" w:color="auto" w:fill="auto"/>
            <w:noWrap/>
            <w:vAlign w:val="center"/>
          </w:tcPr>
          <w:p w14:paraId="010D3B5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3FB2B91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2160</w:t>
            </w:r>
          </w:p>
        </w:tc>
        <w:tc>
          <w:tcPr>
            <w:tcW w:w="4496" w:type="dxa"/>
            <w:tcBorders>
              <w:tl2br w:val="nil"/>
              <w:tr2bl w:val="nil"/>
            </w:tcBorders>
            <w:shd w:val="clear" w:color="auto" w:fill="auto"/>
            <w:noWrap/>
            <w:vAlign w:val="center"/>
          </w:tcPr>
          <w:p w14:paraId="21287B4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间距10m，</w:t>
            </w:r>
            <w:r>
              <w:rPr>
                <w:rStyle w:val="91"/>
                <w:rFonts w:hint="default" w:ascii="Times New Roman" w:hAnsi="Times New Roman" w:eastAsia="宋体" w:cs="Times New Roman"/>
                <w:sz w:val="21"/>
                <w:szCs w:val="21"/>
                <w:lang w:val="en-US" w:eastAsia="zh-CN" w:bidi="ar"/>
              </w:rPr>
              <w:t>梅花形布置</w:t>
            </w:r>
          </w:p>
        </w:tc>
      </w:tr>
      <w:tr w14:paraId="60F992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554ED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78C92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w:t>
            </w:r>
          </w:p>
        </w:tc>
        <w:tc>
          <w:tcPr>
            <w:tcW w:w="690" w:type="dxa"/>
            <w:tcBorders>
              <w:tl2br w:val="nil"/>
              <w:tr2bl w:val="nil"/>
            </w:tcBorders>
            <w:shd w:val="clear" w:color="auto" w:fill="auto"/>
            <w:noWrap/>
            <w:vAlign w:val="center"/>
          </w:tcPr>
          <w:p w14:paraId="6EE68E1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59666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1296</w:t>
            </w:r>
          </w:p>
        </w:tc>
        <w:tc>
          <w:tcPr>
            <w:tcW w:w="4496" w:type="dxa"/>
            <w:tcBorders>
              <w:tl2br w:val="nil"/>
              <w:tr2bl w:val="nil"/>
            </w:tcBorders>
            <w:shd w:val="clear" w:color="auto" w:fill="auto"/>
            <w:noWrap/>
            <w:vAlign w:val="center"/>
          </w:tcPr>
          <w:p w14:paraId="2EC282F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271BD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5EFC2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BCC68C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w:t>
            </w:r>
          </w:p>
        </w:tc>
        <w:tc>
          <w:tcPr>
            <w:tcW w:w="690" w:type="dxa"/>
            <w:tcBorders>
              <w:tl2br w:val="nil"/>
              <w:tr2bl w:val="nil"/>
            </w:tcBorders>
            <w:shd w:val="clear" w:color="auto" w:fill="auto"/>
            <w:noWrap/>
            <w:vAlign w:val="center"/>
          </w:tcPr>
          <w:p w14:paraId="015721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23112ED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96" w:type="dxa"/>
            <w:tcBorders>
              <w:tl2br w:val="nil"/>
              <w:tr2bl w:val="nil"/>
            </w:tcBorders>
            <w:shd w:val="clear" w:color="auto" w:fill="auto"/>
            <w:noWrap/>
            <w:vAlign w:val="center"/>
          </w:tcPr>
          <w:p w14:paraId="2B9AB14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EF092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32135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CC9A8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w:t>
            </w:r>
          </w:p>
        </w:tc>
        <w:tc>
          <w:tcPr>
            <w:tcW w:w="690" w:type="dxa"/>
            <w:tcBorders>
              <w:tl2br w:val="nil"/>
              <w:tr2bl w:val="nil"/>
            </w:tcBorders>
            <w:shd w:val="clear" w:color="auto" w:fill="auto"/>
            <w:noWrap/>
            <w:vAlign w:val="center"/>
          </w:tcPr>
          <w:p w14:paraId="1145A1F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7F91F65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4496" w:type="dxa"/>
            <w:tcBorders>
              <w:tl2br w:val="nil"/>
              <w:tr2bl w:val="nil"/>
            </w:tcBorders>
            <w:shd w:val="clear" w:color="auto" w:fill="auto"/>
            <w:noWrap/>
            <w:vAlign w:val="center"/>
          </w:tcPr>
          <w:p w14:paraId="45C1F0B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59C38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16EED6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FF946E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w:t>
            </w:r>
          </w:p>
        </w:tc>
        <w:tc>
          <w:tcPr>
            <w:tcW w:w="690" w:type="dxa"/>
            <w:tcBorders>
              <w:tl2br w:val="nil"/>
              <w:tr2bl w:val="nil"/>
            </w:tcBorders>
            <w:shd w:val="clear" w:color="auto" w:fill="auto"/>
            <w:noWrap/>
            <w:vAlign w:val="center"/>
          </w:tcPr>
          <w:p w14:paraId="3FE644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683887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496" w:type="dxa"/>
            <w:tcBorders>
              <w:tl2br w:val="nil"/>
              <w:tr2bl w:val="nil"/>
            </w:tcBorders>
            <w:shd w:val="clear" w:color="auto" w:fill="auto"/>
            <w:noWrap/>
            <w:vAlign w:val="center"/>
          </w:tcPr>
          <w:p w14:paraId="150D9B6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0A1B4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4ADA4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六</w:t>
            </w:r>
          </w:p>
        </w:tc>
        <w:tc>
          <w:tcPr>
            <w:tcW w:w="2360" w:type="dxa"/>
            <w:tcBorders>
              <w:tl2br w:val="nil"/>
              <w:tr2bl w:val="nil"/>
            </w:tcBorders>
            <w:shd w:val="clear" w:color="auto" w:fill="auto"/>
            <w:noWrap/>
            <w:vAlign w:val="center"/>
          </w:tcPr>
          <w:p w14:paraId="640648E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5副坝加固</w:t>
            </w:r>
          </w:p>
        </w:tc>
        <w:tc>
          <w:tcPr>
            <w:tcW w:w="690" w:type="dxa"/>
            <w:tcBorders>
              <w:tl2br w:val="nil"/>
              <w:tr2bl w:val="nil"/>
            </w:tcBorders>
            <w:shd w:val="clear" w:color="auto" w:fill="auto"/>
            <w:noWrap/>
            <w:vAlign w:val="center"/>
          </w:tcPr>
          <w:p w14:paraId="0A1F43C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02C395A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0C1771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1F3F3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6A9A0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26C9BC6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0BB3B76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0D0053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4FDCB0C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D0245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FCB5A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96125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2D8A87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2EA4C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4496" w:type="dxa"/>
            <w:tcBorders>
              <w:tl2br w:val="nil"/>
              <w:tr2bl w:val="nil"/>
            </w:tcBorders>
            <w:shd w:val="clear" w:color="auto" w:fill="auto"/>
            <w:noWrap/>
            <w:vAlign w:val="center"/>
          </w:tcPr>
          <w:p w14:paraId="622B2A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370E47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6C04C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8997C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214D198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FFD043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4496" w:type="dxa"/>
            <w:tcBorders>
              <w:tl2br w:val="nil"/>
              <w:tr2bl w:val="nil"/>
            </w:tcBorders>
            <w:shd w:val="clear" w:color="auto" w:fill="auto"/>
            <w:noWrap/>
            <w:vAlign w:val="center"/>
          </w:tcPr>
          <w:p w14:paraId="022A1A1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539E0A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BC901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14C90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干砌块石</w:t>
            </w:r>
          </w:p>
        </w:tc>
        <w:tc>
          <w:tcPr>
            <w:tcW w:w="690" w:type="dxa"/>
            <w:tcBorders>
              <w:tl2br w:val="nil"/>
              <w:tr2bl w:val="nil"/>
            </w:tcBorders>
            <w:shd w:val="clear" w:color="auto" w:fill="auto"/>
            <w:noWrap/>
            <w:vAlign w:val="center"/>
          </w:tcPr>
          <w:p w14:paraId="6C06F36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220E0E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2205</w:t>
            </w:r>
          </w:p>
        </w:tc>
        <w:tc>
          <w:tcPr>
            <w:tcW w:w="4496" w:type="dxa"/>
            <w:tcBorders>
              <w:tl2br w:val="nil"/>
              <w:tr2bl w:val="nil"/>
            </w:tcBorders>
            <w:shd w:val="clear" w:color="auto" w:fill="auto"/>
            <w:noWrap/>
            <w:vAlign w:val="center"/>
          </w:tcPr>
          <w:p w14:paraId="2A3C9F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厚50cm，20cm-40cm</w:t>
            </w:r>
          </w:p>
        </w:tc>
      </w:tr>
      <w:tr w14:paraId="088354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1A4585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7EDA4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浆砌块石</w:t>
            </w:r>
          </w:p>
        </w:tc>
        <w:tc>
          <w:tcPr>
            <w:tcW w:w="690" w:type="dxa"/>
            <w:tcBorders>
              <w:tl2br w:val="nil"/>
              <w:tr2bl w:val="nil"/>
            </w:tcBorders>
            <w:shd w:val="clear" w:color="auto" w:fill="auto"/>
            <w:noWrap/>
            <w:vAlign w:val="center"/>
          </w:tcPr>
          <w:p w14:paraId="2F0D023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A8EDFF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4496" w:type="dxa"/>
            <w:tcBorders>
              <w:tl2br w:val="nil"/>
              <w:tr2bl w:val="nil"/>
            </w:tcBorders>
            <w:shd w:val="clear" w:color="auto" w:fill="auto"/>
            <w:noWrap/>
            <w:vAlign w:val="center"/>
          </w:tcPr>
          <w:p w14:paraId="19469F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厚50cm，宽2m</w:t>
            </w:r>
          </w:p>
        </w:tc>
      </w:tr>
      <w:tr w14:paraId="369A5E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5E01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0B9084C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394643A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533AECA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46163C8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1632C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30883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E178F0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09EC139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2CC609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3024</w:t>
            </w:r>
          </w:p>
        </w:tc>
        <w:tc>
          <w:tcPr>
            <w:tcW w:w="4496" w:type="dxa"/>
            <w:tcBorders>
              <w:tl2br w:val="nil"/>
              <w:tr2bl w:val="nil"/>
            </w:tcBorders>
            <w:shd w:val="clear" w:color="auto" w:fill="auto"/>
            <w:noWrap/>
            <w:vAlign w:val="center"/>
          </w:tcPr>
          <w:p w14:paraId="12DD24C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759D01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43998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0B6464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混凝土路面拆除</w:t>
            </w:r>
          </w:p>
        </w:tc>
        <w:tc>
          <w:tcPr>
            <w:tcW w:w="690" w:type="dxa"/>
            <w:tcBorders>
              <w:tl2br w:val="nil"/>
              <w:tr2bl w:val="nil"/>
            </w:tcBorders>
            <w:shd w:val="clear" w:color="auto" w:fill="auto"/>
            <w:noWrap/>
            <w:vAlign w:val="center"/>
          </w:tcPr>
          <w:p w14:paraId="4D8803A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11C78D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4496" w:type="dxa"/>
            <w:tcBorders>
              <w:tl2br w:val="nil"/>
              <w:tr2bl w:val="nil"/>
            </w:tcBorders>
            <w:shd w:val="clear" w:color="auto" w:fill="auto"/>
            <w:noWrap/>
            <w:vAlign w:val="center"/>
          </w:tcPr>
          <w:p w14:paraId="195A1F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厚度20cm</w:t>
            </w:r>
          </w:p>
        </w:tc>
      </w:tr>
      <w:tr w14:paraId="393DAE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C2C13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50C8D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168B44D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F907F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9765</w:t>
            </w:r>
          </w:p>
        </w:tc>
        <w:tc>
          <w:tcPr>
            <w:tcW w:w="4496" w:type="dxa"/>
            <w:tcBorders>
              <w:tl2br w:val="nil"/>
              <w:tr2bl w:val="nil"/>
            </w:tcBorders>
            <w:shd w:val="clear" w:color="auto" w:fill="auto"/>
            <w:noWrap/>
            <w:vAlign w:val="center"/>
          </w:tcPr>
          <w:p w14:paraId="22962F3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67EE1D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35FED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32B4EC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72129B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E8C017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4496" w:type="dxa"/>
            <w:tcBorders>
              <w:tl2br w:val="nil"/>
              <w:tr2bl w:val="nil"/>
            </w:tcBorders>
            <w:shd w:val="clear" w:color="auto" w:fill="auto"/>
            <w:noWrap/>
            <w:vAlign w:val="center"/>
          </w:tcPr>
          <w:p w14:paraId="352E2D0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21F712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DB2E6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498717E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5C2392F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D375B1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CA56EC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D9B87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FAF4B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BDE14B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410924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B279AA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331</w:t>
            </w:r>
          </w:p>
        </w:tc>
        <w:tc>
          <w:tcPr>
            <w:tcW w:w="4496" w:type="dxa"/>
            <w:tcBorders>
              <w:tl2br w:val="nil"/>
              <w:tr2bl w:val="nil"/>
            </w:tcBorders>
            <w:shd w:val="clear" w:color="auto" w:fill="auto"/>
            <w:noWrap/>
            <w:vAlign w:val="center"/>
          </w:tcPr>
          <w:p w14:paraId="02F267B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7DCC3D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98D48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05BCF3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2CEF794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2B9BB14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496" w:type="dxa"/>
            <w:tcBorders>
              <w:tl2br w:val="nil"/>
              <w:tr2bl w:val="nil"/>
            </w:tcBorders>
            <w:shd w:val="clear" w:color="auto" w:fill="auto"/>
            <w:noWrap/>
            <w:vAlign w:val="center"/>
          </w:tcPr>
          <w:p w14:paraId="34A02E2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04B72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CEE18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2F0E6F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5D3EA0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2BE9A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4496" w:type="dxa"/>
            <w:tcBorders>
              <w:tl2br w:val="nil"/>
              <w:tr2bl w:val="nil"/>
            </w:tcBorders>
            <w:shd w:val="clear" w:color="auto" w:fill="auto"/>
            <w:noWrap/>
            <w:vAlign w:val="center"/>
          </w:tcPr>
          <w:p w14:paraId="20950E4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56D71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E6B079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0A26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317E07F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F819D8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4496" w:type="dxa"/>
            <w:tcBorders>
              <w:tl2br w:val="nil"/>
              <w:tr2bl w:val="nil"/>
            </w:tcBorders>
            <w:shd w:val="clear" w:color="auto" w:fill="auto"/>
            <w:noWrap/>
            <w:vAlign w:val="center"/>
          </w:tcPr>
          <w:p w14:paraId="112DE9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45980C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3C2BB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B70F90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C25混凝土路面</w:t>
            </w:r>
          </w:p>
        </w:tc>
        <w:tc>
          <w:tcPr>
            <w:tcW w:w="690" w:type="dxa"/>
            <w:tcBorders>
              <w:tl2br w:val="nil"/>
              <w:tr2bl w:val="nil"/>
            </w:tcBorders>
            <w:shd w:val="clear" w:color="auto" w:fill="auto"/>
            <w:noWrap/>
            <w:vAlign w:val="center"/>
          </w:tcPr>
          <w:p w14:paraId="54DBFD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A3F5B1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296</w:t>
            </w:r>
          </w:p>
        </w:tc>
        <w:tc>
          <w:tcPr>
            <w:tcW w:w="4496" w:type="dxa"/>
            <w:tcBorders>
              <w:tl2br w:val="nil"/>
              <w:tr2bl w:val="nil"/>
            </w:tcBorders>
            <w:shd w:val="clear" w:color="auto" w:fill="auto"/>
            <w:noWrap/>
            <w:vAlign w:val="center"/>
          </w:tcPr>
          <w:p w14:paraId="58ACCA2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28F33B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1F42C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D79E67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1DE1600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FFA705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296</w:t>
            </w:r>
          </w:p>
        </w:tc>
        <w:tc>
          <w:tcPr>
            <w:tcW w:w="4496" w:type="dxa"/>
            <w:tcBorders>
              <w:tl2br w:val="nil"/>
              <w:tr2bl w:val="nil"/>
            </w:tcBorders>
            <w:shd w:val="clear" w:color="auto" w:fill="auto"/>
            <w:noWrap/>
            <w:vAlign w:val="center"/>
          </w:tcPr>
          <w:p w14:paraId="4D78FEC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45928A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1A031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BACBA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400C1C9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6D380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4496" w:type="dxa"/>
            <w:tcBorders>
              <w:tl2br w:val="nil"/>
              <w:tr2bl w:val="nil"/>
            </w:tcBorders>
            <w:shd w:val="clear" w:color="auto" w:fill="auto"/>
            <w:noWrap/>
            <w:vAlign w:val="center"/>
          </w:tcPr>
          <w:p w14:paraId="29A99A0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08B6C2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4B6C1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A44F8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08CD833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23414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348</w:t>
            </w:r>
          </w:p>
        </w:tc>
        <w:tc>
          <w:tcPr>
            <w:tcW w:w="4496" w:type="dxa"/>
            <w:tcBorders>
              <w:tl2br w:val="nil"/>
              <w:tr2bl w:val="nil"/>
            </w:tcBorders>
            <w:shd w:val="clear" w:color="auto" w:fill="auto"/>
            <w:noWrap/>
            <w:vAlign w:val="center"/>
          </w:tcPr>
          <w:p w14:paraId="18BB157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0FA9FF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0B387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20C57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367047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A0F5D1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570</w:t>
            </w:r>
          </w:p>
        </w:tc>
        <w:tc>
          <w:tcPr>
            <w:tcW w:w="4496" w:type="dxa"/>
            <w:tcBorders>
              <w:tl2br w:val="nil"/>
              <w:tr2bl w:val="nil"/>
            </w:tcBorders>
            <w:shd w:val="clear" w:color="auto" w:fill="auto"/>
            <w:noWrap/>
            <w:vAlign w:val="center"/>
          </w:tcPr>
          <w:p w14:paraId="1312517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519EE2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2EC50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01774B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08CC7B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5FBE39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658</w:t>
            </w:r>
          </w:p>
        </w:tc>
        <w:tc>
          <w:tcPr>
            <w:tcW w:w="4496" w:type="dxa"/>
            <w:tcBorders>
              <w:tl2br w:val="nil"/>
              <w:tr2bl w:val="nil"/>
            </w:tcBorders>
            <w:shd w:val="clear" w:color="auto" w:fill="auto"/>
            <w:noWrap/>
            <w:vAlign w:val="center"/>
          </w:tcPr>
          <w:p w14:paraId="1A8C8AB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5F249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8CDC9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96BE2C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22375B5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A8FCC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4496" w:type="dxa"/>
            <w:tcBorders>
              <w:tl2br w:val="nil"/>
              <w:tr2bl w:val="nil"/>
            </w:tcBorders>
            <w:shd w:val="clear" w:color="auto" w:fill="auto"/>
            <w:noWrap/>
            <w:vAlign w:val="center"/>
          </w:tcPr>
          <w:p w14:paraId="12CA94B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4B0DF1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CED5C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8AF53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5D79E62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260F95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945</w:t>
            </w:r>
          </w:p>
        </w:tc>
        <w:tc>
          <w:tcPr>
            <w:tcW w:w="4496" w:type="dxa"/>
            <w:tcBorders>
              <w:tl2br w:val="nil"/>
              <w:tr2bl w:val="nil"/>
            </w:tcBorders>
            <w:shd w:val="clear" w:color="auto" w:fill="auto"/>
            <w:noWrap/>
            <w:vAlign w:val="center"/>
          </w:tcPr>
          <w:p w14:paraId="29C7B1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1478DC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2A8BF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6AF856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36072EA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431573D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3780</w:t>
            </w:r>
          </w:p>
        </w:tc>
        <w:tc>
          <w:tcPr>
            <w:tcW w:w="4496" w:type="dxa"/>
            <w:tcBorders>
              <w:tl2br w:val="nil"/>
              <w:tr2bl w:val="nil"/>
            </w:tcBorders>
            <w:shd w:val="clear" w:color="auto" w:fill="auto"/>
            <w:noWrap/>
            <w:vAlign w:val="center"/>
          </w:tcPr>
          <w:p w14:paraId="492EDFE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F1D03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D4187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F872DE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234F715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3E4BD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4496" w:type="dxa"/>
            <w:tcBorders>
              <w:tl2br w:val="nil"/>
              <w:tr2bl w:val="nil"/>
            </w:tcBorders>
            <w:shd w:val="clear" w:color="auto" w:fill="auto"/>
            <w:noWrap/>
            <w:vAlign w:val="center"/>
          </w:tcPr>
          <w:p w14:paraId="48A137F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坝坡纵横向排水沟</w:t>
            </w:r>
          </w:p>
        </w:tc>
      </w:tr>
      <w:tr w14:paraId="470202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4DEB4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43468D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3F10379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BB017B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496" w:type="dxa"/>
            <w:tcBorders>
              <w:tl2br w:val="nil"/>
              <w:tr2bl w:val="nil"/>
            </w:tcBorders>
            <w:shd w:val="clear" w:color="auto" w:fill="auto"/>
            <w:noWrap/>
            <w:vAlign w:val="center"/>
          </w:tcPr>
          <w:p w14:paraId="7AAA5D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58788E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76376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84F70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19A654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E23C3A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4496" w:type="dxa"/>
            <w:tcBorders>
              <w:tl2br w:val="nil"/>
              <w:tr2bl w:val="nil"/>
            </w:tcBorders>
            <w:shd w:val="clear" w:color="auto" w:fill="auto"/>
            <w:noWrap/>
            <w:vAlign w:val="center"/>
          </w:tcPr>
          <w:p w14:paraId="0BB088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623C26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334C4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4E833E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排水管</w:t>
            </w:r>
          </w:p>
        </w:tc>
        <w:tc>
          <w:tcPr>
            <w:tcW w:w="690" w:type="dxa"/>
            <w:tcBorders>
              <w:tl2br w:val="nil"/>
              <w:tr2bl w:val="nil"/>
            </w:tcBorders>
            <w:shd w:val="clear" w:color="auto" w:fill="auto"/>
            <w:noWrap/>
            <w:vAlign w:val="center"/>
          </w:tcPr>
          <w:p w14:paraId="7F6374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D33EB8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4496" w:type="dxa"/>
            <w:tcBorders>
              <w:tl2br w:val="nil"/>
              <w:tr2bl w:val="nil"/>
            </w:tcBorders>
            <w:shd w:val="clear" w:color="auto" w:fill="auto"/>
            <w:noWrap/>
            <w:vAlign w:val="center"/>
          </w:tcPr>
          <w:p w14:paraId="1C78C2C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q50mm排水管(长0.8m，间距5.0m</w:t>
            </w:r>
            <w:r>
              <w:rPr>
                <w:rStyle w:val="91"/>
                <w:rFonts w:hint="default" w:ascii="Times New Roman" w:hAnsi="Times New Roman" w:eastAsia="宋体" w:cs="Times New Roman"/>
                <w:sz w:val="21"/>
                <w:szCs w:val="21"/>
                <w:lang w:val="en-US" w:eastAsia="zh-CN" w:bidi="ar"/>
              </w:rPr>
              <w:t>布置)</w:t>
            </w:r>
          </w:p>
        </w:tc>
      </w:tr>
      <w:tr w14:paraId="2E231D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16A30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3CDC04C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右岸近坝库岸防护</w:t>
            </w:r>
          </w:p>
        </w:tc>
        <w:tc>
          <w:tcPr>
            <w:tcW w:w="690" w:type="dxa"/>
            <w:tcBorders>
              <w:tl2br w:val="nil"/>
              <w:tr2bl w:val="nil"/>
            </w:tcBorders>
            <w:shd w:val="clear" w:color="auto" w:fill="auto"/>
            <w:noWrap/>
            <w:vAlign w:val="center"/>
          </w:tcPr>
          <w:p w14:paraId="66BC862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38CC0D5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5391D5B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563E9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11171F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A4FC4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122A374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0D3BA0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4496" w:type="dxa"/>
            <w:tcBorders>
              <w:tl2br w:val="nil"/>
              <w:tr2bl w:val="nil"/>
            </w:tcBorders>
            <w:shd w:val="clear" w:color="auto" w:fill="auto"/>
            <w:noWrap/>
            <w:vAlign w:val="center"/>
          </w:tcPr>
          <w:p w14:paraId="1A4AFB6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149A0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4455E1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C5F31D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0BAB98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E8375D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620DEC7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4F334D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D5061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2BC66D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529B23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C4A4F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29A97C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271809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D4365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B9420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146504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868C4D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4496" w:type="dxa"/>
            <w:tcBorders>
              <w:tl2br w:val="nil"/>
              <w:tr2bl w:val="nil"/>
            </w:tcBorders>
            <w:shd w:val="clear" w:color="auto" w:fill="auto"/>
            <w:noWrap/>
            <w:vAlign w:val="center"/>
          </w:tcPr>
          <w:p w14:paraId="1021877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4B021F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4DA4B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D02BD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2F57E82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3A7AB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496" w:type="dxa"/>
            <w:tcBorders>
              <w:tl2br w:val="nil"/>
              <w:tr2bl w:val="nil"/>
            </w:tcBorders>
            <w:shd w:val="clear" w:color="auto" w:fill="auto"/>
            <w:noWrap/>
            <w:vAlign w:val="center"/>
          </w:tcPr>
          <w:p w14:paraId="1018492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厚13cm，C20，六边形预制块</w:t>
            </w:r>
          </w:p>
        </w:tc>
      </w:tr>
      <w:tr w14:paraId="262BDD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3A030E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782AF6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白蚁防治</w:t>
            </w:r>
          </w:p>
        </w:tc>
        <w:tc>
          <w:tcPr>
            <w:tcW w:w="690" w:type="dxa"/>
            <w:tcBorders>
              <w:tl2br w:val="nil"/>
              <w:tr2bl w:val="nil"/>
            </w:tcBorders>
            <w:shd w:val="clear" w:color="auto" w:fill="auto"/>
            <w:noWrap/>
            <w:vAlign w:val="center"/>
          </w:tcPr>
          <w:p w14:paraId="375DF33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9F6F65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705F3DB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51FD7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2AA6D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29A31F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w:t>
            </w:r>
          </w:p>
        </w:tc>
        <w:tc>
          <w:tcPr>
            <w:tcW w:w="690" w:type="dxa"/>
            <w:tcBorders>
              <w:tl2br w:val="nil"/>
              <w:tr2bl w:val="nil"/>
            </w:tcBorders>
            <w:shd w:val="clear" w:color="auto" w:fill="auto"/>
            <w:noWrap/>
            <w:vAlign w:val="center"/>
          </w:tcPr>
          <w:p w14:paraId="02F087F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350378D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3200</w:t>
            </w:r>
          </w:p>
        </w:tc>
        <w:tc>
          <w:tcPr>
            <w:tcW w:w="4496" w:type="dxa"/>
            <w:tcBorders>
              <w:tl2br w:val="nil"/>
              <w:tr2bl w:val="nil"/>
            </w:tcBorders>
            <w:shd w:val="clear" w:color="auto" w:fill="auto"/>
            <w:noWrap/>
            <w:vAlign w:val="center"/>
          </w:tcPr>
          <w:p w14:paraId="3AF2B29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诱杀坑尺寸30×30×25cm</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间距10m，</w:t>
            </w:r>
            <w:r>
              <w:rPr>
                <w:rStyle w:val="91"/>
                <w:rFonts w:hint="default" w:ascii="Times New Roman" w:hAnsi="Times New Roman" w:eastAsia="宋体" w:cs="Times New Roman"/>
                <w:sz w:val="21"/>
                <w:szCs w:val="21"/>
                <w:lang w:val="en-US" w:eastAsia="zh-CN" w:bidi="ar"/>
              </w:rPr>
              <w:t>梅花形布置</w:t>
            </w:r>
          </w:p>
        </w:tc>
      </w:tr>
      <w:tr w14:paraId="3499CF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9824B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7183A9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白蚁危害监测</w:t>
            </w:r>
          </w:p>
        </w:tc>
        <w:tc>
          <w:tcPr>
            <w:tcW w:w="690" w:type="dxa"/>
            <w:tcBorders>
              <w:tl2br w:val="nil"/>
              <w:tr2bl w:val="nil"/>
            </w:tcBorders>
            <w:shd w:val="clear" w:color="auto" w:fill="auto"/>
            <w:noWrap/>
            <w:vAlign w:val="center"/>
          </w:tcPr>
          <w:p w14:paraId="6C5F00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02F7E7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1920</w:t>
            </w:r>
          </w:p>
        </w:tc>
        <w:tc>
          <w:tcPr>
            <w:tcW w:w="4496" w:type="dxa"/>
            <w:tcBorders>
              <w:tl2br w:val="nil"/>
              <w:tr2bl w:val="nil"/>
            </w:tcBorders>
            <w:shd w:val="clear" w:color="auto" w:fill="auto"/>
            <w:noWrap/>
            <w:vAlign w:val="center"/>
          </w:tcPr>
          <w:p w14:paraId="0A75E61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2416A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3B39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3E633D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挖巢</w:t>
            </w:r>
          </w:p>
        </w:tc>
        <w:tc>
          <w:tcPr>
            <w:tcW w:w="690" w:type="dxa"/>
            <w:tcBorders>
              <w:tl2br w:val="nil"/>
              <w:tr2bl w:val="nil"/>
            </w:tcBorders>
            <w:shd w:val="clear" w:color="auto" w:fill="auto"/>
            <w:noWrap/>
            <w:vAlign w:val="center"/>
          </w:tcPr>
          <w:p w14:paraId="65ADE3C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巢</w:t>
            </w:r>
          </w:p>
        </w:tc>
        <w:tc>
          <w:tcPr>
            <w:tcW w:w="750" w:type="dxa"/>
            <w:tcBorders>
              <w:tl2br w:val="nil"/>
              <w:tr2bl w:val="nil"/>
            </w:tcBorders>
            <w:shd w:val="clear" w:color="auto" w:fill="auto"/>
            <w:noWrap/>
            <w:vAlign w:val="center"/>
          </w:tcPr>
          <w:p w14:paraId="2126E0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96" w:type="dxa"/>
            <w:tcBorders>
              <w:tl2br w:val="nil"/>
              <w:tr2bl w:val="nil"/>
            </w:tcBorders>
            <w:shd w:val="clear" w:color="auto" w:fill="auto"/>
            <w:noWrap/>
            <w:vAlign w:val="center"/>
          </w:tcPr>
          <w:p w14:paraId="0F9871E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782F6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1C61A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2E5578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钻孔灌浆</w:t>
            </w:r>
          </w:p>
        </w:tc>
        <w:tc>
          <w:tcPr>
            <w:tcW w:w="690" w:type="dxa"/>
            <w:tcBorders>
              <w:tl2br w:val="nil"/>
              <w:tr2bl w:val="nil"/>
            </w:tcBorders>
            <w:shd w:val="clear" w:color="auto" w:fill="auto"/>
            <w:noWrap/>
            <w:vAlign w:val="center"/>
          </w:tcPr>
          <w:p w14:paraId="6C6805E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08F604B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4496" w:type="dxa"/>
            <w:tcBorders>
              <w:tl2br w:val="nil"/>
              <w:tr2bl w:val="nil"/>
            </w:tcBorders>
            <w:shd w:val="clear" w:color="auto" w:fill="auto"/>
            <w:noWrap/>
            <w:vAlign w:val="center"/>
          </w:tcPr>
          <w:p w14:paraId="6B3B53E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AADD3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A9042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EF259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防蚁隔离毒土带</w:t>
            </w:r>
          </w:p>
        </w:tc>
        <w:tc>
          <w:tcPr>
            <w:tcW w:w="690" w:type="dxa"/>
            <w:tcBorders>
              <w:tl2br w:val="nil"/>
              <w:tr2bl w:val="nil"/>
            </w:tcBorders>
            <w:shd w:val="clear" w:color="auto" w:fill="auto"/>
            <w:noWrap/>
            <w:vAlign w:val="center"/>
          </w:tcPr>
          <w:p w14:paraId="7B232C9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E0E2D6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496" w:type="dxa"/>
            <w:tcBorders>
              <w:tl2br w:val="nil"/>
              <w:tr2bl w:val="nil"/>
            </w:tcBorders>
            <w:shd w:val="clear" w:color="auto" w:fill="auto"/>
            <w:noWrap/>
            <w:vAlign w:val="center"/>
          </w:tcPr>
          <w:p w14:paraId="5662498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C1DF5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C9127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七</w:t>
            </w:r>
          </w:p>
        </w:tc>
        <w:tc>
          <w:tcPr>
            <w:tcW w:w="2360" w:type="dxa"/>
            <w:tcBorders>
              <w:tl2br w:val="nil"/>
              <w:tr2bl w:val="nil"/>
            </w:tcBorders>
            <w:shd w:val="clear" w:color="auto" w:fill="auto"/>
            <w:noWrap/>
            <w:vAlign w:val="center"/>
          </w:tcPr>
          <w:p w14:paraId="3C56F3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6副坝加固</w:t>
            </w:r>
          </w:p>
        </w:tc>
        <w:tc>
          <w:tcPr>
            <w:tcW w:w="690" w:type="dxa"/>
            <w:tcBorders>
              <w:tl2br w:val="nil"/>
              <w:tr2bl w:val="nil"/>
            </w:tcBorders>
            <w:shd w:val="clear" w:color="auto" w:fill="auto"/>
            <w:noWrap/>
            <w:vAlign w:val="center"/>
          </w:tcPr>
          <w:p w14:paraId="721E431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67B439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748ECE7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286E2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576B29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2502241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防渗加固</w:t>
            </w:r>
          </w:p>
        </w:tc>
        <w:tc>
          <w:tcPr>
            <w:tcW w:w="690" w:type="dxa"/>
            <w:tcBorders>
              <w:tl2br w:val="nil"/>
              <w:tr2bl w:val="nil"/>
            </w:tcBorders>
            <w:shd w:val="clear" w:color="auto" w:fill="auto"/>
            <w:noWrap/>
            <w:vAlign w:val="center"/>
          </w:tcPr>
          <w:p w14:paraId="6F35D4F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52E1929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6D872FB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D48F5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A9B622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AC609A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砂砾石反滤层</w:t>
            </w:r>
          </w:p>
        </w:tc>
        <w:tc>
          <w:tcPr>
            <w:tcW w:w="690" w:type="dxa"/>
            <w:tcBorders>
              <w:tl2br w:val="nil"/>
              <w:tr2bl w:val="nil"/>
            </w:tcBorders>
            <w:shd w:val="clear" w:color="auto" w:fill="auto"/>
            <w:noWrap/>
            <w:vAlign w:val="center"/>
          </w:tcPr>
          <w:p w14:paraId="31DE617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A3384E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4496" w:type="dxa"/>
            <w:tcBorders>
              <w:tl2br w:val="nil"/>
              <w:tr2bl w:val="nil"/>
            </w:tcBorders>
            <w:shd w:val="clear" w:color="auto" w:fill="auto"/>
            <w:noWrap/>
            <w:vAlign w:val="center"/>
          </w:tcPr>
          <w:p w14:paraId="76501C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厚20cm，粒径0.2mm-2mm</w:t>
            </w:r>
          </w:p>
        </w:tc>
      </w:tr>
      <w:tr w14:paraId="221720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6CF9B5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0884D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碎石反滤层</w:t>
            </w:r>
          </w:p>
        </w:tc>
        <w:tc>
          <w:tcPr>
            <w:tcW w:w="690" w:type="dxa"/>
            <w:tcBorders>
              <w:tl2br w:val="nil"/>
              <w:tr2bl w:val="nil"/>
            </w:tcBorders>
            <w:shd w:val="clear" w:color="auto" w:fill="auto"/>
            <w:noWrap/>
            <w:vAlign w:val="center"/>
          </w:tcPr>
          <w:p w14:paraId="7F6DB9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9DA572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4496" w:type="dxa"/>
            <w:tcBorders>
              <w:tl2br w:val="nil"/>
              <w:tr2bl w:val="nil"/>
            </w:tcBorders>
            <w:shd w:val="clear" w:color="auto" w:fill="auto"/>
            <w:noWrap/>
            <w:vAlign w:val="center"/>
          </w:tcPr>
          <w:p w14:paraId="6DC3AB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厚20cm，粒径5mm-40mm</w:t>
            </w:r>
          </w:p>
        </w:tc>
      </w:tr>
      <w:tr w14:paraId="758007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C8C66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02D003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格宾石笼挡墙</w:t>
            </w:r>
          </w:p>
        </w:tc>
        <w:tc>
          <w:tcPr>
            <w:tcW w:w="690" w:type="dxa"/>
            <w:tcBorders>
              <w:tl2br w:val="nil"/>
              <w:tr2bl w:val="nil"/>
            </w:tcBorders>
            <w:shd w:val="clear" w:color="auto" w:fill="auto"/>
            <w:noWrap/>
            <w:vAlign w:val="center"/>
          </w:tcPr>
          <w:p w14:paraId="41FF8B5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463D92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2957</w:t>
            </w:r>
          </w:p>
        </w:tc>
        <w:tc>
          <w:tcPr>
            <w:tcW w:w="4496" w:type="dxa"/>
            <w:tcBorders>
              <w:tl2br w:val="nil"/>
              <w:tr2bl w:val="nil"/>
            </w:tcBorders>
            <w:shd w:val="clear" w:color="auto" w:fill="auto"/>
            <w:noWrap/>
            <w:vAlign w:val="center"/>
          </w:tcPr>
          <w:p w14:paraId="47F7668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块石粒径10~40cm，</w:t>
            </w:r>
            <w:r>
              <w:rPr>
                <w:rStyle w:val="91"/>
                <w:rFonts w:hint="default" w:ascii="Times New Roman" w:hAnsi="Times New Roman" w:eastAsia="宋体" w:cs="Times New Roman"/>
                <w:sz w:val="21"/>
                <w:szCs w:val="21"/>
                <w:lang w:val="en-US" w:eastAsia="zh-CN" w:bidi="ar"/>
              </w:rPr>
              <w:t>格宾钢筋笼含格宾钢丝网7.5m²/m³及钢筋11kg/m³</w:t>
            </w:r>
          </w:p>
        </w:tc>
      </w:tr>
      <w:tr w14:paraId="29D940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7650C3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4DF1DF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坝体加固</w:t>
            </w:r>
          </w:p>
        </w:tc>
        <w:tc>
          <w:tcPr>
            <w:tcW w:w="690" w:type="dxa"/>
            <w:tcBorders>
              <w:tl2br w:val="nil"/>
              <w:tr2bl w:val="nil"/>
            </w:tcBorders>
            <w:shd w:val="clear" w:color="auto" w:fill="auto"/>
            <w:noWrap/>
            <w:vAlign w:val="center"/>
          </w:tcPr>
          <w:p w14:paraId="4A0D335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93F18F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08EF514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3BC0D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21FB47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D07E9F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清基开挖</w:t>
            </w:r>
          </w:p>
        </w:tc>
        <w:tc>
          <w:tcPr>
            <w:tcW w:w="690" w:type="dxa"/>
            <w:tcBorders>
              <w:tl2br w:val="nil"/>
              <w:tr2bl w:val="nil"/>
            </w:tcBorders>
            <w:shd w:val="clear" w:color="auto" w:fill="auto"/>
            <w:noWrap/>
            <w:vAlign w:val="center"/>
          </w:tcPr>
          <w:p w14:paraId="298F4B3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38DEE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4019</w:t>
            </w:r>
          </w:p>
        </w:tc>
        <w:tc>
          <w:tcPr>
            <w:tcW w:w="4496" w:type="dxa"/>
            <w:tcBorders>
              <w:tl2br w:val="nil"/>
              <w:tr2bl w:val="nil"/>
            </w:tcBorders>
            <w:shd w:val="clear" w:color="auto" w:fill="auto"/>
            <w:noWrap/>
            <w:vAlign w:val="center"/>
          </w:tcPr>
          <w:p w14:paraId="4222C1A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清基厚度30cm，台阶开挖</w:t>
            </w:r>
          </w:p>
        </w:tc>
      </w:tr>
      <w:tr w14:paraId="6D5177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C2623E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D2145B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混凝土路面拆除</w:t>
            </w:r>
          </w:p>
        </w:tc>
        <w:tc>
          <w:tcPr>
            <w:tcW w:w="690" w:type="dxa"/>
            <w:tcBorders>
              <w:tl2br w:val="nil"/>
              <w:tr2bl w:val="nil"/>
            </w:tcBorders>
            <w:shd w:val="clear" w:color="auto" w:fill="auto"/>
            <w:noWrap/>
            <w:vAlign w:val="center"/>
          </w:tcPr>
          <w:p w14:paraId="20297A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4016DD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4496" w:type="dxa"/>
            <w:tcBorders>
              <w:tl2br w:val="nil"/>
              <w:tr2bl w:val="nil"/>
            </w:tcBorders>
            <w:shd w:val="clear" w:color="auto" w:fill="auto"/>
            <w:noWrap/>
            <w:vAlign w:val="center"/>
          </w:tcPr>
          <w:p w14:paraId="5C8485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厚度20cm</w:t>
            </w:r>
          </w:p>
        </w:tc>
      </w:tr>
      <w:tr w14:paraId="4A1D76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BC5F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6A22E4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4ABABAE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F9DAF7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10164</w:t>
            </w:r>
          </w:p>
        </w:tc>
        <w:tc>
          <w:tcPr>
            <w:tcW w:w="4496" w:type="dxa"/>
            <w:tcBorders>
              <w:tl2br w:val="nil"/>
              <w:tr2bl w:val="nil"/>
            </w:tcBorders>
            <w:shd w:val="clear" w:color="auto" w:fill="auto"/>
            <w:noWrap/>
            <w:vAlign w:val="center"/>
          </w:tcPr>
          <w:p w14:paraId="1A6C8E4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3CA32E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4F3E4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99966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抛石护脚</w:t>
            </w:r>
          </w:p>
        </w:tc>
        <w:tc>
          <w:tcPr>
            <w:tcW w:w="690" w:type="dxa"/>
            <w:tcBorders>
              <w:tl2br w:val="nil"/>
              <w:tr2bl w:val="nil"/>
            </w:tcBorders>
            <w:shd w:val="clear" w:color="auto" w:fill="auto"/>
            <w:noWrap/>
            <w:vAlign w:val="center"/>
          </w:tcPr>
          <w:p w14:paraId="339FC1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19172D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531</w:t>
            </w:r>
          </w:p>
        </w:tc>
        <w:tc>
          <w:tcPr>
            <w:tcW w:w="4496" w:type="dxa"/>
            <w:tcBorders>
              <w:tl2br w:val="nil"/>
              <w:tr2bl w:val="nil"/>
            </w:tcBorders>
            <w:shd w:val="clear" w:color="auto" w:fill="auto"/>
            <w:noWrap/>
            <w:vAlign w:val="center"/>
          </w:tcPr>
          <w:p w14:paraId="1E03DC6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20cm-40cm</w:t>
            </w:r>
          </w:p>
        </w:tc>
      </w:tr>
      <w:tr w14:paraId="275BAF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FBF00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1675B01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坝顶及坝坡加固</w:t>
            </w:r>
          </w:p>
        </w:tc>
        <w:tc>
          <w:tcPr>
            <w:tcW w:w="690" w:type="dxa"/>
            <w:tcBorders>
              <w:tl2br w:val="nil"/>
              <w:tr2bl w:val="nil"/>
            </w:tcBorders>
            <w:shd w:val="clear" w:color="auto" w:fill="auto"/>
            <w:noWrap/>
            <w:vAlign w:val="center"/>
          </w:tcPr>
          <w:p w14:paraId="7634513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1634902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72036E9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B8220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F2EC1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A1C563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C25混凝土防浪墙</w:t>
            </w:r>
          </w:p>
        </w:tc>
        <w:tc>
          <w:tcPr>
            <w:tcW w:w="690" w:type="dxa"/>
            <w:tcBorders>
              <w:tl2br w:val="nil"/>
              <w:tr2bl w:val="nil"/>
            </w:tcBorders>
            <w:shd w:val="clear" w:color="auto" w:fill="auto"/>
            <w:noWrap/>
            <w:vAlign w:val="center"/>
          </w:tcPr>
          <w:p w14:paraId="2127E09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E8BA4F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4496" w:type="dxa"/>
            <w:tcBorders>
              <w:tl2br w:val="nil"/>
              <w:tr2bl w:val="nil"/>
            </w:tcBorders>
            <w:shd w:val="clear" w:color="auto" w:fill="auto"/>
            <w:noWrap/>
            <w:vAlign w:val="center"/>
          </w:tcPr>
          <w:p w14:paraId="48606C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厚30cm</w:t>
            </w:r>
          </w:p>
        </w:tc>
      </w:tr>
      <w:tr w14:paraId="5E35B0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47FEE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3115A2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2FD5A27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7DA9919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496" w:type="dxa"/>
            <w:tcBorders>
              <w:tl2br w:val="nil"/>
              <w:tr2bl w:val="nil"/>
            </w:tcBorders>
            <w:shd w:val="clear" w:color="auto" w:fill="auto"/>
            <w:noWrap/>
            <w:vAlign w:val="center"/>
          </w:tcPr>
          <w:p w14:paraId="66F8C87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1FB16E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CB53D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ACA81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塑料止水</w:t>
            </w:r>
          </w:p>
        </w:tc>
        <w:tc>
          <w:tcPr>
            <w:tcW w:w="690" w:type="dxa"/>
            <w:tcBorders>
              <w:tl2br w:val="nil"/>
              <w:tr2bl w:val="nil"/>
            </w:tcBorders>
            <w:shd w:val="clear" w:color="auto" w:fill="auto"/>
            <w:noWrap/>
            <w:vAlign w:val="center"/>
          </w:tcPr>
          <w:p w14:paraId="12F6F63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45BCF6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4496" w:type="dxa"/>
            <w:tcBorders>
              <w:tl2br w:val="nil"/>
              <w:tr2bl w:val="nil"/>
            </w:tcBorders>
            <w:shd w:val="clear" w:color="auto" w:fill="auto"/>
            <w:noWrap/>
            <w:vAlign w:val="center"/>
          </w:tcPr>
          <w:p w14:paraId="052043A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79C9FB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C3976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C6CDD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沥青杉木板</w:t>
            </w:r>
          </w:p>
        </w:tc>
        <w:tc>
          <w:tcPr>
            <w:tcW w:w="690" w:type="dxa"/>
            <w:tcBorders>
              <w:tl2br w:val="nil"/>
              <w:tr2bl w:val="nil"/>
            </w:tcBorders>
            <w:shd w:val="clear" w:color="auto" w:fill="auto"/>
            <w:noWrap/>
            <w:vAlign w:val="center"/>
          </w:tcPr>
          <w:p w14:paraId="007EC81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56FDDC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496" w:type="dxa"/>
            <w:tcBorders>
              <w:tl2br w:val="nil"/>
              <w:tr2bl w:val="nil"/>
            </w:tcBorders>
            <w:shd w:val="clear" w:color="auto" w:fill="auto"/>
            <w:noWrap/>
            <w:vAlign w:val="center"/>
          </w:tcPr>
          <w:p w14:paraId="0D0FE9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厚2cm</w:t>
            </w:r>
          </w:p>
        </w:tc>
      </w:tr>
      <w:tr w14:paraId="065A99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2D64D3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904B9B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级配碎石垫层</w:t>
            </w:r>
          </w:p>
        </w:tc>
        <w:tc>
          <w:tcPr>
            <w:tcW w:w="690" w:type="dxa"/>
            <w:tcBorders>
              <w:tl2br w:val="nil"/>
              <w:tr2bl w:val="nil"/>
            </w:tcBorders>
            <w:shd w:val="clear" w:color="auto" w:fill="auto"/>
            <w:noWrap/>
            <w:vAlign w:val="center"/>
          </w:tcPr>
          <w:p w14:paraId="7417F0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7BC205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4496" w:type="dxa"/>
            <w:tcBorders>
              <w:tl2br w:val="nil"/>
              <w:tr2bl w:val="nil"/>
            </w:tcBorders>
            <w:shd w:val="clear" w:color="auto" w:fill="auto"/>
            <w:noWrap/>
            <w:vAlign w:val="center"/>
          </w:tcPr>
          <w:p w14:paraId="21540F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5CD312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46DFC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19C34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6%水泥稳定碎石垫层</w:t>
            </w:r>
          </w:p>
        </w:tc>
        <w:tc>
          <w:tcPr>
            <w:tcW w:w="690" w:type="dxa"/>
            <w:tcBorders>
              <w:tl2br w:val="nil"/>
              <w:tr2bl w:val="nil"/>
            </w:tcBorders>
            <w:shd w:val="clear" w:color="auto" w:fill="auto"/>
            <w:noWrap/>
            <w:vAlign w:val="center"/>
          </w:tcPr>
          <w:p w14:paraId="4DC9CD4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17EEEC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4496" w:type="dxa"/>
            <w:tcBorders>
              <w:tl2br w:val="nil"/>
              <w:tr2bl w:val="nil"/>
            </w:tcBorders>
            <w:shd w:val="clear" w:color="auto" w:fill="auto"/>
            <w:noWrap/>
            <w:vAlign w:val="center"/>
          </w:tcPr>
          <w:p w14:paraId="41E494D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w:t>
            </w:r>
          </w:p>
        </w:tc>
      </w:tr>
      <w:tr w14:paraId="4AA66D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3E8D1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104A49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沥青混凝土面层AC13</w:t>
            </w:r>
          </w:p>
        </w:tc>
        <w:tc>
          <w:tcPr>
            <w:tcW w:w="690" w:type="dxa"/>
            <w:tcBorders>
              <w:tl2br w:val="nil"/>
              <w:tr2bl w:val="nil"/>
            </w:tcBorders>
            <w:shd w:val="clear" w:color="auto" w:fill="auto"/>
            <w:noWrap/>
            <w:vAlign w:val="center"/>
          </w:tcPr>
          <w:p w14:paraId="5DFDC2E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6B03C4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1086</w:t>
            </w:r>
          </w:p>
        </w:tc>
        <w:tc>
          <w:tcPr>
            <w:tcW w:w="4496" w:type="dxa"/>
            <w:tcBorders>
              <w:tl2br w:val="nil"/>
              <w:tr2bl w:val="nil"/>
            </w:tcBorders>
            <w:shd w:val="clear" w:color="auto" w:fill="auto"/>
            <w:noWrap/>
            <w:vAlign w:val="center"/>
          </w:tcPr>
          <w:p w14:paraId="522097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厚6cm</w:t>
            </w:r>
          </w:p>
        </w:tc>
      </w:tr>
      <w:tr w14:paraId="266458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79D0E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C28565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C20混凝土路缘石</w:t>
            </w:r>
          </w:p>
        </w:tc>
        <w:tc>
          <w:tcPr>
            <w:tcW w:w="690" w:type="dxa"/>
            <w:tcBorders>
              <w:tl2br w:val="nil"/>
              <w:tr2bl w:val="nil"/>
            </w:tcBorders>
            <w:shd w:val="clear" w:color="auto" w:fill="auto"/>
            <w:noWrap/>
            <w:vAlign w:val="center"/>
          </w:tcPr>
          <w:p w14:paraId="2133189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53D12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4496" w:type="dxa"/>
            <w:tcBorders>
              <w:tl2br w:val="nil"/>
              <w:tr2bl w:val="nil"/>
            </w:tcBorders>
            <w:shd w:val="clear" w:color="auto" w:fill="auto"/>
            <w:noWrap/>
            <w:vAlign w:val="center"/>
          </w:tcPr>
          <w:p w14:paraId="1144D6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0.35m×0.8m</w:t>
            </w:r>
          </w:p>
        </w:tc>
      </w:tr>
      <w:tr w14:paraId="6BDD71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FF30A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73D88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混凝土预制块护坡拆除</w:t>
            </w:r>
          </w:p>
        </w:tc>
        <w:tc>
          <w:tcPr>
            <w:tcW w:w="690" w:type="dxa"/>
            <w:tcBorders>
              <w:tl2br w:val="nil"/>
              <w:tr2bl w:val="nil"/>
            </w:tcBorders>
            <w:shd w:val="clear" w:color="auto" w:fill="auto"/>
            <w:noWrap/>
            <w:vAlign w:val="center"/>
          </w:tcPr>
          <w:p w14:paraId="76F3FCD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E7A11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4496" w:type="dxa"/>
            <w:tcBorders>
              <w:tl2br w:val="nil"/>
              <w:tr2bl w:val="nil"/>
            </w:tcBorders>
            <w:shd w:val="clear" w:color="auto" w:fill="auto"/>
            <w:noWrap/>
            <w:vAlign w:val="center"/>
          </w:tcPr>
          <w:p w14:paraId="7CAF7C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按拆除修复30%计</w:t>
            </w:r>
          </w:p>
        </w:tc>
      </w:tr>
      <w:tr w14:paraId="6A7BF3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5CD62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B43830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C20混凝土预制块护坡</w:t>
            </w:r>
          </w:p>
        </w:tc>
        <w:tc>
          <w:tcPr>
            <w:tcW w:w="690" w:type="dxa"/>
            <w:tcBorders>
              <w:tl2br w:val="nil"/>
              <w:tr2bl w:val="nil"/>
            </w:tcBorders>
            <w:shd w:val="clear" w:color="auto" w:fill="auto"/>
            <w:noWrap/>
            <w:vAlign w:val="center"/>
          </w:tcPr>
          <w:p w14:paraId="21DF3E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FB167F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w:t>
            </w:r>
          </w:p>
        </w:tc>
        <w:tc>
          <w:tcPr>
            <w:tcW w:w="4496" w:type="dxa"/>
            <w:tcBorders>
              <w:tl2br w:val="nil"/>
              <w:tr2bl w:val="nil"/>
            </w:tcBorders>
            <w:shd w:val="clear" w:color="auto" w:fill="auto"/>
            <w:noWrap/>
            <w:vAlign w:val="center"/>
          </w:tcPr>
          <w:p w14:paraId="28D1ED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厚13cm，C20</w:t>
            </w:r>
          </w:p>
        </w:tc>
      </w:tr>
      <w:tr w14:paraId="65ECD5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E0156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656C77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砂砾石垫层</w:t>
            </w:r>
          </w:p>
        </w:tc>
        <w:tc>
          <w:tcPr>
            <w:tcW w:w="690" w:type="dxa"/>
            <w:tcBorders>
              <w:tl2br w:val="nil"/>
              <w:tr2bl w:val="nil"/>
            </w:tcBorders>
            <w:shd w:val="clear" w:color="auto" w:fill="auto"/>
            <w:noWrap/>
            <w:vAlign w:val="center"/>
          </w:tcPr>
          <w:p w14:paraId="1A8DA61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5293C5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4496" w:type="dxa"/>
            <w:tcBorders>
              <w:tl2br w:val="nil"/>
              <w:tr2bl w:val="nil"/>
            </w:tcBorders>
            <w:shd w:val="clear" w:color="auto" w:fill="auto"/>
            <w:noWrap/>
            <w:vAlign w:val="center"/>
          </w:tcPr>
          <w:p w14:paraId="0C6536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厚15cm</w:t>
            </w:r>
          </w:p>
        </w:tc>
      </w:tr>
      <w:tr w14:paraId="6BE8CF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9F182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B975B0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C20混凝土脚槽</w:t>
            </w:r>
          </w:p>
        </w:tc>
        <w:tc>
          <w:tcPr>
            <w:tcW w:w="690" w:type="dxa"/>
            <w:tcBorders>
              <w:tl2br w:val="nil"/>
              <w:tr2bl w:val="nil"/>
            </w:tcBorders>
            <w:shd w:val="clear" w:color="auto" w:fill="auto"/>
            <w:noWrap/>
            <w:vAlign w:val="center"/>
          </w:tcPr>
          <w:p w14:paraId="26ECEFA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B08AE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4496" w:type="dxa"/>
            <w:tcBorders>
              <w:tl2br w:val="nil"/>
              <w:tr2bl w:val="nil"/>
            </w:tcBorders>
            <w:shd w:val="clear" w:color="auto" w:fill="auto"/>
            <w:noWrap/>
            <w:vAlign w:val="center"/>
          </w:tcPr>
          <w:p w14:paraId="18B58A0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0.3m×0.3m</w:t>
            </w:r>
          </w:p>
        </w:tc>
      </w:tr>
      <w:tr w14:paraId="30225F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25FE3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8BB09C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腐质土回填</w:t>
            </w:r>
          </w:p>
        </w:tc>
        <w:tc>
          <w:tcPr>
            <w:tcW w:w="690" w:type="dxa"/>
            <w:tcBorders>
              <w:tl2br w:val="nil"/>
              <w:tr2bl w:val="nil"/>
            </w:tcBorders>
            <w:shd w:val="clear" w:color="auto" w:fill="auto"/>
            <w:noWrap/>
            <w:vAlign w:val="center"/>
          </w:tcPr>
          <w:p w14:paraId="5457D90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DCCE71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554</w:t>
            </w:r>
          </w:p>
        </w:tc>
        <w:tc>
          <w:tcPr>
            <w:tcW w:w="4496" w:type="dxa"/>
            <w:tcBorders>
              <w:tl2br w:val="nil"/>
              <w:tr2bl w:val="nil"/>
            </w:tcBorders>
            <w:shd w:val="clear" w:color="auto" w:fill="auto"/>
            <w:noWrap/>
            <w:vAlign w:val="center"/>
          </w:tcPr>
          <w:p w14:paraId="36DB72D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厚20cm，利用清基料</w:t>
            </w:r>
          </w:p>
        </w:tc>
      </w:tr>
      <w:tr w14:paraId="53E142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2A368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7E28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草皮护坡</w:t>
            </w:r>
          </w:p>
        </w:tc>
        <w:tc>
          <w:tcPr>
            <w:tcW w:w="690" w:type="dxa"/>
            <w:tcBorders>
              <w:tl2br w:val="nil"/>
              <w:tr2bl w:val="nil"/>
            </w:tcBorders>
            <w:shd w:val="clear" w:color="auto" w:fill="auto"/>
            <w:noWrap/>
            <w:vAlign w:val="center"/>
          </w:tcPr>
          <w:p w14:paraId="6D4D8E3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0BB680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2772</w:t>
            </w:r>
          </w:p>
        </w:tc>
        <w:tc>
          <w:tcPr>
            <w:tcW w:w="4496" w:type="dxa"/>
            <w:tcBorders>
              <w:tl2br w:val="nil"/>
              <w:tr2bl w:val="nil"/>
            </w:tcBorders>
            <w:shd w:val="clear" w:color="auto" w:fill="auto"/>
            <w:noWrap/>
            <w:vAlign w:val="center"/>
          </w:tcPr>
          <w:p w14:paraId="04C1746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DC824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694B0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754615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混凝土排水沟</w:t>
            </w:r>
          </w:p>
        </w:tc>
        <w:tc>
          <w:tcPr>
            <w:tcW w:w="690" w:type="dxa"/>
            <w:tcBorders>
              <w:tl2br w:val="nil"/>
              <w:tr2bl w:val="nil"/>
            </w:tcBorders>
            <w:shd w:val="clear" w:color="auto" w:fill="auto"/>
            <w:noWrap/>
            <w:vAlign w:val="center"/>
          </w:tcPr>
          <w:p w14:paraId="09F035C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050EC5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496" w:type="dxa"/>
            <w:tcBorders>
              <w:tl2br w:val="nil"/>
              <w:tr2bl w:val="nil"/>
            </w:tcBorders>
            <w:shd w:val="clear" w:color="auto" w:fill="auto"/>
            <w:noWrap/>
            <w:vAlign w:val="center"/>
          </w:tcPr>
          <w:p w14:paraId="1FFFD89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周边排水沟</w:t>
            </w:r>
          </w:p>
        </w:tc>
      </w:tr>
      <w:tr w14:paraId="1C190F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091D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4C2634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混凝土踏步</w:t>
            </w:r>
          </w:p>
        </w:tc>
        <w:tc>
          <w:tcPr>
            <w:tcW w:w="690" w:type="dxa"/>
            <w:tcBorders>
              <w:tl2br w:val="nil"/>
              <w:tr2bl w:val="nil"/>
            </w:tcBorders>
            <w:shd w:val="clear" w:color="auto" w:fill="auto"/>
            <w:noWrap/>
            <w:vAlign w:val="center"/>
          </w:tcPr>
          <w:p w14:paraId="053EB0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3C32E6E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496" w:type="dxa"/>
            <w:tcBorders>
              <w:tl2br w:val="nil"/>
              <w:tr2bl w:val="nil"/>
            </w:tcBorders>
            <w:shd w:val="clear" w:color="auto" w:fill="auto"/>
            <w:noWrap/>
            <w:vAlign w:val="center"/>
          </w:tcPr>
          <w:p w14:paraId="2F1B1D4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1.5m宽台阶，1个</w:t>
            </w:r>
          </w:p>
        </w:tc>
      </w:tr>
      <w:tr w14:paraId="3F0351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1F526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C79ECA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4483F21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5BF2722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231</w:t>
            </w:r>
          </w:p>
        </w:tc>
        <w:tc>
          <w:tcPr>
            <w:tcW w:w="4496" w:type="dxa"/>
            <w:tcBorders>
              <w:tl2br w:val="nil"/>
              <w:tr2bl w:val="nil"/>
            </w:tcBorders>
            <w:shd w:val="clear" w:color="auto" w:fill="auto"/>
            <w:noWrap/>
            <w:vAlign w:val="center"/>
          </w:tcPr>
          <w:p w14:paraId="3F799FE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w:t>
            </w:r>
          </w:p>
        </w:tc>
      </w:tr>
      <w:tr w14:paraId="41F136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8A7E0D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5AC4E0C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左岸近坝库岸防护</w:t>
            </w:r>
          </w:p>
        </w:tc>
        <w:tc>
          <w:tcPr>
            <w:tcW w:w="690" w:type="dxa"/>
            <w:tcBorders>
              <w:tl2br w:val="nil"/>
              <w:tr2bl w:val="nil"/>
            </w:tcBorders>
            <w:shd w:val="clear" w:color="auto" w:fill="auto"/>
            <w:noWrap/>
            <w:vAlign w:val="center"/>
          </w:tcPr>
          <w:p w14:paraId="4A75515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3AF2A8A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1BA71CA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008E7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940F24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88F9FB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土方填筑</w:t>
            </w:r>
          </w:p>
        </w:tc>
        <w:tc>
          <w:tcPr>
            <w:tcW w:w="690" w:type="dxa"/>
            <w:tcBorders>
              <w:tl2br w:val="nil"/>
              <w:tr2bl w:val="nil"/>
            </w:tcBorders>
            <w:shd w:val="clear" w:color="auto" w:fill="auto"/>
            <w:noWrap/>
            <w:vAlign w:val="center"/>
          </w:tcPr>
          <w:p w14:paraId="082B210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9402D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1381</w:t>
            </w:r>
          </w:p>
        </w:tc>
        <w:tc>
          <w:tcPr>
            <w:tcW w:w="4496" w:type="dxa"/>
            <w:tcBorders>
              <w:tl2br w:val="nil"/>
              <w:tr2bl w:val="nil"/>
            </w:tcBorders>
            <w:shd w:val="clear" w:color="auto" w:fill="auto"/>
            <w:noWrap/>
            <w:vAlign w:val="center"/>
          </w:tcPr>
          <w:p w14:paraId="752C859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压实度96%</w:t>
            </w:r>
          </w:p>
        </w:tc>
      </w:tr>
      <w:tr w14:paraId="446B4B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26A6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1D3958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抛石护脚</w:t>
            </w:r>
          </w:p>
        </w:tc>
        <w:tc>
          <w:tcPr>
            <w:tcW w:w="690" w:type="dxa"/>
            <w:tcBorders>
              <w:tl2br w:val="nil"/>
              <w:tr2bl w:val="nil"/>
            </w:tcBorders>
            <w:shd w:val="clear" w:color="auto" w:fill="auto"/>
            <w:noWrap/>
            <w:vAlign w:val="center"/>
          </w:tcPr>
          <w:p w14:paraId="1D9F3F5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270D59E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158</w:t>
            </w:r>
          </w:p>
        </w:tc>
        <w:tc>
          <w:tcPr>
            <w:tcW w:w="4496" w:type="dxa"/>
            <w:tcBorders>
              <w:tl2br w:val="nil"/>
              <w:tr2bl w:val="nil"/>
            </w:tcBorders>
            <w:shd w:val="clear" w:color="auto" w:fill="auto"/>
            <w:noWrap/>
            <w:vAlign w:val="center"/>
          </w:tcPr>
          <w:p w14:paraId="64F4D23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20cm-40cm</w:t>
            </w:r>
          </w:p>
        </w:tc>
      </w:tr>
      <w:tr w14:paraId="3D51DC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B144F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0A2AFED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C20混凝土脚槽</w:t>
            </w:r>
          </w:p>
        </w:tc>
        <w:tc>
          <w:tcPr>
            <w:tcW w:w="690" w:type="dxa"/>
            <w:tcBorders>
              <w:tl2br w:val="nil"/>
              <w:tr2bl w:val="nil"/>
            </w:tcBorders>
            <w:shd w:val="clear" w:color="auto" w:fill="auto"/>
            <w:noWrap/>
            <w:vAlign w:val="center"/>
          </w:tcPr>
          <w:p w14:paraId="026ABEE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514DCB5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4496" w:type="dxa"/>
            <w:tcBorders>
              <w:tl2br w:val="nil"/>
              <w:tr2bl w:val="nil"/>
            </w:tcBorders>
            <w:shd w:val="clear" w:color="auto" w:fill="auto"/>
            <w:noWrap/>
            <w:vAlign w:val="center"/>
          </w:tcPr>
          <w:p w14:paraId="2CA06E6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0.3m×0.3m</w:t>
            </w:r>
          </w:p>
        </w:tc>
      </w:tr>
      <w:tr w14:paraId="0C9CFD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AAF51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28440F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砂砾石垫层</w:t>
            </w:r>
          </w:p>
        </w:tc>
        <w:tc>
          <w:tcPr>
            <w:tcW w:w="690" w:type="dxa"/>
            <w:tcBorders>
              <w:tl2br w:val="nil"/>
              <w:tr2bl w:val="nil"/>
            </w:tcBorders>
            <w:shd w:val="clear" w:color="auto" w:fill="auto"/>
            <w:noWrap/>
            <w:vAlign w:val="center"/>
          </w:tcPr>
          <w:p w14:paraId="5BFC79F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28110AB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108</w:t>
            </w:r>
          </w:p>
        </w:tc>
        <w:tc>
          <w:tcPr>
            <w:tcW w:w="4496" w:type="dxa"/>
            <w:tcBorders>
              <w:tl2br w:val="nil"/>
              <w:tr2bl w:val="nil"/>
            </w:tcBorders>
            <w:shd w:val="clear" w:color="auto" w:fill="auto"/>
            <w:noWrap/>
            <w:vAlign w:val="center"/>
          </w:tcPr>
          <w:p w14:paraId="04826CD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厚15cm</w:t>
            </w:r>
          </w:p>
        </w:tc>
      </w:tr>
      <w:tr w14:paraId="68F952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038B67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E14401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C20混凝土预制块护坡</w:t>
            </w:r>
          </w:p>
        </w:tc>
        <w:tc>
          <w:tcPr>
            <w:tcW w:w="690" w:type="dxa"/>
            <w:tcBorders>
              <w:tl2br w:val="nil"/>
              <w:tr2bl w:val="nil"/>
            </w:tcBorders>
            <w:shd w:val="clear" w:color="auto" w:fill="auto"/>
            <w:noWrap/>
            <w:vAlign w:val="center"/>
          </w:tcPr>
          <w:p w14:paraId="584F698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7FCA401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94</w:t>
            </w:r>
          </w:p>
        </w:tc>
        <w:tc>
          <w:tcPr>
            <w:tcW w:w="4496" w:type="dxa"/>
            <w:tcBorders>
              <w:tl2br w:val="nil"/>
              <w:tr2bl w:val="nil"/>
            </w:tcBorders>
            <w:shd w:val="clear" w:color="auto" w:fill="auto"/>
            <w:noWrap/>
            <w:vAlign w:val="center"/>
          </w:tcPr>
          <w:p w14:paraId="3DC47EF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厚13cm，C20，六边形预制块</w:t>
            </w:r>
          </w:p>
        </w:tc>
      </w:tr>
      <w:tr w14:paraId="5B8B88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C1019C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color w:val="000000"/>
                <w:kern w:val="0"/>
                <w:sz w:val="21"/>
                <w:szCs w:val="21"/>
                <w:lang w:val="en-US" w:eastAsia="zh-CN" w:bidi="ar"/>
              </w:rPr>
              <w:t>5</w:t>
            </w:r>
          </w:p>
        </w:tc>
        <w:tc>
          <w:tcPr>
            <w:tcW w:w="2360" w:type="dxa"/>
            <w:tcBorders>
              <w:tl2br w:val="nil"/>
              <w:tr2bl w:val="nil"/>
            </w:tcBorders>
            <w:shd w:val="clear" w:color="auto" w:fill="auto"/>
            <w:noWrap/>
            <w:vAlign w:val="center"/>
          </w:tcPr>
          <w:p w14:paraId="74C82D5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右岸近坝库岸防护</w:t>
            </w:r>
          </w:p>
        </w:tc>
        <w:tc>
          <w:tcPr>
            <w:tcW w:w="690" w:type="dxa"/>
            <w:tcBorders>
              <w:tl2br w:val="nil"/>
              <w:tr2bl w:val="nil"/>
            </w:tcBorders>
            <w:shd w:val="clear" w:color="auto" w:fill="auto"/>
            <w:noWrap/>
            <w:vAlign w:val="center"/>
          </w:tcPr>
          <w:p w14:paraId="634252F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7CF23BD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5C69ACD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59C501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523E8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2397C5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土方填筑</w:t>
            </w:r>
          </w:p>
        </w:tc>
        <w:tc>
          <w:tcPr>
            <w:tcW w:w="690" w:type="dxa"/>
            <w:tcBorders>
              <w:tl2br w:val="nil"/>
              <w:tr2bl w:val="nil"/>
            </w:tcBorders>
            <w:shd w:val="clear" w:color="auto" w:fill="auto"/>
            <w:noWrap/>
            <w:vAlign w:val="center"/>
          </w:tcPr>
          <w:p w14:paraId="0466C23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23C0EC0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551</w:t>
            </w:r>
          </w:p>
        </w:tc>
        <w:tc>
          <w:tcPr>
            <w:tcW w:w="4496" w:type="dxa"/>
            <w:tcBorders>
              <w:tl2br w:val="nil"/>
              <w:tr2bl w:val="nil"/>
            </w:tcBorders>
            <w:shd w:val="clear" w:color="auto" w:fill="auto"/>
            <w:noWrap/>
            <w:vAlign w:val="center"/>
          </w:tcPr>
          <w:p w14:paraId="44017A4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压实度96%</w:t>
            </w:r>
          </w:p>
        </w:tc>
      </w:tr>
      <w:tr w14:paraId="65749D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47839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8B97FD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抛石护脚</w:t>
            </w:r>
          </w:p>
        </w:tc>
        <w:tc>
          <w:tcPr>
            <w:tcW w:w="690" w:type="dxa"/>
            <w:tcBorders>
              <w:tl2br w:val="nil"/>
              <w:tr2bl w:val="nil"/>
            </w:tcBorders>
            <w:shd w:val="clear" w:color="auto" w:fill="auto"/>
            <w:noWrap/>
            <w:vAlign w:val="center"/>
          </w:tcPr>
          <w:p w14:paraId="11E5853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74BBF05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158</w:t>
            </w:r>
          </w:p>
        </w:tc>
        <w:tc>
          <w:tcPr>
            <w:tcW w:w="4496" w:type="dxa"/>
            <w:tcBorders>
              <w:tl2br w:val="nil"/>
              <w:tr2bl w:val="nil"/>
            </w:tcBorders>
            <w:shd w:val="clear" w:color="auto" w:fill="auto"/>
            <w:noWrap/>
            <w:vAlign w:val="center"/>
          </w:tcPr>
          <w:p w14:paraId="246C032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20cm-40cm</w:t>
            </w:r>
          </w:p>
        </w:tc>
      </w:tr>
      <w:tr w14:paraId="25F5BF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0BF8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2A29AB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C20混凝土脚槽</w:t>
            </w:r>
          </w:p>
        </w:tc>
        <w:tc>
          <w:tcPr>
            <w:tcW w:w="690" w:type="dxa"/>
            <w:tcBorders>
              <w:tl2br w:val="nil"/>
              <w:tr2bl w:val="nil"/>
            </w:tcBorders>
            <w:shd w:val="clear" w:color="auto" w:fill="auto"/>
            <w:noWrap/>
            <w:vAlign w:val="center"/>
          </w:tcPr>
          <w:p w14:paraId="5CD7645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7D6A1B9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4496" w:type="dxa"/>
            <w:tcBorders>
              <w:tl2br w:val="nil"/>
              <w:tr2bl w:val="nil"/>
            </w:tcBorders>
            <w:shd w:val="clear" w:color="auto" w:fill="auto"/>
            <w:noWrap/>
            <w:vAlign w:val="center"/>
          </w:tcPr>
          <w:p w14:paraId="25E6E1A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0.3m×0.3m</w:t>
            </w:r>
          </w:p>
        </w:tc>
      </w:tr>
      <w:tr w14:paraId="5EC39F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94E1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46F3F9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砂砾石垫层</w:t>
            </w:r>
          </w:p>
        </w:tc>
        <w:tc>
          <w:tcPr>
            <w:tcW w:w="690" w:type="dxa"/>
            <w:tcBorders>
              <w:tl2br w:val="nil"/>
              <w:tr2bl w:val="nil"/>
            </w:tcBorders>
            <w:shd w:val="clear" w:color="auto" w:fill="auto"/>
            <w:noWrap/>
            <w:vAlign w:val="center"/>
          </w:tcPr>
          <w:p w14:paraId="4B8EA76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5996C89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59</w:t>
            </w:r>
          </w:p>
        </w:tc>
        <w:tc>
          <w:tcPr>
            <w:tcW w:w="4496" w:type="dxa"/>
            <w:tcBorders>
              <w:tl2br w:val="nil"/>
              <w:tr2bl w:val="nil"/>
            </w:tcBorders>
            <w:shd w:val="clear" w:color="auto" w:fill="auto"/>
            <w:noWrap/>
            <w:vAlign w:val="center"/>
          </w:tcPr>
          <w:p w14:paraId="51A0F80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厚15cm</w:t>
            </w:r>
          </w:p>
        </w:tc>
      </w:tr>
      <w:tr w14:paraId="2B8632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4B6F6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64BCB0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C20混凝土预制块护坡</w:t>
            </w:r>
          </w:p>
        </w:tc>
        <w:tc>
          <w:tcPr>
            <w:tcW w:w="690" w:type="dxa"/>
            <w:tcBorders>
              <w:tl2br w:val="nil"/>
              <w:tr2bl w:val="nil"/>
            </w:tcBorders>
            <w:shd w:val="clear" w:color="auto" w:fill="auto"/>
            <w:noWrap/>
            <w:vAlign w:val="center"/>
          </w:tcPr>
          <w:p w14:paraId="41A276C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591BD81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51</w:t>
            </w:r>
          </w:p>
        </w:tc>
        <w:tc>
          <w:tcPr>
            <w:tcW w:w="4496" w:type="dxa"/>
            <w:tcBorders>
              <w:tl2br w:val="nil"/>
              <w:tr2bl w:val="nil"/>
            </w:tcBorders>
            <w:shd w:val="clear" w:color="auto" w:fill="auto"/>
            <w:noWrap/>
            <w:vAlign w:val="center"/>
          </w:tcPr>
          <w:p w14:paraId="6F86986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厚13cm，C20，六边形预制块</w:t>
            </w:r>
          </w:p>
        </w:tc>
      </w:tr>
      <w:tr w14:paraId="114B07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2BE47B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color w:val="000000"/>
                <w:kern w:val="0"/>
                <w:sz w:val="21"/>
                <w:szCs w:val="21"/>
                <w:lang w:val="en-US" w:eastAsia="zh-CN" w:bidi="ar"/>
              </w:rPr>
              <w:t>6</w:t>
            </w:r>
          </w:p>
        </w:tc>
        <w:tc>
          <w:tcPr>
            <w:tcW w:w="2360" w:type="dxa"/>
            <w:tcBorders>
              <w:tl2br w:val="nil"/>
              <w:tr2bl w:val="nil"/>
            </w:tcBorders>
            <w:shd w:val="clear" w:color="auto" w:fill="auto"/>
            <w:noWrap/>
            <w:vAlign w:val="center"/>
          </w:tcPr>
          <w:p w14:paraId="44D2917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白蚁防治</w:t>
            </w:r>
          </w:p>
        </w:tc>
        <w:tc>
          <w:tcPr>
            <w:tcW w:w="690" w:type="dxa"/>
            <w:tcBorders>
              <w:tl2br w:val="nil"/>
              <w:tr2bl w:val="nil"/>
            </w:tcBorders>
            <w:shd w:val="clear" w:color="auto" w:fill="auto"/>
            <w:noWrap/>
            <w:vAlign w:val="center"/>
          </w:tcPr>
          <w:p w14:paraId="11E6A18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6D1DAEC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110F4B6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42FDCF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953BBD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2E115B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诱杀坑</w:t>
            </w:r>
          </w:p>
        </w:tc>
        <w:tc>
          <w:tcPr>
            <w:tcW w:w="690" w:type="dxa"/>
            <w:tcBorders>
              <w:tl2br w:val="nil"/>
              <w:tr2bl w:val="nil"/>
            </w:tcBorders>
            <w:shd w:val="clear" w:color="auto" w:fill="auto"/>
            <w:noWrap/>
            <w:vAlign w:val="center"/>
          </w:tcPr>
          <w:p w14:paraId="6231AAE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5BDFCB7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1920</w:t>
            </w:r>
          </w:p>
        </w:tc>
        <w:tc>
          <w:tcPr>
            <w:tcW w:w="4496" w:type="dxa"/>
            <w:tcBorders>
              <w:tl2br w:val="nil"/>
              <w:tr2bl w:val="nil"/>
            </w:tcBorders>
            <w:shd w:val="clear" w:color="auto" w:fill="auto"/>
            <w:noWrap/>
            <w:vAlign w:val="center"/>
          </w:tcPr>
          <w:p w14:paraId="77B2F64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诱杀坑尺寸30×30×25cm</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间距10m，梅花形布置</w:t>
            </w:r>
          </w:p>
        </w:tc>
      </w:tr>
      <w:tr w14:paraId="733CE4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959A8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D82F96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白蚁危害监测</w:t>
            </w:r>
          </w:p>
        </w:tc>
        <w:tc>
          <w:tcPr>
            <w:tcW w:w="690" w:type="dxa"/>
            <w:tcBorders>
              <w:tl2br w:val="nil"/>
              <w:tr2bl w:val="nil"/>
            </w:tcBorders>
            <w:shd w:val="clear" w:color="auto" w:fill="auto"/>
            <w:noWrap/>
            <w:vAlign w:val="center"/>
          </w:tcPr>
          <w:p w14:paraId="34321BE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7B698F5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1152</w:t>
            </w:r>
          </w:p>
        </w:tc>
        <w:tc>
          <w:tcPr>
            <w:tcW w:w="4496" w:type="dxa"/>
            <w:tcBorders>
              <w:tl2br w:val="nil"/>
              <w:tr2bl w:val="nil"/>
            </w:tcBorders>
            <w:shd w:val="clear" w:color="auto" w:fill="auto"/>
            <w:noWrap/>
            <w:vAlign w:val="center"/>
          </w:tcPr>
          <w:p w14:paraId="0715370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17110F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C52E4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49BA714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挖巢</w:t>
            </w:r>
          </w:p>
        </w:tc>
        <w:tc>
          <w:tcPr>
            <w:tcW w:w="690" w:type="dxa"/>
            <w:tcBorders>
              <w:tl2br w:val="nil"/>
              <w:tr2bl w:val="nil"/>
            </w:tcBorders>
            <w:shd w:val="clear" w:color="auto" w:fill="auto"/>
            <w:noWrap/>
            <w:vAlign w:val="center"/>
          </w:tcPr>
          <w:p w14:paraId="6133F1F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巢</w:t>
            </w:r>
          </w:p>
        </w:tc>
        <w:tc>
          <w:tcPr>
            <w:tcW w:w="750" w:type="dxa"/>
            <w:tcBorders>
              <w:tl2br w:val="nil"/>
              <w:tr2bl w:val="nil"/>
            </w:tcBorders>
            <w:shd w:val="clear" w:color="auto" w:fill="auto"/>
            <w:noWrap/>
            <w:vAlign w:val="center"/>
          </w:tcPr>
          <w:p w14:paraId="4F012CE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w:t>
            </w:r>
          </w:p>
        </w:tc>
        <w:tc>
          <w:tcPr>
            <w:tcW w:w="4496" w:type="dxa"/>
            <w:tcBorders>
              <w:tl2br w:val="nil"/>
              <w:tr2bl w:val="nil"/>
            </w:tcBorders>
            <w:shd w:val="clear" w:color="auto" w:fill="auto"/>
            <w:noWrap/>
            <w:vAlign w:val="center"/>
          </w:tcPr>
          <w:p w14:paraId="567A554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730308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7D223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77F2D97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钻孔灌浆</w:t>
            </w:r>
          </w:p>
        </w:tc>
        <w:tc>
          <w:tcPr>
            <w:tcW w:w="690" w:type="dxa"/>
            <w:tcBorders>
              <w:tl2br w:val="nil"/>
              <w:tr2bl w:val="nil"/>
            </w:tcBorders>
            <w:shd w:val="clear" w:color="auto" w:fill="auto"/>
            <w:noWrap/>
            <w:vAlign w:val="center"/>
          </w:tcPr>
          <w:p w14:paraId="1B6D3C2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3C464A7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200</w:t>
            </w:r>
          </w:p>
        </w:tc>
        <w:tc>
          <w:tcPr>
            <w:tcW w:w="4496" w:type="dxa"/>
            <w:tcBorders>
              <w:tl2br w:val="nil"/>
              <w:tr2bl w:val="nil"/>
            </w:tcBorders>
            <w:shd w:val="clear" w:color="auto" w:fill="auto"/>
            <w:noWrap/>
            <w:vAlign w:val="center"/>
          </w:tcPr>
          <w:p w14:paraId="24E7B12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6A14A6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69C3C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8B6ACA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防蚁隔离毒土带</w:t>
            </w:r>
          </w:p>
        </w:tc>
        <w:tc>
          <w:tcPr>
            <w:tcW w:w="690" w:type="dxa"/>
            <w:tcBorders>
              <w:tl2br w:val="nil"/>
              <w:tr2bl w:val="nil"/>
            </w:tcBorders>
            <w:shd w:val="clear" w:color="auto" w:fill="auto"/>
            <w:noWrap/>
            <w:vAlign w:val="center"/>
          </w:tcPr>
          <w:p w14:paraId="2EBDD72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55B0AE6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60</w:t>
            </w:r>
          </w:p>
        </w:tc>
        <w:tc>
          <w:tcPr>
            <w:tcW w:w="4496" w:type="dxa"/>
            <w:tcBorders>
              <w:tl2br w:val="nil"/>
              <w:tr2bl w:val="nil"/>
            </w:tcBorders>
            <w:shd w:val="clear" w:color="auto" w:fill="auto"/>
            <w:noWrap/>
            <w:vAlign w:val="center"/>
          </w:tcPr>
          <w:p w14:paraId="2185275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5935EA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3E7DC45">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color w:val="000000"/>
                <w:kern w:val="0"/>
                <w:sz w:val="21"/>
                <w:szCs w:val="21"/>
                <w:lang w:val="en-US" w:eastAsia="zh-CN" w:bidi="ar"/>
              </w:rPr>
              <w:t>八</w:t>
            </w:r>
          </w:p>
        </w:tc>
        <w:tc>
          <w:tcPr>
            <w:tcW w:w="2360" w:type="dxa"/>
            <w:tcBorders>
              <w:tl2br w:val="nil"/>
              <w:tr2bl w:val="nil"/>
            </w:tcBorders>
            <w:shd w:val="clear" w:color="auto" w:fill="auto"/>
            <w:noWrap/>
            <w:vAlign w:val="center"/>
          </w:tcPr>
          <w:p w14:paraId="22C801B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color w:val="000000"/>
                <w:kern w:val="0"/>
                <w:sz w:val="21"/>
                <w:szCs w:val="21"/>
                <w:lang w:val="en-US" w:eastAsia="zh-CN" w:bidi="ar"/>
              </w:rPr>
              <w:t>1#副坝泄洪闸改造(启闭机房修复)</w:t>
            </w:r>
          </w:p>
        </w:tc>
        <w:tc>
          <w:tcPr>
            <w:tcW w:w="690" w:type="dxa"/>
            <w:tcBorders>
              <w:tl2br w:val="nil"/>
              <w:tr2bl w:val="nil"/>
            </w:tcBorders>
            <w:shd w:val="clear" w:color="auto" w:fill="auto"/>
            <w:noWrap/>
            <w:vAlign w:val="center"/>
          </w:tcPr>
          <w:p w14:paraId="2321367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075C579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18934DA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0E7EF7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45DDF60">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color w:val="000000"/>
                <w:kern w:val="0"/>
                <w:sz w:val="21"/>
                <w:szCs w:val="21"/>
                <w:lang w:val="en-US" w:eastAsia="zh-CN" w:bidi="ar"/>
              </w:rPr>
              <w:t>1</w:t>
            </w:r>
          </w:p>
        </w:tc>
        <w:tc>
          <w:tcPr>
            <w:tcW w:w="2360" w:type="dxa"/>
            <w:tcBorders>
              <w:tl2br w:val="nil"/>
              <w:tr2bl w:val="nil"/>
            </w:tcBorders>
            <w:shd w:val="clear" w:color="auto" w:fill="auto"/>
            <w:noWrap/>
            <w:vAlign w:val="center"/>
          </w:tcPr>
          <w:p w14:paraId="6CCC665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启闭机房混凝土拆除</w:t>
            </w:r>
          </w:p>
        </w:tc>
        <w:tc>
          <w:tcPr>
            <w:tcW w:w="690" w:type="dxa"/>
            <w:tcBorders>
              <w:tl2br w:val="nil"/>
              <w:tr2bl w:val="nil"/>
            </w:tcBorders>
            <w:shd w:val="clear" w:color="auto" w:fill="auto"/>
            <w:noWrap/>
            <w:vAlign w:val="center"/>
          </w:tcPr>
          <w:p w14:paraId="763B291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16177E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10</w:t>
            </w:r>
          </w:p>
        </w:tc>
        <w:tc>
          <w:tcPr>
            <w:tcW w:w="4496" w:type="dxa"/>
            <w:tcBorders>
              <w:tl2br w:val="nil"/>
              <w:tr2bl w:val="nil"/>
            </w:tcBorders>
            <w:shd w:val="clear" w:color="auto" w:fill="auto"/>
            <w:noWrap/>
            <w:vAlign w:val="center"/>
          </w:tcPr>
          <w:p w14:paraId="3C109E3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560D72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9FDA6F6">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color w:val="000000"/>
                <w:kern w:val="0"/>
                <w:sz w:val="21"/>
                <w:szCs w:val="21"/>
                <w:lang w:val="en-US" w:eastAsia="zh-CN" w:bidi="ar"/>
              </w:rPr>
              <w:t>2</w:t>
            </w:r>
          </w:p>
        </w:tc>
        <w:tc>
          <w:tcPr>
            <w:tcW w:w="2360" w:type="dxa"/>
            <w:tcBorders>
              <w:tl2br w:val="nil"/>
              <w:tr2bl w:val="nil"/>
            </w:tcBorders>
            <w:shd w:val="clear" w:color="auto" w:fill="auto"/>
            <w:noWrap/>
            <w:vAlign w:val="center"/>
          </w:tcPr>
          <w:p w14:paraId="19A3E12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启闭机房修复</w:t>
            </w:r>
          </w:p>
        </w:tc>
        <w:tc>
          <w:tcPr>
            <w:tcW w:w="690" w:type="dxa"/>
            <w:tcBorders>
              <w:tl2br w:val="nil"/>
              <w:tr2bl w:val="nil"/>
            </w:tcBorders>
            <w:shd w:val="clear" w:color="auto" w:fill="auto"/>
            <w:noWrap/>
            <w:vAlign w:val="center"/>
          </w:tcPr>
          <w:p w14:paraId="22DFB85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24B46CA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w:t>
            </w:r>
          </w:p>
        </w:tc>
        <w:tc>
          <w:tcPr>
            <w:tcW w:w="4496" w:type="dxa"/>
            <w:tcBorders>
              <w:tl2br w:val="nil"/>
              <w:tr2bl w:val="nil"/>
            </w:tcBorders>
            <w:shd w:val="clear" w:color="auto" w:fill="auto"/>
            <w:noWrap/>
            <w:vAlign w:val="center"/>
          </w:tcPr>
          <w:p w14:paraId="1304E64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含砖墙、门、窗及屋面防水等</w:t>
            </w:r>
          </w:p>
        </w:tc>
      </w:tr>
      <w:tr w14:paraId="66005C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27F1EC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color w:val="000000"/>
                <w:kern w:val="0"/>
                <w:sz w:val="21"/>
                <w:szCs w:val="21"/>
                <w:lang w:val="en-US" w:eastAsia="zh-CN" w:bidi="ar"/>
              </w:rPr>
              <w:t>3</w:t>
            </w:r>
          </w:p>
        </w:tc>
        <w:tc>
          <w:tcPr>
            <w:tcW w:w="2360" w:type="dxa"/>
            <w:tcBorders>
              <w:tl2br w:val="nil"/>
              <w:tr2bl w:val="nil"/>
            </w:tcBorders>
            <w:shd w:val="clear" w:color="auto" w:fill="auto"/>
            <w:noWrap/>
            <w:vAlign w:val="center"/>
          </w:tcPr>
          <w:p w14:paraId="5653939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泄洪闸防渗加固</w:t>
            </w:r>
          </w:p>
        </w:tc>
        <w:tc>
          <w:tcPr>
            <w:tcW w:w="690" w:type="dxa"/>
            <w:tcBorders>
              <w:tl2br w:val="nil"/>
              <w:tr2bl w:val="nil"/>
            </w:tcBorders>
            <w:shd w:val="clear" w:color="auto" w:fill="auto"/>
            <w:noWrap/>
            <w:vAlign w:val="center"/>
          </w:tcPr>
          <w:p w14:paraId="735DED9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756CFE3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73508F9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32A567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B2775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122ED32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充填灌浆钻孔进尺</w:t>
            </w:r>
          </w:p>
        </w:tc>
        <w:tc>
          <w:tcPr>
            <w:tcW w:w="690" w:type="dxa"/>
            <w:tcBorders>
              <w:tl2br w:val="nil"/>
              <w:tr2bl w:val="nil"/>
            </w:tcBorders>
            <w:shd w:val="clear" w:color="auto" w:fill="auto"/>
            <w:noWrap/>
            <w:vAlign w:val="center"/>
          </w:tcPr>
          <w:p w14:paraId="735347D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6700B86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22</w:t>
            </w:r>
          </w:p>
        </w:tc>
        <w:tc>
          <w:tcPr>
            <w:tcW w:w="4496" w:type="dxa"/>
            <w:tcBorders>
              <w:tl2br w:val="nil"/>
              <w:tr2bl w:val="nil"/>
            </w:tcBorders>
            <w:shd w:val="clear" w:color="auto" w:fill="auto"/>
            <w:noWrap/>
            <w:vAlign w:val="center"/>
          </w:tcPr>
          <w:p w14:paraId="5DEB56B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混凝土内钻孔，间距1.5m，排距0.8m，2排</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含封孔</w:t>
            </w:r>
          </w:p>
        </w:tc>
      </w:tr>
      <w:tr w14:paraId="682D71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44BBB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614629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充填灌浆钻孔进尺</w:t>
            </w:r>
          </w:p>
        </w:tc>
        <w:tc>
          <w:tcPr>
            <w:tcW w:w="690" w:type="dxa"/>
            <w:tcBorders>
              <w:tl2br w:val="nil"/>
              <w:tr2bl w:val="nil"/>
            </w:tcBorders>
            <w:shd w:val="clear" w:color="auto" w:fill="auto"/>
            <w:noWrap/>
            <w:vAlign w:val="center"/>
          </w:tcPr>
          <w:p w14:paraId="7BD6F66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41844D2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625</w:t>
            </w:r>
          </w:p>
        </w:tc>
        <w:tc>
          <w:tcPr>
            <w:tcW w:w="4496" w:type="dxa"/>
            <w:tcBorders>
              <w:tl2br w:val="nil"/>
              <w:tr2bl w:val="nil"/>
            </w:tcBorders>
            <w:shd w:val="clear" w:color="auto" w:fill="auto"/>
            <w:noWrap/>
            <w:vAlign w:val="center"/>
          </w:tcPr>
          <w:p w14:paraId="4296DEF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粘土内钻孔，间距1.5m，排距0.8m，2排</w:t>
            </w:r>
          </w:p>
        </w:tc>
      </w:tr>
      <w:tr w14:paraId="1CFF50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A9F4E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60F934D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充填灌浆进尺</w:t>
            </w:r>
          </w:p>
        </w:tc>
        <w:tc>
          <w:tcPr>
            <w:tcW w:w="690" w:type="dxa"/>
            <w:tcBorders>
              <w:tl2br w:val="nil"/>
              <w:tr2bl w:val="nil"/>
            </w:tcBorders>
            <w:shd w:val="clear" w:color="auto" w:fill="auto"/>
            <w:noWrap/>
            <w:vAlign w:val="center"/>
          </w:tcPr>
          <w:p w14:paraId="357D850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7FB2B8D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625</w:t>
            </w:r>
          </w:p>
        </w:tc>
        <w:tc>
          <w:tcPr>
            <w:tcW w:w="4496" w:type="dxa"/>
            <w:tcBorders>
              <w:tl2br w:val="nil"/>
              <w:tr2bl w:val="nil"/>
            </w:tcBorders>
            <w:shd w:val="clear" w:color="auto" w:fill="auto"/>
            <w:noWrap/>
            <w:vAlign w:val="center"/>
          </w:tcPr>
          <w:p w14:paraId="79318A0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充填水泥粘土浆，间距1.5m，排距0.8m，2排</w:t>
            </w:r>
          </w:p>
        </w:tc>
      </w:tr>
      <w:tr w14:paraId="5E885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EC700A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36153BA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浆砌块石拆除</w:t>
            </w:r>
          </w:p>
        </w:tc>
        <w:tc>
          <w:tcPr>
            <w:tcW w:w="690" w:type="dxa"/>
            <w:tcBorders>
              <w:tl2br w:val="nil"/>
              <w:tr2bl w:val="nil"/>
            </w:tcBorders>
            <w:shd w:val="clear" w:color="auto" w:fill="auto"/>
            <w:noWrap/>
            <w:vAlign w:val="center"/>
          </w:tcPr>
          <w:p w14:paraId="1216DEB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3EAE10E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32</w:t>
            </w:r>
          </w:p>
        </w:tc>
        <w:tc>
          <w:tcPr>
            <w:tcW w:w="4496" w:type="dxa"/>
            <w:tcBorders>
              <w:tl2br w:val="nil"/>
              <w:tr2bl w:val="nil"/>
            </w:tcBorders>
            <w:shd w:val="clear" w:color="auto" w:fill="auto"/>
            <w:noWrap/>
            <w:vAlign w:val="center"/>
          </w:tcPr>
          <w:p w14:paraId="4A96114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消力坎下游连接段底板</w:t>
            </w:r>
          </w:p>
        </w:tc>
      </w:tr>
      <w:tr w14:paraId="55E000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D27EA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3D08BA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浆砌块石</w:t>
            </w:r>
          </w:p>
        </w:tc>
        <w:tc>
          <w:tcPr>
            <w:tcW w:w="690" w:type="dxa"/>
            <w:tcBorders>
              <w:tl2br w:val="nil"/>
              <w:tr2bl w:val="nil"/>
            </w:tcBorders>
            <w:shd w:val="clear" w:color="auto" w:fill="auto"/>
            <w:noWrap/>
            <w:vAlign w:val="center"/>
          </w:tcPr>
          <w:p w14:paraId="63F3E04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415EEAB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32</w:t>
            </w:r>
          </w:p>
        </w:tc>
        <w:tc>
          <w:tcPr>
            <w:tcW w:w="4496" w:type="dxa"/>
            <w:tcBorders>
              <w:tl2br w:val="nil"/>
              <w:tr2bl w:val="nil"/>
            </w:tcBorders>
            <w:shd w:val="clear" w:color="auto" w:fill="auto"/>
            <w:noWrap/>
            <w:vAlign w:val="center"/>
          </w:tcPr>
          <w:p w14:paraId="5C3359F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粒径20cm-40cm，M10</w:t>
            </w:r>
          </w:p>
        </w:tc>
      </w:tr>
      <w:tr w14:paraId="20D9D7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6E6BA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54FBFAC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砂砾石反滤层</w:t>
            </w:r>
          </w:p>
        </w:tc>
        <w:tc>
          <w:tcPr>
            <w:tcW w:w="690" w:type="dxa"/>
            <w:tcBorders>
              <w:tl2br w:val="nil"/>
              <w:tr2bl w:val="nil"/>
            </w:tcBorders>
            <w:shd w:val="clear" w:color="auto" w:fill="auto"/>
            <w:noWrap/>
            <w:vAlign w:val="center"/>
          </w:tcPr>
          <w:p w14:paraId="1DC8448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69CECF4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13</w:t>
            </w:r>
          </w:p>
        </w:tc>
        <w:tc>
          <w:tcPr>
            <w:tcW w:w="4496" w:type="dxa"/>
            <w:tcBorders>
              <w:tl2br w:val="nil"/>
              <w:tr2bl w:val="nil"/>
            </w:tcBorders>
            <w:shd w:val="clear" w:color="auto" w:fill="auto"/>
            <w:noWrap/>
            <w:vAlign w:val="center"/>
          </w:tcPr>
          <w:p w14:paraId="0447FAD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厚20cm，粒径0.2mm-2mm</w:t>
            </w:r>
          </w:p>
        </w:tc>
      </w:tr>
      <w:tr w14:paraId="11A3EF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D3DE2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2360" w:type="dxa"/>
            <w:tcBorders>
              <w:tl2br w:val="nil"/>
              <w:tr2bl w:val="nil"/>
            </w:tcBorders>
            <w:shd w:val="clear" w:color="auto" w:fill="auto"/>
            <w:noWrap/>
            <w:vAlign w:val="center"/>
          </w:tcPr>
          <w:p w14:paraId="2F89A8F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碎石反滤层</w:t>
            </w:r>
          </w:p>
        </w:tc>
        <w:tc>
          <w:tcPr>
            <w:tcW w:w="690" w:type="dxa"/>
            <w:tcBorders>
              <w:tl2br w:val="nil"/>
              <w:tr2bl w:val="nil"/>
            </w:tcBorders>
            <w:shd w:val="clear" w:color="auto" w:fill="auto"/>
            <w:noWrap/>
            <w:vAlign w:val="center"/>
          </w:tcPr>
          <w:p w14:paraId="5DFE190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182D391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13</w:t>
            </w:r>
          </w:p>
        </w:tc>
        <w:tc>
          <w:tcPr>
            <w:tcW w:w="4496" w:type="dxa"/>
            <w:tcBorders>
              <w:tl2br w:val="nil"/>
              <w:tr2bl w:val="nil"/>
            </w:tcBorders>
            <w:shd w:val="clear" w:color="auto" w:fill="auto"/>
            <w:noWrap/>
            <w:vAlign w:val="center"/>
          </w:tcPr>
          <w:p w14:paraId="4290FCD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厚20cm，粒径5mm-40mm</w:t>
            </w:r>
          </w:p>
        </w:tc>
      </w:tr>
      <w:tr w14:paraId="4045F2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8277ADC">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color w:val="000000"/>
                <w:kern w:val="0"/>
                <w:sz w:val="21"/>
                <w:szCs w:val="21"/>
                <w:lang w:val="en-US" w:eastAsia="zh-CN" w:bidi="ar"/>
              </w:rPr>
              <w:t>九</w:t>
            </w:r>
          </w:p>
        </w:tc>
        <w:tc>
          <w:tcPr>
            <w:tcW w:w="2360" w:type="dxa"/>
            <w:tcBorders>
              <w:tl2br w:val="nil"/>
              <w:tr2bl w:val="nil"/>
            </w:tcBorders>
            <w:shd w:val="clear" w:color="auto" w:fill="auto"/>
            <w:noWrap/>
            <w:vAlign w:val="center"/>
          </w:tcPr>
          <w:p w14:paraId="13A10A2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color w:val="000000"/>
                <w:kern w:val="0"/>
                <w:sz w:val="21"/>
                <w:szCs w:val="21"/>
                <w:lang w:val="en-US" w:eastAsia="zh-CN" w:bidi="ar"/>
              </w:rPr>
              <w:t>4#副坝进水涵拆除重建</w:t>
            </w:r>
          </w:p>
        </w:tc>
        <w:tc>
          <w:tcPr>
            <w:tcW w:w="690" w:type="dxa"/>
            <w:tcBorders>
              <w:tl2br w:val="nil"/>
              <w:tr2bl w:val="nil"/>
            </w:tcBorders>
            <w:shd w:val="clear" w:color="auto" w:fill="auto"/>
            <w:noWrap/>
            <w:vAlign w:val="center"/>
          </w:tcPr>
          <w:p w14:paraId="35D6816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7759136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3826B80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538D42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DC53AA4">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w:t>
            </w:r>
          </w:p>
        </w:tc>
        <w:tc>
          <w:tcPr>
            <w:tcW w:w="2360" w:type="dxa"/>
            <w:tcBorders>
              <w:tl2br w:val="nil"/>
              <w:tr2bl w:val="nil"/>
            </w:tcBorders>
            <w:shd w:val="clear" w:color="auto" w:fill="auto"/>
            <w:noWrap/>
            <w:vAlign w:val="center"/>
          </w:tcPr>
          <w:p w14:paraId="3A1882E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土方开挖</w:t>
            </w:r>
          </w:p>
        </w:tc>
        <w:tc>
          <w:tcPr>
            <w:tcW w:w="690" w:type="dxa"/>
            <w:tcBorders>
              <w:tl2br w:val="nil"/>
              <w:tr2bl w:val="nil"/>
            </w:tcBorders>
            <w:shd w:val="clear" w:color="auto" w:fill="auto"/>
            <w:noWrap/>
            <w:vAlign w:val="center"/>
          </w:tcPr>
          <w:p w14:paraId="0F5A7DC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3032899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775</w:t>
            </w:r>
          </w:p>
        </w:tc>
        <w:tc>
          <w:tcPr>
            <w:tcW w:w="4496" w:type="dxa"/>
            <w:tcBorders>
              <w:tl2br w:val="nil"/>
              <w:tr2bl w:val="nil"/>
            </w:tcBorders>
            <w:shd w:val="clear" w:color="auto" w:fill="auto"/>
            <w:noWrap/>
            <w:vAlign w:val="center"/>
          </w:tcPr>
          <w:p w14:paraId="642261E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原进水涵拆除</w:t>
            </w:r>
          </w:p>
        </w:tc>
      </w:tr>
      <w:tr w14:paraId="157883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7F8C0E7">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w:t>
            </w:r>
          </w:p>
        </w:tc>
        <w:tc>
          <w:tcPr>
            <w:tcW w:w="2360" w:type="dxa"/>
            <w:tcBorders>
              <w:tl2br w:val="nil"/>
              <w:tr2bl w:val="nil"/>
            </w:tcBorders>
            <w:shd w:val="clear" w:color="auto" w:fill="auto"/>
            <w:noWrap/>
            <w:vAlign w:val="center"/>
          </w:tcPr>
          <w:p w14:paraId="72FE838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土方回填</w:t>
            </w:r>
          </w:p>
        </w:tc>
        <w:tc>
          <w:tcPr>
            <w:tcW w:w="690" w:type="dxa"/>
            <w:tcBorders>
              <w:tl2br w:val="nil"/>
              <w:tr2bl w:val="nil"/>
            </w:tcBorders>
            <w:shd w:val="clear" w:color="auto" w:fill="auto"/>
            <w:noWrap/>
            <w:vAlign w:val="center"/>
          </w:tcPr>
          <w:p w14:paraId="306B5F4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3A98F70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2033</w:t>
            </w:r>
          </w:p>
        </w:tc>
        <w:tc>
          <w:tcPr>
            <w:tcW w:w="4496" w:type="dxa"/>
            <w:tcBorders>
              <w:tl2br w:val="nil"/>
              <w:tr2bl w:val="nil"/>
            </w:tcBorders>
            <w:shd w:val="clear" w:color="auto" w:fill="auto"/>
            <w:noWrap/>
            <w:vAlign w:val="center"/>
          </w:tcPr>
          <w:p w14:paraId="75F8DCF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原进水涵拆除，压实度96%</w:t>
            </w:r>
          </w:p>
        </w:tc>
      </w:tr>
      <w:tr w14:paraId="782434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AD6F28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w:t>
            </w:r>
          </w:p>
        </w:tc>
        <w:tc>
          <w:tcPr>
            <w:tcW w:w="2360" w:type="dxa"/>
            <w:tcBorders>
              <w:tl2br w:val="nil"/>
              <w:tr2bl w:val="nil"/>
            </w:tcBorders>
            <w:shd w:val="clear" w:color="auto" w:fill="auto"/>
            <w:noWrap/>
            <w:vAlign w:val="center"/>
          </w:tcPr>
          <w:p w14:paraId="55C0B15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钢筋混凝土拆除</w:t>
            </w:r>
          </w:p>
        </w:tc>
        <w:tc>
          <w:tcPr>
            <w:tcW w:w="690" w:type="dxa"/>
            <w:tcBorders>
              <w:tl2br w:val="nil"/>
              <w:tr2bl w:val="nil"/>
            </w:tcBorders>
            <w:shd w:val="clear" w:color="auto" w:fill="auto"/>
            <w:noWrap/>
            <w:vAlign w:val="center"/>
          </w:tcPr>
          <w:p w14:paraId="16E0273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3C7C348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360</w:t>
            </w:r>
          </w:p>
        </w:tc>
        <w:tc>
          <w:tcPr>
            <w:tcW w:w="4496" w:type="dxa"/>
            <w:tcBorders>
              <w:tl2br w:val="nil"/>
              <w:tr2bl w:val="nil"/>
            </w:tcBorders>
            <w:shd w:val="clear" w:color="auto" w:fill="auto"/>
            <w:noWrap/>
            <w:vAlign w:val="center"/>
          </w:tcPr>
          <w:p w14:paraId="1DBC76B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原进水涵拆除</w:t>
            </w:r>
          </w:p>
        </w:tc>
      </w:tr>
      <w:tr w14:paraId="4CAD6A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0DF94F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2360" w:type="dxa"/>
            <w:tcBorders>
              <w:tl2br w:val="nil"/>
              <w:tr2bl w:val="nil"/>
            </w:tcBorders>
            <w:shd w:val="clear" w:color="auto" w:fill="auto"/>
            <w:noWrap/>
            <w:vAlign w:val="center"/>
          </w:tcPr>
          <w:p w14:paraId="6AC529D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土方开挖</w:t>
            </w:r>
          </w:p>
        </w:tc>
        <w:tc>
          <w:tcPr>
            <w:tcW w:w="690" w:type="dxa"/>
            <w:tcBorders>
              <w:tl2br w:val="nil"/>
              <w:tr2bl w:val="nil"/>
            </w:tcBorders>
            <w:shd w:val="clear" w:color="auto" w:fill="auto"/>
            <w:noWrap/>
            <w:vAlign w:val="center"/>
          </w:tcPr>
          <w:p w14:paraId="7C601CC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15A8869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1993</w:t>
            </w:r>
          </w:p>
        </w:tc>
        <w:tc>
          <w:tcPr>
            <w:tcW w:w="4496" w:type="dxa"/>
            <w:tcBorders>
              <w:tl2br w:val="nil"/>
              <w:tr2bl w:val="nil"/>
            </w:tcBorders>
            <w:shd w:val="clear" w:color="auto" w:fill="auto"/>
            <w:noWrap/>
            <w:vAlign w:val="center"/>
          </w:tcPr>
          <w:p w14:paraId="7AA7B7A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新建进水涵</w:t>
            </w:r>
          </w:p>
        </w:tc>
      </w:tr>
      <w:tr w14:paraId="39C924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B2147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2360" w:type="dxa"/>
            <w:tcBorders>
              <w:tl2br w:val="nil"/>
              <w:tr2bl w:val="nil"/>
            </w:tcBorders>
            <w:shd w:val="clear" w:color="auto" w:fill="auto"/>
            <w:noWrap/>
            <w:vAlign w:val="center"/>
          </w:tcPr>
          <w:p w14:paraId="6E7FB74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土方回填</w:t>
            </w:r>
          </w:p>
        </w:tc>
        <w:tc>
          <w:tcPr>
            <w:tcW w:w="690" w:type="dxa"/>
            <w:tcBorders>
              <w:tl2br w:val="nil"/>
              <w:tr2bl w:val="nil"/>
            </w:tcBorders>
            <w:shd w:val="clear" w:color="auto" w:fill="auto"/>
            <w:noWrap/>
            <w:vAlign w:val="center"/>
          </w:tcPr>
          <w:p w14:paraId="6FFF81B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42C9CCA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760</w:t>
            </w:r>
          </w:p>
        </w:tc>
        <w:tc>
          <w:tcPr>
            <w:tcW w:w="4496" w:type="dxa"/>
            <w:tcBorders>
              <w:tl2br w:val="nil"/>
              <w:tr2bl w:val="nil"/>
            </w:tcBorders>
            <w:shd w:val="clear" w:color="auto" w:fill="auto"/>
            <w:noWrap/>
            <w:vAlign w:val="center"/>
          </w:tcPr>
          <w:p w14:paraId="14F158E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新建进水涵，压实度96%</w:t>
            </w:r>
          </w:p>
        </w:tc>
      </w:tr>
      <w:tr w14:paraId="26F1EE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9BFA51E">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6</w:t>
            </w:r>
          </w:p>
        </w:tc>
        <w:tc>
          <w:tcPr>
            <w:tcW w:w="2360" w:type="dxa"/>
            <w:tcBorders>
              <w:tl2br w:val="nil"/>
              <w:tr2bl w:val="nil"/>
            </w:tcBorders>
            <w:shd w:val="clear" w:color="auto" w:fill="auto"/>
            <w:noWrap/>
            <w:vAlign w:val="center"/>
          </w:tcPr>
          <w:p w14:paraId="7B9EABF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新建箱涵混凝土</w:t>
            </w:r>
          </w:p>
        </w:tc>
        <w:tc>
          <w:tcPr>
            <w:tcW w:w="690" w:type="dxa"/>
            <w:tcBorders>
              <w:tl2br w:val="nil"/>
              <w:tr2bl w:val="nil"/>
            </w:tcBorders>
            <w:shd w:val="clear" w:color="auto" w:fill="auto"/>
            <w:noWrap/>
            <w:vAlign w:val="center"/>
          </w:tcPr>
          <w:p w14:paraId="6B2AD80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502C7F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158</w:t>
            </w:r>
          </w:p>
        </w:tc>
        <w:tc>
          <w:tcPr>
            <w:tcW w:w="4496" w:type="dxa"/>
            <w:tcBorders>
              <w:tl2br w:val="nil"/>
              <w:tr2bl w:val="nil"/>
            </w:tcBorders>
            <w:shd w:val="clear" w:color="auto" w:fill="auto"/>
            <w:noWrap/>
            <w:vAlign w:val="center"/>
          </w:tcPr>
          <w:p w14:paraId="14DA6BC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w:t>
            </w:r>
          </w:p>
        </w:tc>
      </w:tr>
      <w:tr w14:paraId="7EB528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DA5713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7</w:t>
            </w:r>
          </w:p>
        </w:tc>
        <w:tc>
          <w:tcPr>
            <w:tcW w:w="2360" w:type="dxa"/>
            <w:tcBorders>
              <w:tl2br w:val="nil"/>
              <w:tr2bl w:val="nil"/>
            </w:tcBorders>
            <w:shd w:val="clear" w:color="auto" w:fill="auto"/>
            <w:noWrap/>
            <w:vAlign w:val="center"/>
          </w:tcPr>
          <w:p w14:paraId="68D09D1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水泥搅拌桩</w:t>
            </w:r>
          </w:p>
        </w:tc>
        <w:tc>
          <w:tcPr>
            <w:tcW w:w="690" w:type="dxa"/>
            <w:tcBorders>
              <w:tl2br w:val="nil"/>
              <w:tr2bl w:val="nil"/>
            </w:tcBorders>
            <w:shd w:val="clear" w:color="auto" w:fill="auto"/>
            <w:noWrap/>
            <w:vAlign w:val="center"/>
          </w:tcPr>
          <w:p w14:paraId="06DA1C1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33CBEF4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3749</w:t>
            </w:r>
          </w:p>
        </w:tc>
        <w:tc>
          <w:tcPr>
            <w:tcW w:w="4496" w:type="dxa"/>
            <w:tcBorders>
              <w:tl2br w:val="nil"/>
              <w:tr2bl w:val="nil"/>
            </w:tcBorders>
            <w:shd w:val="clear" w:color="auto" w:fill="auto"/>
            <w:noWrap/>
            <w:vAlign w:val="center"/>
          </w:tcPr>
          <w:p w14:paraId="68550A4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直径D600mm</w:t>
            </w:r>
          </w:p>
        </w:tc>
      </w:tr>
      <w:tr w14:paraId="59AB9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C8ABACF">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8</w:t>
            </w:r>
          </w:p>
        </w:tc>
        <w:tc>
          <w:tcPr>
            <w:tcW w:w="2360" w:type="dxa"/>
            <w:tcBorders>
              <w:tl2br w:val="nil"/>
              <w:tr2bl w:val="nil"/>
            </w:tcBorders>
            <w:shd w:val="clear" w:color="auto" w:fill="auto"/>
            <w:noWrap/>
            <w:vAlign w:val="center"/>
          </w:tcPr>
          <w:p w14:paraId="086ACB7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闸室及启闭机房混凝土</w:t>
            </w:r>
          </w:p>
        </w:tc>
        <w:tc>
          <w:tcPr>
            <w:tcW w:w="690" w:type="dxa"/>
            <w:tcBorders>
              <w:tl2br w:val="nil"/>
              <w:tr2bl w:val="nil"/>
            </w:tcBorders>
            <w:shd w:val="clear" w:color="auto" w:fill="auto"/>
            <w:noWrap/>
            <w:vAlign w:val="center"/>
          </w:tcPr>
          <w:p w14:paraId="410B662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7E4CFE1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66</w:t>
            </w:r>
          </w:p>
        </w:tc>
        <w:tc>
          <w:tcPr>
            <w:tcW w:w="4496" w:type="dxa"/>
            <w:tcBorders>
              <w:tl2br w:val="nil"/>
              <w:tr2bl w:val="nil"/>
            </w:tcBorders>
            <w:shd w:val="clear" w:color="auto" w:fill="auto"/>
            <w:noWrap/>
            <w:vAlign w:val="center"/>
          </w:tcPr>
          <w:p w14:paraId="45357A2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w:t>
            </w:r>
          </w:p>
        </w:tc>
      </w:tr>
      <w:tr w14:paraId="5918FE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587E9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9</w:t>
            </w:r>
          </w:p>
        </w:tc>
        <w:tc>
          <w:tcPr>
            <w:tcW w:w="2360" w:type="dxa"/>
            <w:tcBorders>
              <w:tl2br w:val="nil"/>
              <w:tr2bl w:val="nil"/>
            </w:tcBorders>
            <w:shd w:val="clear" w:color="auto" w:fill="auto"/>
            <w:noWrap/>
            <w:vAlign w:val="center"/>
          </w:tcPr>
          <w:p w14:paraId="7A2A32D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二期混凝土</w:t>
            </w:r>
          </w:p>
        </w:tc>
        <w:tc>
          <w:tcPr>
            <w:tcW w:w="690" w:type="dxa"/>
            <w:tcBorders>
              <w:tl2br w:val="nil"/>
              <w:tr2bl w:val="nil"/>
            </w:tcBorders>
            <w:shd w:val="clear" w:color="auto" w:fill="auto"/>
            <w:noWrap/>
            <w:vAlign w:val="center"/>
          </w:tcPr>
          <w:p w14:paraId="5FC689F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683F9FF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4496" w:type="dxa"/>
            <w:tcBorders>
              <w:tl2br w:val="nil"/>
              <w:tr2bl w:val="nil"/>
            </w:tcBorders>
            <w:shd w:val="clear" w:color="auto" w:fill="auto"/>
            <w:noWrap/>
            <w:vAlign w:val="center"/>
          </w:tcPr>
          <w:p w14:paraId="6412AE1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C30</w:t>
            </w:r>
          </w:p>
        </w:tc>
      </w:tr>
      <w:tr w14:paraId="257C1D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F4DCB5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10</w:t>
            </w:r>
          </w:p>
        </w:tc>
        <w:tc>
          <w:tcPr>
            <w:tcW w:w="2360" w:type="dxa"/>
            <w:tcBorders>
              <w:tl2br w:val="nil"/>
              <w:tr2bl w:val="nil"/>
            </w:tcBorders>
            <w:shd w:val="clear" w:color="auto" w:fill="auto"/>
            <w:noWrap/>
            <w:vAlign w:val="center"/>
          </w:tcPr>
          <w:p w14:paraId="10FECE5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进水池混凝土</w:t>
            </w:r>
          </w:p>
        </w:tc>
        <w:tc>
          <w:tcPr>
            <w:tcW w:w="690" w:type="dxa"/>
            <w:tcBorders>
              <w:tl2br w:val="nil"/>
              <w:tr2bl w:val="nil"/>
            </w:tcBorders>
            <w:shd w:val="clear" w:color="auto" w:fill="auto"/>
            <w:noWrap/>
            <w:vAlign w:val="center"/>
          </w:tcPr>
          <w:p w14:paraId="0149DFC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640C01B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224</w:t>
            </w:r>
          </w:p>
        </w:tc>
        <w:tc>
          <w:tcPr>
            <w:tcW w:w="4496" w:type="dxa"/>
            <w:tcBorders>
              <w:tl2br w:val="nil"/>
              <w:tr2bl w:val="nil"/>
            </w:tcBorders>
            <w:shd w:val="clear" w:color="auto" w:fill="auto"/>
            <w:noWrap/>
            <w:vAlign w:val="center"/>
          </w:tcPr>
          <w:p w14:paraId="04B9937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C25(包括重力式挡墙)</w:t>
            </w:r>
          </w:p>
        </w:tc>
      </w:tr>
      <w:tr w14:paraId="6DCB2B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468C57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360" w:type="dxa"/>
            <w:tcBorders>
              <w:tl2br w:val="nil"/>
              <w:tr2bl w:val="nil"/>
            </w:tcBorders>
            <w:shd w:val="clear" w:color="auto" w:fill="auto"/>
            <w:noWrap/>
            <w:vAlign w:val="center"/>
          </w:tcPr>
          <w:p w14:paraId="468249E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消力池混凝土</w:t>
            </w:r>
          </w:p>
        </w:tc>
        <w:tc>
          <w:tcPr>
            <w:tcW w:w="690" w:type="dxa"/>
            <w:tcBorders>
              <w:tl2br w:val="nil"/>
              <w:tr2bl w:val="nil"/>
            </w:tcBorders>
            <w:shd w:val="clear" w:color="auto" w:fill="auto"/>
            <w:noWrap/>
            <w:vAlign w:val="center"/>
          </w:tcPr>
          <w:p w14:paraId="3DD6698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05C8BA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496" w:type="dxa"/>
            <w:tcBorders>
              <w:tl2br w:val="nil"/>
              <w:tr2bl w:val="nil"/>
            </w:tcBorders>
            <w:shd w:val="clear" w:color="auto" w:fill="auto"/>
            <w:noWrap/>
            <w:vAlign w:val="center"/>
          </w:tcPr>
          <w:p w14:paraId="7AB2DCC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6CDBC3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776493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360" w:type="dxa"/>
            <w:tcBorders>
              <w:tl2br w:val="nil"/>
              <w:tr2bl w:val="nil"/>
            </w:tcBorders>
            <w:shd w:val="clear" w:color="auto" w:fill="auto"/>
            <w:noWrap/>
            <w:vAlign w:val="center"/>
          </w:tcPr>
          <w:p w14:paraId="4FB4474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楼梯及基座混凝土</w:t>
            </w:r>
          </w:p>
        </w:tc>
        <w:tc>
          <w:tcPr>
            <w:tcW w:w="690" w:type="dxa"/>
            <w:tcBorders>
              <w:tl2br w:val="nil"/>
              <w:tr2bl w:val="nil"/>
            </w:tcBorders>
            <w:shd w:val="clear" w:color="auto" w:fill="auto"/>
            <w:noWrap/>
            <w:vAlign w:val="center"/>
          </w:tcPr>
          <w:p w14:paraId="36369D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FCA54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610C13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0D5845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1092A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2360" w:type="dxa"/>
            <w:tcBorders>
              <w:tl2br w:val="nil"/>
              <w:tr2bl w:val="nil"/>
            </w:tcBorders>
            <w:shd w:val="clear" w:color="auto" w:fill="auto"/>
            <w:noWrap/>
            <w:vAlign w:val="center"/>
          </w:tcPr>
          <w:p w14:paraId="37EF4B4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垫层混凝土</w:t>
            </w:r>
          </w:p>
        </w:tc>
        <w:tc>
          <w:tcPr>
            <w:tcW w:w="690" w:type="dxa"/>
            <w:tcBorders>
              <w:tl2br w:val="nil"/>
              <w:tr2bl w:val="nil"/>
            </w:tcBorders>
            <w:shd w:val="clear" w:color="auto" w:fill="auto"/>
            <w:noWrap/>
            <w:vAlign w:val="center"/>
          </w:tcPr>
          <w:p w14:paraId="0F16842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961DEB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496" w:type="dxa"/>
            <w:tcBorders>
              <w:tl2br w:val="nil"/>
              <w:tr2bl w:val="nil"/>
            </w:tcBorders>
            <w:shd w:val="clear" w:color="auto" w:fill="auto"/>
            <w:noWrap/>
            <w:vAlign w:val="center"/>
          </w:tcPr>
          <w:p w14:paraId="53A557D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C15、厚10cm</w:t>
            </w:r>
          </w:p>
        </w:tc>
      </w:tr>
      <w:tr w14:paraId="76383C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DA44F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2360" w:type="dxa"/>
            <w:tcBorders>
              <w:tl2br w:val="nil"/>
              <w:tr2bl w:val="nil"/>
            </w:tcBorders>
            <w:shd w:val="clear" w:color="auto" w:fill="auto"/>
            <w:noWrap/>
            <w:vAlign w:val="center"/>
          </w:tcPr>
          <w:p w14:paraId="2752CB6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干砌块石护底</w:t>
            </w:r>
          </w:p>
        </w:tc>
        <w:tc>
          <w:tcPr>
            <w:tcW w:w="690" w:type="dxa"/>
            <w:tcBorders>
              <w:tl2br w:val="nil"/>
              <w:tr2bl w:val="nil"/>
            </w:tcBorders>
            <w:shd w:val="clear" w:color="auto" w:fill="auto"/>
            <w:noWrap/>
            <w:vAlign w:val="center"/>
          </w:tcPr>
          <w:p w14:paraId="654FA0A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748643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496" w:type="dxa"/>
            <w:tcBorders>
              <w:tl2br w:val="nil"/>
              <w:tr2bl w:val="nil"/>
            </w:tcBorders>
            <w:shd w:val="clear" w:color="auto" w:fill="auto"/>
            <w:noWrap/>
            <w:vAlign w:val="center"/>
          </w:tcPr>
          <w:p w14:paraId="59954CC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石料粒径不小于15cm，块石容重&gt;26kN/m³.饱和抗压强度&gt;30MPa，软化</w:t>
            </w:r>
            <w:r>
              <w:rPr>
                <w:rStyle w:val="91"/>
                <w:rFonts w:hint="default" w:ascii="Times New Roman" w:hAnsi="Times New Roman" w:eastAsia="宋体" w:cs="Times New Roman"/>
                <w:sz w:val="21"/>
                <w:szCs w:val="21"/>
                <w:lang w:val="en-US" w:eastAsia="zh-CN" w:bidi="ar"/>
              </w:rPr>
              <w:t>系数不小于0.70</w:t>
            </w:r>
          </w:p>
        </w:tc>
      </w:tr>
      <w:tr w14:paraId="493E60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1FA645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360" w:type="dxa"/>
            <w:tcBorders>
              <w:tl2br w:val="nil"/>
              <w:tr2bl w:val="nil"/>
            </w:tcBorders>
            <w:shd w:val="clear" w:color="auto" w:fill="auto"/>
            <w:noWrap/>
            <w:vAlign w:val="center"/>
          </w:tcPr>
          <w:p w14:paraId="0DE92E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砂砾垫层</w:t>
            </w:r>
          </w:p>
        </w:tc>
        <w:tc>
          <w:tcPr>
            <w:tcW w:w="690" w:type="dxa"/>
            <w:tcBorders>
              <w:tl2br w:val="nil"/>
              <w:tr2bl w:val="nil"/>
            </w:tcBorders>
            <w:shd w:val="clear" w:color="auto" w:fill="auto"/>
            <w:noWrap/>
            <w:vAlign w:val="center"/>
          </w:tcPr>
          <w:p w14:paraId="5C98E30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0CF6DA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496" w:type="dxa"/>
            <w:tcBorders>
              <w:tl2br w:val="nil"/>
              <w:tr2bl w:val="nil"/>
            </w:tcBorders>
            <w:shd w:val="clear" w:color="auto" w:fill="auto"/>
            <w:noWrap/>
            <w:vAlign w:val="center"/>
          </w:tcPr>
          <w:p w14:paraId="2CB9EA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粒径5~20mm，含泥量&lt;5%</w:t>
            </w:r>
          </w:p>
        </w:tc>
      </w:tr>
      <w:tr w14:paraId="662C82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89A2F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2360" w:type="dxa"/>
            <w:tcBorders>
              <w:tl2br w:val="nil"/>
              <w:tr2bl w:val="nil"/>
            </w:tcBorders>
            <w:shd w:val="clear" w:color="auto" w:fill="auto"/>
            <w:noWrap/>
            <w:vAlign w:val="center"/>
          </w:tcPr>
          <w:p w14:paraId="56668F1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o50mmPVC排水管</w:t>
            </w:r>
          </w:p>
        </w:tc>
        <w:tc>
          <w:tcPr>
            <w:tcW w:w="690" w:type="dxa"/>
            <w:tcBorders>
              <w:tl2br w:val="nil"/>
              <w:tr2bl w:val="nil"/>
            </w:tcBorders>
            <w:shd w:val="clear" w:color="auto" w:fill="auto"/>
            <w:noWrap/>
            <w:vAlign w:val="center"/>
          </w:tcPr>
          <w:p w14:paraId="15D0A43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1D993F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4496" w:type="dxa"/>
            <w:tcBorders>
              <w:tl2br w:val="nil"/>
              <w:tr2bl w:val="nil"/>
            </w:tcBorders>
            <w:shd w:val="clear" w:color="auto" w:fill="auto"/>
            <w:noWrap/>
            <w:vAlign w:val="center"/>
          </w:tcPr>
          <w:p w14:paraId="42685A0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746E0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428346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2360" w:type="dxa"/>
            <w:tcBorders>
              <w:tl2br w:val="nil"/>
              <w:tr2bl w:val="nil"/>
            </w:tcBorders>
            <w:shd w:val="clear" w:color="auto" w:fill="auto"/>
            <w:noWrap/>
            <w:vAlign w:val="center"/>
          </w:tcPr>
          <w:p w14:paraId="3DC6375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新建启闭机房</w:t>
            </w:r>
          </w:p>
        </w:tc>
        <w:tc>
          <w:tcPr>
            <w:tcW w:w="690" w:type="dxa"/>
            <w:tcBorders>
              <w:tl2br w:val="nil"/>
              <w:tr2bl w:val="nil"/>
            </w:tcBorders>
            <w:shd w:val="clear" w:color="auto" w:fill="auto"/>
            <w:noWrap/>
            <w:vAlign w:val="center"/>
          </w:tcPr>
          <w:p w14:paraId="7F08E4F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C73B63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96" w:type="dxa"/>
            <w:tcBorders>
              <w:tl2br w:val="nil"/>
              <w:tr2bl w:val="nil"/>
            </w:tcBorders>
            <w:shd w:val="clear" w:color="auto" w:fill="auto"/>
            <w:noWrap/>
            <w:vAlign w:val="center"/>
          </w:tcPr>
          <w:p w14:paraId="641098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含砖墙、门、窗及屋面防水等</w:t>
            </w:r>
          </w:p>
        </w:tc>
      </w:tr>
      <w:tr w14:paraId="41AC89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F625B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2360" w:type="dxa"/>
            <w:tcBorders>
              <w:tl2br w:val="nil"/>
              <w:tr2bl w:val="nil"/>
            </w:tcBorders>
            <w:shd w:val="clear" w:color="auto" w:fill="auto"/>
            <w:noWrap/>
            <w:vAlign w:val="center"/>
          </w:tcPr>
          <w:p w14:paraId="3F2E03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铜片止水</w:t>
            </w:r>
          </w:p>
        </w:tc>
        <w:tc>
          <w:tcPr>
            <w:tcW w:w="690" w:type="dxa"/>
            <w:tcBorders>
              <w:tl2br w:val="nil"/>
              <w:tr2bl w:val="nil"/>
            </w:tcBorders>
            <w:shd w:val="clear" w:color="auto" w:fill="auto"/>
            <w:noWrap/>
            <w:vAlign w:val="center"/>
          </w:tcPr>
          <w:p w14:paraId="7C218C3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2BB7866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4496" w:type="dxa"/>
            <w:tcBorders>
              <w:tl2br w:val="nil"/>
              <w:tr2bl w:val="nil"/>
            </w:tcBorders>
            <w:shd w:val="clear" w:color="auto" w:fill="auto"/>
            <w:noWrap/>
            <w:vAlign w:val="center"/>
          </w:tcPr>
          <w:p w14:paraId="35B7474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0ABBF1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7F556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2360" w:type="dxa"/>
            <w:tcBorders>
              <w:tl2br w:val="nil"/>
              <w:tr2bl w:val="nil"/>
            </w:tcBorders>
            <w:shd w:val="clear" w:color="auto" w:fill="auto"/>
            <w:noWrap/>
            <w:vAlign w:val="center"/>
          </w:tcPr>
          <w:p w14:paraId="369A03F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沥青杉板</w:t>
            </w:r>
          </w:p>
        </w:tc>
        <w:tc>
          <w:tcPr>
            <w:tcW w:w="690" w:type="dxa"/>
            <w:tcBorders>
              <w:tl2br w:val="nil"/>
              <w:tr2bl w:val="nil"/>
            </w:tcBorders>
            <w:shd w:val="clear" w:color="auto" w:fill="auto"/>
            <w:noWrap/>
            <w:vAlign w:val="center"/>
          </w:tcPr>
          <w:p w14:paraId="1500B0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6071D1A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4496" w:type="dxa"/>
            <w:tcBorders>
              <w:tl2br w:val="nil"/>
              <w:tr2bl w:val="nil"/>
            </w:tcBorders>
            <w:shd w:val="clear" w:color="auto" w:fill="auto"/>
            <w:noWrap/>
            <w:vAlign w:val="center"/>
          </w:tcPr>
          <w:p w14:paraId="68BCBB3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厚度2cm</w:t>
            </w:r>
          </w:p>
        </w:tc>
      </w:tr>
      <w:tr w14:paraId="044A29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6061CF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2360" w:type="dxa"/>
            <w:tcBorders>
              <w:tl2br w:val="nil"/>
              <w:tr2bl w:val="nil"/>
            </w:tcBorders>
            <w:shd w:val="clear" w:color="auto" w:fill="auto"/>
            <w:noWrap/>
            <w:vAlign w:val="center"/>
          </w:tcPr>
          <w:p w14:paraId="1598B3E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053EFA6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6C8845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496" w:type="dxa"/>
            <w:tcBorders>
              <w:tl2br w:val="nil"/>
              <w:tr2bl w:val="nil"/>
            </w:tcBorders>
            <w:shd w:val="clear" w:color="auto" w:fill="auto"/>
            <w:noWrap/>
            <w:vAlign w:val="center"/>
          </w:tcPr>
          <w:p w14:paraId="694B471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高1.2m</w:t>
            </w:r>
          </w:p>
        </w:tc>
      </w:tr>
      <w:tr w14:paraId="757BF9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BE0257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2360" w:type="dxa"/>
            <w:tcBorders>
              <w:tl2br w:val="nil"/>
              <w:tr2bl w:val="nil"/>
            </w:tcBorders>
            <w:shd w:val="clear" w:color="auto" w:fill="auto"/>
            <w:noWrap/>
            <w:vAlign w:val="center"/>
          </w:tcPr>
          <w:p w14:paraId="2A652A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橡胶支座</w:t>
            </w:r>
          </w:p>
        </w:tc>
        <w:tc>
          <w:tcPr>
            <w:tcW w:w="690" w:type="dxa"/>
            <w:tcBorders>
              <w:tl2br w:val="nil"/>
              <w:tr2bl w:val="nil"/>
            </w:tcBorders>
            <w:shd w:val="clear" w:color="auto" w:fill="auto"/>
            <w:noWrap/>
            <w:vAlign w:val="center"/>
          </w:tcPr>
          <w:p w14:paraId="0D00FFA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w:t>
            </w:r>
          </w:p>
        </w:tc>
        <w:tc>
          <w:tcPr>
            <w:tcW w:w="750" w:type="dxa"/>
            <w:tcBorders>
              <w:tl2br w:val="nil"/>
              <w:tr2bl w:val="nil"/>
            </w:tcBorders>
            <w:shd w:val="clear" w:color="auto" w:fill="auto"/>
            <w:noWrap/>
            <w:vAlign w:val="center"/>
          </w:tcPr>
          <w:p w14:paraId="560DA1C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496" w:type="dxa"/>
            <w:tcBorders>
              <w:tl2br w:val="nil"/>
              <w:tr2bl w:val="nil"/>
            </w:tcBorders>
            <w:shd w:val="clear" w:color="auto" w:fill="auto"/>
            <w:noWrap/>
            <w:vAlign w:val="center"/>
          </w:tcPr>
          <w:p w14:paraId="116257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30cm×25cm×3cm</w:t>
            </w:r>
          </w:p>
        </w:tc>
      </w:tr>
      <w:tr w14:paraId="199D4C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EC862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360" w:type="dxa"/>
            <w:tcBorders>
              <w:tl2br w:val="nil"/>
              <w:tr2bl w:val="nil"/>
            </w:tcBorders>
            <w:shd w:val="clear" w:color="auto" w:fill="auto"/>
            <w:noWrap/>
            <w:vAlign w:val="center"/>
          </w:tcPr>
          <w:p w14:paraId="30E56C7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0B0D724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4F757AC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4496" w:type="dxa"/>
            <w:tcBorders>
              <w:tl2br w:val="nil"/>
              <w:tr2bl w:val="nil"/>
            </w:tcBorders>
            <w:shd w:val="clear" w:color="auto" w:fill="auto"/>
            <w:noWrap/>
            <w:vAlign w:val="center"/>
          </w:tcPr>
          <w:p w14:paraId="3B91EB6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8F7B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C4D58B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十</w:t>
            </w:r>
          </w:p>
        </w:tc>
        <w:tc>
          <w:tcPr>
            <w:tcW w:w="2360" w:type="dxa"/>
            <w:tcBorders>
              <w:tl2br w:val="nil"/>
              <w:tr2bl w:val="nil"/>
            </w:tcBorders>
            <w:shd w:val="clear" w:color="auto" w:fill="auto"/>
            <w:noWrap/>
            <w:vAlign w:val="center"/>
          </w:tcPr>
          <w:p w14:paraId="200980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5#副坝输水涵改造</w:t>
            </w:r>
          </w:p>
        </w:tc>
        <w:tc>
          <w:tcPr>
            <w:tcW w:w="690" w:type="dxa"/>
            <w:tcBorders>
              <w:tl2br w:val="nil"/>
              <w:tr2bl w:val="nil"/>
            </w:tcBorders>
            <w:shd w:val="clear" w:color="auto" w:fill="auto"/>
            <w:noWrap/>
            <w:vAlign w:val="center"/>
          </w:tcPr>
          <w:p w14:paraId="451BD95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bCs/>
                <w:i w:val="0"/>
                <w:iCs w:val="0"/>
                <w:color w:val="000000"/>
                <w:sz w:val="21"/>
                <w:szCs w:val="21"/>
                <w:u w:val="none"/>
              </w:rPr>
            </w:pPr>
          </w:p>
        </w:tc>
        <w:tc>
          <w:tcPr>
            <w:tcW w:w="750" w:type="dxa"/>
            <w:tcBorders>
              <w:tl2br w:val="nil"/>
              <w:tr2bl w:val="nil"/>
            </w:tcBorders>
            <w:shd w:val="clear" w:color="auto" w:fill="auto"/>
            <w:noWrap/>
            <w:vAlign w:val="center"/>
          </w:tcPr>
          <w:p w14:paraId="0688D38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bCs/>
                <w:i w:val="0"/>
                <w:iCs w:val="0"/>
                <w:color w:val="000000"/>
                <w:sz w:val="21"/>
                <w:szCs w:val="21"/>
                <w:u w:val="none"/>
              </w:rPr>
            </w:pPr>
          </w:p>
        </w:tc>
        <w:tc>
          <w:tcPr>
            <w:tcW w:w="4496" w:type="dxa"/>
            <w:tcBorders>
              <w:tl2br w:val="nil"/>
              <w:tr2bl w:val="nil"/>
            </w:tcBorders>
            <w:shd w:val="clear" w:color="auto" w:fill="auto"/>
            <w:noWrap/>
            <w:vAlign w:val="center"/>
          </w:tcPr>
          <w:p w14:paraId="0591A0A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5BD7DF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3671B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66BECC7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土方开挖</w:t>
            </w:r>
          </w:p>
        </w:tc>
        <w:tc>
          <w:tcPr>
            <w:tcW w:w="690" w:type="dxa"/>
            <w:tcBorders>
              <w:tl2br w:val="nil"/>
              <w:tr2bl w:val="nil"/>
            </w:tcBorders>
            <w:shd w:val="clear" w:color="auto" w:fill="auto"/>
            <w:noWrap/>
            <w:vAlign w:val="center"/>
          </w:tcPr>
          <w:p w14:paraId="3647DF9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59696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709</w:t>
            </w:r>
          </w:p>
        </w:tc>
        <w:tc>
          <w:tcPr>
            <w:tcW w:w="4496" w:type="dxa"/>
            <w:tcBorders>
              <w:tl2br w:val="nil"/>
              <w:tr2bl w:val="nil"/>
            </w:tcBorders>
            <w:shd w:val="clear" w:color="auto" w:fill="auto"/>
            <w:noWrap/>
            <w:vAlign w:val="center"/>
          </w:tcPr>
          <w:p w14:paraId="603BC34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新建输水涵</w:t>
            </w:r>
          </w:p>
        </w:tc>
      </w:tr>
      <w:tr w14:paraId="3CDA2D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6E7E2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7C86C9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土方回填</w:t>
            </w:r>
          </w:p>
        </w:tc>
        <w:tc>
          <w:tcPr>
            <w:tcW w:w="690" w:type="dxa"/>
            <w:tcBorders>
              <w:tl2br w:val="nil"/>
              <w:tr2bl w:val="nil"/>
            </w:tcBorders>
            <w:shd w:val="clear" w:color="auto" w:fill="auto"/>
            <w:noWrap/>
            <w:vAlign w:val="center"/>
          </w:tcPr>
          <w:p w14:paraId="7D71DE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1DA21A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583</w:t>
            </w:r>
          </w:p>
        </w:tc>
        <w:tc>
          <w:tcPr>
            <w:tcW w:w="4496" w:type="dxa"/>
            <w:tcBorders>
              <w:tl2br w:val="nil"/>
              <w:tr2bl w:val="nil"/>
            </w:tcBorders>
            <w:shd w:val="clear" w:color="auto" w:fill="auto"/>
            <w:noWrap/>
            <w:vAlign w:val="center"/>
          </w:tcPr>
          <w:p w14:paraId="44D797C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新建输水涵，压实度96%</w:t>
            </w:r>
          </w:p>
        </w:tc>
      </w:tr>
      <w:tr w14:paraId="3D8A47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45598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16525EB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钢筋混凝土拆除</w:t>
            </w:r>
          </w:p>
        </w:tc>
        <w:tc>
          <w:tcPr>
            <w:tcW w:w="690" w:type="dxa"/>
            <w:tcBorders>
              <w:tl2br w:val="nil"/>
              <w:tr2bl w:val="nil"/>
            </w:tcBorders>
            <w:shd w:val="clear" w:color="auto" w:fill="auto"/>
            <w:noWrap/>
            <w:vAlign w:val="center"/>
          </w:tcPr>
          <w:p w14:paraId="6E1C55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9B43A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4496" w:type="dxa"/>
            <w:tcBorders>
              <w:tl2br w:val="nil"/>
              <w:tr2bl w:val="nil"/>
            </w:tcBorders>
            <w:shd w:val="clear" w:color="auto" w:fill="auto"/>
            <w:noWrap/>
            <w:vAlign w:val="center"/>
          </w:tcPr>
          <w:p w14:paraId="2FC801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原输水涵拆除</w:t>
            </w:r>
          </w:p>
        </w:tc>
      </w:tr>
      <w:tr w14:paraId="647703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E3603B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1A8361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水泥搅拌桩</w:t>
            </w:r>
          </w:p>
        </w:tc>
        <w:tc>
          <w:tcPr>
            <w:tcW w:w="690" w:type="dxa"/>
            <w:tcBorders>
              <w:tl2br w:val="nil"/>
              <w:tr2bl w:val="nil"/>
            </w:tcBorders>
            <w:shd w:val="clear" w:color="auto" w:fill="auto"/>
            <w:noWrap/>
            <w:vAlign w:val="center"/>
          </w:tcPr>
          <w:p w14:paraId="6C24B9A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24BE364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1875</w:t>
            </w:r>
          </w:p>
        </w:tc>
        <w:tc>
          <w:tcPr>
            <w:tcW w:w="4496" w:type="dxa"/>
            <w:tcBorders>
              <w:tl2br w:val="nil"/>
              <w:tr2bl w:val="nil"/>
            </w:tcBorders>
            <w:shd w:val="clear" w:color="auto" w:fill="auto"/>
            <w:noWrap/>
            <w:vAlign w:val="center"/>
          </w:tcPr>
          <w:p w14:paraId="63D046B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直径D600mm</w:t>
            </w:r>
          </w:p>
        </w:tc>
      </w:tr>
      <w:tr w14:paraId="604E3F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3A015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5E47A7E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闸室及启闭机房混凝土</w:t>
            </w:r>
          </w:p>
        </w:tc>
        <w:tc>
          <w:tcPr>
            <w:tcW w:w="690" w:type="dxa"/>
            <w:tcBorders>
              <w:tl2br w:val="nil"/>
              <w:tr2bl w:val="nil"/>
            </w:tcBorders>
            <w:shd w:val="clear" w:color="auto" w:fill="auto"/>
            <w:noWrap/>
            <w:vAlign w:val="center"/>
          </w:tcPr>
          <w:p w14:paraId="007845A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0F2E17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4496" w:type="dxa"/>
            <w:tcBorders>
              <w:tl2br w:val="nil"/>
              <w:tr2bl w:val="nil"/>
            </w:tcBorders>
            <w:shd w:val="clear" w:color="auto" w:fill="auto"/>
            <w:noWrap/>
            <w:vAlign w:val="center"/>
          </w:tcPr>
          <w:p w14:paraId="04C00A8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2EF2C7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60B5F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360" w:type="dxa"/>
            <w:tcBorders>
              <w:tl2br w:val="nil"/>
              <w:tr2bl w:val="nil"/>
            </w:tcBorders>
            <w:shd w:val="clear" w:color="auto" w:fill="auto"/>
            <w:noWrap/>
            <w:vAlign w:val="center"/>
          </w:tcPr>
          <w:p w14:paraId="1D81C49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二期混凝土</w:t>
            </w:r>
          </w:p>
        </w:tc>
        <w:tc>
          <w:tcPr>
            <w:tcW w:w="690" w:type="dxa"/>
            <w:tcBorders>
              <w:tl2br w:val="nil"/>
              <w:tr2bl w:val="nil"/>
            </w:tcBorders>
            <w:shd w:val="clear" w:color="auto" w:fill="auto"/>
            <w:noWrap/>
            <w:vAlign w:val="center"/>
          </w:tcPr>
          <w:p w14:paraId="37FC011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C2402C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496" w:type="dxa"/>
            <w:tcBorders>
              <w:tl2br w:val="nil"/>
              <w:tr2bl w:val="nil"/>
            </w:tcBorders>
            <w:shd w:val="clear" w:color="auto" w:fill="auto"/>
            <w:noWrap/>
            <w:vAlign w:val="center"/>
          </w:tcPr>
          <w:p w14:paraId="0896EBB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C30</w:t>
            </w:r>
          </w:p>
        </w:tc>
      </w:tr>
      <w:tr w14:paraId="04E22E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A3CF4B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360" w:type="dxa"/>
            <w:tcBorders>
              <w:tl2br w:val="nil"/>
              <w:tr2bl w:val="nil"/>
            </w:tcBorders>
            <w:shd w:val="clear" w:color="auto" w:fill="auto"/>
            <w:noWrap/>
            <w:vAlign w:val="center"/>
          </w:tcPr>
          <w:p w14:paraId="3BCA7C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进水池混凝土</w:t>
            </w:r>
          </w:p>
        </w:tc>
        <w:tc>
          <w:tcPr>
            <w:tcW w:w="690" w:type="dxa"/>
            <w:tcBorders>
              <w:tl2br w:val="nil"/>
              <w:tr2bl w:val="nil"/>
            </w:tcBorders>
            <w:shd w:val="clear" w:color="auto" w:fill="auto"/>
            <w:noWrap/>
            <w:vAlign w:val="center"/>
          </w:tcPr>
          <w:p w14:paraId="2F85742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27EAD20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4496" w:type="dxa"/>
            <w:tcBorders>
              <w:tl2br w:val="nil"/>
              <w:tr2bl w:val="nil"/>
            </w:tcBorders>
            <w:shd w:val="clear" w:color="auto" w:fill="auto"/>
            <w:noWrap/>
            <w:vAlign w:val="center"/>
          </w:tcPr>
          <w:p w14:paraId="6F336EE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C25(包括重力式挡墙)</w:t>
            </w:r>
          </w:p>
        </w:tc>
      </w:tr>
      <w:tr w14:paraId="292E7B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90F30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360" w:type="dxa"/>
            <w:tcBorders>
              <w:tl2br w:val="nil"/>
              <w:tr2bl w:val="nil"/>
            </w:tcBorders>
            <w:shd w:val="clear" w:color="auto" w:fill="auto"/>
            <w:noWrap/>
            <w:vAlign w:val="center"/>
          </w:tcPr>
          <w:p w14:paraId="5E347B4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楼梯及基座混凝土</w:t>
            </w:r>
          </w:p>
        </w:tc>
        <w:tc>
          <w:tcPr>
            <w:tcW w:w="690" w:type="dxa"/>
            <w:tcBorders>
              <w:tl2br w:val="nil"/>
              <w:tr2bl w:val="nil"/>
            </w:tcBorders>
            <w:shd w:val="clear" w:color="auto" w:fill="auto"/>
            <w:noWrap/>
            <w:vAlign w:val="center"/>
          </w:tcPr>
          <w:p w14:paraId="49EFED3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5FF249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496" w:type="dxa"/>
            <w:tcBorders>
              <w:tl2br w:val="nil"/>
              <w:tr2bl w:val="nil"/>
            </w:tcBorders>
            <w:shd w:val="clear" w:color="auto" w:fill="auto"/>
            <w:noWrap/>
            <w:vAlign w:val="center"/>
          </w:tcPr>
          <w:p w14:paraId="7BD196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535FC3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B0CB78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2360" w:type="dxa"/>
            <w:tcBorders>
              <w:tl2br w:val="nil"/>
              <w:tr2bl w:val="nil"/>
            </w:tcBorders>
            <w:shd w:val="clear" w:color="auto" w:fill="auto"/>
            <w:noWrap/>
            <w:vAlign w:val="center"/>
          </w:tcPr>
          <w:p w14:paraId="3E58D20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垫层混凝土</w:t>
            </w:r>
          </w:p>
        </w:tc>
        <w:tc>
          <w:tcPr>
            <w:tcW w:w="690" w:type="dxa"/>
            <w:tcBorders>
              <w:tl2br w:val="nil"/>
              <w:tr2bl w:val="nil"/>
            </w:tcBorders>
            <w:shd w:val="clear" w:color="auto" w:fill="auto"/>
            <w:noWrap/>
            <w:vAlign w:val="center"/>
          </w:tcPr>
          <w:p w14:paraId="436762E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EE3F7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496" w:type="dxa"/>
            <w:tcBorders>
              <w:tl2br w:val="nil"/>
              <w:tr2bl w:val="nil"/>
            </w:tcBorders>
            <w:shd w:val="clear" w:color="auto" w:fill="auto"/>
            <w:noWrap/>
            <w:vAlign w:val="center"/>
          </w:tcPr>
          <w:p w14:paraId="1A9F61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C15、厚10cm</w:t>
            </w:r>
          </w:p>
        </w:tc>
      </w:tr>
      <w:tr w14:paraId="3B845A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86C513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2360" w:type="dxa"/>
            <w:tcBorders>
              <w:tl2br w:val="nil"/>
              <w:tr2bl w:val="nil"/>
            </w:tcBorders>
            <w:shd w:val="clear" w:color="auto" w:fill="auto"/>
            <w:noWrap/>
            <w:vAlign w:val="center"/>
          </w:tcPr>
          <w:p w14:paraId="0A97448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千砌块石护底</w:t>
            </w:r>
          </w:p>
        </w:tc>
        <w:tc>
          <w:tcPr>
            <w:tcW w:w="690" w:type="dxa"/>
            <w:tcBorders>
              <w:tl2br w:val="nil"/>
              <w:tr2bl w:val="nil"/>
            </w:tcBorders>
            <w:shd w:val="clear" w:color="auto" w:fill="auto"/>
            <w:noWrap/>
            <w:vAlign w:val="center"/>
          </w:tcPr>
          <w:p w14:paraId="68CB723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022DAC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4496" w:type="dxa"/>
            <w:tcBorders>
              <w:tl2br w:val="nil"/>
              <w:tr2bl w:val="nil"/>
            </w:tcBorders>
            <w:shd w:val="clear" w:color="auto" w:fill="auto"/>
            <w:noWrap/>
            <w:vAlign w:val="center"/>
          </w:tcPr>
          <w:p w14:paraId="3813AC5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石料粒径不小于15cm块石容重&gt;26kN/m.饱和抗压强度&gt;30MPa软化系</w:t>
            </w:r>
            <w:r>
              <w:rPr>
                <w:rStyle w:val="91"/>
                <w:rFonts w:hint="default" w:ascii="Times New Roman" w:hAnsi="Times New Roman" w:eastAsia="宋体" w:cs="Times New Roman"/>
                <w:sz w:val="21"/>
                <w:szCs w:val="21"/>
                <w:lang w:val="en-US" w:eastAsia="zh-CN" w:bidi="ar"/>
              </w:rPr>
              <w:t>数不小于0.70</w:t>
            </w:r>
          </w:p>
        </w:tc>
      </w:tr>
      <w:tr w14:paraId="3F52D1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A9112A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360" w:type="dxa"/>
            <w:tcBorders>
              <w:tl2br w:val="nil"/>
              <w:tr2bl w:val="nil"/>
            </w:tcBorders>
            <w:shd w:val="clear" w:color="auto" w:fill="auto"/>
            <w:noWrap/>
            <w:vAlign w:val="center"/>
          </w:tcPr>
          <w:p w14:paraId="704A43E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砂砾垫层</w:t>
            </w:r>
          </w:p>
        </w:tc>
        <w:tc>
          <w:tcPr>
            <w:tcW w:w="690" w:type="dxa"/>
            <w:tcBorders>
              <w:tl2br w:val="nil"/>
              <w:tr2bl w:val="nil"/>
            </w:tcBorders>
            <w:shd w:val="clear" w:color="auto" w:fill="auto"/>
            <w:noWrap/>
            <w:vAlign w:val="center"/>
          </w:tcPr>
          <w:p w14:paraId="16F9340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DC473D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496" w:type="dxa"/>
            <w:tcBorders>
              <w:tl2br w:val="nil"/>
              <w:tr2bl w:val="nil"/>
            </w:tcBorders>
            <w:shd w:val="clear" w:color="auto" w:fill="auto"/>
            <w:noWrap/>
            <w:vAlign w:val="center"/>
          </w:tcPr>
          <w:p w14:paraId="463071C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粒径5~20mm，含泥量&lt;5%</w:t>
            </w:r>
          </w:p>
        </w:tc>
      </w:tr>
      <w:tr w14:paraId="563E81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74971D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360" w:type="dxa"/>
            <w:tcBorders>
              <w:tl2br w:val="nil"/>
              <w:tr2bl w:val="nil"/>
            </w:tcBorders>
            <w:shd w:val="clear" w:color="auto" w:fill="auto"/>
            <w:noWrap/>
            <w:vAlign w:val="center"/>
          </w:tcPr>
          <w:p w14:paraId="7C4C164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o50mmPVC排水管</w:t>
            </w:r>
          </w:p>
        </w:tc>
        <w:tc>
          <w:tcPr>
            <w:tcW w:w="690" w:type="dxa"/>
            <w:tcBorders>
              <w:tl2br w:val="nil"/>
              <w:tr2bl w:val="nil"/>
            </w:tcBorders>
            <w:shd w:val="clear" w:color="auto" w:fill="auto"/>
            <w:noWrap/>
            <w:vAlign w:val="center"/>
          </w:tcPr>
          <w:p w14:paraId="5975A9B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3D2004F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496" w:type="dxa"/>
            <w:tcBorders>
              <w:tl2br w:val="nil"/>
              <w:tr2bl w:val="nil"/>
            </w:tcBorders>
            <w:shd w:val="clear" w:color="auto" w:fill="auto"/>
            <w:noWrap/>
            <w:vAlign w:val="center"/>
          </w:tcPr>
          <w:p w14:paraId="14B2648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6702B7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3F4A9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2360" w:type="dxa"/>
            <w:tcBorders>
              <w:tl2br w:val="nil"/>
              <w:tr2bl w:val="nil"/>
            </w:tcBorders>
            <w:shd w:val="clear" w:color="auto" w:fill="auto"/>
            <w:noWrap/>
            <w:vAlign w:val="center"/>
          </w:tcPr>
          <w:p w14:paraId="5FC247B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新建启闭机房</w:t>
            </w:r>
          </w:p>
        </w:tc>
        <w:tc>
          <w:tcPr>
            <w:tcW w:w="690" w:type="dxa"/>
            <w:tcBorders>
              <w:tl2br w:val="nil"/>
              <w:tr2bl w:val="nil"/>
            </w:tcBorders>
            <w:shd w:val="clear" w:color="auto" w:fill="auto"/>
            <w:noWrap/>
            <w:vAlign w:val="center"/>
          </w:tcPr>
          <w:p w14:paraId="03F70CE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7842A4F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496" w:type="dxa"/>
            <w:tcBorders>
              <w:tl2br w:val="nil"/>
              <w:tr2bl w:val="nil"/>
            </w:tcBorders>
            <w:shd w:val="clear" w:color="auto" w:fill="auto"/>
            <w:noWrap/>
            <w:vAlign w:val="center"/>
          </w:tcPr>
          <w:p w14:paraId="2C0497B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含砖墙、门、窗及屋面防水等</w:t>
            </w:r>
          </w:p>
        </w:tc>
      </w:tr>
      <w:tr w14:paraId="7A32E6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CF985F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2360" w:type="dxa"/>
            <w:tcBorders>
              <w:tl2br w:val="nil"/>
              <w:tr2bl w:val="nil"/>
            </w:tcBorders>
            <w:shd w:val="clear" w:color="auto" w:fill="auto"/>
            <w:noWrap/>
            <w:vAlign w:val="center"/>
          </w:tcPr>
          <w:p w14:paraId="761396E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铜片止水</w:t>
            </w:r>
          </w:p>
        </w:tc>
        <w:tc>
          <w:tcPr>
            <w:tcW w:w="690" w:type="dxa"/>
            <w:tcBorders>
              <w:tl2br w:val="nil"/>
              <w:tr2bl w:val="nil"/>
            </w:tcBorders>
            <w:shd w:val="clear" w:color="auto" w:fill="auto"/>
            <w:noWrap/>
            <w:vAlign w:val="center"/>
          </w:tcPr>
          <w:p w14:paraId="1377948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740A223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496" w:type="dxa"/>
            <w:tcBorders>
              <w:tl2br w:val="nil"/>
              <w:tr2bl w:val="nil"/>
            </w:tcBorders>
            <w:shd w:val="clear" w:color="auto" w:fill="auto"/>
            <w:noWrap/>
            <w:vAlign w:val="center"/>
          </w:tcPr>
          <w:p w14:paraId="2CCBA30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EE3E9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CCDCA0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360" w:type="dxa"/>
            <w:tcBorders>
              <w:tl2br w:val="nil"/>
              <w:tr2bl w:val="nil"/>
            </w:tcBorders>
            <w:shd w:val="clear" w:color="auto" w:fill="auto"/>
            <w:noWrap/>
            <w:vAlign w:val="center"/>
          </w:tcPr>
          <w:p w14:paraId="392B1AA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沥青杉板</w:t>
            </w:r>
          </w:p>
        </w:tc>
        <w:tc>
          <w:tcPr>
            <w:tcW w:w="690" w:type="dxa"/>
            <w:tcBorders>
              <w:tl2br w:val="nil"/>
              <w:tr2bl w:val="nil"/>
            </w:tcBorders>
            <w:shd w:val="clear" w:color="auto" w:fill="auto"/>
            <w:noWrap/>
            <w:vAlign w:val="center"/>
          </w:tcPr>
          <w:p w14:paraId="79C1ABD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m²</w:t>
            </w:r>
          </w:p>
        </w:tc>
        <w:tc>
          <w:tcPr>
            <w:tcW w:w="750" w:type="dxa"/>
            <w:tcBorders>
              <w:tl2br w:val="nil"/>
              <w:tr2bl w:val="nil"/>
            </w:tcBorders>
            <w:shd w:val="clear" w:color="auto" w:fill="auto"/>
            <w:noWrap/>
            <w:vAlign w:val="center"/>
          </w:tcPr>
          <w:p w14:paraId="5D702F8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496" w:type="dxa"/>
            <w:tcBorders>
              <w:tl2br w:val="nil"/>
              <w:tr2bl w:val="nil"/>
            </w:tcBorders>
            <w:shd w:val="clear" w:color="auto" w:fill="auto"/>
            <w:noWrap/>
            <w:vAlign w:val="center"/>
          </w:tcPr>
          <w:p w14:paraId="2F8B4F4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厚度2cm</w:t>
            </w:r>
          </w:p>
        </w:tc>
      </w:tr>
      <w:tr w14:paraId="0B465A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B5AE82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2360" w:type="dxa"/>
            <w:tcBorders>
              <w:tl2br w:val="nil"/>
              <w:tr2bl w:val="nil"/>
            </w:tcBorders>
            <w:shd w:val="clear" w:color="auto" w:fill="auto"/>
            <w:noWrap/>
            <w:vAlign w:val="center"/>
          </w:tcPr>
          <w:p w14:paraId="25414F6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钢栏杆</w:t>
            </w:r>
          </w:p>
        </w:tc>
        <w:tc>
          <w:tcPr>
            <w:tcW w:w="690" w:type="dxa"/>
            <w:tcBorders>
              <w:tl2br w:val="nil"/>
              <w:tr2bl w:val="nil"/>
            </w:tcBorders>
            <w:shd w:val="clear" w:color="auto" w:fill="auto"/>
            <w:noWrap/>
            <w:vAlign w:val="center"/>
          </w:tcPr>
          <w:p w14:paraId="7652864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p>
        </w:tc>
        <w:tc>
          <w:tcPr>
            <w:tcW w:w="750" w:type="dxa"/>
            <w:tcBorders>
              <w:tl2br w:val="nil"/>
              <w:tr2bl w:val="nil"/>
            </w:tcBorders>
            <w:shd w:val="clear" w:color="auto" w:fill="auto"/>
            <w:noWrap/>
            <w:vAlign w:val="center"/>
          </w:tcPr>
          <w:p w14:paraId="7BC8311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496" w:type="dxa"/>
            <w:tcBorders>
              <w:tl2br w:val="nil"/>
              <w:tr2bl w:val="nil"/>
            </w:tcBorders>
            <w:shd w:val="clear" w:color="auto" w:fill="auto"/>
            <w:noWrap/>
            <w:vAlign w:val="center"/>
          </w:tcPr>
          <w:p w14:paraId="6EFC139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高1.2m</w:t>
            </w:r>
          </w:p>
        </w:tc>
      </w:tr>
      <w:tr w14:paraId="39A224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5AA100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2360" w:type="dxa"/>
            <w:tcBorders>
              <w:tl2br w:val="nil"/>
              <w:tr2bl w:val="nil"/>
            </w:tcBorders>
            <w:shd w:val="clear" w:color="auto" w:fill="auto"/>
            <w:noWrap/>
            <w:vAlign w:val="center"/>
          </w:tcPr>
          <w:p w14:paraId="39EED0B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橡胶支座</w:t>
            </w:r>
          </w:p>
        </w:tc>
        <w:tc>
          <w:tcPr>
            <w:tcW w:w="690" w:type="dxa"/>
            <w:tcBorders>
              <w:tl2br w:val="nil"/>
              <w:tr2bl w:val="nil"/>
            </w:tcBorders>
            <w:shd w:val="clear" w:color="auto" w:fill="auto"/>
            <w:noWrap/>
            <w:vAlign w:val="center"/>
          </w:tcPr>
          <w:p w14:paraId="6532F69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w:t>
            </w:r>
          </w:p>
        </w:tc>
        <w:tc>
          <w:tcPr>
            <w:tcW w:w="750" w:type="dxa"/>
            <w:tcBorders>
              <w:tl2br w:val="nil"/>
              <w:tr2bl w:val="nil"/>
            </w:tcBorders>
            <w:shd w:val="clear" w:color="auto" w:fill="auto"/>
            <w:noWrap/>
            <w:vAlign w:val="center"/>
          </w:tcPr>
          <w:p w14:paraId="0CF582B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496" w:type="dxa"/>
            <w:tcBorders>
              <w:tl2br w:val="nil"/>
              <w:tr2bl w:val="nil"/>
            </w:tcBorders>
            <w:shd w:val="clear" w:color="auto" w:fill="auto"/>
            <w:noWrap/>
            <w:vAlign w:val="center"/>
          </w:tcPr>
          <w:p w14:paraId="1771869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30cm×25cm×3cm</w:t>
            </w:r>
          </w:p>
        </w:tc>
      </w:tr>
      <w:tr w14:paraId="0CCBEA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DEE6F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2360" w:type="dxa"/>
            <w:tcBorders>
              <w:tl2br w:val="nil"/>
              <w:tr2bl w:val="nil"/>
            </w:tcBorders>
            <w:shd w:val="clear" w:color="auto" w:fill="auto"/>
            <w:noWrap/>
            <w:vAlign w:val="center"/>
          </w:tcPr>
          <w:p w14:paraId="6BC50ED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w:t>
            </w:r>
          </w:p>
        </w:tc>
        <w:tc>
          <w:tcPr>
            <w:tcW w:w="690" w:type="dxa"/>
            <w:tcBorders>
              <w:tl2br w:val="nil"/>
              <w:tr2bl w:val="nil"/>
            </w:tcBorders>
            <w:shd w:val="clear" w:color="auto" w:fill="auto"/>
            <w:noWrap/>
            <w:vAlign w:val="center"/>
          </w:tcPr>
          <w:p w14:paraId="3176AC5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w:t>
            </w:r>
          </w:p>
        </w:tc>
        <w:tc>
          <w:tcPr>
            <w:tcW w:w="750" w:type="dxa"/>
            <w:tcBorders>
              <w:tl2br w:val="nil"/>
              <w:tr2bl w:val="nil"/>
            </w:tcBorders>
            <w:shd w:val="clear" w:color="auto" w:fill="auto"/>
            <w:noWrap/>
            <w:vAlign w:val="center"/>
          </w:tcPr>
          <w:p w14:paraId="59C926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4496" w:type="dxa"/>
            <w:tcBorders>
              <w:tl2br w:val="nil"/>
              <w:tr2bl w:val="nil"/>
            </w:tcBorders>
            <w:shd w:val="clear" w:color="auto" w:fill="auto"/>
            <w:noWrap/>
            <w:vAlign w:val="center"/>
          </w:tcPr>
          <w:p w14:paraId="4ABC9D4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258B2D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F90C4D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十一</w:t>
            </w:r>
          </w:p>
        </w:tc>
        <w:tc>
          <w:tcPr>
            <w:tcW w:w="2360" w:type="dxa"/>
            <w:tcBorders>
              <w:tl2br w:val="nil"/>
              <w:tr2bl w:val="nil"/>
            </w:tcBorders>
            <w:shd w:val="clear" w:color="auto" w:fill="auto"/>
            <w:noWrap/>
            <w:vAlign w:val="center"/>
          </w:tcPr>
          <w:p w14:paraId="4C1B83B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5#副坝进水涵拆除重建</w:t>
            </w:r>
          </w:p>
        </w:tc>
        <w:tc>
          <w:tcPr>
            <w:tcW w:w="690" w:type="dxa"/>
            <w:tcBorders>
              <w:tl2br w:val="nil"/>
              <w:tr2bl w:val="nil"/>
            </w:tcBorders>
            <w:shd w:val="clear" w:color="auto" w:fill="auto"/>
            <w:noWrap/>
            <w:vAlign w:val="center"/>
          </w:tcPr>
          <w:p w14:paraId="3C201CB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750" w:type="dxa"/>
            <w:tcBorders>
              <w:tl2br w:val="nil"/>
              <w:tr2bl w:val="nil"/>
            </w:tcBorders>
            <w:shd w:val="clear" w:color="auto" w:fill="auto"/>
            <w:noWrap/>
            <w:vAlign w:val="center"/>
          </w:tcPr>
          <w:p w14:paraId="2DC26AB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4496" w:type="dxa"/>
            <w:tcBorders>
              <w:tl2br w:val="nil"/>
              <w:tr2bl w:val="nil"/>
            </w:tcBorders>
            <w:shd w:val="clear" w:color="auto" w:fill="auto"/>
            <w:noWrap/>
            <w:vAlign w:val="center"/>
          </w:tcPr>
          <w:p w14:paraId="2410E33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r w14:paraId="44EE11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E05821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60" w:type="dxa"/>
            <w:tcBorders>
              <w:tl2br w:val="nil"/>
              <w:tr2bl w:val="nil"/>
            </w:tcBorders>
            <w:shd w:val="clear" w:color="auto" w:fill="auto"/>
            <w:noWrap/>
            <w:vAlign w:val="center"/>
          </w:tcPr>
          <w:p w14:paraId="4187506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土方开挖</w:t>
            </w:r>
          </w:p>
        </w:tc>
        <w:tc>
          <w:tcPr>
            <w:tcW w:w="690" w:type="dxa"/>
            <w:tcBorders>
              <w:tl2br w:val="nil"/>
              <w:tr2bl w:val="nil"/>
            </w:tcBorders>
            <w:shd w:val="clear" w:color="auto" w:fill="auto"/>
            <w:noWrap/>
            <w:vAlign w:val="center"/>
          </w:tcPr>
          <w:p w14:paraId="5F710BD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89B8D0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804</w:t>
            </w:r>
          </w:p>
        </w:tc>
        <w:tc>
          <w:tcPr>
            <w:tcW w:w="4496" w:type="dxa"/>
            <w:tcBorders>
              <w:tl2br w:val="nil"/>
              <w:tr2bl w:val="nil"/>
            </w:tcBorders>
            <w:shd w:val="clear" w:color="auto" w:fill="auto"/>
            <w:noWrap/>
            <w:vAlign w:val="center"/>
          </w:tcPr>
          <w:p w14:paraId="39298CA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原进水涵拆除</w:t>
            </w:r>
          </w:p>
        </w:tc>
      </w:tr>
      <w:tr w14:paraId="6F0B50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8AA15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60" w:type="dxa"/>
            <w:tcBorders>
              <w:tl2br w:val="nil"/>
              <w:tr2bl w:val="nil"/>
            </w:tcBorders>
            <w:shd w:val="clear" w:color="auto" w:fill="auto"/>
            <w:noWrap/>
            <w:vAlign w:val="center"/>
          </w:tcPr>
          <w:p w14:paraId="1FFB369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土方回填</w:t>
            </w:r>
          </w:p>
        </w:tc>
        <w:tc>
          <w:tcPr>
            <w:tcW w:w="690" w:type="dxa"/>
            <w:tcBorders>
              <w:tl2br w:val="nil"/>
              <w:tr2bl w:val="nil"/>
            </w:tcBorders>
            <w:shd w:val="clear" w:color="auto" w:fill="auto"/>
            <w:noWrap/>
            <w:vAlign w:val="center"/>
          </w:tcPr>
          <w:p w14:paraId="71B13C6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05B947A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2142</w:t>
            </w:r>
          </w:p>
        </w:tc>
        <w:tc>
          <w:tcPr>
            <w:tcW w:w="4496" w:type="dxa"/>
            <w:tcBorders>
              <w:tl2br w:val="nil"/>
              <w:tr2bl w:val="nil"/>
            </w:tcBorders>
            <w:shd w:val="clear" w:color="auto" w:fill="auto"/>
            <w:noWrap/>
            <w:vAlign w:val="center"/>
          </w:tcPr>
          <w:p w14:paraId="2AF88B5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原进水涵拆除部位回填，压实度96%</w:t>
            </w:r>
          </w:p>
        </w:tc>
      </w:tr>
      <w:tr w14:paraId="4AD38D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7426FD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60" w:type="dxa"/>
            <w:tcBorders>
              <w:tl2br w:val="nil"/>
              <w:tr2bl w:val="nil"/>
            </w:tcBorders>
            <w:shd w:val="clear" w:color="auto" w:fill="auto"/>
            <w:noWrap/>
            <w:vAlign w:val="center"/>
          </w:tcPr>
          <w:p w14:paraId="4F49C8A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钢筋混凝土拆除</w:t>
            </w:r>
          </w:p>
        </w:tc>
        <w:tc>
          <w:tcPr>
            <w:tcW w:w="690" w:type="dxa"/>
            <w:tcBorders>
              <w:tl2br w:val="nil"/>
              <w:tr2bl w:val="nil"/>
            </w:tcBorders>
            <w:shd w:val="clear" w:color="auto" w:fill="auto"/>
            <w:noWrap/>
            <w:vAlign w:val="center"/>
          </w:tcPr>
          <w:p w14:paraId="7C892F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4217989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360</w:t>
            </w:r>
          </w:p>
        </w:tc>
        <w:tc>
          <w:tcPr>
            <w:tcW w:w="4496" w:type="dxa"/>
            <w:tcBorders>
              <w:tl2br w:val="nil"/>
              <w:tr2bl w:val="nil"/>
            </w:tcBorders>
            <w:shd w:val="clear" w:color="auto" w:fill="auto"/>
            <w:noWrap/>
            <w:vAlign w:val="center"/>
          </w:tcPr>
          <w:p w14:paraId="2FE96A8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原进水涵拆除</w:t>
            </w:r>
          </w:p>
        </w:tc>
      </w:tr>
      <w:tr w14:paraId="641DA9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F42DBC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60" w:type="dxa"/>
            <w:tcBorders>
              <w:tl2br w:val="nil"/>
              <w:tr2bl w:val="nil"/>
            </w:tcBorders>
            <w:shd w:val="clear" w:color="auto" w:fill="auto"/>
            <w:noWrap/>
            <w:vAlign w:val="center"/>
          </w:tcPr>
          <w:p w14:paraId="62A379C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土方开挖</w:t>
            </w:r>
          </w:p>
        </w:tc>
        <w:tc>
          <w:tcPr>
            <w:tcW w:w="690" w:type="dxa"/>
            <w:tcBorders>
              <w:tl2br w:val="nil"/>
              <w:tr2bl w:val="nil"/>
            </w:tcBorders>
            <w:shd w:val="clear" w:color="auto" w:fill="auto"/>
            <w:noWrap/>
            <w:vAlign w:val="center"/>
          </w:tcPr>
          <w:p w14:paraId="2EBD3B9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17D5CD1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4496" w:type="dxa"/>
            <w:tcBorders>
              <w:tl2br w:val="nil"/>
              <w:tr2bl w:val="nil"/>
            </w:tcBorders>
            <w:shd w:val="clear" w:color="auto" w:fill="auto"/>
            <w:noWrap/>
            <w:vAlign w:val="center"/>
          </w:tcPr>
          <w:p w14:paraId="247F998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新建进水涵</w:t>
            </w:r>
          </w:p>
        </w:tc>
      </w:tr>
      <w:tr w14:paraId="360702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A0AE5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60" w:type="dxa"/>
            <w:tcBorders>
              <w:tl2br w:val="nil"/>
              <w:tr2bl w:val="nil"/>
            </w:tcBorders>
            <w:shd w:val="clear" w:color="auto" w:fill="auto"/>
            <w:noWrap/>
            <w:vAlign w:val="center"/>
          </w:tcPr>
          <w:p w14:paraId="627C355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土方回填</w:t>
            </w:r>
          </w:p>
        </w:tc>
        <w:tc>
          <w:tcPr>
            <w:tcW w:w="690" w:type="dxa"/>
            <w:tcBorders>
              <w:tl2br w:val="nil"/>
              <w:tr2bl w:val="nil"/>
            </w:tcBorders>
            <w:shd w:val="clear" w:color="auto" w:fill="auto"/>
            <w:noWrap/>
            <w:vAlign w:val="center"/>
          </w:tcPr>
          <w:p w14:paraId="562BDB8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7A7B81C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789</w:t>
            </w:r>
          </w:p>
        </w:tc>
        <w:tc>
          <w:tcPr>
            <w:tcW w:w="4496" w:type="dxa"/>
            <w:tcBorders>
              <w:tl2br w:val="nil"/>
              <w:tr2bl w:val="nil"/>
            </w:tcBorders>
            <w:shd w:val="clear" w:color="auto" w:fill="auto"/>
            <w:noWrap/>
            <w:vAlign w:val="center"/>
          </w:tcPr>
          <w:p w14:paraId="55D9F9B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新建进水涵，压实度96%</w:t>
            </w:r>
          </w:p>
        </w:tc>
      </w:tr>
      <w:tr w14:paraId="2EC9F5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5EFE42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360" w:type="dxa"/>
            <w:tcBorders>
              <w:tl2br w:val="nil"/>
              <w:tr2bl w:val="nil"/>
            </w:tcBorders>
            <w:shd w:val="clear" w:color="auto" w:fill="auto"/>
            <w:noWrap/>
            <w:vAlign w:val="center"/>
          </w:tcPr>
          <w:p w14:paraId="343CD46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新建箱涵混凝土</w:t>
            </w:r>
          </w:p>
        </w:tc>
        <w:tc>
          <w:tcPr>
            <w:tcW w:w="690" w:type="dxa"/>
            <w:tcBorders>
              <w:tl2br w:val="nil"/>
              <w:tr2bl w:val="nil"/>
            </w:tcBorders>
            <w:shd w:val="clear" w:color="auto" w:fill="auto"/>
            <w:noWrap/>
            <w:vAlign w:val="center"/>
          </w:tcPr>
          <w:p w14:paraId="61BA7E8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61AE049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4496" w:type="dxa"/>
            <w:tcBorders>
              <w:tl2br w:val="nil"/>
              <w:tr2bl w:val="nil"/>
            </w:tcBorders>
            <w:shd w:val="clear" w:color="auto" w:fill="auto"/>
            <w:noWrap/>
            <w:vAlign w:val="center"/>
          </w:tcPr>
          <w:p w14:paraId="4469DAD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385558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3876AE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360" w:type="dxa"/>
            <w:tcBorders>
              <w:tl2br w:val="nil"/>
              <w:tr2bl w:val="nil"/>
            </w:tcBorders>
            <w:shd w:val="clear" w:color="auto" w:fill="auto"/>
            <w:noWrap/>
            <w:vAlign w:val="center"/>
          </w:tcPr>
          <w:p w14:paraId="078989B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闸室及启闭机房混凝土</w:t>
            </w:r>
          </w:p>
        </w:tc>
        <w:tc>
          <w:tcPr>
            <w:tcW w:w="690" w:type="dxa"/>
            <w:tcBorders>
              <w:tl2br w:val="nil"/>
              <w:tr2bl w:val="nil"/>
            </w:tcBorders>
            <w:shd w:val="clear" w:color="auto" w:fill="auto"/>
            <w:noWrap/>
            <w:vAlign w:val="center"/>
          </w:tcPr>
          <w:p w14:paraId="0730B78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m³</w:t>
            </w:r>
          </w:p>
        </w:tc>
        <w:tc>
          <w:tcPr>
            <w:tcW w:w="750" w:type="dxa"/>
            <w:tcBorders>
              <w:tl2br w:val="nil"/>
              <w:tr2bl w:val="nil"/>
            </w:tcBorders>
            <w:shd w:val="clear" w:color="auto" w:fill="auto"/>
            <w:noWrap/>
            <w:vAlign w:val="center"/>
          </w:tcPr>
          <w:p w14:paraId="54FEA10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4496" w:type="dxa"/>
            <w:tcBorders>
              <w:tl2br w:val="nil"/>
              <w:tr2bl w:val="nil"/>
            </w:tcBorders>
            <w:shd w:val="clear" w:color="auto" w:fill="auto"/>
            <w:noWrap/>
            <w:vAlign w:val="center"/>
          </w:tcPr>
          <w:p w14:paraId="5A4482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C25</w:t>
            </w:r>
          </w:p>
        </w:tc>
      </w:tr>
      <w:tr w14:paraId="14FF8B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E291CF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8</w:t>
            </w:r>
          </w:p>
        </w:tc>
        <w:tc>
          <w:tcPr>
            <w:tcW w:w="2360" w:type="dxa"/>
            <w:tcBorders>
              <w:tl2br w:val="nil"/>
              <w:tr2bl w:val="nil"/>
            </w:tcBorders>
            <w:shd w:val="clear" w:color="auto" w:fill="auto"/>
            <w:noWrap/>
            <w:vAlign w:val="center"/>
          </w:tcPr>
          <w:p w14:paraId="1FFF83C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二期混凝土</w:t>
            </w:r>
          </w:p>
        </w:tc>
        <w:tc>
          <w:tcPr>
            <w:tcW w:w="690" w:type="dxa"/>
            <w:tcBorders>
              <w:tl2br w:val="nil"/>
              <w:tr2bl w:val="nil"/>
            </w:tcBorders>
            <w:shd w:val="clear" w:color="auto" w:fill="auto"/>
            <w:noWrap/>
            <w:vAlign w:val="center"/>
          </w:tcPr>
          <w:p w14:paraId="1DA9E87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55F53F4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4496" w:type="dxa"/>
            <w:tcBorders>
              <w:tl2br w:val="nil"/>
              <w:tr2bl w:val="nil"/>
            </w:tcBorders>
            <w:shd w:val="clear" w:color="auto" w:fill="auto"/>
            <w:noWrap/>
            <w:vAlign w:val="center"/>
          </w:tcPr>
          <w:p w14:paraId="4E507E9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C30</w:t>
            </w:r>
          </w:p>
        </w:tc>
      </w:tr>
      <w:tr w14:paraId="54288A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FB21A3E">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9</w:t>
            </w:r>
          </w:p>
        </w:tc>
        <w:tc>
          <w:tcPr>
            <w:tcW w:w="2360" w:type="dxa"/>
            <w:tcBorders>
              <w:tl2br w:val="nil"/>
              <w:tr2bl w:val="nil"/>
            </w:tcBorders>
            <w:shd w:val="clear" w:color="auto" w:fill="auto"/>
            <w:noWrap/>
            <w:vAlign w:val="center"/>
          </w:tcPr>
          <w:p w14:paraId="66D823C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进水池混凝土</w:t>
            </w:r>
          </w:p>
        </w:tc>
        <w:tc>
          <w:tcPr>
            <w:tcW w:w="690" w:type="dxa"/>
            <w:tcBorders>
              <w:tl2br w:val="nil"/>
              <w:tr2bl w:val="nil"/>
            </w:tcBorders>
            <w:shd w:val="clear" w:color="auto" w:fill="auto"/>
            <w:noWrap/>
            <w:vAlign w:val="center"/>
          </w:tcPr>
          <w:p w14:paraId="25396D5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35A27D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90</w:t>
            </w:r>
          </w:p>
        </w:tc>
        <w:tc>
          <w:tcPr>
            <w:tcW w:w="4496" w:type="dxa"/>
            <w:tcBorders>
              <w:tl2br w:val="nil"/>
              <w:tr2bl w:val="nil"/>
            </w:tcBorders>
            <w:shd w:val="clear" w:color="auto" w:fill="auto"/>
            <w:noWrap/>
            <w:vAlign w:val="center"/>
          </w:tcPr>
          <w:p w14:paraId="550B89C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C25(包括重力式挡墙)</w:t>
            </w:r>
          </w:p>
        </w:tc>
      </w:tr>
      <w:tr w14:paraId="6E7052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E1D537E">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10</w:t>
            </w:r>
          </w:p>
        </w:tc>
        <w:tc>
          <w:tcPr>
            <w:tcW w:w="2360" w:type="dxa"/>
            <w:tcBorders>
              <w:tl2br w:val="nil"/>
              <w:tr2bl w:val="nil"/>
            </w:tcBorders>
            <w:shd w:val="clear" w:color="auto" w:fill="auto"/>
            <w:noWrap/>
            <w:vAlign w:val="center"/>
          </w:tcPr>
          <w:p w14:paraId="4A54743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消力池混凝土</w:t>
            </w:r>
          </w:p>
        </w:tc>
        <w:tc>
          <w:tcPr>
            <w:tcW w:w="690" w:type="dxa"/>
            <w:tcBorders>
              <w:tl2br w:val="nil"/>
              <w:tr2bl w:val="nil"/>
            </w:tcBorders>
            <w:shd w:val="clear" w:color="auto" w:fill="auto"/>
            <w:noWrap/>
            <w:vAlign w:val="center"/>
          </w:tcPr>
          <w:p w14:paraId="07094BF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62013E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50</w:t>
            </w:r>
          </w:p>
        </w:tc>
        <w:tc>
          <w:tcPr>
            <w:tcW w:w="4496" w:type="dxa"/>
            <w:tcBorders>
              <w:tl2br w:val="nil"/>
              <w:tr2bl w:val="nil"/>
            </w:tcBorders>
            <w:shd w:val="clear" w:color="auto" w:fill="auto"/>
            <w:noWrap/>
            <w:vAlign w:val="center"/>
          </w:tcPr>
          <w:p w14:paraId="47EA088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w:t>
            </w:r>
          </w:p>
        </w:tc>
      </w:tr>
      <w:tr w14:paraId="1C057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46CB2B7">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11</w:t>
            </w:r>
          </w:p>
        </w:tc>
        <w:tc>
          <w:tcPr>
            <w:tcW w:w="2360" w:type="dxa"/>
            <w:tcBorders>
              <w:tl2br w:val="nil"/>
              <w:tr2bl w:val="nil"/>
            </w:tcBorders>
            <w:shd w:val="clear" w:color="auto" w:fill="auto"/>
            <w:noWrap/>
            <w:vAlign w:val="center"/>
          </w:tcPr>
          <w:p w14:paraId="7C6D940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楼梯及基座混凝土</w:t>
            </w:r>
          </w:p>
        </w:tc>
        <w:tc>
          <w:tcPr>
            <w:tcW w:w="690" w:type="dxa"/>
            <w:tcBorders>
              <w:tl2br w:val="nil"/>
              <w:tr2bl w:val="nil"/>
            </w:tcBorders>
            <w:shd w:val="clear" w:color="auto" w:fill="auto"/>
            <w:noWrap/>
            <w:vAlign w:val="center"/>
          </w:tcPr>
          <w:p w14:paraId="7A53054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39939C2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4496" w:type="dxa"/>
            <w:tcBorders>
              <w:tl2br w:val="nil"/>
              <w:tr2bl w:val="nil"/>
            </w:tcBorders>
            <w:shd w:val="clear" w:color="auto" w:fill="auto"/>
            <w:noWrap/>
            <w:vAlign w:val="center"/>
          </w:tcPr>
          <w:p w14:paraId="7223256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w:t>
            </w:r>
          </w:p>
        </w:tc>
      </w:tr>
      <w:tr w14:paraId="5296D1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2A66464">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12</w:t>
            </w:r>
          </w:p>
        </w:tc>
        <w:tc>
          <w:tcPr>
            <w:tcW w:w="2360" w:type="dxa"/>
            <w:tcBorders>
              <w:tl2br w:val="nil"/>
              <w:tr2bl w:val="nil"/>
            </w:tcBorders>
            <w:shd w:val="clear" w:color="auto" w:fill="auto"/>
            <w:noWrap/>
            <w:vAlign w:val="center"/>
          </w:tcPr>
          <w:p w14:paraId="4BEA097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垫层混凝土</w:t>
            </w:r>
          </w:p>
        </w:tc>
        <w:tc>
          <w:tcPr>
            <w:tcW w:w="690" w:type="dxa"/>
            <w:tcBorders>
              <w:tl2br w:val="nil"/>
              <w:tr2bl w:val="nil"/>
            </w:tcBorders>
            <w:shd w:val="clear" w:color="auto" w:fill="auto"/>
            <w:noWrap/>
            <w:vAlign w:val="center"/>
          </w:tcPr>
          <w:p w14:paraId="62894A3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C6B7E5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17</w:t>
            </w:r>
          </w:p>
        </w:tc>
        <w:tc>
          <w:tcPr>
            <w:tcW w:w="4496" w:type="dxa"/>
            <w:tcBorders>
              <w:tl2br w:val="nil"/>
              <w:tr2bl w:val="nil"/>
            </w:tcBorders>
            <w:shd w:val="clear" w:color="auto" w:fill="auto"/>
            <w:noWrap/>
            <w:vAlign w:val="center"/>
          </w:tcPr>
          <w:p w14:paraId="7D9AE3A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C15、厚10cm</w:t>
            </w:r>
          </w:p>
        </w:tc>
      </w:tr>
      <w:tr w14:paraId="198C9F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F9AE77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13</w:t>
            </w:r>
          </w:p>
        </w:tc>
        <w:tc>
          <w:tcPr>
            <w:tcW w:w="2360" w:type="dxa"/>
            <w:tcBorders>
              <w:tl2br w:val="nil"/>
              <w:tr2bl w:val="nil"/>
            </w:tcBorders>
            <w:shd w:val="clear" w:color="auto" w:fill="auto"/>
            <w:noWrap/>
            <w:vAlign w:val="center"/>
          </w:tcPr>
          <w:p w14:paraId="533922F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干砌块石护底</w:t>
            </w:r>
          </w:p>
        </w:tc>
        <w:tc>
          <w:tcPr>
            <w:tcW w:w="690" w:type="dxa"/>
            <w:tcBorders>
              <w:tl2br w:val="nil"/>
              <w:tr2bl w:val="nil"/>
            </w:tcBorders>
            <w:shd w:val="clear" w:color="auto" w:fill="auto"/>
            <w:noWrap/>
            <w:vAlign w:val="center"/>
          </w:tcPr>
          <w:p w14:paraId="54E7F94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46B4985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26</w:t>
            </w:r>
          </w:p>
        </w:tc>
        <w:tc>
          <w:tcPr>
            <w:tcW w:w="4496" w:type="dxa"/>
            <w:tcBorders>
              <w:tl2br w:val="nil"/>
              <w:tr2bl w:val="nil"/>
            </w:tcBorders>
            <w:shd w:val="clear" w:color="auto" w:fill="auto"/>
            <w:noWrap/>
            <w:vAlign w:val="center"/>
          </w:tcPr>
          <w:p w14:paraId="2BC0EA3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石料粒径不小于15cm，块石容重&gt;26kN/m³，饱和抗压强度≥30MPa，软化系数不小于0.70</w:t>
            </w:r>
          </w:p>
        </w:tc>
      </w:tr>
      <w:tr w14:paraId="68EF81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C14FE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14</w:t>
            </w:r>
          </w:p>
        </w:tc>
        <w:tc>
          <w:tcPr>
            <w:tcW w:w="2360" w:type="dxa"/>
            <w:tcBorders>
              <w:tl2br w:val="nil"/>
              <w:tr2bl w:val="nil"/>
            </w:tcBorders>
            <w:shd w:val="clear" w:color="auto" w:fill="auto"/>
            <w:noWrap/>
            <w:vAlign w:val="center"/>
          </w:tcPr>
          <w:p w14:paraId="7005714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砂砾垫层</w:t>
            </w:r>
          </w:p>
        </w:tc>
        <w:tc>
          <w:tcPr>
            <w:tcW w:w="690" w:type="dxa"/>
            <w:tcBorders>
              <w:tl2br w:val="nil"/>
              <w:tr2bl w:val="nil"/>
            </w:tcBorders>
            <w:shd w:val="clear" w:color="auto" w:fill="auto"/>
            <w:noWrap/>
            <w:vAlign w:val="center"/>
          </w:tcPr>
          <w:p w14:paraId="2CD297B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72AE679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w:t>
            </w:r>
          </w:p>
        </w:tc>
        <w:tc>
          <w:tcPr>
            <w:tcW w:w="4496" w:type="dxa"/>
            <w:tcBorders>
              <w:tl2br w:val="nil"/>
              <w:tr2bl w:val="nil"/>
            </w:tcBorders>
            <w:shd w:val="clear" w:color="auto" w:fill="auto"/>
            <w:noWrap/>
            <w:vAlign w:val="center"/>
          </w:tcPr>
          <w:p w14:paraId="6F9AB60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粒径5~20mm，含泥量&lt;5%</w:t>
            </w:r>
          </w:p>
        </w:tc>
      </w:tr>
      <w:tr w14:paraId="1A4CA2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C2F14D1">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15</w:t>
            </w:r>
          </w:p>
        </w:tc>
        <w:tc>
          <w:tcPr>
            <w:tcW w:w="2360" w:type="dxa"/>
            <w:tcBorders>
              <w:tl2br w:val="nil"/>
              <w:tr2bl w:val="nil"/>
            </w:tcBorders>
            <w:shd w:val="clear" w:color="auto" w:fill="auto"/>
            <w:noWrap/>
            <w:vAlign w:val="center"/>
          </w:tcPr>
          <w:p w14:paraId="7DDDF3E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o50mmPVC排水管</w:t>
            </w:r>
          </w:p>
        </w:tc>
        <w:tc>
          <w:tcPr>
            <w:tcW w:w="690" w:type="dxa"/>
            <w:tcBorders>
              <w:tl2br w:val="nil"/>
              <w:tr2bl w:val="nil"/>
            </w:tcBorders>
            <w:shd w:val="clear" w:color="auto" w:fill="auto"/>
            <w:noWrap/>
            <w:vAlign w:val="center"/>
          </w:tcPr>
          <w:p w14:paraId="4ABF0AA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4B42C74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23</w:t>
            </w:r>
          </w:p>
        </w:tc>
        <w:tc>
          <w:tcPr>
            <w:tcW w:w="4496" w:type="dxa"/>
            <w:tcBorders>
              <w:tl2br w:val="nil"/>
              <w:tr2bl w:val="nil"/>
            </w:tcBorders>
            <w:shd w:val="clear" w:color="auto" w:fill="auto"/>
            <w:noWrap/>
            <w:vAlign w:val="center"/>
          </w:tcPr>
          <w:p w14:paraId="31B4C44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12D5F4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7950C2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16</w:t>
            </w:r>
          </w:p>
        </w:tc>
        <w:tc>
          <w:tcPr>
            <w:tcW w:w="2360" w:type="dxa"/>
            <w:tcBorders>
              <w:tl2br w:val="nil"/>
              <w:tr2bl w:val="nil"/>
            </w:tcBorders>
            <w:shd w:val="clear" w:color="auto" w:fill="auto"/>
            <w:noWrap/>
            <w:vAlign w:val="center"/>
          </w:tcPr>
          <w:p w14:paraId="11B2D7A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新建启闭机房</w:t>
            </w:r>
          </w:p>
        </w:tc>
        <w:tc>
          <w:tcPr>
            <w:tcW w:w="690" w:type="dxa"/>
            <w:tcBorders>
              <w:tl2br w:val="nil"/>
              <w:tr2bl w:val="nil"/>
            </w:tcBorders>
            <w:shd w:val="clear" w:color="auto" w:fill="auto"/>
            <w:noWrap/>
            <w:vAlign w:val="center"/>
          </w:tcPr>
          <w:p w14:paraId="3860CA3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62D944F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15</w:t>
            </w:r>
          </w:p>
        </w:tc>
        <w:tc>
          <w:tcPr>
            <w:tcW w:w="4496" w:type="dxa"/>
            <w:tcBorders>
              <w:tl2br w:val="nil"/>
              <w:tr2bl w:val="nil"/>
            </w:tcBorders>
            <w:shd w:val="clear" w:color="auto" w:fill="auto"/>
            <w:noWrap/>
            <w:vAlign w:val="center"/>
          </w:tcPr>
          <w:p w14:paraId="3967F9B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含砖墙、门、窗及屋面防水等</w:t>
            </w:r>
          </w:p>
        </w:tc>
      </w:tr>
      <w:tr w14:paraId="3BD1DE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C9FBED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17</w:t>
            </w:r>
          </w:p>
        </w:tc>
        <w:tc>
          <w:tcPr>
            <w:tcW w:w="2360" w:type="dxa"/>
            <w:tcBorders>
              <w:tl2br w:val="nil"/>
              <w:tr2bl w:val="nil"/>
            </w:tcBorders>
            <w:shd w:val="clear" w:color="auto" w:fill="auto"/>
            <w:noWrap/>
            <w:vAlign w:val="center"/>
          </w:tcPr>
          <w:p w14:paraId="11445D7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铜片止水</w:t>
            </w:r>
          </w:p>
        </w:tc>
        <w:tc>
          <w:tcPr>
            <w:tcW w:w="690" w:type="dxa"/>
            <w:tcBorders>
              <w:tl2br w:val="nil"/>
              <w:tr2bl w:val="nil"/>
            </w:tcBorders>
            <w:shd w:val="clear" w:color="auto" w:fill="auto"/>
            <w:noWrap/>
            <w:vAlign w:val="center"/>
          </w:tcPr>
          <w:p w14:paraId="4BF6081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5A533CC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51</w:t>
            </w:r>
          </w:p>
        </w:tc>
        <w:tc>
          <w:tcPr>
            <w:tcW w:w="4496" w:type="dxa"/>
            <w:tcBorders>
              <w:tl2br w:val="nil"/>
              <w:tr2bl w:val="nil"/>
            </w:tcBorders>
            <w:shd w:val="clear" w:color="auto" w:fill="auto"/>
            <w:noWrap/>
            <w:vAlign w:val="center"/>
          </w:tcPr>
          <w:p w14:paraId="75CD55B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1DF4A4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18D996">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18</w:t>
            </w:r>
          </w:p>
        </w:tc>
        <w:tc>
          <w:tcPr>
            <w:tcW w:w="2360" w:type="dxa"/>
            <w:tcBorders>
              <w:tl2br w:val="nil"/>
              <w:tr2bl w:val="nil"/>
            </w:tcBorders>
            <w:shd w:val="clear" w:color="auto" w:fill="auto"/>
            <w:noWrap/>
            <w:vAlign w:val="center"/>
          </w:tcPr>
          <w:p w14:paraId="1D816AD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沥青杉板</w:t>
            </w:r>
          </w:p>
        </w:tc>
        <w:tc>
          <w:tcPr>
            <w:tcW w:w="690" w:type="dxa"/>
            <w:tcBorders>
              <w:tl2br w:val="nil"/>
              <w:tr2bl w:val="nil"/>
            </w:tcBorders>
            <w:shd w:val="clear" w:color="auto" w:fill="auto"/>
            <w:noWrap/>
            <w:vAlign w:val="center"/>
          </w:tcPr>
          <w:p w14:paraId="4014C8F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71BF9D8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41</w:t>
            </w:r>
          </w:p>
        </w:tc>
        <w:tc>
          <w:tcPr>
            <w:tcW w:w="4496" w:type="dxa"/>
            <w:tcBorders>
              <w:tl2br w:val="nil"/>
              <w:tr2bl w:val="nil"/>
            </w:tcBorders>
            <w:shd w:val="clear" w:color="auto" w:fill="auto"/>
            <w:noWrap/>
            <w:vAlign w:val="center"/>
          </w:tcPr>
          <w:p w14:paraId="5364C2B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厚2cm</w:t>
            </w:r>
          </w:p>
        </w:tc>
      </w:tr>
      <w:tr w14:paraId="2DB79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C687A6A">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19</w:t>
            </w:r>
          </w:p>
        </w:tc>
        <w:tc>
          <w:tcPr>
            <w:tcW w:w="2360" w:type="dxa"/>
            <w:tcBorders>
              <w:tl2br w:val="nil"/>
              <w:tr2bl w:val="nil"/>
            </w:tcBorders>
            <w:shd w:val="clear" w:color="auto" w:fill="auto"/>
            <w:noWrap/>
            <w:vAlign w:val="center"/>
          </w:tcPr>
          <w:p w14:paraId="2A1D614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钢栏杆</w:t>
            </w:r>
          </w:p>
        </w:tc>
        <w:tc>
          <w:tcPr>
            <w:tcW w:w="690" w:type="dxa"/>
            <w:tcBorders>
              <w:tl2br w:val="nil"/>
              <w:tr2bl w:val="nil"/>
            </w:tcBorders>
            <w:shd w:val="clear" w:color="auto" w:fill="auto"/>
            <w:noWrap/>
            <w:vAlign w:val="center"/>
          </w:tcPr>
          <w:p w14:paraId="55B1349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1D228EA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w:t>
            </w:r>
          </w:p>
        </w:tc>
        <w:tc>
          <w:tcPr>
            <w:tcW w:w="4496" w:type="dxa"/>
            <w:tcBorders>
              <w:tl2br w:val="nil"/>
              <w:tr2bl w:val="nil"/>
            </w:tcBorders>
            <w:shd w:val="clear" w:color="auto" w:fill="auto"/>
            <w:noWrap/>
            <w:vAlign w:val="center"/>
          </w:tcPr>
          <w:p w14:paraId="44DF2E9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高1.2m</w:t>
            </w:r>
          </w:p>
        </w:tc>
      </w:tr>
      <w:tr w14:paraId="4AEDFB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93D855B">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20</w:t>
            </w:r>
          </w:p>
        </w:tc>
        <w:tc>
          <w:tcPr>
            <w:tcW w:w="2360" w:type="dxa"/>
            <w:tcBorders>
              <w:tl2br w:val="nil"/>
              <w:tr2bl w:val="nil"/>
            </w:tcBorders>
            <w:shd w:val="clear" w:color="auto" w:fill="auto"/>
            <w:noWrap/>
            <w:vAlign w:val="center"/>
          </w:tcPr>
          <w:p w14:paraId="5B86F02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橡胶支座</w:t>
            </w:r>
          </w:p>
        </w:tc>
        <w:tc>
          <w:tcPr>
            <w:tcW w:w="690" w:type="dxa"/>
            <w:tcBorders>
              <w:tl2br w:val="nil"/>
              <w:tr2bl w:val="nil"/>
            </w:tcBorders>
            <w:shd w:val="clear" w:color="auto" w:fill="auto"/>
            <w:noWrap/>
            <w:vAlign w:val="center"/>
          </w:tcPr>
          <w:p w14:paraId="63FE3A6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块</w:t>
            </w:r>
          </w:p>
        </w:tc>
        <w:tc>
          <w:tcPr>
            <w:tcW w:w="750" w:type="dxa"/>
            <w:tcBorders>
              <w:tl2br w:val="nil"/>
              <w:tr2bl w:val="nil"/>
            </w:tcBorders>
            <w:shd w:val="clear" w:color="auto" w:fill="auto"/>
            <w:noWrap/>
            <w:vAlign w:val="center"/>
          </w:tcPr>
          <w:p w14:paraId="160F76D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4496" w:type="dxa"/>
            <w:tcBorders>
              <w:tl2br w:val="nil"/>
              <w:tr2bl w:val="nil"/>
            </w:tcBorders>
            <w:shd w:val="clear" w:color="auto" w:fill="auto"/>
            <w:noWrap/>
            <w:vAlign w:val="center"/>
          </w:tcPr>
          <w:p w14:paraId="4C47917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30cm×25cm×3cm</w:t>
            </w:r>
          </w:p>
        </w:tc>
      </w:tr>
      <w:tr w14:paraId="6B6625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66F5AB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21</w:t>
            </w:r>
          </w:p>
        </w:tc>
        <w:tc>
          <w:tcPr>
            <w:tcW w:w="2360" w:type="dxa"/>
            <w:tcBorders>
              <w:tl2br w:val="nil"/>
              <w:tr2bl w:val="nil"/>
            </w:tcBorders>
            <w:shd w:val="clear" w:color="auto" w:fill="auto"/>
            <w:noWrap/>
            <w:vAlign w:val="center"/>
          </w:tcPr>
          <w:p w14:paraId="30E3148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钢筋</w:t>
            </w:r>
          </w:p>
        </w:tc>
        <w:tc>
          <w:tcPr>
            <w:tcW w:w="690" w:type="dxa"/>
            <w:tcBorders>
              <w:tl2br w:val="nil"/>
              <w:tr2bl w:val="nil"/>
            </w:tcBorders>
            <w:shd w:val="clear" w:color="auto" w:fill="auto"/>
            <w:noWrap/>
            <w:vAlign w:val="center"/>
          </w:tcPr>
          <w:p w14:paraId="55F9E77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t</w:t>
            </w:r>
          </w:p>
        </w:tc>
        <w:tc>
          <w:tcPr>
            <w:tcW w:w="750" w:type="dxa"/>
            <w:tcBorders>
              <w:tl2br w:val="nil"/>
              <w:tr2bl w:val="nil"/>
            </w:tcBorders>
            <w:shd w:val="clear" w:color="auto" w:fill="auto"/>
            <w:noWrap/>
            <w:vAlign w:val="center"/>
          </w:tcPr>
          <w:p w14:paraId="797BDD0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37</w:t>
            </w:r>
          </w:p>
        </w:tc>
        <w:tc>
          <w:tcPr>
            <w:tcW w:w="4496" w:type="dxa"/>
            <w:tcBorders>
              <w:tl2br w:val="nil"/>
              <w:tr2bl w:val="nil"/>
            </w:tcBorders>
            <w:shd w:val="clear" w:color="auto" w:fill="auto"/>
            <w:noWrap/>
            <w:vAlign w:val="center"/>
          </w:tcPr>
          <w:p w14:paraId="3B4DF3B7">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r>
      <w:tr w14:paraId="330ED3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951F261">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color w:val="000000"/>
                <w:kern w:val="0"/>
                <w:sz w:val="21"/>
                <w:szCs w:val="21"/>
                <w:lang w:val="en-US" w:eastAsia="zh-CN" w:bidi="ar"/>
              </w:rPr>
              <w:t>十二</w:t>
            </w:r>
          </w:p>
        </w:tc>
        <w:tc>
          <w:tcPr>
            <w:tcW w:w="2360" w:type="dxa"/>
            <w:tcBorders>
              <w:tl2br w:val="nil"/>
              <w:tr2bl w:val="nil"/>
            </w:tcBorders>
            <w:shd w:val="clear" w:color="auto" w:fill="auto"/>
            <w:noWrap/>
            <w:vAlign w:val="center"/>
          </w:tcPr>
          <w:p w14:paraId="40CCE3D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color w:val="000000"/>
                <w:kern w:val="0"/>
                <w:sz w:val="21"/>
                <w:szCs w:val="21"/>
                <w:lang w:val="en-US" w:eastAsia="zh-CN" w:bidi="ar"/>
              </w:rPr>
              <w:t>防汛道路改造</w:t>
            </w:r>
          </w:p>
        </w:tc>
        <w:tc>
          <w:tcPr>
            <w:tcW w:w="690" w:type="dxa"/>
            <w:tcBorders>
              <w:tl2br w:val="nil"/>
              <w:tr2bl w:val="nil"/>
            </w:tcBorders>
            <w:shd w:val="clear" w:color="auto" w:fill="auto"/>
            <w:noWrap/>
            <w:vAlign w:val="center"/>
          </w:tcPr>
          <w:p w14:paraId="69DCCEC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750" w:type="dxa"/>
            <w:tcBorders>
              <w:tl2br w:val="nil"/>
              <w:tr2bl w:val="nil"/>
            </w:tcBorders>
            <w:shd w:val="clear" w:color="auto" w:fill="auto"/>
            <w:noWrap/>
            <w:vAlign w:val="center"/>
          </w:tcPr>
          <w:p w14:paraId="3DAF3F3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kern w:val="0"/>
                <w:sz w:val="21"/>
                <w:szCs w:val="21"/>
                <w:u w:val="none"/>
                <w:lang w:val="en-US" w:eastAsia="zh-CN" w:bidi="ar"/>
              </w:rPr>
            </w:pPr>
          </w:p>
        </w:tc>
        <w:tc>
          <w:tcPr>
            <w:tcW w:w="4496" w:type="dxa"/>
            <w:tcBorders>
              <w:tl2br w:val="nil"/>
              <w:tr2bl w:val="nil"/>
            </w:tcBorders>
            <w:shd w:val="clear" w:color="auto" w:fill="auto"/>
            <w:noWrap/>
            <w:vAlign w:val="center"/>
          </w:tcPr>
          <w:p w14:paraId="7F15FBF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共4.01km，其中2.37km混凝土路面，1.64km沥青混凝土略面</w:t>
            </w:r>
          </w:p>
        </w:tc>
      </w:tr>
      <w:tr w14:paraId="728C16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0137460">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w:t>
            </w:r>
          </w:p>
        </w:tc>
        <w:tc>
          <w:tcPr>
            <w:tcW w:w="2360" w:type="dxa"/>
            <w:tcBorders>
              <w:tl2br w:val="nil"/>
              <w:tr2bl w:val="nil"/>
            </w:tcBorders>
            <w:shd w:val="clear" w:color="auto" w:fill="auto"/>
            <w:noWrap/>
            <w:vAlign w:val="center"/>
          </w:tcPr>
          <w:p w14:paraId="591BB6D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土方回填</w:t>
            </w:r>
          </w:p>
        </w:tc>
        <w:tc>
          <w:tcPr>
            <w:tcW w:w="690" w:type="dxa"/>
            <w:tcBorders>
              <w:tl2br w:val="nil"/>
              <w:tr2bl w:val="nil"/>
            </w:tcBorders>
            <w:shd w:val="clear" w:color="auto" w:fill="auto"/>
            <w:noWrap/>
            <w:vAlign w:val="center"/>
          </w:tcPr>
          <w:p w14:paraId="68BF5961">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1236EBE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7560</w:t>
            </w:r>
          </w:p>
        </w:tc>
        <w:tc>
          <w:tcPr>
            <w:tcW w:w="4496" w:type="dxa"/>
            <w:tcBorders>
              <w:tl2br w:val="nil"/>
              <w:tr2bl w:val="nil"/>
            </w:tcBorders>
            <w:shd w:val="clear" w:color="auto" w:fill="auto"/>
            <w:noWrap/>
            <w:vAlign w:val="center"/>
          </w:tcPr>
          <w:p w14:paraId="447A241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厚30cm，路基</w:t>
            </w:r>
          </w:p>
        </w:tc>
      </w:tr>
      <w:tr w14:paraId="4B49E6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04BCAA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w:t>
            </w:r>
          </w:p>
        </w:tc>
        <w:tc>
          <w:tcPr>
            <w:tcW w:w="2360" w:type="dxa"/>
            <w:tcBorders>
              <w:tl2br w:val="nil"/>
              <w:tr2bl w:val="nil"/>
            </w:tcBorders>
            <w:shd w:val="clear" w:color="auto" w:fill="auto"/>
            <w:noWrap/>
            <w:vAlign w:val="center"/>
          </w:tcPr>
          <w:p w14:paraId="4EF0370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C25混凝土路面</w:t>
            </w:r>
          </w:p>
        </w:tc>
        <w:tc>
          <w:tcPr>
            <w:tcW w:w="690" w:type="dxa"/>
            <w:tcBorders>
              <w:tl2br w:val="nil"/>
              <w:tr2bl w:val="nil"/>
            </w:tcBorders>
            <w:shd w:val="clear" w:color="auto" w:fill="auto"/>
            <w:noWrap/>
            <w:vAlign w:val="center"/>
          </w:tcPr>
          <w:p w14:paraId="2854E5E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5E2E752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2489</w:t>
            </w:r>
          </w:p>
        </w:tc>
        <w:tc>
          <w:tcPr>
            <w:tcW w:w="4496" w:type="dxa"/>
            <w:tcBorders>
              <w:tl2br w:val="nil"/>
              <w:tr2bl w:val="nil"/>
            </w:tcBorders>
            <w:shd w:val="clear" w:color="auto" w:fill="auto"/>
            <w:noWrap/>
            <w:vAlign w:val="center"/>
          </w:tcPr>
          <w:p w14:paraId="172C46F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厚20cm</w:t>
            </w:r>
          </w:p>
        </w:tc>
      </w:tr>
      <w:tr w14:paraId="0393C8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0767595">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w:t>
            </w:r>
          </w:p>
        </w:tc>
        <w:tc>
          <w:tcPr>
            <w:tcW w:w="2360" w:type="dxa"/>
            <w:tcBorders>
              <w:tl2br w:val="nil"/>
              <w:tr2bl w:val="nil"/>
            </w:tcBorders>
            <w:shd w:val="clear" w:color="auto" w:fill="auto"/>
            <w:noWrap/>
            <w:vAlign w:val="center"/>
          </w:tcPr>
          <w:p w14:paraId="43BCF95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6%水泥稳定碎石垫层</w:t>
            </w:r>
          </w:p>
        </w:tc>
        <w:tc>
          <w:tcPr>
            <w:tcW w:w="690" w:type="dxa"/>
            <w:tcBorders>
              <w:tl2br w:val="nil"/>
              <w:tr2bl w:val="nil"/>
            </w:tcBorders>
            <w:shd w:val="clear" w:color="auto" w:fill="auto"/>
            <w:noWrap/>
            <w:vAlign w:val="center"/>
          </w:tcPr>
          <w:p w14:paraId="6DE587D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6887331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4200</w:t>
            </w:r>
          </w:p>
        </w:tc>
        <w:tc>
          <w:tcPr>
            <w:tcW w:w="4496" w:type="dxa"/>
            <w:tcBorders>
              <w:tl2br w:val="nil"/>
              <w:tr2bl w:val="nil"/>
            </w:tcBorders>
            <w:shd w:val="clear" w:color="auto" w:fill="auto"/>
            <w:noWrap/>
            <w:vAlign w:val="center"/>
          </w:tcPr>
          <w:p w14:paraId="553E406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厚20cm</w:t>
            </w:r>
          </w:p>
        </w:tc>
      </w:tr>
      <w:tr w14:paraId="69EDCF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C7F8686">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2360" w:type="dxa"/>
            <w:tcBorders>
              <w:tl2br w:val="nil"/>
              <w:tr2bl w:val="nil"/>
            </w:tcBorders>
            <w:shd w:val="clear" w:color="auto" w:fill="auto"/>
            <w:noWrap/>
            <w:vAlign w:val="center"/>
          </w:tcPr>
          <w:p w14:paraId="773FF15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级配碎石垫层</w:t>
            </w:r>
          </w:p>
        </w:tc>
        <w:tc>
          <w:tcPr>
            <w:tcW w:w="690" w:type="dxa"/>
            <w:tcBorders>
              <w:tl2br w:val="nil"/>
              <w:tr2bl w:val="nil"/>
            </w:tcBorders>
            <w:shd w:val="clear" w:color="auto" w:fill="auto"/>
            <w:noWrap/>
            <w:vAlign w:val="center"/>
          </w:tcPr>
          <w:p w14:paraId="62991E4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1809A0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1292</w:t>
            </w:r>
          </w:p>
        </w:tc>
        <w:tc>
          <w:tcPr>
            <w:tcW w:w="4496" w:type="dxa"/>
            <w:tcBorders>
              <w:tl2br w:val="nil"/>
              <w:tr2bl w:val="nil"/>
            </w:tcBorders>
            <w:shd w:val="clear" w:color="auto" w:fill="auto"/>
            <w:noWrap/>
            <w:vAlign w:val="center"/>
          </w:tcPr>
          <w:p w14:paraId="39DB276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厚15cm</w:t>
            </w:r>
          </w:p>
        </w:tc>
      </w:tr>
      <w:tr w14:paraId="772D69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B425CB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2360" w:type="dxa"/>
            <w:tcBorders>
              <w:tl2br w:val="nil"/>
              <w:tr2bl w:val="nil"/>
            </w:tcBorders>
            <w:shd w:val="clear" w:color="auto" w:fill="auto"/>
            <w:noWrap/>
            <w:vAlign w:val="center"/>
          </w:tcPr>
          <w:p w14:paraId="68021EA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沥青混凝土面层AC13</w:t>
            </w:r>
          </w:p>
        </w:tc>
        <w:tc>
          <w:tcPr>
            <w:tcW w:w="690" w:type="dxa"/>
            <w:tcBorders>
              <w:tl2br w:val="nil"/>
              <w:tr2bl w:val="nil"/>
            </w:tcBorders>
            <w:shd w:val="clear" w:color="auto" w:fill="auto"/>
            <w:noWrap/>
            <w:vAlign w:val="center"/>
          </w:tcPr>
          <w:p w14:paraId="1AEAC91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m²</w:t>
            </w:r>
          </w:p>
        </w:tc>
        <w:tc>
          <w:tcPr>
            <w:tcW w:w="750" w:type="dxa"/>
            <w:tcBorders>
              <w:tl2br w:val="nil"/>
              <w:tr2bl w:val="nil"/>
            </w:tcBorders>
            <w:shd w:val="clear" w:color="auto" w:fill="auto"/>
            <w:noWrap/>
            <w:vAlign w:val="center"/>
          </w:tcPr>
          <w:p w14:paraId="396ED28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8610</w:t>
            </w:r>
          </w:p>
        </w:tc>
        <w:tc>
          <w:tcPr>
            <w:tcW w:w="4496" w:type="dxa"/>
            <w:tcBorders>
              <w:tl2br w:val="nil"/>
              <w:tr2bl w:val="nil"/>
            </w:tcBorders>
            <w:shd w:val="clear" w:color="auto" w:fill="auto"/>
            <w:noWrap/>
            <w:vAlign w:val="center"/>
          </w:tcPr>
          <w:p w14:paraId="4716027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厚6cm</w:t>
            </w:r>
          </w:p>
        </w:tc>
      </w:tr>
      <w:tr w14:paraId="5728F2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2E21BC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w:t>
            </w:r>
          </w:p>
        </w:tc>
        <w:tc>
          <w:tcPr>
            <w:tcW w:w="2360" w:type="dxa"/>
            <w:tcBorders>
              <w:tl2br w:val="nil"/>
              <w:tr2bl w:val="nil"/>
            </w:tcBorders>
            <w:shd w:val="clear" w:color="auto" w:fill="auto"/>
            <w:noWrap/>
            <w:vAlign w:val="center"/>
          </w:tcPr>
          <w:p w14:paraId="16813C3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C20混凝土路缘石</w:t>
            </w:r>
          </w:p>
        </w:tc>
        <w:tc>
          <w:tcPr>
            <w:tcW w:w="690" w:type="dxa"/>
            <w:tcBorders>
              <w:tl2br w:val="nil"/>
              <w:tr2bl w:val="nil"/>
            </w:tcBorders>
            <w:shd w:val="clear" w:color="auto" w:fill="auto"/>
            <w:noWrap/>
            <w:vAlign w:val="center"/>
          </w:tcPr>
          <w:p w14:paraId="47AF614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D57B89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294</w:t>
            </w:r>
          </w:p>
        </w:tc>
        <w:tc>
          <w:tcPr>
            <w:tcW w:w="4496" w:type="dxa"/>
            <w:tcBorders>
              <w:tl2br w:val="nil"/>
              <w:tr2bl w:val="nil"/>
            </w:tcBorders>
            <w:shd w:val="clear" w:color="auto" w:fill="auto"/>
            <w:noWrap/>
            <w:vAlign w:val="center"/>
          </w:tcPr>
          <w:p w14:paraId="7B36EB7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0.35m×0.8m，上下游两侧</w:t>
            </w:r>
          </w:p>
        </w:tc>
      </w:tr>
      <w:tr w14:paraId="7A6613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FCC92C7">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w:t>
            </w:r>
          </w:p>
        </w:tc>
        <w:tc>
          <w:tcPr>
            <w:tcW w:w="2360" w:type="dxa"/>
            <w:tcBorders>
              <w:tl2br w:val="nil"/>
              <w:tr2bl w:val="nil"/>
            </w:tcBorders>
            <w:shd w:val="clear" w:color="auto" w:fill="auto"/>
            <w:noWrap/>
            <w:vAlign w:val="center"/>
          </w:tcPr>
          <w:p w14:paraId="241FE85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C20混凝土脚槽</w:t>
            </w:r>
          </w:p>
        </w:tc>
        <w:tc>
          <w:tcPr>
            <w:tcW w:w="690" w:type="dxa"/>
            <w:tcBorders>
              <w:tl2br w:val="nil"/>
              <w:tr2bl w:val="nil"/>
            </w:tcBorders>
            <w:shd w:val="clear" w:color="auto" w:fill="auto"/>
            <w:noWrap/>
            <w:vAlign w:val="center"/>
          </w:tcPr>
          <w:p w14:paraId="7CBAE18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AA9B64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61</w:t>
            </w:r>
          </w:p>
        </w:tc>
        <w:tc>
          <w:tcPr>
            <w:tcW w:w="4496" w:type="dxa"/>
            <w:tcBorders>
              <w:tl2br w:val="nil"/>
              <w:tr2bl w:val="nil"/>
            </w:tcBorders>
            <w:shd w:val="clear" w:color="auto" w:fill="auto"/>
            <w:noWrap/>
            <w:vAlign w:val="center"/>
          </w:tcPr>
          <w:p w14:paraId="779E003F">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0.3m×0.3m</w:t>
            </w:r>
          </w:p>
        </w:tc>
      </w:tr>
      <w:tr w14:paraId="6275A4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E05738A">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8</w:t>
            </w:r>
          </w:p>
        </w:tc>
        <w:tc>
          <w:tcPr>
            <w:tcW w:w="2360" w:type="dxa"/>
            <w:tcBorders>
              <w:tl2br w:val="nil"/>
              <w:tr2bl w:val="nil"/>
            </w:tcBorders>
            <w:shd w:val="clear" w:color="auto" w:fill="auto"/>
            <w:noWrap/>
            <w:vAlign w:val="center"/>
          </w:tcPr>
          <w:p w14:paraId="371FDFD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抛石挤淤</w:t>
            </w:r>
          </w:p>
        </w:tc>
        <w:tc>
          <w:tcPr>
            <w:tcW w:w="690" w:type="dxa"/>
            <w:tcBorders>
              <w:tl2br w:val="nil"/>
              <w:tr2bl w:val="nil"/>
            </w:tcBorders>
            <w:shd w:val="clear" w:color="auto" w:fill="auto"/>
            <w:noWrap/>
            <w:vAlign w:val="center"/>
          </w:tcPr>
          <w:p w14:paraId="650B38D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521C28B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788</w:t>
            </w:r>
          </w:p>
        </w:tc>
        <w:tc>
          <w:tcPr>
            <w:tcW w:w="4496" w:type="dxa"/>
            <w:tcBorders>
              <w:tl2br w:val="nil"/>
              <w:tr2bl w:val="nil"/>
            </w:tcBorders>
            <w:shd w:val="clear" w:color="auto" w:fill="auto"/>
            <w:noWrap/>
            <w:vAlign w:val="center"/>
          </w:tcPr>
          <w:p w14:paraId="300F84F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5平方×150m</w:t>
            </w:r>
          </w:p>
        </w:tc>
      </w:tr>
      <w:tr w14:paraId="77A624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1CC4F1C">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9</w:t>
            </w:r>
          </w:p>
        </w:tc>
        <w:tc>
          <w:tcPr>
            <w:tcW w:w="2360" w:type="dxa"/>
            <w:tcBorders>
              <w:tl2br w:val="nil"/>
              <w:tr2bl w:val="nil"/>
            </w:tcBorders>
            <w:shd w:val="clear" w:color="auto" w:fill="auto"/>
            <w:noWrap/>
            <w:vAlign w:val="center"/>
          </w:tcPr>
          <w:p w14:paraId="43D40E0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土方回填</w:t>
            </w:r>
          </w:p>
        </w:tc>
        <w:tc>
          <w:tcPr>
            <w:tcW w:w="690" w:type="dxa"/>
            <w:tcBorders>
              <w:tl2br w:val="nil"/>
              <w:tr2bl w:val="nil"/>
            </w:tcBorders>
            <w:shd w:val="clear" w:color="auto" w:fill="auto"/>
            <w:noWrap/>
            <w:vAlign w:val="center"/>
          </w:tcPr>
          <w:p w14:paraId="61CB9C4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4694588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3150</w:t>
            </w:r>
          </w:p>
        </w:tc>
        <w:tc>
          <w:tcPr>
            <w:tcW w:w="4496" w:type="dxa"/>
            <w:tcBorders>
              <w:tl2br w:val="nil"/>
              <w:tr2bl w:val="nil"/>
            </w:tcBorders>
            <w:shd w:val="clear" w:color="auto" w:fill="auto"/>
            <w:noWrap/>
            <w:vAlign w:val="center"/>
          </w:tcPr>
          <w:p w14:paraId="3F705C0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公路迎水侧塌岸加固</w:t>
            </w:r>
          </w:p>
        </w:tc>
      </w:tr>
      <w:tr w14:paraId="7FCB15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029F1C3E">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10</w:t>
            </w:r>
          </w:p>
        </w:tc>
        <w:tc>
          <w:tcPr>
            <w:tcW w:w="2360" w:type="dxa"/>
            <w:tcBorders>
              <w:tl2br w:val="nil"/>
              <w:tr2bl w:val="nil"/>
            </w:tcBorders>
            <w:shd w:val="clear" w:color="auto" w:fill="auto"/>
            <w:noWrap/>
            <w:vAlign w:val="center"/>
          </w:tcPr>
          <w:p w14:paraId="3CF7DC5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C20混凝土预制块护坡</w:t>
            </w:r>
          </w:p>
        </w:tc>
        <w:tc>
          <w:tcPr>
            <w:tcW w:w="690" w:type="dxa"/>
            <w:tcBorders>
              <w:tl2br w:val="nil"/>
              <w:tr2bl w:val="nil"/>
            </w:tcBorders>
            <w:shd w:val="clear" w:color="auto" w:fill="auto"/>
            <w:noWrap/>
            <w:vAlign w:val="center"/>
          </w:tcPr>
          <w:p w14:paraId="79DB1A4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44BAB3C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307</w:t>
            </w:r>
          </w:p>
        </w:tc>
        <w:tc>
          <w:tcPr>
            <w:tcW w:w="4496" w:type="dxa"/>
            <w:tcBorders>
              <w:tl2br w:val="nil"/>
              <w:tr2bl w:val="nil"/>
            </w:tcBorders>
            <w:shd w:val="clear" w:color="auto" w:fill="auto"/>
            <w:noWrap/>
            <w:vAlign w:val="center"/>
          </w:tcPr>
          <w:p w14:paraId="72D61DC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厚13cm，C20</w:t>
            </w:r>
          </w:p>
        </w:tc>
      </w:tr>
      <w:tr w14:paraId="44106B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37456B2A">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11</w:t>
            </w:r>
          </w:p>
        </w:tc>
        <w:tc>
          <w:tcPr>
            <w:tcW w:w="2360" w:type="dxa"/>
            <w:tcBorders>
              <w:tl2br w:val="nil"/>
              <w:tr2bl w:val="nil"/>
            </w:tcBorders>
            <w:shd w:val="clear" w:color="auto" w:fill="auto"/>
            <w:noWrap/>
            <w:vAlign w:val="center"/>
          </w:tcPr>
          <w:p w14:paraId="176A50B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砂砾石垫层</w:t>
            </w:r>
          </w:p>
        </w:tc>
        <w:tc>
          <w:tcPr>
            <w:tcW w:w="690" w:type="dxa"/>
            <w:tcBorders>
              <w:tl2br w:val="nil"/>
              <w:tr2bl w:val="nil"/>
            </w:tcBorders>
            <w:shd w:val="clear" w:color="auto" w:fill="auto"/>
            <w:noWrap/>
            <w:vAlign w:val="center"/>
          </w:tcPr>
          <w:p w14:paraId="7B9BD85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B34A23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354</w:t>
            </w:r>
          </w:p>
        </w:tc>
        <w:tc>
          <w:tcPr>
            <w:tcW w:w="4496" w:type="dxa"/>
            <w:tcBorders>
              <w:tl2br w:val="nil"/>
              <w:tr2bl w:val="nil"/>
            </w:tcBorders>
            <w:shd w:val="clear" w:color="auto" w:fill="auto"/>
            <w:noWrap/>
            <w:vAlign w:val="center"/>
          </w:tcPr>
          <w:p w14:paraId="2BADB230">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厚15cm</w:t>
            </w:r>
          </w:p>
        </w:tc>
      </w:tr>
      <w:tr w14:paraId="206F7E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AE42081">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12</w:t>
            </w:r>
          </w:p>
        </w:tc>
        <w:tc>
          <w:tcPr>
            <w:tcW w:w="2360" w:type="dxa"/>
            <w:tcBorders>
              <w:tl2br w:val="nil"/>
              <w:tr2bl w:val="nil"/>
            </w:tcBorders>
            <w:shd w:val="clear" w:color="auto" w:fill="auto"/>
            <w:noWrap/>
            <w:vAlign w:val="center"/>
          </w:tcPr>
          <w:p w14:paraId="3AA9A9A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土方回填</w:t>
            </w:r>
          </w:p>
        </w:tc>
        <w:tc>
          <w:tcPr>
            <w:tcW w:w="690" w:type="dxa"/>
            <w:tcBorders>
              <w:tl2br w:val="nil"/>
              <w:tr2bl w:val="nil"/>
            </w:tcBorders>
            <w:shd w:val="clear" w:color="auto" w:fill="auto"/>
            <w:noWrap/>
            <w:vAlign w:val="center"/>
          </w:tcPr>
          <w:p w14:paraId="3FBE4C9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4F0C32E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630</w:t>
            </w:r>
          </w:p>
        </w:tc>
        <w:tc>
          <w:tcPr>
            <w:tcW w:w="4496" w:type="dxa"/>
            <w:tcBorders>
              <w:tl2br w:val="nil"/>
              <w:tr2bl w:val="nil"/>
            </w:tcBorders>
            <w:shd w:val="clear" w:color="auto" w:fill="auto"/>
            <w:noWrap/>
            <w:vAlign w:val="center"/>
          </w:tcPr>
          <w:p w14:paraId="347BF77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6副坝左坝肩</w:t>
            </w:r>
          </w:p>
        </w:tc>
      </w:tr>
      <w:tr w14:paraId="2880B5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11022C9">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13</w:t>
            </w:r>
          </w:p>
        </w:tc>
        <w:tc>
          <w:tcPr>
            <w:tcW w:w="2360" w:type="dxa"/>
            <w:tcBorders>
              <w:tl2br w:val="nil"/>
              <w:tr2bl w:val="nil"/>
            </w:tcBorders>
            <w:shd w:val="clear" w:color="auto" w:fill="auto"/>
            <w:noWrap/>
            <w:vAlign w:val="center"/>
          </w:tcPr>
          <w:p w14:paraId="6D31045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土方开挖</w:t>
            </w:r>
          </w:p>
        </w:tc>
        <w:tc>
          <w:tcPr>
            <w:tcW w:w="690" w:type="dxa"/>
            <w:tcBorders>
              <w:tl2br w:val="nil"/>
              <w:tr2bl w:val="nil"/>
            </w:tcBorders>
            <w:shd w:val="clear" w:color="auto" w:fill="auto"/>
            <w:noWrap/>
            <w:vAlign w:val="center"/>
          </w:tcPr>
          <w:p w14:paraId="40137AC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A4D0F9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10080</w:t>
            </w:r>
          </w:p>
        </w:tc>
        <w:tc>
          <w:tcPr>
            <w:tcW w:w="4496" w:type="dxa"/>
            <w:tcBorders>
              <w:tl2br w:val="nil"/>
              <w:tr2bl w:val="nil"/>
            </w:tcBorders>
            <w:shd w:val="clear" w:color="auto" w:fill="auto"/>
            <w:noWrap/>
            <w:vAlign w:val="center"/>
          </w:tcPr>
          <w:p w14:paraId="0E5C794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lang w:val="en-US" w:eastAsia="zh-CN" w:bidi="ar"/>
              </w:rPr>
            </w:pPr>
          </w:p>
        </w:tc>
      </w:tr>
      <w:tr w14:paraId="20D3CA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174BE416">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14</w:t>
            </w:r>
          </w:p>
        </w:tc>
        <w:tc>
          <w:tcPr>
            <w:tcW w:w="2360" w:type="dxa"/>
            <w:tcBorders>
              <w:tl2br w:val="nil"/>
              <w:tr2bl w:val="nil"/>
            </w:tcBorders>
            <w:shd w:val="clear" w:color="auto" w:fill="auto"/>
            <w:noWrap/>
            <w:vAlign w:val="center"/>
          </w:tcPr>
          <w:p w14:paraId="7CDA0F0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钢栏杆</w:t>
            </w:r>
          </w:p>
        </w:tc>
        <w:tc>
          <w:tcPr>
            <w:tcW w:w="690" w:type="dxa"/>
            <w:tcBorders>
              <w:tl2br w:val="nil"/>
              <w:tr2bl w:val="nil"/>
            </w:tcBorders>
            <w:shd w:val="clear" w:color="auto" w:fill="auto"/>
            <w:noWrap/>
            <w:vAlign w:val="center"/>
          </w:tcPr>
          <w:p w14:paraId="487B0084">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750" w:type="dxa"/>
            <w:tcBorders>
              <w:tl2br w:val="nil"/>
              <w:tr2bl w:val="nil"/>
            </w:tcBorders>
            <w:shd w:val="clear" w:color="auto" w:fill="auto"/>
            <w:noWrap/>
            <w:vAlign w:val="center"/>
          </w:tcPr>
          <w:p w14:paraId="6854E0D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735</w:t>
            </w:r>
          </w:p>
        </w:tc>
        <w:tc>
          <w:tcPr>
            <w:tcW w:w="4496" w:type="dxa"/>
            <w:tcBorders>
              <w:tl2br w:val="nil"/>
              <w:tr2bl w:val="nil"/>
            </w:tcBorders>
            <w:shd w:val="clear" w:color="auto" w:fill="auto"/>
            <w:noWrap/>
            <w:vAlign w:val="center"/>
          </w:tcPr>
          <w:p w14:paraId="662D535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lang w:val="en-US" w:eastAsia="zh-CN" w:bidi="ar"/>
              </w:rPr>
            </w:pPr>
          </w:p>
        </w:tc>
      </w:tr>
      <w:tr w14:paraId="4D720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4FD36A3A">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15</w:t>
            </w:r>
          </w:p>
        </w:tc>
        <w:tc>
          <w:tcPr>
            <w:tcW w:w="2360" w:type="dxa"/>
            <w:tcBorders>
              <w:tl2br w:val="nil"/>
              <w:tr2bl w:val="nil"/>
            </w:tcBorders>
            <w:shd w:val="clear" w:color="auto" w:fill="auto"/>
            <w:noWrap/>
            <w:vAlign w:val="center"/>
          </w:tcPr>
          <w:p w14:paraId="0EFCCD6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混凝土路面拆除</w:t>
            </w:r>
          </w:p>
        </w:tc>
        <w:tc>
          <w:tcPr>
            <w:tcW w:w="690" w:type="dxa"/>
            <w:tcBorders>
              <w:tl2br w:val="nil"/>
              <w:tr2bl w:val="nil"/>
            </w:tcBorders>
            <w:shd w:val="clear" w:color="auto" w:fill="auto"/>
            <w:noWrap/>
            <w:vAlign w:val="center"/>
          </w:tcPr>
          <w:p w14:paraId="6EE7CF63">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0FAC47B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3638</w:t>
            </w:r>
          </w:p>
        </w:tc>
        <w:tc>
          <w:tcPr>
            <w:tcW w:w="4496" w:type="dxa"/>
            <w:tcBorders>
              <w:tl2br w:val="nil"/>
              <w:tr2bl w:val="nil"/>
            </w:tcBorders>
            <w:shd w:val="clear" w:color="auto" w:fill="auto"/>
            <w:noWrap/>
            <w:vAlign w:val="center"/>
          </w:tcPr>
          <w:p w14:paraId="4BF8C85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lang w:val="en-US" w:eastAsia="zh-CN" w:bidi="ar"/>
              </w:rPr>
            </w:pPr>
          </w:p>
        </w:tc>
      </w:tr>
      <w:tr w14:paraId="198727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D834F7C">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16</w:t>
            </w:r>
          </w:p>
        </w:tc>
        <w:tc>
          <w:tcPr>
            <w:tcW w:w="2360" w:type="dxa"/>
            <w:tcBorders>
              <w:tl2br w:val="nil"/>
              <w:tr2bl w:val="nil"/>
            </w:tcBorders>
            <w:shd w:val="clear" w:color="auto" w:fill="auto"/>
            <w:noWrap/>
            <w:vAlign w:val="center"/>
          </w:tcPr>
          <w:p w14:paraId="4B0433DA">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基座混凝土</w:t>
            </w:r>
          </w:p>
        </w:tc>
        <w:tc>
          <w:tcPr>
            <w:tcW w:w="690" w:type="dxa"/>
            <w:tcBorders>
              <w:tl2br w:val="nil"/>
              <w:tr2bl w:val="nil"/>
            </w:tcBorders>
            <w:shd w:val="clear" w:color="auto" w:fill="auto"/>
            <w:noWrap/>
            <w:vAlign w:val="center"/>
          </w:tcPr>
          <w:p w14:paraId="0037677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m³</w:t>
            </w:r>
          </w:p>
        </w:tc>
        <w:tc>
          <w:tcPr>
            <w:tcW w:w="750" w:type="dxa"/>
            <w:tcBorders>
              <w:tl2br w:val="nil"/>
              <w:tr2bl w:val="nil"/>
            </w:tcBorders>
            <w:shd w:val="clear" w:color="auto" w:fill="auto"/>
            <w:noWrap/>
            <w:vAlign w:val="center"/>
          </w:tcPr>
          <w:p w14:paraId="2441A412">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17</w:t>
            </w:r>
          </w:p>
        </w:tc>
        <w:tc>
          <w:tcPr>
            <w:tcW w:w="4496" w:type="dxa"/>
            <w:tcBorders>
              <w:tl2br w:val="nil"/>
              <w:tr2bl w:val="nil"/>
            </w:tcBorders>
            <w:shd w:val="clear" w:color="auto" w:fill="auto"/>
            <w:noWrap/>
            <w:vAlign w:val="center"/>
          </w:tcPr>
          <w:p w14:paraId="452F1579">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钢栏杆基座C25</w:t>
            </w:r>
          </w:p>
        </w:tc>
      </w:tr>
      <w:tr w14:paraId="0A151B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28DBC2D8">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十三</w:t>
            </w:r>
          </w:p>
        </w:tc>
        <w:tc>
          <w:tcPr>
            <w:tcW w:w="2360" w:type="dxa"/>
            <w:tcBorders>
              <w:tl2br w:val="nil"/>
              <w:tr2bl w:val="nil"/>
            </w:tcBorders>
            <w:shd w:val="clear" w:color="auto" w:fill="auto"/>
            <w:noWrap/>
            <w:vAlign w:val="center"/>
          </w:tcPr>
          <w:p w14:paraId="79423476">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房屋建筑工程</w:t>
            </w:r>
          </w:p>
        </w:tc>
        <w:tc>
          <w:tcPr>
            <w:tcW w:w="690" w:type="dxa"/>
            <w:tcBorders>
              <w:tl2br w:val="nil"/>
              <w:tr2bl w:val="nil"/>
            </w:tcBorders>
            <w:shd w:val="clear" w:color="auto" w:fill="auto"/>
            <w:noWrap/>
            <w:vAlign w:val="center"/>
          </w:tcPr>
          <w:p w14:paraId="55F5715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c>
          <w:tcPr>
            <w:tcW w:w="750" w:type="dxa"/>
            <w:tcBorders>
              <w:tl2br w:val="nil"/>
              <w:tr2bl w:val="nil"/>
            </w:tcBorders>
            <w:shd w:val="clear" w:color="auto" w:fill="auto"/>
            <w:noWrap/>
            <w:vAlign w:val="center"/>
          </w:tcPr>
          <w:p w14:paraId="26882D6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c>
          <w:tcPr>
            <w:tcW w:w="4496" w:type="dxa"/>
            <w:tcBorders>
              <w:tl2br w:val="nil"/>
              <w:tr2bl w:val="nil"/>
            </w:tcBorders>
            <w:shd w:val="clear" w:color="auto" w:fill="auto"/>
            <w:noWrap/>
            <w:vAlign w:val="center"/>
          </w:tcPr>
          <w:p w14:paraId="140B3058">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r>
      <w:tr w14:paraId="2C297C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7B162BF5">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c>
          <w:tcPr>
            <w:tcW w:w="2360" w:type="dxa"/>
            <w:tcBorders>
              <w:tl2br w:val="nil"/>
              <w:tr2bl w:val="nil"/>
            </w:tcBorders>
            <w:shd w:val="clear" w:color="auto" w:fill="auto"/>
            <w:noWrap/>
            <w:vAlign w:val="center"/>
          </w:tcPr>
          <w:p w14:paraId="7F204727">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拆除管理用房</w:t>
            </w:r>
          </w:p>
        </w:tc>
        <w:tc>
          <w:tcPr>
            <w:tcW w:w="690" w:type="dxa"/>
            <w:tcBorders>
              <w:tl2br w:val="nil"/>
              <w:tr2bl w:val="nil"/>
            </w:tcBorders>
            <w:shd w:val="clear" w:color="auto" w:fill="auto"/>
            <w:noWrap/>
            <w:vAlign w:val="center"/>
          </w:tcPr>
          <w:p w14:paraId="50F42DB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r>
              <w:rPr>
                <w:rFonts w:hint="eastAsia" w:ascii="Times New Roman" w:hAnsi="Times New Roman" w:eastAsia="宋体" w:cs="Times New Roman"/>
                <w:color w:val="000000"/>
                <w:kern w:val="0"/>
                <w:sz w:val="21"/>
                <w:szCs w:val="21"/>
                <w:vertAlign w:val="superscript"/>
                <w:lang w:val="en-US" w:eastAsia="zh-CN" w:bidi="ar"/>
              </w:rPr>
              <w:t>2</w:t>
            </w:r>
          </w:p>
        </w:tc>
        <w:tc>
          <w:tcPr>
            <w:tcW w:w="750" w:type="dxa"/>
            <w:tcBorders>
              <w:tl2br w:val="nil"/>
              <w:tr2bl w:val="nil"/>
            </w:tcBorders>
            <w:shd w:val="clear" w:color="auto" w:fill="auto"/>
            <w:noWrap/>
            <w:vAlign w:val="center"/>
          </w:tcPr>
          <w:p w14:paraId="49E62E5B">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397</w:t>
            </w:r>
          </w:p>
        </w:tc>
        <w:tc>
          <w:tcPr>
            <w:tcW w:w="4496" w:type="dxa"/>
            <w:tcBorders>
              <w:tl2br w:val="nil"/>
              <w:tr2bl w:val="nil"/>
            </w:tcBorders>
            <w:shd w:val="clear" w:color="auto" w:fill="auto"/>
            <w:noWrap/>
            <w:vAlign w:val="center"/>
          </w:tcPr>
          <w:p w14:paraId="7040E59D">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r>
      <w:tr w14:paraId="574FA4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69C3D5DA">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w:t>
            </w:r>
          </w:p>
        </w:tc>
        <w:tc>
          <w:tcPr>
            <w:tcW w:w="2360" w:type="dxa"/>
            <w:tcBorders>
              <w:tl2br w:val="nil"/>
              <w:tr2bl w:val="nil"/>
            </w:tcBorders>
            <w:shd w:val="clear" w:color="auto" w:fill="auto"/>
            <w:noWrap/>
            <w:vAlign w:val="center"/>
          </w:tcPr>
          <w:p w14:paraId="3F10C25E">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新建管理用房</w:t>
            </w:r>
          </w:p>
        </w:tc>
        <w:tc>
          <w:tcPr>
            <w:tcW w:w="690" w:type="dxa"/>
            <w:tcBorders>
              <w:tl2br w:val="nil"/>
              <w:tr2bl w:val="nil"/>
            </w:tcBorders>
            <w:shd w:val="clear" w:color="auto" w:fill="auto"/>
            <w:noWrap/>
            <w:vAlign w:val="center"/>
          </w:tcPr>
          <w:p w14:paraId="52A37295">
            <w:pPr>
              <w:keepNext w:val="0"/>
              <w:keepLines w:val="0"/>
              <w:widowControl/>
              <w:suppressLineNumbers w:val="0"/>
              <w:wordWrap/>
              <w:spacing w:before="0" w:beforeAutospacing="0" w:after="0" w:afterAutospacing="0" w:line="240" w:lineRule="auto"/>
              <w:ind w:left="0" w:leftChars="0" w:right="0" w:rightChars="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r>
              <w:rPr>
                <w:rFonts w:hint="eastAsia" w:ascii="Times New Roman" w:hAnsi="Times New Roman" w:eastAsia="宋体" w:cs="Times New Roman"/>
                <w:color w:val="000000"/>
                <w:kern w:val="0"/>
                <w:sz w:val="21"/>
                <w:szCs w:val="21"/>
                <w:vertAlign w:val="superscript"/>
                <w:lang w:val="en-US" w:eastAsia="zh-CN" w:bidi="ar"/>
              </w:rPr>
              <w:t>2</w:t>
            </w:r>
          </w:p>
        </w:tc>
        <w:tc>
          <w:tcPr>
            <w:tcW w:w="750" w:type="dxa"/>
            <w:tcBorders>
              <w:tl2br w:val="nil"/>
              <w:tr2bl w:val="nil"/>
            </w:tcBorders>
            <w:shd w:val="clear" w:color="auto" w:fill="auto"/>
            <w:noWrap/>
            <w:vAlign w:val="center"/>
          </w:tcPr>
          <w:p w14:paraId="3734D824">
            <w:pPr>
              <w:keepNext w:val="0"/>
              <w:keepLines w:val="0"/>
              <w:widowControl/>
              <w:suppressLineNumbers w:val="0"/>
              <w:wordWrap/>
              <w:spacing w:before="0" w:beforeAutospacing="0" w:after="0" w:afterAutospacing="0" w:line="240" w:lineRule="auto"/>
              <w:ind w:left="0" w:leftChars="0" w:right="0" w:rightChars="0"/>
              <w:jc w:val="left"/>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400</w:t>
            </w:r>
          </w:p>
        </w:tc>
        <w:tc>
          <w:tcPr>
            <w:tcW w:w="4496" w:type="dxa"/>
            <w:tcBorders>
              <w:tl2br w:val="nil"/>
              <w:tr2bl w:val="nil"/>
            </w:tcBorders>
            <w:shd w:val="clear" w:color="auto" w:fill="auto"/>
            <w:noWrap/>
            <w:vAlign w:val="center"/>
          </w:tcPr>
          <w:p w14:paraId="6759CAEC">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r>
      <w:tr w14:paraId="067E30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shd w:val="clear" w:color="auto" w:fill="auto"/>
            <w:noWrap/>
            <w:vAlign w:val="center"/>
          </w:tcPr>
          <w:p w14:paraId="539DD033">
            <w:pPr>
              <w:keepNext w:val="0"/>
              <w:keepLines w:val="0"/>
              <w:widowControl/>
              <w:suppressLineNumbers w:val="0"/>
              <w:wordWrap/>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c>
          <w:tcPr>
            <w:tcW w:w="2360" w:type="dxa"/>
            <w:tcBorders>
              <w:tl2br w:val="nil"/>
              <w:tr2bl w:val="nil"/>
            </w:tcBorders>
            <w:shd w:val="clear" w:color="auto" w:fill="auto"/>
            <w:noWrap/>
            <w:vAlign w:val="center"/>
          </w:tcPr>
          <w:p w14:paraId="4FECFAAD">
            <w:pPr>
              <w:keepNext w:val="0"/>
              <w:keepLines w:val="0"/>
              <w:widowControl/>
              <w:suppressLineNumbers w:val="0"/>
              <w:wordWrap/>
              <w:spacing w:before="0" w:beforeAutospacing="0" w:after="0" w:afterAutospacing="0" w:line="240" w:lineRule="auto"/>
              <w:ind w:left="0" w:right="0"/>
              <w:jc w:val="left"/>
              <w:textAlignment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新建防汛仓库</w:t>
            </w:r>
          </w:p>
        </w:tc>
        <w:tc>
          <w:tcPr>
            <w:tcW w:w="690" w:type="dxa"/>
            <w:tcBorders>
              <w:tl2br w:val="nil"/>
              <w:tr2bl w:val="nil"/>
            </w:tcBorders>
            <w:shd w:val="clear" w:color="auto" w:fill="auto"/>
            <w:noWrap/>
            <w:vAlign w:val="center"/>
          </w:tcPr>
          <w:p w14:paraId="41990228">
            <w:pPr>
              <w:keepNext w:val="0"/>
              <w:keepLines w:val="0"/>
              <w:widowControl/>
              <w:suppressLineNumbers w:val="0"/>
              <w:wordWrap/>
              <w:spacing w:before="0" w:beforeAutospacing="0" w:after="0" w:afterAutospacing="0" w:line="240" w:lineRule="auto"/>
              <w:ind w:left="0" w:leftChars="0" w:right="0" w:rightChars="0"/>
              <w:jc w:val="left"/>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r>
              <w:rPr>
                <w:rFonts w:hint="eastAsia" w:ascii="Times New Roman" w:hAnsi="Times New Roman" w:eastAsia="宋体" w:cs="Times New Roman"/>
                <w:color w:val="000000"/>
                <w:kern w:val="0"/>
                <w:sz w:val="21"/>
                <w:szCs w:val="21"/>
                <w:vertAlign w:val="superscript"/>
                <w:lang w:val="en-US" w:eastAsia="zh-CN" w:bidi="ar"/>
              </w:rPr>
              <w:t>2</w:t>
            </w:r>
          </w:p>
        </w:tc>
        <w:tc>
          <w:tcPr>
            <w:tcW w:w="750" w:type="dxa"/>
            <w:tcBorders>
              <w:tl2br w:val="nil"/>
              <w:tr2bl w:val="nil"/>
            </w:tcBorders>
            <w:shd w:val="clear" w:color="auto" w:fill="auto"/>
            <w:noWrap/>
            <w:vAlign w:val="center"/>
          </w:tcPr>
          <w:p w14:paraId="342A9B4B">
            <w:pPr>
              <w:keepNext w:val="0"/>
              <w:keepLines w:val="0"/>
              <w:widowControl/>
              <w:suppressLineNumbers w:val="0"/>
              <w:wordWrap/>
              <w:spacing w:before="0" w:beforeAutospacing="0" w:after="0" w:afterAutospacing="0" w:line="240" w:lineRule="auto"/>
              <w:ind w:left="0" w:leftChars="0" w:right="0" w:rightChars="0"/>
              <w:jc w:val="left"/>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64</w:t>
            </w:r>
          </w:p>
        </w:tc>
        <w:tc>
          <w:tcPr>
            <w:tcW w:w="4496" w:type="dxa"/>
            <w:tcBorders>
              <w:tl2br w:val="nil"/>
              <w:tr2bl w:val="nil"/>
            </w:tcBorders>
            <w:shd w:val="clear" w:color="auto" w:fill="auto"/>
            <w:noWrap/>
            <w:vAlign w:val="center"/>
          </w:tcPr>
          <w:p w14:paraId="62E25B85">
            <w:pPr>
              <w:keepNext w:val="0"/>
              <w:keepLines w:val="0"/>
              <w:widowControl/>
              <w:suppressLineNumbers w:val="0"/>
              <w:wordWrap/>
              <w:spacing w:before="0" w:beforeAutospacing="0" w:after="0" w:afterAutospacing="0" w:line="240" w:lineRule="auto"/>
              <w:ind w:left="0" w:right="0"/>
              <w:jc w:val="left"/>
              <w:textAlignment w:val="center"/>
              <w:rPr>
                <w:rFonts w:hint="default" w:ascii="Times New Roman" w:hAnsi="Times New Roman" w:eastAsia="宋体" w:cs="Times New Roman"/>
                <w:color w:val="000000"/>
                <w:kern w:val="0"/>
                <w:sz w:val="21"/>
                <w:szCs w:val="21"/>
                <w:lang w:val="en-US" w:eastAsia="zh-CN" w:bidi="ar"/>
              </w:rPr>
            </w:pPr>
          </w:p>
        </w:tc>
      </w:tr>
    </w:tbl>
    <w:p w14:paraId="0769D539">
      <w:pPr>
        <w:pStyle w:val="4"/>
        <w:bidi w:val="0"/>
        <w:rPr>
          <w:rFonts w:hint="default" w:ascii="Times New Roman" w:hAnsi="Times New Roman" w:cs="Times New Roman"/>
          <w:u w:val="none" w:color="auto"/>
        </w:rPr>
      </w:pPr>
      <w:bookmarkStart w:id="103" w:name="_Toc3824"/>
      <w:r>
        <w:rPr>
          <w:rFonts w:hint="default" w:ascii="Times New Roman" w:hAnsi="Times New Roman" w:cs="Times New Roman"/>
          <w:u w:val="none" w:color="auto"/>
        </w:rPr>
        <w:t>施工组织设计</w:t>
      </w:r>
      <w:bookmarkEnd w:id="103"/>
    </w:p>
    <w:p w14:paraId="60533795">
      <w:pPr>
        <w:pStyle w:val="5"/>
        <w:bidi w:val="0"/>
        <w:rPr>
          <w:rFonts w:hint="default" w:ascii="Times New Roman" w:hAnsi="Times New Roman" w:cs="Times New Roman"/>
          <w:u w:val="none" w:color="auto"/>
        </w:rPr>
      </w:pPr>
      <w:r>
        <w:rPr>
          <w:rFonts w:hint="default" w:ascii="Times New Roman" w:hAnsi="Times New Roman" w:cs="Times New Roman"/>
          <w:u w:val="none" w:color="auto"/>
        </w:rPr>
        <w:t>施工条件</w:t>
      </w:r>
    </w:p>
    <w:p w14:paraId="62A3A73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施工交通</w:t>
      </w:r>
    </w:p>
    <w:p w14:paraId="25AA339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北汊水库位于禹山镇境内，藕池河东支下游北侧，上西湖北部湖汊上，主坝坝址位于华容县禹山镇老河口村，距华容县城23km，距岳阳市区77km。</w:t>
      </w:r>
    </w:p>
    <w:p w14:paraId="3E072EF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工程区内有现有公路进场，场内交通运输主要利用现有场内道路网络，施工工区、临时堆料场、土料场、弃渣场附近均有道路通达，基本能满足施工期场内交通要求，无需新建施工临时道路。</w:t>
      </w:r>
    </w:p>
    <w:p w14:paraId="7F28432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建筑材料及施工水、电供应条件</w:t>
      </w:r>
    </w:p>
    <w:p w14:paraId="3E3070B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（1）建筑材料及外来物资</w:t>
      </w:r>
    </w:p>
    <w:p w14:paraId="48DDA5F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本工程建筑材料及外来物资主要为水泥、钢筋、木材、油料、建材、生活物资等，可直接从华容县购买，平均运距23km。</w:t>
      </w:r>
    </w:p>
    <w:p w14:paraId="13ECD84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（2）施工用</w:t>
      </w:r>
      <w:r>
        <w:rPr>
          <w:rFonts w:hint="eastAsia" w:ascii="Times New Roman" w:hAnsi="Times New Roman" w:eastAsia="宋体" w:cs="Times New Roman"/>
          <w:color w:val="auto"/>
          <w:spacing w:val="0"/>
          <w:w w:val="100"/>
          <w:position w:val="0"/>
          <w:sz w:val="24"/>
          <w:szCs w:val="24"/>
          <w:u w:val="none" w:color="auto"/>
          <w:lang w:val="en-US" w:eastAsia="zh-CN"/>
        </w:rPr>
        <w:t>风、</w:t>
      </w:r>
      <w:r>
        <w:rPr>
          <w:rFonts w:hint="default" w:ascii="Times New Roman" w:hAnsi="Times New Roman" w:eastAsia="宋体" w:cs="Times New Roman"/>
          <w:color w:val="auto"/>
          <w:spacing w:val="0"/>
          <w:w w:val="100"/>
          <w:position w:val="0"/>
          <w:sz w:val="24"/>
          <w:szCs w:val="24"/>
          <w:u w:val="none" w:color="auto"/>
          <w:lang w:val="en-US" w:eastAsia="zh-CN"/>
        </w:rPr>
        <w:t>水、用电</w:t>
      </w:r>
    </w:p>
    <w:p w14:paraId="379553C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 xml:space="preserve">施工供风 </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本工程施工供风部位主要为混凝土拆除，混凝土拆除月高峰强度为0.51万m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 xml:space="preserve"> /月，选用1台6m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 xml:space="preserve"> /min 移动式空压机，随工作面移动布置。</w:t>
      </w:r>
    </w:p>
    <w:p w14:paraId="0B15436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施工用水</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本工程主要用水项目为施工生产生活用水。水库水质较好，可作为施工生产用水，采用离心泵抽取库水，水池储水，φ50mm钢管引至各用水点；生活用水可利用当地自来水使用。</w:t>
      </w:r>
    </w:p>
    <w:p w14:paraId="75E35F8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施工用电</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包括施工机械用电、照明用电、生活用电等，目前工程区有供电线路，施工用电采用当地电网，现场配备两台柴油发电机备用。</w:t>
      </w:r>
    </w:p>
    <w:p w14:paraId="3E153BE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为保证大坝正常施工，四副坝坝顶五根低压电线杆、五根电信杆，五副坝五根低压电线杆、五根高压电线杆需要临时迁移至坝后鱼塘，待施工完毕后再迁移回坝顶。</w:t>
      </w:r>
    </w:p>
    <w:p w14:paraId="5770B903">
      <w:pPr>
        <w:pStyle w:val="5"/>
        <w:bidi w:val="0"/>
        <w:rPr>
          <w:rFonts w:hint="default"/>
          <w:lang w:val="en-US" w:eastAsia="zh-CN"/>
        </w:rPr>
      </w:pPr>
      <w:r>
        <w:rPr>
          <w:rFonts w:hint="default"/>
          <w:lang w:val="en-US" w:eastAsia="zh-CN"/>
        </w:rPr>
        <w:t>料场选择与开采</w:t>
      </w:r>
    </w:p>
    <w:p w14:paraId="304A38A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本工程所需各类物料共计21.82m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，其中粘土12.22万m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，土方2.70万m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，腐殖土1.02万m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，碎石1.39万m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，砂、砂砾石1.26万m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，块石3.23万m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eastAsia" w:ascii="Times New Roman" w:hAnsi="Times New Roman" w:eastAsia="宋体" w:cs="Times New Roman"/>
          <w:color w:val="auto"/>
          <w:spacing w:val="0"/>
          <w:w w:val="100"/>
          <w:position w:val="0"/>
          <w:sz w:val="24"/>
          <w:szCs w:val="24"/>
          <w:u w:val="none" w:color="auto"/>
          <w:lang w:val="en-US" w:eastAsia="zh-CN"/>
        </w:rPr>
        <w:t>。</w:t>
      </w:r>
    </w:p>
    <w:p w14:paraId="70D37FE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（1）粘土料</w:t>
      </w:r>
    </w:p>
    <w:p w14:paraId="2863FED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粘土料采用侯家岭土料场开挖料。侯家岭土料场位于禹山镇青山村侯家岭，土料场距离北汊水库大坝约5km，有公路通达，交通便利。</w:t>
      </w:r>
    </w:p>
    <w:p w14:paraId="5A3CF40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料场位于一小山脊，山顶高程约44m，山脚高程约28m，高差约16m，现为竹林地。斜坡地形坡度一般5º～10º，地形较缓。场区地层岩性为第四系中更新统白沙井组（Q2b）棕黄色、棕红色网纹状粘土，厚度一般3.7～10.5m（未揭穿），下伏基岩为泥盆系跳马涧组泥质粉砂岩，岩石完整性较差，呈强～弱风化状态。</w:t>
      </w:r>
    </w:p>
    <w:p w14:paraId="7794A37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场地及其周边无滑坡、泥石流及危岩崩塌等不良地质现象。场地工程地质条件简单，稳定性较好。类比本工程坝址区及其相邻工程同类岩体试验成果，渗透系数、有机质含量及水溶盐含量均满足规范对一般土填筑料质量技术要求，但黏粒含量较高，作坝后回填料时，建议适当掺和碎石等。</w:t>
      </w:r>
    </w:p>
    <w:p w14:paraId="0A3F0D8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土料场可开采范围长约280m，宽90～140m，面积约3.5万m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。为避免料场开采形成高边坡，可分为Ⅰ区、Ⅱ区、Ⅲ区进行开采，Ⅰ区开采至高程30m、Ⅱ区开采至高程35m、Ⅲ区开采至高程40m。根据钻孔揭示，表层约0.3m为剥离层。经平行断面法计算得出，料场总储量约13.1×10</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，剥离层方量为1.6×10</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，有用层方量为11.5×10</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，剥采比0.14。</w:t>
      </w:r>
    </w:p>
    <w:p w14:paraId="2FC9437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土料场占地2万m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，全部位于Ⅰ区、Ⅱ区，Ⅰ区开采至高程30m，Ⅱ区开采至高程35m。</w:t>
      </w:r>
    </w:p>
    <w:p w14:paraId="0DD1DB7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（2）块石料、碎石料</w:t>
      </w:r>
    </w:p>
    <w:p w14:paraId="07CCAF5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根据现场调查，工程所需块石料、碎石料可在华容县万庾镇鼎山村石料场购买。料场岩性为石料料场岩性主要为燕山晚期细粒</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中粒花岗岩，花岗岩饱和抗压强度大于30MPa，质量满足要求，储量丰富，交通较便利，运距约38km。</w:t>
      </w:r>
    </w:p>
    <w:p w14:paraId="4F2308F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（3）砂砾石料</w:t>
      </w:r>
    </w:p>
    <w:p w14:paraId="2985B90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设计方案，本工程砂砾石主要用于大坝上下游坝坡加固回填及作为垫层。工程区及周边20km范围内主要天然河道无可开采砂、砂砾石分布，且所需用量较少，建议就近在华容县三封寺镇珠头山村购买，运距约27km。</w:t>
      </w:r>
    </w:p>
    <w:p w14:paraId="0256DA4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（4）混凝土商混站</w:t>
      </w:r>
    </w:p>
    <w:p w14:paraId="75BAB3E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本工程所需混凝土采用商混站购买料，根据现场调查，工程所需混凝土可在华容县三封寺镇珠头山村进行购买，该镇有2处混凝土厂，两厂站日生产能力约2000～5000m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，可生产C15～C60标号混凝土，均可满足生产需要，运距约27km。</w:t>
      </w:r>
    </w:p>
    <w:p w14:paraId="572DC1F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（5）开挖料利用</w:t>
      </w:r>
    </w:p>
    <w:p w14:paraId="57E9120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坝址区各建筑物开挖时将产生一定量工程弃渣，需充分利用，大坝清基料可作为腐殖土料、回填料及少部分粘土料利用。</w:t>
      </w:r>
    </w:p>
    <w:p w14:paraId="6D6B96D1">
      <w:pPr>
        <w:pStyle w:val="5"/>
        <w:bidi w:val="0"/>
        <w:rPr>
          <w:rFonts w:hint="default" w:ascii="Times New Roman" w:hAnsi="Times New Roman" w:cs="Times New Roman"/>
          <w:u w:val="none" w:color="auto"/>
          <w:lang w:eastAsia="zh-CN"/>
        </w:rPr>
      </w:pPr>
      <w:r>
        <w:rPr>
          <w:rFonts w:hint="default" w:ascii="Times New Roman" w:hAnsi="Times New Roman" w:cs="Times New Roman"/>
          <w:u w:val="none" w:color="auto"/>
        </w:rPr>
        <w:t>施工导流</w:t>
      </w:r>
    </w:p>
    <w:p w14:paraId="1579B51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val="en-US" w:eastAsia="zh-CN"/>
        </w:rPr>
        <w:t>导流标准及导流方案</w:t>
      </w:r>
    </w:p>
    <w:p w14:paraId="169DF50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（1）导流标准</w:t>
      </w:r>
    </w:p>
    <w:p w14:paraId="1030F99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根据《水利水电工程施工导流设计规范》（SL623-2013），导流建筑</w:t>
      </w:r>
    </w:p>
    <w:p w14:paraId="2940906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物级别为5级，导流标准选取5年一遇洪水。考虑施工洪水及施工工期，导流时段比选9月～次年3月、10月～次年3月和11月～次年3月，三个时段洪峰流量相差不大。导流时段选择10月～次年3月，洪峰流量13.5m3/s。</w:t>
      </w:r>
    </w:p>
    <w:p w14:paraId="2796C25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（2）导流方案</w:t>
      </w:r>
    </w:p>
    <w:p w14:paraId="14222D4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本次除险加固施工内容，输水涵及进水涵进口施工部位最低高程27.50m，泄洪闸进口底高程27.00m，需在进口填筑围堰挡水，主坝上游坝脚深搅施工平台高程28.00m，主坝、副坝背水侧施工时鱼塘水位可将至低于下游最低施工高程0.5m，均无需填筑围堰。综合考虑水库运行水位、施工期供水要求、施工部位最低高程等因素，输水涵、进水涵及泄洪闸施工时填筑围堰挡水，降低水位至27.00m，利用水泵抽水过流。本工程施工时</w:t>
      </w:r>
    </w:p>
    <w:p w14:paraId="0D7C711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需做好洪水预警及应急预案。</w:t>
      </w:r>
    </w:p>
    <w:p w14:paraId="65A61C2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（3）施工期供水</w:t>
      </w:r>
    </w:p>
    <w:p w14:paraId="4F7402D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北汊水库施工期间，无下游供水需求。</w:t>
      </w:r>
    </w:p>
    <w:p w14:paraId="1E2FB6A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导流程序</w:t>
      </w:r>
    </w:p>
    <w:p w14:paraId="7B19231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根据本工程施工项目及施工特点，分两个枯水期施工。</w:t>
      </w:r>
    </w:p>
    <w:p w14:paraId="0E1CB02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枯水期，进行主坝、1～6#副坝、泄洪闸、输水涵及进水涵施工，期间利用4台水泵抽水过流，水位维持在27.00m左右。水泵型号IS150-125-250，设计流量240m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/h，功率18.5kW，抽水总台时15517台时。主坝剩余部分施工，期间利用泄洪闸过流，水位维持在27.00m左右。</w:t>
      </w:r>
    </w:p>
    <w:p w14:paraId="5EE9367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汛期，按水库原调度运行规程要求度汛，进行防汛道路施工。</w:t>
      </w:r>
    </w:p>
    <w:p w14:paraId="3C88765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3、导游建筑物设计</w:t>
      </w:r>
    </w:p>
    <w:p w14:paraId="2B535D6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泄洪闸、输水涵、进水涵围堰设计标准为10月～次年3月5年一遇洪水，洪峰流量13.5m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/s。水库除险加固期间，水库水位可放空至高程27.00m左右，根据施工期洪水成果、水泵流量及水库库容曲线，通过调洪计算得施工期最高洪水位27.12m。</w:t>
      </w:r>
    </w:p>
    <w:p w14:paraId="2FA18CE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围堰采用粘土填筑，粘土料采用料场开挖料。泄洪闸上游围堰堰顶宽3m，下游围堰堰顶宽2m，上下游坡比均为1：2。进水涵上游围堰堰顶宽2m，下游围堰堰顶宽3m，上下游坡比均为1：2。输水涵上游围堰堰顶宽3m，下游围堰堰顶宽2m，上下游坡比均为1：2。经计算，围堰边坡稳定安全系数满足规范要求。粘土料采用料场开挖料。</w:t>
      </w:r>
    </w:p>
    <w:p w14:paraId="6BB2299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围堰填筑后，采用水泵抽水排干基坑内库容约0.3万m3，考虑期间降水汇水，选用1台200QJ80-22型号水泵，单台设计流量80m3/h，单台功率7.5kW·h，总抽水台时37.5h。</w:t>
      </w:r>
    </w:p>
    <w:p w14:paraId="49ABF37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施工导流工程量见表</w:t>
      </w:r>
      <w:r>
        <w:rPr>
          <w:rFonts w:hint="eastAsia" w:ascii="Times New Roman" w:hAnsi="Times New Roman" w:eastAsia="宋体" w:cs="Times New Roman"/>
          <w:color w:val="auto"/>
          <w:spacing w:val="0"/>
          <w:w w:val="100"/>
          <w:position w:val="0"/>
          <w:sz w:val="24"/>
          <w:szCs w:val="24"/>
          <w:u w:val="none" w:color="auto"/>
          <w:lang w:val="en-US" w:eastAsia="zh-CN"/>
        </w:rPr>
        <w:t>2.2-5</w:t>
      </w:r>
      <w:r>
        <w:rPr>
          <w:rFonts w:hint="default" w:ascii="Times New Roman" w:hAnsi="Times New Roman" w:eastAsia="宋体" w:cs="Times New Roman"/>
          <w:color w:val="auto"/>
          <w:spacing w:val="0"/>
          <w:w w:val="100"/>
          <w:position w:val="0"/>
          <w:sz w:val="24"/>
          <w:szCs w:val="24"/>
          <w:u w:val="none" w:color="auto"/>
          <w:lang w:val="en-US" w:eastAsia="zh-CN"/>
        </w:rPr>
        <w:t>。</w:t>
      </w:r>
    </w:p>
    <w:p w14:paraId="72A51E7B">
      <w:pPr>
        <w:pageBreakBefore w:val="0"/>
        <w:kinsoku w:val="0"/>
        <w:wordWrap w:val="0"/>
        <w:overflowPunct/>
        <w:topLinePunct/>
        <w:autoSpaceDE/>
        <w:autoSpaceDN/>
        <w:bidi w:val="0"/>
        <w:adjustRightInd w:val="0"/>
        <w:spacing w:line="360" w:lineRule="auto"/>
        <w:jc w:val="cente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表2.2-5  施工导流工程量表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21"/>
        <w:gridCol w:w="1712"/>
        <w:gridCol w:w="1056"/>
        <w:gridCol w:w="959"/>
        <w:gridCol w:w="959"/>
        <w:gridCol w:w="3115"/>
      </w:tblGrid>
      <w:tr w14:paraId="5F9928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00FC324F">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2767" w:type="dxa"/>
            <w:gridSpan w:val="2"/>
            <w:tcBorders>
              <w:tl2br w:val="nil"/>
              <w:tr2bl w:val="nil"/>
            </w:tcBorders>
            <w:shd w:val="clear" w:color="auto" w:fill="auto"/>
            <w:noWrap/>
            <w:vAlign w:val="center"/>
          </w:tcPr>
          <w:p w14:paraId="07A6EC1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项目</w:t>
            </w:r>
          </w:p>
        </w:tc>
        <w:tc>
          <w:tcPr>
            <w:tcW w:w="959" w:type="dxa"/>
            <w:tcBorders>
              <w:tl2br w:val="nil"/>
              <w:tr2bl w:val="nil"/>
            </w:tcBorders>
            <w:shd w:val="clear" w:color="auto" w:fill="auto"/>
            <w:noWrap/>
            <w:vAlign w:val="center"/>
          </w:tcPr>
          <w:p w14:paraId="7E3DCC4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959" w:type="dxa"/>
            <w:tcBorders>
              <w:tl2br w:val="nil"/>
              <w:tr2bl w:val="nil"/>
            </w:tcBorders>
            <w:shd w:val="clear" w:color="auto" w:fill="auto"/>
            <w:noWrap/>
            <w:vAlign w:val="center"/>
          </w:tcPr>
          <w:p w14:paraId="6370771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工程量</w:t>
            </w:r>
          </w:p>
        </w:tc>
        <w:tc>
          <w:tcPr>
            <w:tcW w:w="3115" w:type="dxa"/>
            <w:tcBorders>
              <w:tl2br w:val="nil"/>
              <w:tr2bl w:val="nil"/>
            </w:tcBorders>
            <w:shd w:val="clear" w:color="auto" w:fill="auto"/>
            <w:noWrap/>
            <w:vAlign w:val="center"/>
          </w:tcPr>
          <w:p w14:paraId="3EDE093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14:paraId="4E3FB7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3A6FD3A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12" w:type="dxa"/>
            <w:vMerge w:val="restart"/>
            <w:tcBorders>
              <w:tl2br w:val="nil"/>
              <w:tr2bl w:val="nil"/>
            </w:tcBorders>
            <w:shd w:val="clear" w:color="auto" w:fill="auto"/>
            <w:noWrap/>
            <w:vAlign w:val="center"/>
          </w:tcPr>
          <w:p w14:paraId="03F076F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泄洪闸</w:t>
            </w:r>
          </w:p>
        </w:tc>
        <w:tc>
          <w:tcPr>
            <w:tcW w:w="1056" w:type="dxa"/>
            <w:tcBorders>
              <w:tl2br w:val="nil"/>
              <w:tr2bl w:val="nil"/>
            </w:tcBorders>
            <w:shd w:val="clear" w:color="auto" w:fill="auto"/>
            <w:noWrap/>
            <w:vAlign w:val="center"/>
          </w:tcPr>
          <w:p w14:paraId="0AB01F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上游围堰</w:t>
            </w:r>
          </w:p>
        </w:tc>
        <w:tc>
          <w:tcPr>
            <w:tcW w:w="959" w:type="dxa"/>
            <w:tcBorders>
              <w:tl2br w:val="nil"/>
              <w:tr2bl w:val="nil"/>
            </w:tcBorders>
            <w:shd w:val="clear" w:color="auto" w:fill="auto"/>
            <w:noWrap/>
            <w:vAlign w:val="center"/>
          </w:tcPr>
          <w:p w14:paraId="55F2B9D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502482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3115" w:type="dxa"/>
            <w:tcBorders>
              <w:tl2br w:val="nil"/>
              <w:tr2bl w:val="nil"/>
            </w:tcBorders>
            <w:shd w:val="clear" w:color="auto" w:fill="auto"/>
            <w:noWrap/>
            <w:vAlign w:val="center"/>
          </w:tcPr>
          <w:p w14:paraId="19B2FFB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围堰长度20m，平均高度lm</w:t>
            </w:r>
          </w:p>
        </w:tc>
      </w:tr>
      <w:tr w14:paraId="4F9631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33F275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712" w:type="dxa"/>
            <w:vMerge w:val="continue"/>
            <w:tcBorders>
              <w:tl2br w:val="nil"/>
              <w:tr2bl w:val="nil"/>
            </w:tcBorders>
            <w:shd w:val="clear" w:color="auto" w:fill="auto"/>
            <w:noWrap/>
            <w:vAlign w:val="center"/>
          </w:tcPr>
          <w:p w14:paraId="272F423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1056" w:type="dxa"/>
            <w:tcBorders>
              <w:tl2br w:val="nil"/>
              <w:tr2bl w:val="nil"/>
            </w:tcBorders>
            <w:shd w:val="clear" w:color="auto" w:fill="auto"/>
            <w:noWrap/>
            <w:vAlign w:val="center"/>
          </w:tcPr>
          <w:p w14:paraId="6A98A08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下游围堰</w:t>
            </w:r>
          </w:p>
        </w:tc>
        <w:tc>
          <w:tcPr>
            <w:tcW w:w="959" w:type="dxa"/>
            <w:tcBorders>
              <w:tl2br w:val="nil"/>
              <w:tr2bl w:val="nil"/>
            </w:tcBorders>
            <w:shd w:val="clear" w:color="auto" w:fill="auto"/>
            <w:noWrap/>
            <w:vAlign w:val="center"/>
          </w:tcPr>
          <w:p w14:paraId="4C6F520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0BA681B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3115" w:type="dxa"/>
            <w:tcBorders>
              <w:tl2br w:val="nil"/>
              <w:tr2bl w:val="nil"/>
            </w:tcBorders>
            <w:shd w:val="clear" w:color="auto" w:fill="auto"/>
            <w:noWrap/>
            <w:vAlign w:val="center"/>
          </w:tcPr>
          <w:p w14:paraId="5E00E00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围堰长度20m，平均高度1.5m</w:t>
            </w:r>
          </w:p>
        </w:tc>
      </w:tr>
      <w:tr w14:paraId="761A33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restart"/>
            <w:tcBorders>
              <w:tl2br w:val="nil"/>
              <w:tr2bl w:val="nil"/>
            </w:tcBorders>
            <w:shd w:val="clear" w:color="auto" w:fill="auto"/>
            <w:noWrap/>
            <w:vAlign w:val="center"/>
          </w:tcPr>
          <w:p w14:paraId="42BA09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712" w:type="dxa"/>
            <w:vMerge w:val="restart"/>
            <w:tcBorders>
              <w:tl2br w:val="nil"/>
              <w:tr2bl w:val="nil"/>
            </w:tcBorders>
            <w:shd w:val="clear" w:color="auto" w:fill="auto"/>
            <w:noWrap/>
            <w:vAlign w:val="center"/>
          </w:tcPr>
          <w:p w14:paraId="0E21F16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4副坝进水涵</w:t>
            </w:r>
          </w:p>
        </w:tc>
        <w:tc>
          <w:tcPr>
            <w:tcW w:w="1056" w:type="dxa"/>
            <w:tcBorders>
              <w:tl2br w:val="nil"/>
              <w:tr2bl w:val="nil"/>
            </w:tcBorders>
            <w:shd w:val="clear" w:color="auto" w:fill="auto"/>
            <w:noWrap/>
            <w:vAlign w:val="center"/>
          </w:tcPr>
          <w:p w14:paraId="3A8A469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上游围堰</w:t>
            </w:r>
          </w:p>
        </w:tc>
        <w:tc>
          <w:tcPr>
            <w:tcW w:w="959" w:type="dxa"/>
            <w:tcBorders>
              <w:tl2br w:val="nil"/>
              <w:tr2bl w:val="nil"/>
            </w:tcBorders>
            <w:shd w:val="clear" w:color="auto" w:fill="auto"/>
            <w:noWrap/>
            <w:vAlign w:val="center"/>
          </w:tcPr>
          <w:p w14:paraId="3AE7A8BC">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5386117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3115" w:type="dxa"/>
            <w:tcBorders>
              <w:tl2br w:val="nil"/>
              <w:tr2bl w:val="nil"/>
            </w:tcBorders>
            <w:shd w:val="clear" w:color="auto" w:fill="auto"/>
            <w:noWrap/>
            <w:vAlign w:val="center"/>
          </w:tcPr>
          <w:p w14:paraId="1B5AF74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围堰长度10m，平均高度1.5m</w:t>
            </w:r>
          </w:p>
        </w:tc>
      </w:tr>
      <w:tr w14:paraId="541337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continue"/>
            <w:tcBorders>
              <w:tl2br w:val="nil"/>
              <w:tr2bl w:val="nil"/>
            </w:tcBorders>
            <w:shd w:val="clear" w:color="auto" w:fill="auto"/>
            <w:noWrap/>
            <w:vAlign w:val="center"/>
          </w:tcPr>
          <w:p w14:paraId="0C77202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12" w:type="dxa"/>
            <w:vMerge w:val="continue"/>
            <w:tcBorders>
              <w:tl2br w:val="nil"/>
              <w:tr2bl w:val="nil"/>
            </w:tcBorders>
            <w:shd w:val="clear" w:color="auto" w:fill="auto"/>
            <w:noWrap/>
            <w:vAlign w:val="center"/>
          </w:tcPr>
          <w:p w14:paraId="42B3C45D">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1056" w:type="dxa"/>
            <w:tcBorders>
              <w:tl2br w:val="nil"/>
              <w:tr2bl w:val="nil"/>
            </w:tcBorders>
            <w:shd w:val="clear" w:color="auto" w:fill="auto"/>
            <w:noWrap/>
            <w:vAlign w:val="center"/>
          </w:tcPr>
          <w:p w14:paraId="293FD0C1">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下游围堰</w:t>
            </w:r>
          </w:p>
        </w:tc>
        <w:tc>
          <w:tcPr>
            <w:tcW w:w="959" w:type="dxa"/>
            <w:tcBorders>
              <w:tl2br w:val="nil"/>
              <w:tr2bl w:val="nil"/>
            </w:tcBorders>
            <w:shd w:val="clear" w:color="auto" w:fill="auto"/>
            <w:noWrap/>
            <w:vAlign w:val="center"/>
          </w:tcPr>
          <w:p w14:paraId="0F9A997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7170DD6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3115" w:type="dxa"/>
            <w:tcBorders>
              <w:tl2br w:val="nil"/>
              <w:tr2bl w:val="nil"/>
            </w:tcBorders>
            <w:shd w:val="clear" w:color="auto" w:fill="auto"/>
            <w:noWrap/>
            <w:vAlign w:val="center"/>
          </w:tcPr>
          <w:p w14:paraId="60B860E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围堰长度60m，平均高度1.1m</w:t>
            </w:r>
          </w:p>
        </w:tc>
      </w:tr>
      <w:tr w14:paraId="16C91F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restart"/>
            <w:tcBorders>
              <w:tl2br w:val="nil"/>
              <w:tr2bl w:val="nil"/>
            </w:tcBorders>
            <w:shd w:val="clear" w:color="auto" w:fill="auto"/>
            <w:noWrap/>
            <w:vAlign w:val="center"/>
          </w:tcPr>
          <w:p w14:paraId="53B952F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712" w:type="dxa"/>
            <w:vMerge w:val="restart"/>
            <w:tcBorders>
              <w:tl2br w:val="nil"/>
              <w:tr2bl w:val="nil"/>
            </w:tcBorders>
            <w:shd w:val="clear" w:color="auto" w:fill="auto"/>
            <w:noWrap/>
            <w:vAlign w:val="center"/>
          </w:tcPr>
          <w:p w14:paraId="2149046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5副坝进水涵</w:t>
            </w:r>
          </w:p>
        </w:tc>
        <w:tc>
          <w:tcPr>
            <w:tcW w:w="1056" w:type="dxa"/>
            <w:tcBorders>
              <w:tl2br w:val="nil"/>
              <w:tr2bl w:val="nil"/>
            </w:tcBorders>
            <w:shd w:val="clear" w:color="auto" w:fill="auto"/>
            <w:noWrap/>
            <w:vAlign w:val="center"/>
          </w:tcPr>
          <w:p w14:paraId="2FC400C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上游围堰</w:t>
            </w:r>
          </w:p>
        </w:tc>
        <w:tc>
          <w:tcPr>
            <w:tcW w:w="959" w:type="dxa"/>
            <w:tcBorders>
              <w:tl2br w:val="nil"/>
              <w:tr2bl w:val="nil"/>
            </w:tcBorders>
            <w:shd w:val="clear" w:color="auto" w:fill="auto"/>
            <w:noWrap/>
            <w:vAlign w:val="center"/>
          </w:tcPr>
          <w:p w14:paraId="1CFEAF8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7D87665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3115" w:type="dxa"/>
            <w:tcBorders>
              <w:tl2br w:val="nil"/>
              <w:tr2bl w:val="nil"/>
            </w:tcBorders>
            <w:shd w:val="clear" w:color="auto" w:fill="auto"/>
            <w:noWrap/>
            <w:vAlign w:val="center"/>
          </w:tcPr>
          <w:p w14:paraId="7431564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围堰长度5m，平均高度1.5m</w:t>
            </w:r>
          </w:p>
        </w:tc>
      </w:tr>
      <w:tr w14:paraId="47DA81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continue"/>
            <w:tcBorders>
              <w:tl2br w:val="nil"/>
              <w:tr2bl w:val="nil"/>
            </w:tcBorders>
            <w:shd w:val="clear" w:color="auto" w:fill="auto"/>
            <w:noWrap/>
            <w:vAlign w:val="center"/>
          </w:tcPr>
          <w:p w14:paraId="18D599B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12" w:type="dxa"/>
            <w:vMerge w:val="continue"/>
            <w:tcBorders>
              <w:tl2br w:val="nil"/>
              <w:tr2bl w:val="nil"/>
            </w:tcBorders>
            <w:shd w:val="clear" w:color="auto" w:fill="auto"/>
            <w:noWrap/>
            <w:vAlign w:val="center"/>
          </w:tcPr>
          <w:p w14:paraId="1FD5B1E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1056" w:type="dxa"/>
            <w:tcBorders>
              <w:tl2br w:val="nil"/>
              <w:tr2bl w:val="nil"/>
            </w:tcBorders>
            <w:shd w:val="clear" w:color="auto" w:fill="auto"/>
            <w:noWrap/>
            <w:vAlign w:val="center"/>
          </w:tcPr>
          <w:p w14:paraId="6E3F7A12">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下游围堰</w:t>
            </w:r>
          </w:p>
        </w:tc>
        <w:tc>
          <w:tcPr>
            <w:tcW w:w="959" w:type="dxa"/>
            <w:tcBorders>
              <w:tl2br w:val="nil"/>
              <w:tr2bl w:val="nil"/>
            </w:tcBorders>
            <w:shd w:val="clear" w:color="auto" w:fill="auto"/>
            <w:noWrap/>
            <w:vAlign w:val="center"/>
          </w:tcPr>
          <w:p w14:paraId="6931553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0B4254D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3115" w:type="dxa"/>
            <w:tcBorders>
              <w:tl2br w:val="nil"/>
              <w:tr2bl w:val="nil"/>
            </w:tcBorders>
            <w:shd w:val="clear" w:color="auto" w:fill="auto"/>
            <w:noWrap/>
            <w:vAlign w:val="center"/>
          </w:tcPr>
          <w:p w14:paraId="385E7AF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围堰长度60m，平均高度0.5m</w:t>
            </w:r>
          </w:p>
        </w:tc>
      </w:tr>
      <w:tr w14:paraId="697CC1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restart"/>
            <w:tcBorders>
              <w:tl2br w:val="nil"/>
              <w:tr2bl w:val="nil"/>
            </w:tcBorders>
            <w:shd w:val="clear" w:color="auto" w:fill="auto"/>
            <w:noWrap/>
            <w:vAlign w:val="center"/>
          </w:tcPr>
          <w:p w14:paraId="6CE0D0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712" w:type="dxa"/>
            <w:vMerge w:val="restart"/>
            <w:tcBorders>
              <w:tl2br w:val="nil"/>
              <w:tr2bl w:val="nil"/>
            </w:tcBorders>
            <w:shd w:val="clear" w:color="auto" w:fill="auto"/>
            <w:noWrap/>
            <w:vAlign w:val="center"/>
          </w:tcPr>
          <w:p w14:paraId="6633DB5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5副坝输水涵</w:t>
            </w:r>
          </w:p>
        </w:tc>
        <w:tc>
          <w:tcPr>
            <w:tcW w:w="1056" w:type="dxa"/>
            <w:tcBorders>
              <w:tl2br w:val="nil"/>
              <w:tr2bl w:val="nil"/>
            </w:tcBorders>
            <w:shd w:val="clear" w:color="auto" w:fill="auto"/>
            <w:noWrap/>
            <w:vAlign w:val="center"/>
          </w:tcPr>
          <w:p w14:paraId="5D171FB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上游围堰</w:t>
            </w:r>
          </w:p>
        </w:tc>
        <w:tc>
          <w:tcPr>
            <w:tcW w:w="959" w:type="dxa"/>
            <w:tcBorders>
              <w:tl2br w:val="nil"/>
              <w:tr2bl w:val="nil"/>
            </w:tcBorders>
            <w:shd w:val="clear" w:color="auto" w:fill="auto"/>
            <w:noWrap/>
            <w:vAlign w:val="center"/>
          </w:tcPr>
          <w:p w14:paraId="2D3F98A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3883C68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3115" w:type="dxa"/>
            <w:tcBorders>
              <w:tl2br w:val="nil"/>
              <w:tr2bl w:val="nil"/>
            </w:tcBorders>
            <w:shd w:val="clear" w:color="auto" w:fill="auto"/>
            <w:noWrap/>
            <w:vAlign w:val="center"/>
          </w:tcPr>
          <w:p w14:paraId="3985BA60">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围堰长度60m，平均高度1.1m</w:t>
            </w:r>
          </w:p>
        </w:tc>
      </w:tr>
      <w:tr w14:paraId="4340D4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vMerge w:val="continue"/>
            <w:tcBorders>
              <w:tl2br w:val="nil"/>
              <w:tr2bl w:val="nil"/>
            </w:tcBorders>
            <w:shd w:val="clear" w:color="auto" w:fill="auto"/>
            <w:noWrap/>
            <w:vAlign w:val="center"/>
          </w:tcPr>
          <w:p w14:paraId="39413F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712" w:type="dxa"/>
            <w:vMerge w:val="continue"/>
            <w:tcBorders>
              <w:tl2br w:val="nil"/>
              <w:tr2bl w:val="nil"/>
            </w:tcBorders>
            <w:shd w:val="clear" w:color="auto" w:fill="auto"/>
            <w:noWrap/>
            <w:vAlign w:val="center"/>
          </w:tcPr>
          <w:p w14:paraId="6276CF0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c>
          <w:tcPr>
            <w:tcW w:w="1056" w:type="dxa"/>
            <w:tcBorders>
              <w:tl2br w:val="nil"/>
              <w:tr2bl w:val="nil"/>
            </w:tcBorders>
            <w:shd w:val="clear" w:color="auto" w:fill="auto"/>
            <w:noWrap/>
            <w:vAlign w:val="center"/>
          </w:tcPr>
          <w:p w14:paraId="299EA7E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下游围堰</w:t>
            </w:r>
          </w:p>
        </w:tc>
        <w:tc>
          <w:tcPr>
            <w:tcW w:w="959" w:type="dxa"/>
            <w:tcBorders>
              <w:tl2br w:val="nil"/>
              <w:tr2bl w:val="nil"/>
            </w:tcBorders>
            <w:shd w:val="clear" w:color="auto" w:fill="auto"/>
            <w:noWrap/>
            <w:vAlign w:val="center"/>
          </w:tcPr>
          <w:p w14:paraId="24A2FB2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62B7B72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366</w:t>
            </w:r>
          </w:p>
        </w:tc>
        <w:tc>
          <w:tcPr>
            <w:tcW w:w="3115" w:type="dxa"/>
            <w:tcBorders>
              <w:tl2br w:val="nil"/>
              <w:tr2bl w:val="nil"/>
            </w:tcBorders>
            <w:shd w:val="clear" w:color="auto" w:fill="auto"/>
            <w:noWrap/>
            <w:vAlign w:val="center"/>
          </w:tcPr>
          <w:p w14:paraId="68C0F27E">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围堰长度40m，平均高度1.5m</w:t>
            </w:r>
          </w:p>
        </w:tc>
      </w:tr>
      <w:tr w14:paraId="3B30A3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5ADBEB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767" w:type="dxa"/>
            <w:gridSpan w:val="2"/>
            <w:tcBorders>
              <w:tl2br w:val="nil"/>
              <w:tr2bl w:val="nil"/>
            </w:tcBorders>
            <w:shd w:val="clear" w:color="auto" w:fill="auto"/>
            <w:noWrap/>
            <w:vAlign w:val="center"/>
          </w:tcPr>
          <w:p w14:paraId="011058D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水位维持</w:t>
            </w:r>
          </w:p>
        </w:tc>
        <w:tc>
          <w:tcPr>
            <w:tcW w:w="959" w:type="dxa"/>
            <w:tcBorders>
              <w:tl2br w:val="nil"/>
              <w:tr2bl w:val="nil"/>
            </w:tcBorders>
            <w:shd w:val="clear" w:color="auto" w:fill="auto"/>
            <w:noWrap/>
            <w:vAlign w:val="center"/>
          </w:tcPr>
          <w:p w14:paraId="1F4ED67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台时</w:t>
            </w:r>
          </w:p>
        </w:tc>
        <w:tc>
          <w:tcPr>
            <w:tcW w:w="959" w:type="dxa"/>
            <w:tcBorders>
              <w:tl2br w:val="nil"/>
              <w:tr2bl w:val="nil"/>
            </w:tcBorders>
            <w:shd w:val="clear" w:color="auto" w:fill="auto"/>
            <w:noWrap/>
            <w:vAlign w:val="center"/>
          </w:tcPr>
          <w:p w14:paraId="7163153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15517</w:t>
            </w:r>
          </w:p>
        </w:tc>
        <w:tc>
          <w:tcPr>
            <w:tcW w:w="3115" w:type="dxa"/>
            <w:tcBorders>
              <w:tl2br w:val="nil"/>
              <w:tr2bl w:val="nil"/>
            </w:tcBorders>
            <w:shd w:val="clear" w:color="auto" w:fill="auto"/>
            <w:noWrap/>
            <w:vAlign w:val="center"/>
          </w:tcPr>
          <w:p w14:paraId="04E95B6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IS150-125-250</w:t>
            </w:r>
          </w:p>
        </w:tc>
      </w:tr>
      <w:tr w14:paraId="373EED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200AED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767" w:type="dxa"/>
            <w:gridSpan w:val="2"/>
            <w:tcBorders>
              <w:tl2br w:val="nil"/>
              <w:tr2bl w:val="nil"/>
            </w:tcBorders>
            <w:shd w:val="clear" w:color="auto" w:fill="auto"/>
            <w:noWrap/>
            <w:vAlign w:val="center"/>
          </w:tcPr>
          <w:p w14:paraId="0841BE1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基坑抽干排水</w:t>
            </w:r>
          </w:p>
        </w:tc>
        <w:tc>
          <w:tcPr>
            <w:tcW w:w="959" w:type="dxa"/>
            <w:tcBorders>
              <w:tl2br w:val="nil"/>
              <w:tr2bl w:val="nil"/>
            </w:tcBorders>
            <w:shd w:val="clear" w:color="auto" w:fill="auto"/>
            <w:noWrap/>
            <w:vAlign w:val="center"/>
          </w:tcPr>
          <w:p w14:paraId="0CBAC2AA">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台时</w:t>
            </w:r>
          </w:p>
        </w:tc>
        <w:tc>
          <w:tcPr>
            <w:tcW w:w="959" w:type="dxa"/>
            <w:tcBorders>
              <w:tl2br w:val="nil"/>
              <w:tr2bl w:val="nil"/>
            </w:tcBorders>
            <w:shd w:val="clear" w:color="auto" w:fill="auto"/>
            <w:noWrap/>
            <w:vAlign w:val="center"/>
          </w:tcPr>
          <w:p w14:paraId="22DD69E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3115" w:type="dxa"/>
            <w:tcBorders>
              <w:tl2br w:val="nil"/>
              <w:tr2bl w:val="nil"/>
            </w:tcBorders>
            <w:shd w:val="clear" w:color="auto" w:fill="auto"/>
            <w:noWrap/>
            <w:vAlign w:val="center"/>
          </w:tcPr>
          <w:p w14:paraId="2F84E93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200QJ80-22</w:t>
            </w:r>
          </w:p>
        </w:tc>
      </w:tr>
      <w:tr w14:paraId="7BBE31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2" w:type="dxa"/>
            <w:tcBorders>
              <w:tl2br w:val="nil"/>
              <w:tr2bl w:val="nil"/>
            </w:tcBorders>
            <w:shd w:val="clear" w:color="auto" w:fill="auto"/>
            <w:noWrap/>
            <w:vAlign w:val="center"/>
          </w:tcPr>
          <w:p w14:paraId="3C94CAF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767" w:type="dxa"/>
            <w:gridSpan w:val="2"/>
            <w:tcBorders>
              <w:tl2br w:val="nil"/>
              <w:tr2bl w:val="nil"/>
            </w:tcBorders>
            <w:shd w:val="clear" w:color="auto" w:fill="auto"/>
            <w:noWrap/>
            <w:vAlign w:val="center"/>
          </w:tcPr>
          <w:p w14:paraId="523BCE38">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围堰拆除</w:t>
            </w:r>
          </w:p>
        </w:tc>
        <w:tc>
          <w:tcPr>
            <w:tcW w:w="959" w:type="dxa"/>
            <w:tcBorders>
              <w:tl2br w:val="nil"/>
              <w:tr2bl w:val="nil"/>
            </w:tcBorders>
            <w:shd w:val="clear" w:color="auto" w:fill="auto"/>
            <w:noWrap/>
            <w:vAlign w:val="center"/>
          </w:tcPr>
          <w:p w14:paraId="0BD19D5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59" w:type="dxa"/>
            <w:tcBorders>
              <w:tl2br w:val="nil"/>
              <w:tr2bl w:val="nil"/>
            </w:tcBorders>
            <w:shd w:val="clear" w:color="auto" w:fill="auto"/>
            <w:noWrap/>
            <w:vAlign w:val="center"/>
          </w:tcPr>
          <w:p w14:paraId="77C7252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1652</w:t>
            </w:r>
          </w:p>
        </w:tc>
        <w:tc>
          <w:tcPr>
            <w:tcW w:w="3115" w:type="dxa"/>
            <w:tcBorders>
              <w:tl2br w:val="nil"/>
              <w:tr2bl w:val="nil"/>
            </w:tcBorders>
            <w:shd w:val="clear" w:color="auto" w:fill="auto"/>
            <w:noWrap/>
            <w:vAlign w:val="center"/>
          </w:tcPr>
          <w:p w14:paraId="10C2742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000000"/>
                <w:sz w:val="21"/>
                <w:szCs w:val="21"/>
                <w:u w:val="none"/>
              </w:rPr>
            </w:pPr>
          </w:p>
        </w:tc>
      </w:tr>
    </w:tbl>
    <w:p w14:paraId="7C01F80D">
      <w:pPr>
        <w:keepNext w:val="0"/>
        <w:keepLines w:val="0"/>
        <w:pageBreakBefore w:val="0"/>
        <w:widowControl w:val="0"/>
        <w:overflowPunct/>
        <w:autoSpaceDE/>
        <w:autoSpaceDN/>
        <w:bidi w:val="0"/>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p>
    <w:p w14:paraId="2868AD7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导流建筑物施工</w:t>
      </w:r>
    </w:p>
    <w:p w14:paraId="52F7A37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（1）围堰填筑</w:t>
      </w:r>
    </w:p>
    <w:p w14:paraId="0407196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围堰填筑粘土料采用料场开挖料，运距约5km，水下部分采用抛填法施工，8～10t自卸汽车运料，端进法直接向水中抛填进占，并配120HP推土机配合向水中推料，及时平整堰体顶面以便于自卸汽</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车进占。围堰水上部分填筑采用8～10t自卸汽车运输，后退法卸料，分层铺筑、分层碾压，120HP推土机摊铺、平料，10～13t振动碾分层压实，分层厚度0.3m，具体碾压参数由现场试验确定。</w:t>
      </w:r>
    </w:p>
    <w:p w14:paraId="512A783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（2）围堰拆除</w:t>
      </w:r>
    </w:p>
    <w:p w14:paraId="73E861D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围堰拆除时从中间向两岸依次拆除，采用1～2m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长臂挖掘机配8～15t自卸汽车运输至弃渣场，平均运距5km。</w:t>
      </w:r>
    </w:p>
    <w:p w14:paraId="011DF42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lang w:val="en-US" w:eastAsia="zh-CN"/>
        </w:rPr>
        <w:t>施工期度汛</w:t>
      </w:r>
    </w:p>
    <w:p w14:paraId="04E94E8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 xml:space="preserve">汛前应恢复挡水建筑物至设计高程，泄水建筑物具备过流条件，按水库原调度运行规程要求度汛。汛前应及时制定度汛方案，储备度汛物资。 </w:t>
      </w:r>
    </w:p>
    <w:p w14:paraId="76CC420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汛期应密切注意气象、水文情况，及时做好暴雨或洪水预报。汛前应做好已完工程的检查及未完工程的防护工作。汛前应做好施工生产、生活设施、施工临时道路的防护措施及排涝工作。</w:t>
      </w:r>
      <w:r>
        <w:rPr>
          <w:rFonts w:hint="eastAsia" w:ascii="Times New Roman" w:hAnsi="Times New Roman" w:eastAsia="宋体" w:cs="Times New Roman"/>
          <w:color w:val="auto"/>
          <w:spacing w:val="0"/>
          <w:w w:val="100"/>
          <w:position w:val="0"/>
          <w:sz w:val="24"/>
          <w:szCs w:val="24"/>
          <w:u w:val="none" w:color="auto"/>
          <w:lang w:val="en-US" w:eastAsia="zh-CN"/>
        </w:rPr>
        <w:t xml:space="preserve"> </w:t>
      </w:r>
    </w:p>
    <w:p w14:paraId="7544DD6E">
      <w:pPr>
        <w:pStyle w:val="4"/>
        <w:bidi w:val="0"/>
        <w:rPr>
          <w:rFonts w:hint="default" w:ascii="Times New Roman" w:hAnsi="Times New Roman" w:cs="Times New Roman"/>
          <w:u w:val="none" w:color="auto"/>
        </w:rPr>
      </w:pPr>
      <w:bookmarkStart w:id="104" w:name="_Toc27617"/>
      <w:r>
        <w:rPr>
          <w:rFonts w:hint="default" w:ascii="Times New Roman" w:hAnsi="Times New Roman" w:cs="Times New Roman"/>
          <w:u w:val="none" w:color="auto"/>
        </w:rPr>
        <w:t>施工总布置</w:t>
      </w:r>
      <w:bookmarkEnd w:id="104"/>
    </w:p>
    <w:p w14:paraId="51BBE95D">
      <w:pPr>
        <w:pStyle w:val="5"/>
        <w:bidi w:val="0"/>
        <w:rPr>
          <w:rFonts w:hint="default"/>
        </w:rPr>
      </w:pPr>
      <w:r>
        <w:rPr>
          <w:rFonts w:hint="default"/>
          <w:lang w:val="en-US" w:eastAsia="zh-CN"/>
        </w:rPr>
        <w:t>施工总布置规划原则</w:t>
      </w:r>
    </w:p>
    <w:p w14:paraId="0BC8317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（1）根据工程的施工特点及要求，不设大面积的临时生活区；</w:t>
      </w:r>
    </w:p>
    <w:p w14:paraId="03566AB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（2）充分利用县城已有机械修配设施，简化施工企业设施；</w:t>
      </w:r>
    </w:p>
    <w:p w14:paraId="7A8365B6">
      <w:pPr>
        <w:keepNext w:val="0"/>
        <w:keepLines w:val="0"/>
        <w:pageBreakBefore w:val="0"/>
        <w:widowControl w:val="0"/>
        <w:overflowPunct/>
        <w:autoSpaceDE/>
        <w:autoSpaceDN/>
        <w:bidi w:val="0"/>
        <w:snapToGrid/>
        <w:spacing w:line="360" w:lineRule="auto"/>
        <w:ind w:left="0" w:firstLine="480" w:firstLineChars="200"/>
        <w:textAlignment w:val="auto"/>
      </w:pPr>
      <w:r>
        <w:rPr>
          <w:rFonts w:hint="default" w:ascii="Times New Roman" w:hAnsi="Times New Roman" w:eastAsia="宋体" w:cs="Times New Roman"/>
          <w:color w:val="auto"/>
          <w:spacing w:val="0"/>
          <w:w w:val="100"/>
          <w:position w:val="0"/>
          <w:sz w:val="24"/>
          <w:szCs w:val="24"/>
          <w:u w:val="none" w:color="auto"/>
          <w:lang w:val="en-US" w:eastAsia="zh-CN"/>
        </w:rPr>
        <w:t>（3）尽量减少占用耕地及拆迁居民住房。</w:t>
      </w:r>
    </w:p>
    <w:p w14:paraId="2A22BB10">
      <w:pPr>
        <w:pStyle w:val="5"/>
        <w:bidi w:val="0"/>
        <w:rPr>
          <w:rFonts w:hint="default"/>
          <w:lang w:val="en-US" w:eastAsia="zh-CN"/>
        </w:rPr>
      </w:pPr>
      <w:r>
        <w:rPr>
          <w:rFonts w:hint="default"/>
          <w:lang w:val="en-US" w:eastAsia="zh-CN"/>
        </w:rPr>
        <w:t>土石方平衡调配与弃渣规划</w:t>
      </w:r>
    </w:p>
    <w:p w14:paraId="7339B7E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（1）土石方平衡</w:t>
      </w:r>
    </w:p>
    <w:p w14:paraId="4CA83BE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本工程土石方开挖（含拆除）共计7.59万m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（自然方，下同），土石方填筑共计13.61万m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，其中料场料7.87万m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，利用开挖料5.73万m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，弃渣</w:t>
      </w:r>
      <w:r>
        <w:rPr>
          <w:rFonts w:hint="eastAsia" w:ascii="Times New Roman" w:hAnsi="Times New Roman" w:eastAsia="宋体" w:cs="Times New Roman"/>
          <w:color w:val="auto"/>
          <w:spacing w:val="0"/>
          <w:w w:val="100"/>
          <w:position w:val="0"/>
          <w:sz w:val="24"/>
          <w:szCs w:val="24"/>
          <w:u w:val="none" w:color="auto"/>
          <w:lang w:val="en-US" w:eastAsia="zh-CN"/>
        </w:rPr>
        <w:t>1.86</w:t>
      </w:r>
      <w:r>
        <w:rPr>
          <w:rFonts w:hint="default" w:ascii="Times New Roman" w:hAnsi="Times New Roman" w:eastAsia="宋体" w:cs="Times New Roman"/>
          <w:color w:val="auto"/>
          <w:spacing w:val="0"/>
          <w:w w:val="100"/>
          <w:position w:val="0"/>
          <w:sz w:val="24"/>
          <w:szCs w:val="24"/>
          <w:u w:val="none" w:color="auto"/>
          <w:lang w:val="en-US" w:eastAsia="zh-CN"/>
        </w:rPr>
        <w:t>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eastAsia" w:ascii="Times New Roman" w:hAnsi="Times New Roman" w:eastAsia="宋体" w:cs="Times New Roman"/>
          <w:color w:val="auto"/>
          <w:spacing w:val="0"/>
          <w:w w:val="100"/>
          <w:position w:val="0"/>
          <w:sz w:val="24"/>
          <w:szCs w:val="24"/>
          <w:u w:val="none" w:color="auto"/>
          <w:vertAlign w:val="baseline"/>
          <w:lang w:val="en-US" w:eastAsia="zh-CN"/>
        </w:rPr>
        <w:t>（自然方）</w:t>
      </w:r>
      <w:r>
        <w:rPr>
          <w:rFonts w:hint="default" w:ascii="Times New Roman" w:hAnsi="Times New Roman" w:eastAsia="宋体" w:cs="Times New Roman"/>
          <w:color w:val="auto"/>
          <w:spacing w:val="0"/>
          <w:w w:val="100"/>
          <w:position w:val="0"/>
          <w:sz w:val="24"/>
          <w:szCs w:val="24"/>
          <w:u w:val="none" w:color="auto"/>
          <w:lang w:val="en-US" w:eastAsia="zh-CN"/>
        </w:rPr>
        <w:t>。土石方平衡见表</w:t>
      </w:r>
      <w:r>
        <w:rPr>
          <w:rFonts w:hint="eastAsia" w:ascii="Times New Roman" w:hAnsi="Times New Roman" w:eastAsia="宋体" w:cs="Times New Roman"/>
          <w:color w:val="auto"/>
          <w:spacing w:val="0"/>
          <w:w w:val="100"/>
          <w:position w:val="0"/>
          <w:sz w:val="24"/>
          <w:szCs w:val="24"/>
          <w:u w:val="none" w:color="auto"/>
          <w:lang w:val="en-US" w:eastAsia="zh-CN"/>
        </w:rPr>
        <w:t>2.2-6</w:t>
      </w:r>
      <w:r>
        <w:rPr>
          <w:rFonts w:hint="default" w:ascii="Times New Roman" w:hAnsi="Times New Roman" w:eastAsia="宋体" w:cs="Times New Roman"/>
          <w:color w:val="auto"/>
          <w:spacing w:val="0"/>
          <w:w w:val="100"/>
          <w:position w:val="0"/>
          <w:sz w:val="24"/>
          <w:szCs w:val="24"/>
          <w:u w:val="none" w:color="auto"/>
          <w:lang w:val="en-US" w:eastAsia="zh-CN"/>
        </w:rPr>
        <w:t>。</w:t>
      </w:r>
    </w:p>
    <w:p w14:paraId="05C6F399">
      <w:pPr>
        <w:adjustRightInd w:val="0"/>
        <w:snapToGrid w:val="0"/>
        <w:spacing w:line="360" w:lineRule="auto"/>
        <w:jc w:val="center"/>
        <w:rPr>
          <w:rFonts w:hint="eastAsia" w:ascii="Times New Roman" w:hAnsi="Times New Roman" w:eastAsia="宋体" w:cs="Times New Roman"/>
          <w:b/>
          <w:bCs/>
          <w:color w:val="auto"/>
          <w:spacing w:val="0"/>
          <w:w w:val="100"/>
          <w:position w:val="0"/>
          <w:sz w:val="24"/>
          <w:szCs w:val="24"/>
          <w:u w:val="none" w:color="auto"/>
          <w:lang w:val="en-US" w:eastAsia="zh-CN"/>
        </w:rPr>
        <w:sectPr>
          <w:headerReference r:id="rId9" w:type="default"/>
          <w:footerReference r:id="rId10" w:type="default"/>
          <w:pgSz w:w="11906" w:h="16838"/>
          <w:pgMar w:top="1440" w:right="1803" w:bottom="1440" w:left="1803"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4B992C4C">
      <w:pPr>
        <w:adjustRightInd w:val="0"/>
        <w:snapToGrid w:val="0"/>
        <w:spacing w:line="360" w:lineRule="auto"/>
        <w:jc w:val="center"/>
        <w:rPr>
          <w:rFonts w:hint="default"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 xml:space="preserve">表2.2-6  </w:t>
      </w:r>
      <w:r>
        <w:rPr>
          <w:rFonts w:hint="default" w:ascii="Times New Roman" w:hAnsi="Times New Roman" w:eastAsia="宋体" w:cs="Times New Roman"/>
          <w:b/>
          <w:bCs/>
          <w:color w:val="auto"/>
          <w:spacing w:val="0"/>
          <w:w w:val="100"/>
          <w:position w:val="0"/>
          <w:sz w:val="24"/>
          <w:szCs w:val="24"/>
          <w:u w:val="none" w:color="auto"/>
          <w:lang w:val="en-US" w:eastAsia="zh-CN"/>
        </w:rPr>
        <w:t>土石方平衡表</w:t>
      </w:r>
      <w:r>
        <w:rPr>
          <w:rFonts w:hint="eastAsia" w:ascii="Times New Roman" w:hAnsi="Times New Roman" w:eastAsia="宋体" w:cs="Times New Roman"/>
          <w:b/>
          <w:bCs/>
          <w:color w:val="auto"/>
          <w:spacing w:val="0"/>
          <w:w w:val="100"/>
          <w:position w:val="0"/>
          <w:sz w:val="24"/>
          <w:szCs w:val="24"/>
          <w:u w:val="none" w:color="auto"/>
          <w:lang w:val="en-US" w:eastAsia="zh-CN"/>
        </w:rPr>
        <w:t>（1）</w:t>
      </w:r>
    </w:p>
    <w:p w14:paraId="43FF5464">
      <w:pPr>
        <w:adjustRightInd w:val="0"/>
        <w:snapToGrid w:val="0"/>
        <w:spacing w:line="360" w:lineRule="auto"/>
        <w:jc w:val="center"/>
      </w:pPr>
      <w:r>
        <w:drawing>
          <wp:inline distT="0" distB="0" distL="114300" distR="114300">
            <wp:extent cx="8376920" cy="4821555"/>
            <wp:effectExtent l="0" t="0" r="508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lum bright="-24000" contrast="48000"/>
                    </a:blip>
                    <a:stretch>
                      <a:fillRect/>
                    </a:stretch>
                  </pic:blipFill>
                  <pic:spPr>
                    <a:xfrm>
                      <a:off x="0" y="0"/>
                      <a:ext cx="8376920" cy="4821555"/>
                    </a:xfrm>
                    <a:prstGeom prst="rect">
                      <a:avLst/>
                    </a:prstGeom>
                    <a:noFill/>
                    <a:ln>
                      <a:noFill/>
                    </a:ln>
                  </pic:spPr>
                </pic:pic>
              </a:graphicData>
            </a:graphic>
          </wp:inline>
        </w:drawing>
      </w:r>
    </w:p>
    <w:p w14:paraId="3ABE4A04">
      <w:pPr>
        <w:adjustRightInd w:val="0"/>
        <w:snapToGrid w:val="0"/>
        <w:spacing w:line="360" w:lineRule="auto"/>
        <w:jc w:val="center"/>
        <w:rPr>
          <w:rFonts w:hint="default"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 xml:space="preserve">表2.2-6  </w:t>
      </w:r>
      <w:r>
        <w:rPr>
          <w:rFonts w:hint="default" w:ascii="Times New Roman" w:hAnsi="Times New Roman" w:eastAsia="宋体" w:cs="Times New Roman"/>
          <w:b/>
          <w:bCs/>
          <w:color w:val="auto"/>
          <w:spacing w:val="0"/>
          <w:w w:val="100"/>
          <w:position w:val="0"/>
          <w:sz w:val="24"/>
          <w:szCs w:val="24"/>
          <w:u w:val="none" w:color="auto"/>
          <w:lang w:val="en-US" w:eastAsia="zh-CN"/>
        </w:rPr>
        <w:t>土石方平衡表</w:t>
      </w:r>
      <w:r>
        <w:rPr>
          <w:rFonts w:hint="eastAsia" w:ascii="Times New Roman" w:hAnsi="Times New Roman" w:eastAsia="宋体" w:cs="Times New Roman"/>
          <w:b/>
          <w:bCs/>
          <w:color w:val="auto"/>
          <w:spacing w:val="0"/>
          <w:w w:val="100"/>
          <w:position w:val="0"/>
          <w:sz w:val="24"/>
          <w:szCs w:val="24"/>
          <w:u w:val="none" w:color="auto"/>
          <w:lang w:val="en-US" w:eastAsia="zh-CN"/>
        </w:rPr>
        <w:t>（2）</w:t>
      </w:r>
    </w:p>
    <w:p w14:paraId="5FB5731A">
      <w:pPr>
        <w:adjustRightInd w:val="0"/>
        <w:snapToGrid w:val="0"/>
        <w:spacing w:line="360" w:lineRule="auto"/>
        <w:jc w:val="center"/>
        <w:rPr>
          <w:rFonts w:hint="eastAsia" w:ascii="Times New Roman" w:hAnsi="Times New Roman" w:eastAsia="宋体" w:cs="Times New Roman"/>
          <w:b/>
          <w:bCs/>
          <w:color w:val="auto"/>
          <w:spacing w:val="0"/>
          <w:w w:val="100"/>
          <w:position w:val="0"/>
          <w:sz w:val="24"/>
          <w:szCs w:val="24"/>
          <w:u w:val="none" w:color="auto"/>
          <w:lang w:val="en-US" w:eastAsia="zh-CN"/>
        </w:rPr>
        <w:sectPr>
          <w:pgSz w:w="16838" w:h="11906" w:orient="landscape"/>
          <w:pgMar w:top="1803" w:right="1440" w:bottom="1803"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9122410" cy="4909185"/>
            <wp:effectExtent l="0" t="0" r="635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lum bright="-24000" contrast="54000"/>
                    </a:blip>
                    <a:stretch>
                      <a:fillRect/>
                    </a:stretch>
                  </pic:blipFill>
                  <pic:spPr>
                    <a:xfrm>
                      <a:off x="0" y="0"/>
                      <a:ext cx="9122410" cy="4909185"/>
                    </a:xfrm>
                    <a:prstGeom prst="rect">
                      <a:avLst/>
                    </a:prstGeom>
                    <a:noFill/>
                    <a:ln>
                      <a:noFill/>
                    </a:ln>
                  </pic:spPr>
                </pic:pic>
              </a:graphicData>
            </a:graphic>
          </wp:inline>
        </w:drawing>
      </w:r>
    </w:p>
    <w:p w14:paraId="2D41561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（2）弃渣规划</w:t>
      </w:r>
    </w:p>
    <w:p w14:paraId="5908E96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本工程弃渣共计2.21万m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松方），主要为土方、拆除料，考虑就近弃渣和环保要求，弃渣场选取侯家岭土料场。场地及其周边无滑坡、泥石流及危岩崩塌等不良地质现象。场地工程地质条件简单，稳定性好，适宜于弃渣堆填。渣场特性见表</w:t>
      </w:r>
      <w:r>
        <w:rPr>
          <w:rFonts w:hint="eastAsia" w:ascii="Times New Roman" w:hAnsi="Times New Roman" w:eastAsia="宋体" w:cs="Times New Roman"/>
          <w:color w:val="auto"/>
          <w:spacing w:val="0"/>
          <w:w w:val="100"/>
          <w:position w:val="0"/>
          <w:sz w:val="24"/>
          <w:szCs w:val="24"/>
          <w:u w:val="none" w:color="auto"/>
          <w:lang w:val="en-US" w:eastAsia="zh-CN"/>
        </w:rPr>
        <w:t>2.2-7</w:t>
      </w:r>
      <w:r>
        <w:rPr>
          <w:rFonts w:hint="default" w:ascii="Times New Roman" w:hAnsi="Times New Roman" w:eastAsia="宋体" w:cs="Times New Roman"/>
          <w:color w:val="auto"/>
          <w:spacing w:val="0"/>
          <w:w w:val="100"/>
          <w:position w:val="0"/>
          <w:sz w:val="24"/>
          <w:szCs w:val="24"/>
          <w:u w:val="none" w:color="auto"/>
          <w:lang w:val="en-US" w:eastAsia="zh-CN"/>
        </w:rPr>
        <w:t>。</w:t>
      </w:r>
    </w:p>
    <w:p w14:paraId="2C65D056">
      <w:pPr>
        <w:adjustRightInd w:val="0"/>
        <w:snapToGrid w:val="0"/>
        <w:spacing w:line="360" w:lineRule="auto"/>
        <w:jc w:val="center"/>
        <w:rPr>
          <w:rFonts w:hint="default" w:ascii="Times New Roman" w:hAnsi="Times New Roman" w:eastAsia="宋体" w:cs="Times New Roman"/>
          <w:b/>
          <w:bCs/>
          <w:color w:val="auto"/>
          <w:spacing w:val="0"/>
          <w:w w:val="100"/>
          <w:position w:val="0"/>
          <w:sz w:val="24"/>
          <w:szCs w:val="24"/>
          <w:u w:val="none" w:color="auto"/>
          <w:lang w:eastAsia="zh-CN"/>
        </w:rPr>
      </w:pPr>
      <w:r>
        <w:rPr>
          <w:rFonts w:hint="eastAsia" w:ascii="Times New Roman" w:hAnsi="Times New Roman" w:eastAsia="宋体" w:cs="Times New Roman"/>
          <w:b/>
          <w:bCs/>
          <w:color w:val="auto"/>
          <w:spacing w:val="0"/>
          <w:w w:val="100"/>
          <w:position w:val="0"/>
          <w:sz w:val="24"/>
          <w:szCs w:val="24"/>
          <w:u w:val="none" w:color="auto"/>
          <w:lang w:eastAsia="zh-CN"/>
        </w:rPr>
        <w:t>表</w:t>
      </w:r>
      <w:r>
        <w:rPr>
          <w:rFonts w:hint="eastAsia" w:ascii="Times New Roman" w:hAnsi="Times New Roman" w:eastAsia="宋体" w:cs="Times New Roman"/>
          <w:b/>
          <w:bCs/>
          <w:color w:val="auto"/>
          <w:spacing w:val="0"/>
          <w:w w:val="100"/>
          <w:position w:val="0"/>
          <w:sz w:val="24"/>
          <w:szCs w:val="24"/>
          <w:u w:val="none" w:color="auto"/>
          <w:lang w:val="en-US" w:eastAsia="zh-CN"/>
        </w:rPr>
        <w:t xml:space="preserve">2.2-7  </w:t>
      </w:r>
      <w:r>
        <w:rPr>
          <w:rFonts w:hint="eastAsia" w:ascii="Times New Roman" w:hAnsi="Times New Roman" w:eastAsia="宋体" w:cs="Times New Roman"/>
          <w:b/>
          <w:bCs/>
          <w:color w:val="auto"/>
          <w:spacing w:val="0"/>
          <w:w w:val="100"/>
          <w:position w:val="0"/>
          <w:sz w:val="24"/>
          <w:szCs w:val="24"/>
          <w:u w:val="none" w:color="auto"/>
          <w:lang w:eastAsia="zh-CN"/>
        </w:rPr>
        <w:t>弃渣场特性</w:t>
      </w:r>
      <w:r>
        <w:rPr>
          <w:rFonts w:hint="default" w:ascii="Times New Roman" w:hAnsi="Times New Roman" w:eastAsia="宋体" w:cs="Times New Roman"/>
          <w:b/>
          <w:bCs/>
          <w:color w:val="auto"/>
          <w:spacing w:val="0"/>
          <w:w w:val="100"/>
          <w:position w:val="0"/>
          <w:sz w:val="24"/>
          <w:szCs w:val="24"/>
          <w:u w:val="none" w:color="auto"/>
          <w:lang w:eastAsia="zh-CN"/>
        </w:rPr>
        <w:t>表</w:t>
      </w:r>
    </w:p>
    <w:tbl>
      <w:tblPr>
        <w:tblStyle w:val="39"/>
        <w:tblW w:w="851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24"/>
        <w:gridCol w:w="1168"/>
        <w:gridCol w:w="1751"/>
        <w:gridCol w:w="1183"/>
        <w:gridCol w:w="1298"/>
        <w:gridCol w:w="1592"/>
      </w:tblGrid>
      <w:tr w14:paraId="632598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blHeader/>
          <w:jc w:val="center"/>
        </w:trPr>
        <w:tc>
          <w:tcPr>
            <w:tcW w:w="1524" w:type="dxa"/>
            <w:tcBorders>
              <w:tl2br w:val="nil"/>
              <w:tr2bl w:val="nil"/>
            </w:tcBorders>
            <w:shd w:val="clear" w:color="auto" w:fill="auto"/>
            <w:noWrap/>
            <w:vAlign w:val="center"/>
          </w:tcPr>
          <w:p w14:paraId="5F23CB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u w:val="none" w:color="auto"/>
                <w:lang w:eastAsia="zh-CN"/>
              </w:rPr>
            </w:pPr>
            <w:r>
              <w:rPr>
                <w:rFonts w:hint="eastAsia" w:ascii="Times New Roman" w:hAnsi="Times New Roman" w:eastAsia="宋体" w:cs="Times New Roman"/>
                <w:b/>
                <w:bCs/>
                <w:i w:val="0"/>
                <w:iCs w:val="0"/>
                <w:color w:val="auto"/>
                <w:sz w:val="21"/>
                <w:szCs w:val="21"/>
                <w:u w:val="none" w:color="auto"/>
                <w:lang w:eastAsia="zh-CN"/>
              </w:rPr>
              <w:t>弃土场</w:t>
            </w:r>
            <w:r>
              <w:rPr>
                <w:rFonts w:hint="default" w:ascii="Times New Roman" w:hAnsi="Times New Roman" w:eastAsia="宋体" w:cs="Times New Roman"/>
                <w:b/>
                <w:bCs/>
                <w:i w:val="0"/>
                <w:iCs w:val="0"/>
                <w:color w:val="auto"/>
                <w:sz w:val="21"/>
                <w:szCs w:val="21"/>
                <w:u w:val="none" w:color="auto"/>
                <w:lang w:eastAsia="zh-CN"/>
              </w:rPr>
              <w:t>名称</w:t>
            </w:r>
          </w:p>
        </w:tc>
        <w:tc>
          <w:tcPr>
            <w:tcW w:w="1168" w:type="dxa"/>
            <w:tcBorders>
              <w:tl2br w:val="nil"/>
              <w:tr2bl w:val="nil"/>
            </w:tcBorders>
            <w:shd w:val="clear" w:color="auto" w:fill="auto"/>
            <w:noWrap/>
            <w:vAlign w:val="center"/>
          </w:tcPr>
          <w:p w14:paraId="45F181A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u w:val="none" w:color="auto"/>
              </w:rPr>
            </w:pPr>
            <w:r>
              <w:rPr>
                <w:rFonts w:hint="eastAsia" w:ascii="Times New Roman" w:hAnsi="Times New Roman" w:eastAsia="宋体" w:cs="Times New Roman"/>
                <w:b/>
                <w:bCs/>
                <w:i w:val="0"/>
                <w:iCs w:val="0"/>
                <w:color w:val="auto"/>
                <w:kern w:val="0"/>
                <w:sz w:val="21"/>
                <w:szCs w:val="21"/>
                <w:u w:val="none" w:color="auto"/>
                <w:lang w:val="en-US" w:eastAsia="zh-CN" w:bidi="ar"/>
              </w:rPr>
              <w:t>占地面积</w:t>
            </w:r>
          </w:p>
        </w:tc>
        <w:tc>
          <w:tcPr>
            <w:tcW w:w="1751" w:type="dxa"/>
            <w:tcBorders>
              <w:tl2br w:val="nil"/>
              <w:tr2bl w:val="nil"/>
            </w:tcBorders>
            <w:shd w:val="clear" w:color="auto" w:fill="auto"/>
            <w:noWrap/>
            <w:vAlign w:val="center"/>
          </w:tcPr>
          <w:p w14:paraId="76FD13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u w:val="none" w:color="auto"/>
                <w:lang w:val="en-US" w:eastAsia="zh-CN" w:bidi="ar"/>
              </w:rPr>
            </w:pPr>
            <w:r>
              <w:rPr>
                <w:rFonts w:hint="eastAsia" w:ascii="Times New Roman" w:hAnsi="Times New Roman" w:eastAsia="宋体" w:cs="Times New Roman"/>
                <w:b/>
                <w:bCs/>
                <w:i w:val="0"/>
                <w:iCs w:val="0"/>
                <w:color w:val="auto"/>
                <w:kern w:val="0"/>
                <w:sz w:val="21"/>
                <w:szCs w:val="21"/>
                <w:u w:val="none" w:color="auto"/>
                <w:lang w:val="en-US" w:eastAsia="zh-CN" w:bidi="ar"/>
              </w:rPr>
              <w:t>弃渣量</w:t>
            </w:r>
          </w:p>
        </w:tc>
        <w:tc>
          <w:tcPr>
            <w:tcW w:w="1183" w:type="dxa"/>
            <w:tcBorders>
              <w:tl2br w:val="nil"/>
              <w:tr2bl w:val="nil"/>
            </w:tcBorders>
            <w:shd w:val="clear" w:color="auto" w:fill="auto"/>
            <w:noWrap/>
            <w:vAlign w:val="center"/>
          </w:tcPr>
          <w:p w14:paraId="0BD0F2F2">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auto"/>
                <w:sz w:val="21"/>
                <w:szCs w:val="21"/>
                <w:u w:val="none" w:color="auto"/>
                <w:lang w:eastAsia="zh-CN"/>
              </w:rPr>
            </w:pPr>
            <w:r>
              <w:rPr>
                <w:rFonts w:hint="eastAsia" w:ascii="Times New Roman" w:hAnsi="Times New Roman" w:eastAsia="宋体" w:cs="Times New Roman"/>
                <w:b/>
                <w:bCs/>
                <w:i w:val="0"/>
                <w:iCs w:val="0"/>
                <w:color w:val="auto"/>
                <w:sz w:val="21"/>
                <w:szCs w:val="21"/>
                <w:u w:val="none" w:color="auto"/>
                <w:lang w:eastAsia="zh-CN"/>
              </w:rPr>
              <w:t>渣底高程</w:t>
            </w:r>
          </w:p>
        </w:tc>
        <w:tc>
          <w:tcPr>
            <w:tcW w:w="1298" w:type="dxa"/>
            <w:tcBorders>
              <w:tl2br w:val="nil"/>
              <w:tr2bl w:val="nil"/>
            </w:tcBorders>
            <w:shd w:val="clear" w:color="auto" w:fill="auto"/>
            <w:noWrap/>
            <w:vAlign w:val="center"/>
          </w:tcPr>
          <w:p w14:paraId="6EF92A15">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auto"/>
                <w:sz w:val="21"/>
                <w:szCs w:val="21"/>
                <w:u w:val="none" w:color="auto"/>
                <w:lang w:eastAsia="zh-CN"/>
              </w:rPr>
            </w:pPr>
            <w:r>
              <w:rPr>
                <w:rFonts w:hint="eastAsia" w:ascii="Times New Roman" w:hAnsi="Times New Roman" w:eastAsia="宋体" w:cs="Times New Roman"/>
                <w:b/>
                <w:bCs/>
                <w:i w:val="0"/>
                <w:iCs w:val="0"/>
                <w:color w:val="auto"/>
                <w:sz w:val="21"/>
                <w:szCs w:val="21"/>
                <w:u w:val="none" w:color="auto"/>
                <w:lang w:eastAsia="zh-CN"/>
              </w:rPr>
              <w:t>渣顶高程</w:t>
            </w:r>
          </w:p>
        </w:tc>
        <w:tc>
          <w:tcPr>
            <w:tcW w:w="1592" w:type="dxa"/>
            <w:tcBorders>
              <w:tl2br w:val="nil"/>
              <w:tr2bl w:val="nil"/>
            </w:tcBorders>
            <w:shd w:val="clear" w:color="auto" w:fill="auto"/>
            <w:noWrap/>
            <w:vAlign w:val="center"/>
          </w:tcPr>
          <w:p w14:paraId="46AFD06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u w:val="none" w:color="auto"/>
                <w:lang w:eastAsia="zh-CN"/>
              </w:rPr>
            </w:pPr>
            <w:r>
              <w:rPr>
                <w:rFonts w:hint="eastAsia" w:ascii="Times New Roman" w:hAnsi="Times New Roman" w:eastAsia="宋体" w:cs="Times New Roman"/>
                <w:b/>
                <w:bCs/>
                <w:i w:val="0"/>
                <w:iCs w:val="0"/>
                <w:color w:val="auto"/>
                <w:sz w:val="21"/>
                <w:szCs w:val="21"/>
                <w:u w:val="none" w:color="auto"/>
                <w:lang w:eastAsia="zh-CN"/>
              </w:rPr>
              <w:t>最大堆渣高度</w:t>
            </w:r>
          </w:p>
        </w:tc>
      </w:tr>
      <w:tr w14:paraId="4AFBDA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24" w:type="dxa"/>
            <w:tcBorders>
              <w:tl2br w:val="nil"/>
              <w:tr2bl w:val="nil"/>
            </w:tcBorders>
            <w:shd w:val="clear" w:color="auto" w:fill="auto"/>
            <w:noWrap/>
            <w:vAlign w:val="center"/>
          </w:tcPr>
          <w:p w14:paraId="788F65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eastAsia="zh-CN"/>
              </w:rPr>
            </w:pPr>
            <w:r>
              <w:rPr>
                <w:rFonts w:hint="eastAsia" w:ascii="Times New Roman" w:hAnsi="Times New Roman" w:eastAsia="宋体" w:cs="Times New Roman"/>
                <w:i w:val="0"/>
                <w:iCs w:val="0"/>
                <w:color w:val="auto"/>
                <w:sz w:val="21"/>
                <w:szCs w:val="21"/>
                <w:u w:val="none" w:color="auto"/>
                <w:lang w:eastAsia="zh-CN"/>
              </w:rPr>
              <w:t>侯家岭弃渣场</w:t>
            </w:r>
          </w:p>
        </w:tc>
        <w:tc>
          <w:tcPr>
            <w:tcW w:w="1168" w:type="dxa"/>
            <w:tcBorders>
              <w:tl2br w:val="nil"/>
              <w:tr2bl w:val="nil"/>
            </w:tcBorders>
            <w:shd w:val="clear" w:color="auto" w:fill="auto"/>
            <w:noWrap/>
            <w:vAlign w:val="center"/>
          </w:tcPr>
          <w:p w14:paraId="5D910E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1</w:t>
            </w:r>
            <w:r>
              <w:rPr>
                <w:rFonts w:hint="default" w:ascii="Times New Roman" w:hAnsi="Times New Roman" w:eastAsia="宋体" w:cs="Times New Roman"/>
                <w:color w:val="auto"/>
                <w:spacing w:val="0"/>
                <w:w w:val="100"/>
                <w:position w:val="0"/>
                <w:sz w:val="24"/>
                <w:u w:val="none" w:color="auto"/>
                <w:lang w:eastAsia="zh-CN"/>
              </w:rPr>
              <w:t>万m</w:t>
            </w:r>
            <w:r>
              <w:rPr>
                <w:rFonts w:hint="eastAsia" w:ascii="Times New Roman" w:hAnsi="Times New Roman" w:eastAsia="宋体" w:cs="Times New Roman"/>
                <w:color w:val="auto"/>
                <w:spacing w:val="0"/>
                <w:w w:val="100"/>
                <w:position w:val="0"/>
                <w:sz w:val="24"/>
                <w:u w:val="none" w:color="auto"/>
                <w:vertAlign w:val="superscript"/>
                <w:lang w:val="en-US" w:eastAsia="zh-CN"/>
              </w:rPr>
              <w:t>2</w:t>
            </w:r>
          </w:p>
        </w:tc>
        <w:tc>
          <w:tcPr>
            <w:tcW w:w="1751" w:type="dxa"/>
            <w:tcBorders>
              <w:tl2br w:val="nil"/>
              <w:tr2bl w:val="nil"/>
            </w:tcBorders>
            <w:shd w:val="clear" w:color="auto" w:fill="auto"/>
            <w:noWrap/>
            <w:vAlign w:val="center"/>
          </w:tcPr>
          <w:p w14:paraId="182ED8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2.21</w:t>
            </w:r>
            <w:r>
              <w:rPr>
                <w:rFonts w:hint="default" w:ascii="Times New Roman" w:hAnsi="Times New Roman" w:eastAsia="宋体" w:cs="Times New Roman"/>
                <w:color w:val="auto"/>
                <w:spacing w:val="0"/>
                <w:w w:val="100"/>
                <w:position w:val="0"/>
                <w:sz w:val="21"/>
                <w:szCs w:val="21"/>
                <w:u w:val="none" w:color="auto"/>
                <w:lang w:eastAsia="zh-CN"/>
              </w:rPr>
              <w:t>万m</w:t>
            </w:r>
            <w:r>
              <w:rPr>
                <w:rFonts w:hint="eastAsia" w:ascii="Times New Roman" w:hAnsi="Times New Roman" w:eastAsia="宋体" w:cs="Times New Roman"/>
                <w:color w:val="auto"/>
                <w:spacing w:val="0"/>
                <w:w w:val="100"/>
                <w:position w:val="0"/>
                <w:sz w:val="21"/>
                <w:szCs w:val="21"/>
                <w:u w:val="none" w:color="auto"/>
                <w:vertAlign w:val="superscript"/>
                <w:lang w:val="en-US" w:eastAsia="zh-CN"/>
              </w:rPr>
              <w:t>3</w:t>
            </w:r>
            <w:r>
              <w:rPr>
                <w:rFonts w:hint="eastAsia" w:ascii="Times New Roman" w:hAnsi="Times New Roman" w:eastAsia="宋体" w:cs="Times New Roman"/>
                <w:color w:val="auto"/>
                <w:spacing w:val="0"/>
                <w:w w:val="100"/>
                <w:position w:val="0"/>
                <w:sz w:val="21"/>
                <w:szCs w:val="21"/>
                <w:u w:val="none" w:color="auto"/>
                <w:vertAlign w:val="baseline"/>
                <w:lang w:val="en-US" w:eastAsia="zh-CN"/>
              </w:rPr>
              <w:t>（松方）</w:t>
            </w:r>
          </w:p>
        </w:tc>
        <w:tc>
          <w:tcPr>
            <w:tcW w:w="1183" w:type="dxa"/>
            <w:tcBorders>
              <w:tl2br w:val="nil"/>
              <w:tr2bl w:val="nil"/>
            </w:tcBorders>
            <w:shd w:val="clear" w:color="auto" w:fill="auto"/>
            <w:noWrap/>
            <w:vAlign w:val="center"/>
          </w:tcPr>
          <w:p w14:paraId="0C2E69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30.00</w:t>
            </w:r>
            <w:r>
              <w:rPr>
                <w:rFonts w:hint="default" w:ascii="Times New Roman" w:hAnsi="Times New Roman" w:eastAsia="宋体" w:cs="Times New Roman"/>
                <w:color w:val="auto"/>
                <w:spacing w:val="0"/>
                <w:w w:val="100"/>
                <w:position w:val="0"/>
                <w:sz w:val="24"/>
                <w:u w:val="none" w:color="auto"/>
                <w:lang w:eastAsia="zh-CN"/>
              </w:rPr>
              <w:t>m</w:t>
            </w:r>
          </w:p>
        </w:tc>
        <w:tc>
          <w:tcPr>
            <w:tcW w:w="1298" w:type="dxa"/>
            <w:tcBorders>
              <w:tl2br w:val="nil"/>
              <w:tr2bl w:val="nil"/>
            </w:tcBorders>
            <w:shd w:val="clear" w:color="auto" w:fill="auto"/>
            <w:noWrap/>
            <w:vAlign w:val="center"/>
          </w:tcPr>
          <w:p w14:paraId="257E82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32.30</w:t>
            </w:r>
            <w:r>
              <w:rPr>
                <w:rFonts w:hint="default" w:ascii="Times New Roman" w:hAnsi="Times New Roman" w:eastAsia="宋体" w:cs="Times New Roman"/>
                <w:color w:val="auto"/>
                <w:spacing w:val="0"/>
                <w:w w:val="100"/>
                <w:position w:val="0"/>
                <w:sz w:val="24"/>
                <w:u w:val="none" w:color="auto"/>
                <w:lang w:eastAsia="zh-CN"/>
              </w:rPr>
              <w:t>m</w:t>
            </w:r>
          </w:p>
        </w:tc>
        <w:tc>
          <w:tcPr>
            <w:tcW w:w="1592" w:type="dxa"/>
            <w:tcBorders>
              <w:tl2br w:val="nil"/>
              <w:tr2bl w:val="nil"/>
            </w:tcBorders>
            <w:shd w:val="clear" w:color="auto" w:fill="auto"/>
            <w:noWrap/>
            <w:vAlign w:val="center"/>
          </w:tcPr>
          <w:p w14:paraId="3CC388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2.3</w:t>
            </w:r>
            <w:r>
              <w:rPr>
                <w:rFonts w:hint="default" w:ascii="Times New Roman" w:hAnsi="Times New Roman" w:eastAsia="宋体" w:cs="Times New Roman"/>
                <w:color w:val="auto"/>
                <w:spacing w:val="0"/>
                <w:w w:val="100"/>
                <w:position w:val="0"/>
                <w:sz w:val="24"/>
                <w:u w:val="none" w:color="auto"/>
                <w:lang w:eastAsia="zh-CN"/>
              </w:rPr>
              <w:t>m</w:t>
            </w:r>
          </w:p>
        </w:tc>
      </w:tr>
    </w:tbl>
    <w:p w14:paraId="369522DA">
      <w:pPr>
        <w:pStyle w:val="5"/>
        <w:bidi w:val="0"/>
        <w:rPr>
          <w:rFonts w:hint="default"/>
          <w:lang w:val="en-US" w:eastAsia="zh-CN"/>
        </w:rPr>
      </w:pPr>
      <w:r>
        <w:rPr>
          <w:rFonts w:hint="default"/>
          <w:lang w:val="en-US" w:eastAsia="zh-CN"/>
        </w:rPr>
        <w:t>施工场地规划</w:t>
      </w:r>
    </w:p>
    <w:p w14:paraId="001A66BF">
      <w:pPr>
        <w:keepNext w:val="0"/>
        <w:keepLines w:val="0"/>
        <w:pageBreakBefore w:val="0"/>
        <w:widowControl w:val="0"/>
        <w:overflowPunct/>
        <w:autoSpaceDE/>
        <w:autoSpaceDN/>
        <w:bidi w:val="0"/>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工程施工通讯、机械修理等主要利用当地已有设施</w:t>
      </w:r>
      <w:r>
        <w:rPr>
          <w:rFonts w:hint="eastAsia" w:ascii="Times New Roman" w:hAnsi="Times New Roman" w:eastAsia="宋体" w:cs="Times New Roman"/>
          <w:color w:val="auto"/>
          <w:spacing w:val="0"/>
          <w:w w:val="100"/>
          <w:position w:val="0"/>
          <w:sz w:val="24"/>
          <w:szCs w:val="24"/>
          <w:u w:val="none" w:color="auto"/>
          <w:lang w:val="en-US" w:eastAsia="zh-CN"/>
        </w:rPr>
        <w:t>；施工生活营地租用当地民房，不另设施工营地；</w:t>
      </w:r>
      <w:r>
        <w:rPr>
          <w:rFonts w:hint="default" w:ascii="Times New Roman" w:hAnsi="Times New Roman" w:eastAsia="宋体" w:cs="Times New Roman"/>
          <w:color w:val="auto"/>
          <w:spacing w:val="0"/>
          <w:w w:val="100"/>
          <w:position w:val="0"/>
          <w:sz w:val="24"/>
          <w:szCs w:val="24"/>
          <w:u w:val="none" w:color="auto"/>
          <w:lang w:val="en-US" w:eastAsia="zh-CN"/>
        </w:rPr>
        <w:t>机械设备停放场、综合仓库、综合加工厂</w:t>
      </w:r>
      <w:r>
        <w:rPr>
          <w:rFonts w:hint="eastAsia" w:ascii="Times New Roman" w:hAnsi="Times New Roman" w:eastAsia="宋体" w:cs="Times New Roman"/>
          <w:color w:val="auto"/>
          <w:spacing w:val="0"/>
          <w:w w:val="100"/>
          <w:position w:val="0"/>
          <w:sz w:val="24"/>
          <w:szCs w:val="24"/>
          <w:u w:val="none" w:color="auto"/>
          <w:lang w:val="en-US" w:eastAsia="zh-CN"/>
        </w:rPr>
        <w:t>利用管理所现有场地，不另设</w:t>
      </w:r>
      <w:r>
        <w:rPr>
          <w:rFonts w:hint="default" w:ascii="Times New Roman" w:hAnsi="Times New Roman" w:eastAsia="宋体" w:cs="Times New Roman"/>
          <w:color w:val="auto"/>
          <w:spacing w:val="0"/>
          <w:w w:val="100"/>
          <w:position w:val="0"/>
          <w:sz w:val="24"/>
          <w:szCs w:val="24"/>
          <w:u w:val="none" w:color="auto"/>
          <w:lang w:val="en-US" w:eastAsia="zh-CN"/>
        </w:rPr>
        <w:t>施工工区</w:t>
      </w:r>
      <w:r>
        <w:rPr>
          <w:rFonts w:hint="eastAsia" w:ascii="Times New Roman" w:hAnsi="Times New Roman" w:eastAsia="宋体" w:cs="Times New Roman"/>
          <w:color w:val="auto"/>
          <w:spacing w:val="0"/>
          <w:w w:val="100"/>
          <w:position w:val="0"/>
          <w:sz w:val="24"/>
          <w:szCs w:val="24"/>
          <w:u w:val="none" w:color="auto"/>
          <w:lang w:val="en-US" w:eastAsia="zh-CN"/>
        </w:rPr>
        <w:t>；项目</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施工较分散</w:t>
      </w:r>
      <w:r>
        <w:rPr>
          <w:rFonts w:hint="eastAsia" w:ascii="Times New Roman" w:hAnsi="Times New Roman" w:eastAsia="宋体" w:cs="Times New Roman"/>
          <w:color w:val="auto"/>
          <w:spacing w:val="0"/>
          <w:w w:val="100"/>
          <w:position w:val="0"/>
          <w:sz w:val="24"/>
          <w:szCs w:val="24"/>
          <w:u w:val="none" w:color="auto"/>
          <w:lang w:val="en-US" w:eastAsia="zh-CN"/>
        </w:rPr>
        <w:t>，土料及弃渣运输交由专业渣土公司及时运输，</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故施工布置采取沿堤线分段集中布置的方式，分别在主坝左岸、三副坝右岸、四副坝左岸坝肩开敞地带（水库管理范围内），各布置一处临时堆料场，用于堆放开挖利用料，不另设集中的临时堆料场。</w:t>
      </w:r>
    </w:p>
    <w:p w14:paraId="5E685A1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本项目</w:t>
      </w:r>
      <w:r>
        <w:rPr>
          <w:rFonts w:hint="default" w:ascii="Times New Roman" w:hAnsi="Times New Roman" w:eastAsia="宋体" w:cs="Times New Roman"/>
          <w:color w:val="auto"/>
          <w:spacing w:val="0"/>
          <w:w w:val="100"/>
          <w:position w:val="0"/>
          <w:sz w:val="24"/>
          <w:szCs w:val="24"/>
          <w:u w:val="none" w:color="auto"/>
          <w:lang w:val="en-US" w:eastAsia="zh-CN"/>
        </w:rPr>
        <w:t>主要施工临时占地面积为</w:t>
      </w:r>
      <w:r>
        <w:rPr>
          <w:rFonts w:hint="eastAsia" w:ascii="Times New Roman" w:hAnsi="Times New Roman" w:eastAsia="宋体" w:cs="Times New Roman"/>
          <w:color w:val="auto"/>
          <w:spacing w:val="0"/>
          <w:w w:val="100"/>
          <w:position w:val="0"/>
          <w:sz w:val="24"/>
          <w:szCs w:val="24"/>
          <w:u w:val="none" w:color="auto"/>
          <w:lang w:val="en-US" w:eastAsia="zh-CN"/>
        </w:rPr>
        <w:t>2.38</w:t>
      </w:r>
      <w:r>
        <w:rPr>
          <w:rFonts w:hint="default" w:ascii="Times New Roman" w:hAnsi="Times New Roman" w:eastAsia="宋体" w:cs="Times New Roman"/>
          <w:color w:val="auto"/>
          <w:spacing w:val="0"/>
          <w:w w:val="100"/>
          <w:position w:val="0"/>
          <w:sz w:val="24"/>
          <w:szCs w:val="24"/>
          <w:u w:val="none" w:color="auto"/>
          <w:lang w:val="en-US" w:eastAsia="zh-CN"/>
        </w:rPr>
        <w:t>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，其中</w:t>
      </w:r>
      <w:r>
        <w:rPr>
          <w:rFonts w:hint="eastAsia" w:ascii="Times New Roman" w:hAnsi="Times New Roman" w:eastAsia="宋体" w:cs="Times New Roman"/>
          <w:color w:val="auto"/>
          <w:spacing w:val="0"/>
          <w:w w:val="100"/>
          <w:position w:val="0"/>
          <w:sz w:val="24"/>
          <w:szCs w:val="24"/>
          <w:u w:val="none" w:color="auto"/>
          <w:lang w:val="en-US" w:eastAsia="zh-CN"/>
        </w:rPr>
        <w:t>新增临时</w:t>
      </w:r>
      <w:r>
        <w:rPr>
          <w:rFonts w:hint="default" w:ascii="Times New Roman" w:hAnsi="Times New Roman" w:eastAsia="宋体" w:cs="Times New Roman"/>
          <w:color w:val="auto"/>
          <w:spacing w:val="0"/>
          <w:w w:val="100"/>
          <w:position w:val="0"/>
          <w:sz w:val="24"/>
          <w:szCs w:val="24"/>
          <w:u w:val="none" w:color="auto"/>
          <w:lang w:val="en-US" w:eastAsia="zh-CN"/>
        </w:rPr>
        <w:t>占地面积2.0万m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，详见</w:t>
      </w:r>
      <w:r>
        <w:rPr>
          <w:rFonts w:hint="eastAsia" w:ascii="Times New Roman" w:hAnsi="Times New Roman" w:eastAsia="宋体" w:cs="Times New Roman"/>
          <w:color w:val="auto"/>
          <w:spacing w:val="0"/>
          <w:w w:val="100"/>
          <w:position w:val="0"/>
          <w:sz w:val="24"/>
          <w:szCs w:val="24"/>
          <w:u w:val="none" w:color="auto"/>
          <w:lang w:val="en-US" w:eastAsia="zh-CN"/>
        </w:rPr>
        <w:t>下</w:t>
      </w:r>
      <w:r>
        <w:rPr>
          <w:rFonts w:hint="default" w:ascii="Times New Roman" w:hAnsi="Times New Roman" w:eastAsia="宋体" w:cs="Times New Roman"/>
          <w:color w:val="auto"/>
          <w:spacing w:val="0"/>
          <w:w w:val="100"/>
          <w:position w:val="0"/>
          <w:sz w:val="24"/>
          <w:szCs w:val="24"/>
          <w:u w:val="none" w:color="auto"/>
          <w:lang w:val="en-US" w:eastAsia="zh-CN"/>
        </w:rPr>
        <w:t>表</w:t>
      </w:r>
      <w:r>
        <w:rPr>
          <w:rFonts w:hint="eastAsia" w:ascii="Times New Roman" w:hAnsi="Times New Roman" w:eastAsia="宋体" w:cs="Times New Roman"/>
          <w:color w:val="auto"/>
          <w:spacing w:val="0"/>
          <w:w w:val="100"/>
          <w:position w:val="0"/>
          <w:sz w:val="24"/>
          <w:szCs w:val="24"/>
          <w:u w:val="none" w:color="auto"/>
          <w:lang w:val="en-US" w:eastAsia="zh-CN"/>
        </w:rPr>
        <w:t>：</w:t>
      </w:r>
    </w:p>
    <w:p w14:paraId="650A055F">
      <w:pPr>
        <w:adjustRightInd w:val="0"/>
        <w:snapToGrid w:val="0"/>
        <w:spacing w:line="360" w:lineRule="auto"/>
        <w:jc w:val="center"/>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eastAsia="zh-CN"/>
        </w:rPr>
        <w:t>表</w:t>
      </w:r>
      <w:r>
        <w:rPr>
          <w:rFonts w:hint="eastAsia" w:ascii="Times New Roman" w:hAnsi="Times New Roman" w:eastAsia="宋体" w:cs="Times New Roman"/>
          <w:b/>
          <w:bCs/>
          <w:color w:val="auto"/>
          <w:spacing w:val="0"/>
          <w:w w:val="100"/>
          <w:position w:val="0"/>
          <w:sz w:val="24"/>
          <w:szCs w:val="24"/>
          <w:u w:val="none" w:color="auto"/>
          <w:lang w:val="en-US" w:eastAsia="zh-CN"/>
        </w:rPr>
        <w:t>2.2-8  施工临时占地面积表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748"/>
        <w:gridCol w:w="2626"/>
        <w:gridCol w:w="1775"/>
        <w:gridCol w:w="2373"/>
      </w:tblGrid>
      <w:tr w14:paraId="1CDD4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0ACAFF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2626" w:type="dxa"/>
            <w:tcBorders>
              <w:tl2br w:val="nil"/>
              <w:tr2bl w:val="nil"/>
            </w:tcBorders>
            <w:shd w:val="clear" w:color="auto" w:fill="auto"/>
            <w:noWrap/>
            <w:vAlign w:val="center"/>
          </w:tcPr>
          <w:p w14:paraId="5BABCD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项目</w:t>
            </w:r>
          </w:p>
        </w:tc>
        <w:tc>
          <w:tcPr>
            <w:tcW w:w="1775" w:type="dxa"/>
            <w:tcBorders>
              <w:tl2br w:val="nil"/>
              <w:tr2bl w:val="nil"/>
            </w:tcBorders>
            <w:shd w:val="clear" w:color="auto" w:fill="auto"/>
            <w:noWrap/>
            <w:vAlign w:val="center"/>
          </w:tcPr>
          <w:p w14:paraId="3DEB37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占地面积(m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2</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2373" w:type="dxa"/>
            <w:tcBorders>
              <w:tl2br w:val="nil"/>
              <w:tr2bl w:val="nil"/>
            </w:tcBorders>
            <w:shd w:val="clear" w:color="auto" w:fill="auto"/>
            <w:noWrap/>
            <w:vAlign w:val="center"/>
          </w:tcPr>
          <w:p w14:paraId="0C14FC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14:paraId="50533A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75BA54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w:t>
            </w:r>
          </w:p>
        </w:tc>
        <w:tc>
          <w:tcPr>
            <w:tcW w:w="2626" w:type="dxa"/>
            <w:tcBorders>
              <w:tl2br w:val="nil"/>
              <w:tr2bl w:val="nil"/>
            </w:tcBorders>
            <w:shd w:val="clear" w:color="auto" w:fill="auto"/>
            <w:noWrap/>
            <w:vAlign w:val="center"/>
          </w:tcPr>
          <w:p w14:paraId="5D0AD9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施工工区</w:t>
            </w:r>
          </w:p>
        </w:tc>
        <w:tc>
          <w:tcPr>
            <w:tcW w:w="1775" w:type="dxa"/>
            <w:tcBorders>
              <w:tl2br w:val="nil"/>
              <w:tr2bl w:val="nil"/>
            </w:tcBorders>
            <w:shd w:val="clear" w:color="auto" w:fill="auto"/>
            <w:noWrap/>
            <w:vAlign w:val="center"/>
          </w:tcPr>
          <w:p w14:paraId="45944B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2373" w:type="dxa"/>
            <w:tcBorders>
              <w:tl2br w:val="nil"/>
              <w:tr2bl w:val="nil"/>
            </w:tcBorders>
            <w:shd w:val="clear" w:color="auto" w:fill="auto"/>
            <w:noWrap/>
            <w:vAlign w:val="center"/>
          </w:tcPr>
          <w:p w14:paraId="11105E1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6797F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44171A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1</w:t>
            </w:r>
          </w:p>
        </w:tc>
        <w:tc>
          <w:tcPr>
            <w:tcW w:w="2626" w:type="dxa"/>
            <w:tcBorders>
              <w:tl2br w:val="nil"/>
              <w:tr2bl w:val="nil"/>
            </w:tcBorders>
            <w:shd w:val="clear" w:color="auto" w:fill="auto"/>
            <w:noWrap/>
            <w:vAlign w:val="center"/>
          </w:tcPr>
          <w:p w14:paraId="502201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仓库</w:t>
            </w:r>
          </w:p>
        </w:tc>
        <w:tc>
          <w:tcPr>
            <w:tcW w:w="1775" w:type="dxa"/>
            <w:tcBorders>
              <w:tl2br w:val="nil"/>
              <w:tr2bl w:val="nil"/>
            </w:tcBorders>
            <w:shd w:val="clear" w:color="auto" w:fill="auto"/>
            <w:noWrap/>
            <w:vAlign w:val="center"/>
          </w:tcPr>
          <w:p w14:paraId="30E3E7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2373" w:type="dxa"/>
            <w:tcBorders>
              <w:tl2br w:val="nil"/>
              <w:tr2bl w:val="nil"/>
            </w:tcBorders>
            <w:shd w:val="clear" w:color="auto" w:fill="auto"/>
            <w:noWrap/>
            <w:vAlign w:val="center"/>
          </w:tcPr>
          <w:p w14:paraId="54476A4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管理所内</w:t>
            </w:r>
          </w:p>
        </w:tc>
      </w:tr>
      <w:tr w14:paraId="04FE2A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605E1B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626" w:type="dxa"/>
            <w:tcBorders>
              <w:tl2br w:val="nil"/>
              <w:tr2bl w:val="nil"/>
            </w:tcBorders>
            <w:shd w:val="clear" w:color="auto" w:fill="auto"/>
            <w:noWrap/>
            <w:vAlign w:val="center"/>
          </w:tcPr>
          <w:p w14:paraId="3CC7DB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综合加工厂</w:t>
            </w:r>
          </w:p>
        </w:tc>
        <w:tc>
          <w:tcPr>
            <w:tcW w:w="1775" w:type="dxa"/>
            <w:tcBorders>
              <w:tl2br w:val="nil"/>
              <w:tr2bl w:val="nil"/>
            </w:tcBorders>
            <w:shd w:val="clear" w:color="auto" w:fill="auto"/>
            <w:noWrap/>
            <w:vAlign w:val="center"/>
          </w:tcPr>
          <w:p w14:paraId="23391B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2373" w:type="dxa"/>
            <w:tcBorders>
              <w:tl2br w:val="nil"/>
              <w:tr2bl w:val="nil"/>
            </w:tcBorders>
            <w:shd w:val="clear" w:color="auto" w:fill="auto"/>
            <w:noWrap/>
            <w:vAlign w:val="center"/>
          </w:tcPr>
          <w:p w14:paraId="3EA2A8B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eastAsia="zh-CN"/>
              </w:rPr>
              <w:t>管理所内</w:t>
            </w:r>
          </w:p>
        </w:tc>
      </w:tr>
      <w:tr w14:paraId="5A5327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3ABF7F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626" w:type="dxa"/>
            <w:tcBorders>
              <w:tl2br w:val="nil"/>
              <w:tr2bl w:val="nil"/>
            </w:tcBorders>
            <w:shd w:val="clear" w:color="auto" w:fill="auto"/>
            <w:noWrap/>
            <w:vAlign w:val="center"/>
          </w:tcPr>
          <w:p w14:paraId="0A6BD7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机械设备停放场</w:t>
            </w:r>
          </w:p>
        </w:tc>
        <w:tc>
          <w:tcPr>
            <w:tcW w:w="1775" w:type="dxa"/>
            <w:tcBorders>
              <w:tl2br w:val="nil"/>
              <w:tr2bl w:val="nil"/>
            </w:tcBorders>
            <w:shd w:val="clear" w:color="auto" w:fill="auto"/>
            <w:noWrap/>
            <w:vAlign w:val="center"/>
          </w:tcPr>
          <w:p w14:paraId="74698C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2373" w:type="dxa"/>
            <w:tcBorders>
              <w:tl2br w:val="nil"/>
              <w:tr2bl w:val="nil"/>
            </w:tcBorders>
            <w:shd w:val="clear" w:color="auto" w:fill="auto"/>
            <w:noWrap/>
            <w:vAlign w:val="center"/>
          </w:tcPr>
          <w:p w14:paraId="58E4BA5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eastAsia="zh-CN"/>
              </w:rPr>
              <w:t>管理所内</w:t>
            </w:r>
          </w:p>
        </w:tc>
      </w:tr>
      <w:tr w14:paraId="04E8F1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3041BF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w:t>
            </w:r>
          </w:p>
        </w:tc>
        <w:tc>
          <w:tcPr>
            <w:tcW w:w="2626" w:type="dxa"/>
            <w:tcBorders>
              <w:tl2br w:val="nil"/>
              <w:tr2bl w:val="nil"/>
            </w:tcBorders>
            <w:shd w:val="clear" w:color="auto" w:fill="auto"/>
            <w:noWrap/>
            <w:vAlign w:val="center"/>
          </w:tcPr>
          <w:p w14:paraId="53D364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临时堆料场</w:t>
            </w:r>
          </w:p>
        </w:tc>
        <w:tc>
          <w:tcPr>
            <w:tcW w:w="1775" w:type="dxa"/>
            <w:tcBorders>
              <w:tl2br w:val="nil"/>
              <w:tr2bl w:val="nil"/>
            </w:tcBorders>
            <w:shd w:val="clear" w:color="auto" w:fill="auto"/>
            <w:noWrap/>
            <w:vAlign w:val="center"/>
          </w:tcPr>
          <w:p w14:paraId="2ED625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2373" w:type="dxa"/>
            <w:tcBorders>
              <w:tl2br w:val="nil"/>
              <w:tr2bl w:val="nil"/>
            </w:tcBorders>
            <w:shd w:val="clear" w:color="auto" w:fill="auto"/>
            <w:noWrap/>
            <w:vAlign w:val="center"/>
          </w:tcPr>
          <w:p w14:paraId="6F4320F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管理范围内</w:t>
            </w:r>
          </w:p>
        </w:tc>
      </w:tr>
      <w:tr w14:paraId="0A612D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6CC7B5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w:t>
            </w:r>
          </w:p>
        </w:tc>
        <w:tc>
          <w:tcPr>
            <w:tcW w:w="2626" w:type="dxa"/>
            <w:tcBorders>
              <w:tl2br w:val="nil"/>
              <w:tr2bl w:val="nil"/>
            </w:tcBorders>
            <w:shd w:val="clear" w:color="auto" w:fill="auto"/>
            <w:noWrap/>
            <w:vAlign w:val="center"/>
          </w:tcPr>
          <w:p w14:paraId="2D02D8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土料场</w:t>
            </w:r>
          </w:p>
        </w:tc>
        <w:tc>
          <w:tcPr>
            <w:tcW w:w="1775" w:type="dxa"/>
            <w:tcBorders>
              <w:tl2br w:val="nil"/>
              <w:tr2bl w:val="nil"/>
            </w:tcBorders>
            <w:shd w:val="clear" w:color="auto" w:fill="auto"/>
            <w:noWrap/>
            <w:vAlign w:val="center"/>
          </w:tcPr>
          <w:p w14:paraId="5C08EA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20000</w:t>
            </w:r>
          </w:p>
        </w:tc>
        <w:tc>
          <w:tcPr>
            <w:tcW w:w="2373" w:type="dxa"/>
            <w:tcBorders>
              <w:tl2br w:val="nil"/>
              <w:tr2bl w:val="nil"/>
            </w:tcBorders>
            <w:shd w:val="clear" w:color="auto" w:fill="auto"/>
            <w:noWrap/>
            <w:vAlign w:val="center"/>
          </w:tcPr>
          <w:p w14:paraId="3C60BF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兼做弃渣场</w:t>
            </w:r>
          </w:p>
        </w:tc>
      </w:tr>
      <w:tr w14:paraId="654475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8" w:type="dxa"/>
            <w:tcBorders>
              <w:tl2br w:val="nil"/>
              <w:tr2bl w:val="nil"/>
            </w:tcBorders>
            <w:shd w:val="clear" w:color="auto" w:fill="auto"/>
            <w:noWrap/>
            <w:vAlign w:val="center"/>
          </w:tcPr>
          <w:p w14:paraId="0854A74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2626" w:type="dxa"/>
            <w:tcBorders>
              <w:tl2br w:val="nil"/>
              <w:tr2bl w:val="nil"/>
            </w:tcBorders>
            <w:shd w:val="clear" w:color="auto" w:fill="auto"/>
            <w:noWrap/>
            <w:vAlign w:val="center"/>
          </w:tcPr>
          <w:p w14:paraId="033A1E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1775" w:type="dxa"/>
            <w:tcBorders>
              <w:tl2br w:val="nil"/>
              <w:tr2bl w:val="nil"/>
            </w:tcBorders>
            <w:shd w:val="clear" w:color="auto" w:fill="auto"/>
            <w:noWrap/>
            <w:vAlign w:val="center"/>
          </w:tcPr>
          <w:p w14:paraId="43323E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23800</w:t>
            </w:r>
          </w:p>
        </w:tc>
        <w:tc>
          <w:tcPr>
            <w:tcW w:w="2373" w:type="dxa"/>
            <w:tcBorders>
              <w:tl2br w:val="nil"/>
              <w:tr2bl w:val="nil"/>
            </w:tcBorders>
            <w:shd w:val="clear" w:color="auto" w:fill="auto"/>
            <w:noWrap/>
            <w:vAlign w:val="center"/>
          </w:tcPr>
          <w:p w14:paraId="61F3FB5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bl>
    <w:p w14:paraId="3F50480A">
      <w:pPr>
        <w:pStyle w:val="4"/>
        <w:bidi w:val="0"/>
        <w:rPr>
          <w:rFonts w:hint="default"/>
          <w:lang w:val="en-US" w:eastAsia="zh-CN"/>
        </w:rPr>
      </w:pPr>
      <w:bookmarkStart w:id="105" w:name="_Toc1320"/>
      <w:r>
        <w:rPr>
          <w:rFonts w:hint="default"/>
          <w:lang w:val="en-US" w:eastAsia="zh-CN"/>
        </w:rPr>
        <w:t>施工总进度</w:t>
      </w:r>
      <w:bookmarkEnd w:id="105"/>
    </w:p>
    <w:p w14:paraId="1E92345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北汊水库除险加固工程总工期</w:t>
      </w:r>
      <w:r>
        <w:rPr>
          <w:rFonts w:hint="eastAsia"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个月，具体施工进度安排如下。</w:t>
      </w:r>
    </w:p>
    <w:p w14:paraId="29F50C0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w:t>
      </w:r>
      <w:r>
        <w:rPr>
          <w:rFonts w:hint="eastAsia" w:ascii="Times New Roman" w:hAnsi="Times New Roman" w:eastAsia="宋体" w:cs="Times New Roman"/>
          <w:color w:val="auto"/>
          <w:spacing w:val="0"/>
          <w:w w:val="100"/>
          <w:position w:val="0"/>
          <w:sz w:val="24"/>
          <w:szCs w:val="24"/>
          <w:u w:val="none" w:color="auto"/>
          <w:lang w:val="en-US" w:eastAsia="zh-CN"/>
        </w:rPr>
        <w:t>10</w:t>
      </w:r>
      <w:r>
        <w:rPr>
          <w:rFonts w:hint="default" w:ascii="Times New Roman" w:hAnsi="Times New Roman" w:eastAsia="宋体" w:cs="Times New Roman"/>
          <w:color w:val="auto"/>
          <w:spacing w:val="0"/>
          <w:w w:val="100"/>
          <w:position w:val="0"/>
          <w:sz w:val="24"/>
          <w:szCs w:val="24"/>
          <w:u w:val="none" w:color="auto"/>
          <w:lang w:val="en-US" w:eastAsia="zh-CN"/>
        </w:rPr>
        <w:t>月，施工准备期，主要进行库水位降低、“四通一平”、电路线路迁移、临时房屋和施工工厂等临时设施建设等。</w:t>
      </w:r>
    </w:p>
    <w:p w14:paraId="3FB9196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w:t>
      </w:r>
      <w:r>
        <w:rPr>
          <w:rFonts w:hint="eastAsia" w:ascii="Times New Roman" w:hAnsi="Times New Roman" w:eastAsia="宋体" w:cs="Times New Roman"/>
          <w:color w:val="auto"/>
          <w:spacing w:val="0"/>
          <w:w w:val="100"/>
          <w:position w:val="0"/>
          <w:sz w:val="24"/>
          <w:szCs w:val="24"/>
          <w:u w:val="none" w:color="auto"/>
          <w:lang w:val="en-US" w:eastAsia="zh-CN"/>
        </w:rPr>
        <w:t>11</w:t>
      </w:r>
      <w:r>
        <w:rPr>
          <w:rFonts w:hint="default" w:ascii="Times New Roman" w:hAnsi="Times New Roman" w:eastAsia="宋体" w:cs="Times New Roman"/>
          <w:color w:val="auto"/>
          <w:spacing w:val="0"/>
          <w:w w:val="100"/>
          <w:position w:val="0"/>
          <w:sz w:val="24"/>
          <w:szCs w:val="24"/>
          <w:u w:val="none" w:color="auto"/>
          <w:lang w:val="en-US" w:eastAsia="zh-CN"/>
        </w:rPr>
        <w:t>月，进行主坝、一～六副坝、泄洪闸、进水涵、输水涵及防汛道路施工。</w:t>
      </w:r>
    </w:p>
    <w:p w14:paraId="6911E32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12</w:t>
      </w:r>
      <w:r>
        <w:rPr>
          <w:rFonts w:hint="default" w:ascii="Times New Roman" w:hAnsi="Times New Roman" w:eastAsia="宋体" w:cs="Times New Roman"/>
          <w:color w:val="auto"/>
          <w:spacing w:val="0"/>
          <w:w w:val="100"/>
          <w:position w:val="0"/>
          <w:sz w:val="24"/>
          <w:szCs w:val="24"/>
          <w:u w:val="none" w:color="auto"/>
          <w:lang w:val="en-US" w:eastAsia="zh-CN"/>
        </w:rPr>
        <w:t>月，工程完建期，进行工程收尾。</w:t>
      </w:r>
    </w:p>
    <w:p w14:paraId="290ABD25">
      <w:pPr>
        <w:pStyle w:val="4"/>
        <w:bidi w:val="0"/>
        <w:rPr>
          <w:rFonts w:hint="default"/>
          <w:lang w:val="en-US" w:eastAsia="zh-CN"/>
        </w:rPr>
      </w:pPr>
      <w:bookmarkStart w:id="106" w:name="_Toc1012"/>
      <w:r>
        <w:rPr>
          <w:rFonts w:hint="default"/>
          <w:lang w:val="en-US" w:eastAsia="zh-CN"/>
        </w:rPr>
        <w:t>主要技术供应</w:t>
      </w:r>
      <w:bookmarkEnd w:id="106"/>
    </w:p>
    <w:p w14:paraId="2A1CC669">
      <w:pPr>
        <w:pStyle w:val="5"/>
        <w:bidi w:val="0"/>
        <w:rPr>
          <w:rFonts w:hint="default"/>
          <w:lang w:val="en-US" w:eastAsia="zh-CN"/>
        </w:rPr>
      </w:pPr>
      <w:r>
        <w:rPr>
          <w:rFonts w:hint="default"/>
          <w:lang w:val="en-US" w:eastAsia="zh-CN"/>
        </w:rPr>
        <w:t>三材</w:t>
      </w:r>
    </w:p>
    <w:p w14:paraId="54022D9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根据初步设计报告</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项目</w:t>
      </w:r>
      <w:r>
        <w:rPr>
          <w:rFonts w:hint="default" w:ascii="Times New Roman" w:hAnsi="Times New Roman" w:eastAsia="宋体" w:cs="Times New Roman"/>
          <w:color w:val="auto"/>
          <w:spacing w:val="0"/>
          <w:w w:val="100"/>
          <w:position w:val="0"/>
          <w:sz w:val="24"/>
          <w:szCs w:val="24"/>
          <w:u w:val="none" w:color="auto"/>
          <w:lang w:val="en-US" w:eastAsia="zh-CN"/>
        </w:rPr>
        <w:t>所需三材如下</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水泥1.08万t，钢筋（钢材）707.58t，木材8m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w:t>
      </w:r>
    </w:p>
    <w:p w14:paraId="562B38AC">
      <w:pPr>
        <w:pStyle w:val="5"/>
        <w:bidi w:val="0"/>
        <w:rPr>
          <w:rFonts w:hint="default"/>
          <w:lang w:val="en-US" w:eastAsia="zh-CN"/>
        </w:rPr>
      </w:pPr>
      <w:r>
        <w:rPr>
          <w:rFonts w:hint="default"/>
          <w:lang w:val="en-US" w:eastAsia="zh-CN"/>
        </w:rPr>
        <w:t>劳动力</w:t>
      </w:r>
    </w:p>
    <w:p w14:paraId="6D91C62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高峰</w:t>
      </w:r>
      <w:r>
        <w:rPr>
          <w:rFonts w:hint="eastAsia" w:ascii="Times New Roman" w:hAnsi="Times New Roman" w:eastAsia="宋体" w:cs="Times New Roman"/>
          <w:color w:val="auto"/>
          <w:spacing w:val="0"/>
          <w:w w:val="100"/>
          <w:position w:val="0"/>
          <w:sz w:val="24"/>
          <w:szCs w:val="24"/>
          <w:u w:val="none" w:color="auto"/>
          <w:lang w:val="en-US" w:eastAsia="zh-CN"/>
        </w:rPr>
        <w:t>期</w:t>
      </w:r>
      <w:r>
        <w:rPr>
          <w:rFonts w:hint="default" w:ascii="Times New Roman" w:hAnsi="Times New Roman" w:eastAsia="宋体" w:cs="Times New Roman"/>
          <w:color w:val="auto"/>
          <w:spacing w:val="0"/>
          <w:w w:val="100"/>
          <w:position w:val="0"/>
          <w:sz w:val="24"/>
          <w:szCs w:val="24"/>
          <w:u w:val="none" w:color="auto"/>
          <w:lang w:val="en-US" w:eastAsia="zh-CN"/>
        </w:rPr>
        <w:t>月劳动力约为</w:t>
      </w:r>
      <w:r>
        <w:rPr>
          <w:rFonts w:hint="eastAsia"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00人，平均人数约140人。</w:t>
      </w:r>
    </w:p>
    <w:p w14:paraId="0F9EA285">
      <w:pPr>
        <w:pStyle w:val="5"/>
        <w:bidi w:val="0"/>
        <w:rPr>
          <w:rFonts w:hint="default"/>
          <w:lang w:val="en-US" w:eastAsia="zh-CN"/>
        </w:rPr>
      </w:pPr>
      <w:r>
        <w:rPr>
          <w:rFonts w:hint="default"/>
          <w:lang w:val="en-US" w:eastAsia="zh-CN"/>
        </w:rPr>
        <w:t>施工机械设备</w:t>
      </w:r>
    </w:p>
    <w:p w14:paraId="52D0AE9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根据施工程序、施工方法及施工进度计划安排，北汊水库除险加固工程施工机械设备数量见</w:t>
      </w:r>
      <w:r>
        <w:rPr>
          <w:rFonts w:hint="eastAsia" w:ascii="Times New Roman" w:hAnsi="Times New Roman" w:eastAsia="宋体" w:cs="Times New Roman"/>
          <w:color w:val="auto"/>
          <w:spacing w:val="0"/>
          <w:w w:val="100"/>
          <w:position w:val="0"/>
          <w:sz w:val="24"/>
          <w:szCs w:val="24"/>
          <w:u w:val="none" w:color="auto"/>
          <w:lang w:val="en-US" w:eastAsia="zh-CN"/>
        </w:rPr>
        <w:t>下</w:t>
      </w:r>
      <w:r>
        <w:rPr>
          <w:rFonts w:hint="default" w:ascii="Times New Roman" w:hAnsi="Times New Roman" w:eastAsia="宋体" w:cs="Times New Roman"/>
          <w:color w:val="auto"/>
          <w:spacing w:val="0"/>
          <w:w w:val="100"/>
          <w:position w:val="0"/>
          <w:sz w:val="24"/>
          <w:szCs w:val="24"/>
          <w:u w:val="none" w:color="auto"/>
          <w:lang w:val="en-US" w:eastAsia="zh-CN"/>
        </w:rPr>
        <w:t>表</w:t>
      </w:r>
      <w:r>
        <w:rPr>
          <w:rFonts w:hint="eastAsia" w:ascii="Times New Roman" w:hAnsi="Times New Roman" w:eastAsia="宋体" w:cs="Times New Roman"/>
          <w:color w:val="auto"/>
          <w:spacing w:val="0"/>
          <w:w w:val="100"/>
          <w:position w:val="0"/>
          <w:sz w:val="24"/>
          <w:szCs w:val="24"/>
          <w:u w:val="none" w:color="auto"/>
          <w:lang w:val="en-US" w:eastAsia="zh-CN"/>
        </w:rPr>
        <w:t>：</w:t>
      </w:r>
    </w:p>
    <w:p w14:paraId="74C31F1C">
      <w:pPr>
        <w:adjustRightInd w:val="0"/>
        <w:snapToGrid w:val="0"/>
        <w:spacing w:line="360" w:lineRule="auto"/>
        <w:jc w:val="center"/>
        <w:rPr>
          <w:rFonts w:hint="eastAsia" w:ascii="Times New Roman" w:hAnsi="Times New Roman" w:eastAsia="宋体" w:cs="Times New Roman"/>
          <w:b/>
          <w:bCs/>
          <w:color w:val="auto"/>
          <w:spacing w:val="0"/>
          <w:w w:val="100"/>
          <w:position w:val="0"/>
          <w:sz w:val="24"/>
          <w:szCs w:val="24"/>
          <w:u w:val="none" w:color="auto"/>
          <w:lang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表2.2-9  施工主要机械设备一览表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437"/>
        <w:gridCol w:w="2523"/>
        <w:gridCol w:w="1682"/>
        <w:gridCol w:w="1437"/>
        <w:gridCol w:w="1437"/>
      </w:tblGrid>
      <w:tr w14:paraId="0ACA7F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960" w:type="dxa"/>
            <w:tcBorders>
              <w:tl2br w:val="nil"/>
              <w:tr2bl w:val="nil"/>
            </w:tcBorders>
            <w:shd w:val="clear" w:color="auto" w:fill="auto"/>
            <w:noWrap/>
            <w:vAlign w:val="center"/>
          </w:tcPr>
          <w:p w14:paraId="1D1B07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960" w:type="dxa"/>
            <w:tcBorders>
              <w:tl2br w:val="nil"/>
              <w:tr2bl w:val="nil"/>
            </w:tcBorders>
            <w:shd w:val="clear" w:color="auto" w:fill="auto"/>
            <w:noWrap/>
            <w:vAlign w:val="center"/>
          </w:tcPr>
          <w:p w14:paraId="4111E0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机械名称</w:t>
            </w:r>
          </w:p>
        </w:tc>
        <w:tc>
          <w:tcPr>
            <w:tcW w:w="960" w:type="dxa"/>
            <w:tcBorders>
              <w:tl2br w:val="nil"/>
              <w:tr2bl w:val="nil"/>
            </w:tcBorders>
            <w:shd w:val="clear" w:color="auto" w:fill="auto"/>
            <w:noWrap/>
            <w:vAlign w:val="center"/>
          </w:tcPr>
          <w:p w14:paraId="70669C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型号</w:t>
            </w:r>
          </w:p>
        </w:tc>
        <w:tc>
          <w:tcPr>
            <w:tcW w:w="960" w:type="dxa"/>
            <w:tcBorders>
              <w:tl2br w:val="nil"/>
              <w:tr2bl w:val="nil"/>
            </w:tcBorders>
            <w:shd w:val="clear" w:color="auto" w:fill="auto"/>
            <w:noWrap/>
            <w:vAlign w:val="center"/>
          </w:tcPr>
          <w:p w14:paraId="179A07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960" w:type="dxa"/>
            <w:tcBorders>
              <w:tl2br w:val="nil"/>
              <w:tr2bl w:val="nil"/>
            </w:tcBorders>
            <w:shd w:val="clear" w:color="auto" w:fill="auto"/>
            <w:noWrap/>
            <w:vAlign w:val="center"/>
          </w:tcPr>
          <w:p w14:paraId="472A20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w:t>
            </w:r>
          </w:p>
        </w:tc>
      </w:tr>
      <w:tr w14:paraId="60A49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6C92FC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0" w:type="auto"/>
            <w:tcBorders>
              <w:tl2br w:val="nil"/>
              <w:tr2bl w:val="nil"/>
            </w:tcBorders>
            <w:shd w:val="clear" w:color="auto" w:fill="auto"/>
            <w:noWrap/>
            <w:vAlign w:val="center"/>
          </w:tcPr>
          <w:p w14:paraId="10ED4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挖掘机</w:t>
            </w:r>
          </w:p>
        </w:tc>
        <w:tc>
          <w:tcPr>
            <w:tcW w:w="0" w:type="auto"/>
            <w:tcBorders>
              <w:tl2br w:val="nil"/>
              <w:tr2bl w:val="nil"/>
            </w:tcBorders>
            <w:shd w:val="clear" w:color="auto" w:fill="auto"/>
            <w:noWrap/>
            <w:vAlign w:val="center"/>
          </w:tcPr>
          <w:p w14:paraId="269808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0" w:type="auto"/>
            <w:tcBorders>
              <w:tl2br w:val="nil"/>
              <w:tr2bl w:val="nil"/>
            </w:tcBorders>
            <w:shd w:val="clear" w:color="auto" w:fill="auto"/>
            <w:noWrap/>
            <w:vAlign w:val="center"/>
          </w:tcPr>
          <w:p w14:paraId="3280DE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71F3FD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3B7443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5020EA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0" w:type="auto"/>
            <w:tcBorders>
              <w:tl2br w:val="nil"/>
              <w:tr2bl w:val="nil"/>
            </w:tcBorders>
            <w:shd w:val="clear" w:color="auto" w:fill="auto"/>
            <w:noWrap/>
            <w:vAlign w:val="center"/>
          </w:tcPr>
          <w:p w14:paraId="086FF0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自卸汽车</w:t>
            </w:r>
          </w:p>
        </w:tc>
        <w:tc>
          <w:tcPr>
            <w:tcW w:w="0" w:type="auto"/>
            <w:tcBorders>
              <w:tl2br w:val="nil"/>
              <w:tr2bl w:val="nil"/>
            </w:tcBorders>
            <w:shd w:val="clear" w:color="auto" w:fill="auto"/>
            <w:noWrap/>
            <w:vAlign w:val="center"/>
          </w:tcPr>
          <w:p w14:paraId="3801B6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8~15t</w:t>
            </w:r>
          </w:p>
        </w:tc>
        <w:tc>
          <w:tcPr>
            <w:tcW w:w="0" w:type="auto"/>
            <w:tcBorders>
              <w:tl2br w:val="nil"/>
              <w:tr2bl w:val="nil"/>
            </w:tcBorders>
            <w:shd w:val="clear" w:color="auto" w:fill="auto"/>
            <w:noWrap/>
            <w:vAlign w:val="center"/>
          </w:tcPr>
          <w:p w14:paraId="54984B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辆</w:t>
            </w:r>
          </w:p>
        </w:tc>
        <w:tc>
          <w:tcPr>
            <w:tcW w:w="0" w:type="auto"/>
            <w:tcBorders>
              <w:tl2br w:val="nil"/>
              <w:tr2bl w:val="nil"/>
            </w:tcBorders>
            <w:shd w:val="clear" w:color="auto" w:fill="auto"/>
            <w:noWrap/>
            <w:vAlign w:val="center"/>
          </w:tcPr>
          <w:p w14:paraId="63FAEB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14:paraId="289A59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435BCF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0" w:type="auto"/>
            <w:tcBorders>
              <w:tl2br w:val="nil"/>
              <w:tr2bl w:val="nil"/>
            </w:tcBorders>
            <w:shd w:val="clear" w:color="auto" w:fill="auto"/>
            <w:noWrap/>
            <w:vAlign w:val="center"/>
          </w:tcPr>
          <w:p w14:paraId="3D4942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振动碾</w:t>
            </w:r>
          </w:p>
        </w:tc>
        <w:tc>
          <w:tcPr>
            <w:tcW w:w="0" w:type="auto"/>
            <w:tcBorders>
              <w:tl2br w:val="nil"/>
              <w:tr2bl w:val="nil"/>
            </w:tcBorders>
            <w:shd w:val="clear" w:color="auto" w:fill="auto"/>
            <w:noWrap/>
            <w:vAlign w:val="center"/>
          </w:tcPr>
          <w:p w14:paraId="22FA72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10~13t</w:t>
            </w:r>
          </w:p>
        </w:tc>
        <w:tc>
          <w:tcPr>
            <w:tcW w:w="0" w:type="auto"/>
            <w:tcBorders>
              <w:tl2br w:val="nil"/>
              <w:tr2bl w:val="nil"/>
            </w:tcBorders>
            <w:shd w:val="clear" w:color="auto" w:fill="auto"/>
            <w:noWrap/>
            <w:vAlign w:val="center"/>
          </w:tcPr>
          <w:p w14:paraId="26823C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7F6566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67B5DD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5FA9D1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0" w:type="auto"/>
            <w:tcBorders>
              <w:tl2br w:val="nil"/>
              <w:tr2bl w:val="nil"/>
            </w:tcBorders>
            <w:shd w:val="clear" w:color="auto" w:fill="auto"/>
            <w:noWrap/>
            <w:vAlign w:val="center"/>
          </w:tcPr>
          <w:p w14:paraId="54EC3B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蛙式打夯机</w:t>
            </w:r>
          </w:p>
        </w:tc>
        <w:tc>
          <w:tcPr>
            <w:tcW w:w="0" w:type="auto"/>
            <w:tcBorders>
              <w:tl2br w:val="nil"/>
              <w:tr2bl w:val="nil"/>
            </w:tcBorders>
            <w:shd w:val="clear" w:color="auto" w:fill="auto"/>
            <w:noWrap/>
            <w:vAlign w:val="center"/>
          </w:tcPr>
          <w:p w14:paraId="5260C7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2.8kW</w:t>
            </w:r>
          </w:p>
        </w:tc>
        <w:tc>
          <w:tcPr>
            <w:tcW w:w="0" w:type="auto"/>
            <w:tcBorders>
              <w:tl2br w:val="nil"/>
              <w:tr2bl w:val="nil"/>
            </w:tcBorders>
            <w:shd w:val="clear" w:color="auto" w:fill="auto"/>
            <w:noWrap/>
            <w:vAlign w:val="center"/>
          </w:tcPr>
          <w:p w14:paraId="39C095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547BAF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3BB3FD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1ACB7A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0" w:type="auto"/>
            <w:tcBorders>
              <w:tl2br w:val="nil"/>
              <w:tr2bl w:val="nil"/>
            </w:tcBorders>
            <w:shd w:val="clear" w:color="auto" w:fill="auto"/>
            <w:noWrap/>
            <w:vAlign w:val="center"/>
          </w:tcPr>
          <w:p w14:paraId="4EBDB7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推土机</w:t>
            </w:r>
          </w:p>
        </w:tc>
        <w:tc>
          <w:tcPr>
            <w:tcW w:w="0" w:type="auto"/>
            <w:tcBorders>
              <w:tl2br w:val="nil"/>
              <w:tr2bl w:val="nil"/>
            </w:tcBorders>
            <w:shd w:val="clear" w:color="auto" w:fill="auto"/>
            <w:noWrap/>
            <w:vAlign w:val="center"/>
          </w:tcPr>
          <w:p w14:paraId="0B2D94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80~120HP</w:t>
            </w:r>
          </w:p>
        </w:tc>
        <w:tc>
          <w:tcPr>
            <w:tcW w:w="0" w:type="auto"/>
            <w:tcBorders>
              <w:tl2br w:val="nil"/>
              <w:tr2bl w:val="nil"/>
            </w:tcBorders>
            <w:shd w:val="clear" w:color="auto" w:fill="auto"/>
            <w:noWrap/>
            <w:vAlign w:val="center"/>
          </w:tcPr>
          <w:p w14:paraId="4E8C8E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000269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62C9C7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027685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0" w:type="auto"/>
            <w:tcBorders>
              <w:tl2br w:val="nil"/>
              <w:tr2bl w:val="nil"/>
            </w:tcBorders>
            <w:shd w:val="clear" w:color="auto" w:fill="auto"/>
            <w:noWrap/>
            <w:vAlign w:val="center"/>
          </w:tcPr>
          <w:p w14:paraId="7EAC57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混凝土振捣器</w:t>
            </w:r>
          </w:p>
        </w:tc>
        <w:tc>
          <w:tcPr>
            <w:tcW w:w="0" w:type="auto"/>
            <w:tcBorders>
              <w:tl2br w:val="nil"/>
              <w:tr2bl w:val="nil"/>
            </w:tcBorders>
            <w:shd w:val="clear" w:color="auto" w:fill="auto"/>
            <w:noWrap/>
            <w:vAlign w:val="center"/>
          </w:tcPr>
          <w:p w14:paraId="1A3C12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1.1KW</w:t>
            </w:r>
          </w:p>
        </w:tc>
        <w:tc>
          <w:tcPr>
            <w:tcW w:w="0" w:type="auto"/>
            <w:tcBorders>
              <w:tl2br w:val="nil"/>
              <w:tr2bl w:val="nil"/>
            </w:tcBorders>
            <w:shd w:val="clear" w:color="auto" w:fill="auto"/>
            <w:noWrap/>
            <w:vAlign w:val="center"/>
          </w:tcPr>
          <w:p w14:paraId="75EC78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52EF66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649379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6A6895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0" w:type="auto"/>
            <w:tcBorders>
              <w:tl2br w:val="nil"/>
              <w:tr2bl w:val="nil"/>
            </w:tcBorders>
            <w:shd w:val="clear" w:color="auto" w:fill="auto"/>
            <w:noWrap/>
            <w:vAlign w:val="center"/>
          </w:tcPr>
          <w:p w14:paraId="34A5C1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搅拌桩机</w:t>
            </w:r>
          </w:p>
        </w:tc>
        <w:tc>
          <w:tcPr>
            <w:tcW w:w="0" w:type="auto"/>
            <w:tcBorders>
              <w:tl2br w:val="nil"/>
              <w:tr2bl w:val="nil"/>
            </w:tcBorders>
            <w:shd w:val="clear" w:color="auto" w:fill="auto"/>
            <w:noWrap/>
            <w:vAlign w:val="center"/>
          </w:tcPr>
          <w:p w14:paraId="2398AEAF">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0" w:type="auto"/>
            <w:tcBorders>
              <w:tl2br w:val="nil"/>
              <w:tr2bl w:val="nil"/>
            </w:tcBorders>
            <w:shd w:val="clear" w:color="auto" w:fill="auto"/>
            <w:noWrap/>
            <w:vAlign w:val="center"/>
          </w:tcPr>
          <w:p w14:paraId="77CA86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50D15D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58F63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4B9BF2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0" w:type="auto"/>
            <w:tcBorders>
              <w:tl2br w:val="nil"/>
              <w:tr2bl w:val="nil"/>
            </w:tcBorders>
            <w:shd w:val="clear" w:color="auto" w:fill="auto"/>
            <w:noWrap/>
            <w:vAlign w:val="center"/>
          </w:tcPr>
          <w:p w14:paraId="6EB66D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灰浆搅拌机</w:t>
            </w:r>
          </w:p>
        </w:tc>
        <w:tc>
          <w:tcPr>
            <w:tcW w:w="0" w:type="auto"/>
            <w:tcBorders>
              <w:tl2br w:val="nil"/>
              <w:tr2bl w:val="nil"/>
            </w:tcBorders>
            <w:shd w:val="clear" w:color="auto" w:fill="auto"/>
            <w:noWrap/>
            <w:vAlign w:val="center"/>
          </w:tcPr>
          <w:p w14:paraId="6F996EC0">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0" w:type="auto"/>
            <w:tcBorders>
              <w:tl2br w:val="nil"/>
              <w:tr2bl w:val="nil"/>
            </w:tcBorders>
            <w:shd w:val="clear" w:color="auto" w:fill="auto"/>
            <w:noWrap/>
            <w:vAlign w:val="center"/>
          </w:tcPr>
          <w:p w14:paraId="7771D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5914D1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1DBB5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0361E1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0" w:type="auto"/>
            <w:tcBorders>
              <w:tl2br w:val="nil"/>
              <w:tr2bl w:val="nil"/>
            </w:tcBorders>
            <w:shd w:val="clear" w:color="auto" w:fill="auto"/>
            <w:noWrap/>
            <w:vAlign w:val="center"/>
          </w:tcPr>
          <w:p w14:paraId="4CB31F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灰浆泵</w:t>
            </w:r>
          </w:p>
        </w:tc>
        <w:tc>
          <w:tcPr>
            <w:tcW w:w="0" w:type="auto"/>
            <w:tcBorders>
              <w:tl2br w:val="nil"/>
              <w:tr2bl w:val="nil"/>
            </w:tcBorders>
            <w:shd w:val="clear" w:color="auto" w:fill="auto"/>
            <w:noWrap/>
            <w:vAlign w:val="center"/>
          </w:tcPr>
          <w:p w14:paraId="763AFB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4KW</w:t>
            </w:r>
          </w:p>
        </w:tc>
        <w:tc>
          <w:tcPr>
            <w:tcW w:w="0" w:type="auto"/>
            <w:tcBorders>
              <w:tl2br w:val="nil"/>
              <w:tr2bl w:val="nil"/>
            </w:tcBorders>
            <w:shd w:val="clear" w:color="auto" w:fill="auto"/>
            <w:noWrap/>
            <w:vAlign w:val="center"/>
          </w:tcPr>
          <w:p w14:paraId="3AF648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7514CE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1A01C7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6E29F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0" w:type="auto"/>
            <w:tcBorders>
              <w:tl2br w:val="nil"/>
              <w:tr2bl w:val="nil"/>
            </w:tcBorders>
            <w:shd w:val="clear" w:color="auto" w:fill="auto"/>
            <w:noWrap/>
            <w:vAlign w:val="center"/>
          </w:tcPr>
          <w:p w14:paraId="6E786B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灌浆自动记录仪</w:t>
            </w:r>
          </w:p>
        </w:tc>
        <w:tc>
          <w:tcPr>
            <w:tcW w:w="0" w:type="auto"/>
            <w:tcBorders>
              <w:tl2br w:val="nil"/>
              <w:tr2bl w:val="nil"/>
            </w:tcBorders>
            <w:shd w:val="clear" w:color="auto" w:fill="auto"/>
            <w:noWrap/>
            <w:vAlign w:val="center"/>
          </w:tcPr>
          <w:p w14:paraId="09691A97">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0" w:type="auto"/>
            <w:tcBorders>
              <w:tl2br w:val="nil"/>
              <w:tr2bl w:val="nil"/>
            </w:tcBorders>
            <w:shd w:val="clear" w:color="auto" w:fill="auto"/>
            <w:noWrap/>
            <w:vAlign w:val="center"/>
          </w:tcPr>
          <w:p w14:paraId="0171C1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764DBE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1A6C84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05B624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0" w:type="auto"/>
            <w:tcBorders>
              <w:tl2br w:val="nil"/>
              <w:tr2bl w:val="nil"/>
            </w:tcBorders>
            <w:shd w:val="clear" w:color="auto" w:fill="auto"/>
            <w:noWrap/>
            <w:vAlign w:val="center"/>
          </w:tcPr>
          <w:p w14:paraId="0DC748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灌浆泵</w:t>
            </w:r>
          </w:p>
        </w:tc>
        <w:tc>
          <w:tcPr>
            <w:tcW w:w="0" w:type="auto"/>
            <w:tcBorders>
              <w:tl2br w:val="nil"/>
              <w:tr2bl w:val="nil"/>
            </w:tcBorders>
            <w:shd w:val="clear" w:color="auto" w:fill="auto"/>
            <w:noWrap/>
            <w:vAlign w:val="center"/>
          </w:tcPr>
          <w:p w14:paraId="32EF33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中压泥浆</w:t>
            </w:r>
          </w:p>
        </w:tc>
        <w:tc>
          <w:tcPr>
            <w:tcW w:w="0" w:type="auto"/>
            <w:tcBorders>
              <w:tl2br w:val="nil"/>
              <w:tr2bl w:val="nil"/>
            </w:tcBorders>
            <w:shd w:val="clear" w:color="auto" w:fill="auto"/>
            <w:noWrap/>
            <w:vAlign w:val="center"/>
          </w:tcPr>
          <w:p w14:paraId="141F29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348580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7BE40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shd w:val="clear" w:color="auto" w:fill="auto"/>
            <w:noWrap/>
            <w:vAlign w:val="center"/>
          </w:tcPr>
          <w:p w14:paraId="2E98DD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0" w:type="auto"/>
            <w:tcBorders>
              <w:tl2br w:val="nil"/>
              <w:tr2bl w:val="nil"/>
            </w:tcBorders>
            <w:shd w:val="clear" w:color="auto" w:fill="auto"/>
            <w:noWrap/>
            <w:vAlign w:val="center"/>
          </w:tcPr>
          <w:p w14:paraId="401EA9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地质钻机</w:t>
            </w:r>
          </w:p>
        </w:tc>
        <w:tc>
          <w:tcPr>
            <w:tcW w:w="0" w:type="auto"/>
            <w:tcBorders>
              <w:tl2br w:val="nil"/>
              <w:tr2bl w:val="nil"/>
            </w:tcBorders>
            <w:shd w:val="clear" w:color="auto" w:fill="auto"/>
            <w:noWrap/>
            <w:vAlign w:val="center"/>
          </w:tcPr>
          <w:p w14:paraId="1CCF11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150型</w:t>
            </w:r>
          </w:p>
        </w:tc>
        <w:tc>
          <w:tcPr>
            <w:tcW w:w="0" w:type="auto"/>
            <w:tcBorders>
              <w:tl2br w:val="nil"/>
              <w:tr2bl w:val="nil"/>
            </w:tcBorders>
            <w:shd w:val="clear" w:color="auto" w:fill="auto"/>
            <w:noWrap/>
            <w:vAlign w:val="center"/>
          </w:tcPr>
          <w:p w14:paraId="749E33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0" w:type="auto"/>
            <w:tcBorders>
              <w:tl2br w:val="nil"/>
              <w:tr2bl w:val="nil"/>
            </w:tcBorders>
            <w:shd w:val="clear" w:color="auto" w:fill="auto"/>
            <w:noWrap/>
            <w:vAlign w:val="center"/>
          </w:tcPr>
          <w:p w14:paraId="30E9B4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bl>
    <w:p w14:paraId="3BF418E1">
      <w:pPr>
        <w:pStyle w:val="3"/>
        <w:bidi w:val="0"/>
        <w:rPr>
          <w:rFonts w:hint="default" w:ascii="Times New Roman" w:hAnsi="Times New Roman" w:cs="Times New Roman"/>
          <w:u w:val="none" w:color="auto"/>
        </w:rPr>
      </w:pPr>
      <w:bookmarkStart w:id="107" w:name="_Toc22233"/>
      <w:r>
        <w:rPr>
          <w:rFonts w:hint="default" w:ascii="Times New Roman" w:hAnsi="Times New Roman" w:cs="Times New Roman"/>
          <w:u w:val="none" w:color="auto"/>
        </w:rPr>
        <w:t>建设征地与移民安置</w:t>
      </w:r>
      <w:bookmarkEnd w:id="107"/>
    </w:p>
    <w:p w14:paraId="45A3E037">
      <w:pPr>
        <w:pStyle w:val="4"/>
        <w:bidi w:val="0"/>
        <w:rPr>
          <w:rFonts w:hint="default" w:ascii="Times New Roman" w:hAnsi="Times New Roman" w:cs="Times New Roman"/>
          <w:u w:val="none" w:color="auto"/>
          <w:lang w:val="en-US" w:eastAsia="zh-CN"/>
        </w:rPr>
      </w:pPr>
      <w:bookmarkStart w:id="108" w:name="_Toc8892"/>
      <w:r>
        <w:rPr>
          <w:rFonts w:hint="default" w:ascii="Times New Roman" w:hAnsi="Times New Roman" w:cs="Times New Roman"/>
          <w:u w:val="none" w:color="auto"/>
          <w:lang w:val="en-US" w:eastAsia="zh-CN"/>
        </w:rPr>
        <w:t>建设征地</w:t>
      </w:r>
      <w:bookmarkEnd w:id="108"/>
    </w:p>
    <w:p w14:paraId="7D918B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 xml:space="preserve">根据初步设计方案，北汊水库除险加固工程新增用地范围根据工程总体布置和施工布置等成果确定。由于本工程为除险加固工程，原工程占地和水库管理范围内的工程布置和施工布置占地不计入新增用地范围。原工程占地和管理范围外的工程布置和施工布置为新增用地范围，按使用用途和土地性质划分为新增永久用地和临时用地，其中新增永久用地指用于加固工程建设或管理需征收的土地，临时用地指不需要征收且能够复垦恢复原土地用途的土料场等占用的土地。 </w:t>
      </w:r>
    </w:p>
    <w:p w14:paraId="5743B4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1</w:t>
      </w:r>
      <w:r>
        <w:rPr>
          <w:rFonts w:hint="eastAsia" w:ascii="Times New Roman" w:hAnsi="Times New Roman" w:eastAsia="宋体" w:cs="Times New Roman"/>
          <w:color w:val="auto"/>
          <w:spacing w:val="0"/>
          <w:w w:val="100"/>
          <w:position w:val="0"/>
          <w:sz w:val="24"/>
          <w:szCs w:val="24"/>
          <w:u w:val="none" w:color="auto"/>
          <w:lang w:val="en-US" w:eastAsia="zh-CN"/>
        </w:rPr>
        <w:t xml:space="preserve">）新增永久用地范围 </w:t>
      </w:r>
    </w:p>
    <w:p w14:paraId="4F068B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根据工程布置，本工程主坝及副坝加高培厚涉及新增永久用地共计</w:t>
      </w:r>
      <w:r>
        <w:rPr>
          <w:rFonts w:hint="default" w:ascii="Times New Roman" w:hAnsi="Times New Roman" w:eastAsia="宋体" w:cs="Times New Roman"/>
          <w:color w:val="auto"/>
          <w:spacing w:val="0"/>
          <w:w w:val="100"/>
          <w:position w:val="0"/>
          <w:sz w:val="24"/>
          <w:szCs w:val="24"/>
          <w:u w:val="none" w:color="auto"/>
          <w:lang w:val="en-US" w:eastAsia="zh-CN"/>
        </w:rPr>
        <w:t xml:space="preserve">37.04 </w:t>
      </w:r>
      <w:r>
        <w:rPr>
          <w:rFonts w:hint="eastAsia" w:ascii="Times New Roman" w:hAnsi="Times New Roman" w:eastAsia="宋体" w:cs="Times New Roman"/>
          <w:color w:val="auto"/>
          <w:spacing w:val="0"/>
          <w:w w:val="100"/>
          <w:position w:val="0"/>
          <w:sz w:val="24"/>
          <w:szCs w:val="24"/>
          <w:u w:val="none" w:color="auto"/>
          <w:lang w:val="en-US" w:eastAsia="zh-CN"/>
        </w:rPr>
        <w:t xml:space="preserve">亩，均为坑塘水面。 </w:t>
      </w:r>
    </w:p>
    <w:p w14:paraId="7F3F0E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2</w:t>
      </w:r>
      <w:r>
        <w:rPr>
          <w:rFonts w:hint="eastAsia" w:ascii="Times New Roman" w:hAnsi="Times New Roman" w:eastAsia="宋体" w:cs="Times New Roman"/>
          <w:color w:val="auto"/>
          <w:spacing w:val="0"/>
          <w:w w:val="100"/>
          <w:position w:val="0"/>
          <w:sz w:val="24"/>
          <w:szCs w:val="24"/>
          <w:u w:val="none" w:color="auto"/>
          <w:lang w:val="en-US" w:eastAsia="zh-CN"/>
        </w:rPr>
        <w:t xml:space="preserve">）临时用地范围 </w:t>
      </w:r>
    </w:p>
    <w:p w14:paraId="59B726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临时用地范围主要为土料场（兼弃渣场），用地总面积30亩，现为林地。根据《自然资源部办公厅关于依据</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三区三线</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划定成果报批建设项目用地用海有关事宜的函》（自然资办函〔</w:t>
      </w:r>
      <w:r>
        <w:rPr>
          <w:rFonts w:hint="default" w:ascii="Times New Roman" w:hAnsi="Times New Roman" w:eastAsia="宋体" w:cs="Times New Roman"/>
          <w:color w:val="auto"/>
          <w:spacing w:val="0"/>
          <w:w w:val="100"/>
          <w:position w:val="0"/>
          <w:sz w:val="24"/>
          <w:szCs w:val="24"/>
          <w:u w:val="none" w:color="auto"/>
          <w:lang w:val="en-US" w:eastAsia="zh-CN"/>
        </w:rPr>
        <w:t>2022</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 xml:space="preserve">2072 </w:t>
      </w:r>
      <w:r>
        <w:rPr>
          <w:rFonts w:hint="eastAsia" w:ascii="Times New Roman" w:hAnsi="Times New Roman" w:eastAsia="宋体" w:cs="Times New Roman"/>
          <w:color w:val="auto"/>
          <w:spacing w:val="0"/>
          <w:w w:val="100"/>
          <w:position w:val="0"/>
          <w:sz w:val="24"/>
          <w:szCs w:val="24"/>
          <w:u w:val="none" w:color="auto"/>
          <w:lang w:val="en-US" w:eastAsia="zh-CN"/>
        </w:rPr>
        <w:t>号）复核后，征地范围内不涉及永久基本农田和生态红线。</w:t>
      </w:r>
    </w:p>
    <w:p w14:paraId="4E82458D">
      <w:pPr>
        <w:pStyle w:val="4"/>
        <w:bidi w:val="0"/>
        <w:rPr>
          <w:rFonts w:hint="default" w:ascii="Times New Roman" w:hAnsi="Times New Roman" w:cs="Times New Roman"/>
          <w:u w:val="none" w:color="auto"/>
          <w:lang w:val="en-US" w:eastAsia="zh-CN"/>
        </w:rPr>
      </w:pPr>
      <w:bookmarkStart w:id="109" w:name="_Toc6669"/>
      <w:r>
        <w:rPr>
          <w:rFonts w:hint="default" w:ascii="Times New Roman" w:hAnsi="Times New Roman" w:cs="Times New Roman"/>
          <w:u w:val="none" w:color="auto"/>
          <w:lang w:val="en-US" w:eastAsia="zh-CN"/>
        </w:rPr>
        <w:t>移民安置</w:t>
      </w:r>
      <w:bookmarkEnd w:id="109"/>
    </w:p>
    <w:p w14:paraId="5FD45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根据初步设计方案，本工程是除险加固工程，不涉及永久征收耕地，不涉及生产安置规划。根据工程占地实际情况及实物调查，本工程无搬迁安置人口，不需要搬迁安置规划。</w:t>
      </w:r>
    </w:p>
    <w:p w14:paraId="6221CD7C">
      <w:pPr>
        <w:pStyle w:val="3"/>
        <w:bidi w:val="0"/>
        <w:rPr>
          <w:rFonts w:hint="default" w:ascii="Times New Roman" w:hAnsi="Times New Roman" w:cs="Times New Roman"/>
          <w:u w:val="none" w:color="auto"/>
          <w:lang w:val="en-US" w:eastAsia="zh-CN"/>
        </w:rPr>
      </w:pPr>
      <w:bookmarkStart w:id="110" w:name="_Toc26912"/>
      <w:r>
        <w:rPr>
          <w:rFonts w:hint="default" w:ascii="Times New Roman" w:hAnsi="Times New Roman" w:cs="Times New Roman"/>
          <w:u w:val="none" w:color="auto"/>
          <w:lang w:val="en-US" w:eastAsia="zh-CN"/>
        </w:rPr>
        <w:t>工程分析</w:t>
      </w:r>
      <w:bookmarkEnd w:id="110"/>
    </w:p>
    <w:p w14:paraId="32EEE4F2">
      <w:pPr>
        <w:pStyle w:val="4"/>
        <w:bidi w:val="0"/>
        <w:rPr>
          <w:rFonts w:hint="default" w:ascii="Times New Roman" w:hAnsi="Times New Roman" w:cs="Times New Roman"/>
          <w:u w:val="none" w:color="auto"/>
          <w:lang w:val="en-US" w:eastAsia="zh-CN"/>
        </w:rPr>
      </w:pPr>
      <w:bookmarkStart w:id="111" w:name="_Toc19206"/>
      <w:r>
        <w:rPr>
          <w:rFonts w:hint="default" w:ascii="Times New Roman" w:hAnsi="Times New Roman" w:cs="Times New Roman"/>
          <w:u w:val="none" w:color="auto"/>
          <w:lang w:val="en-US" w:eastAsia="zh-CN"/>
        </w:rPr>
        <w:t>施工工艺</w:t>
      </w:r>
      <w:r>
        <w:rPr>
          <w:rFonts w:hint="eastAsia" w:ascii="Times New Roman" w:hAnsi="Times New Roman" w:cs="Times New Roman"/>
          <w:u w:val="none" w:color="auto"/>
          <w:lang w:val="en-US" w:eastAsia="zh-CN"/>
        </w:rPr>
        <w:t>流程及产污节点分析</w:t>
      </w:r>
      <w:bookmarkEnd w:id="111"/>
    </w:p>
    <w:p w14:paraId="68911155">
      <w:pPr>
        <w:pStyle w:val="5"/>
        <w:bidi w:val="0"/>
        <w:rPr>
          <w:rFonts w:hint="default"/>
          <w:lang w:val="en-US" w:eastAsia="zh-CN"/>
        </w:rPr>
      </w:pPr>
      <w:r>
        <w:rPr>
          <w:rFonts w:hint="default"/>
          <w:lang w:val="en-US" w:eastAsia="zh-CN"/>
        </w:rPr>
        <w:t>大坝</w:t>
      </w:r>
      <w:r>
        <w:rPr>
          <w:rFonts w:hint="eastAsia"/>
          <w:lang w:val="en-US" w:eastAsia="zh-CN"/>
        </w:rPr>
        <w:t>加固工艺流程</w:t>
      </w:r>
    </w:p>
    <w:p w14:paraId="382B648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大坝施工项目主要包括</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拆除工程、清基、水泥土搅拌桩、格宾石笼、混凝土浇筑、帷幕灌浆、土方填筑、白蚁防治等。</w:t>
      </w:r>
    </w:p>
    <w:p w14:paraId="5CBC7FA2">
      <w:pPr>
        <w:keepNext w:val="0"/>
        <w:keepLines w:val="0"/>
        <w:pageBreakBefore w:val="0"/>
        <w:widowControl w:val="0"/>
        <w:overflowPunct/>
        <w:autoSpaceDE/>
        <w:autoSpaceDN/>
        <w:bidi w:val="0"/>
        <w:snapToGrid/>
        <w:spacing w:line="360" w:lineRule="auto"/>
        <w:ind w:left="0" w:firstLine="420" w:firstLineChars="200"/>
        <w:jc w:val="center"/>
        <w:textAlignment w:val="auto"/>
        <w:rPr>
          <w:rFonts w:hint="default" w:ascii="Times New Roman" w:hAnsi="Times New Roman" w:eastAsia="宋体" w:cs="Times New Roman"/>
          <w:b/>
          <w:bCs/>
          <w:color w:val="FF0000"/>
          <w:spacing w:val="0"/>
          <w:w w:val="100"/>
          <w:position w:val="0"/>
          <w:sz w:val="24"/>
          <w:szCs w:val="24"/>
          <w:u w:val="none" w:color="auto"/>
          <w:lang w:val="en-US" w:eastAsia="zh-CN"/>
        </w:rPr>
      </w:pPr>
      <w:r>
        <w:rPr>
          <w:rFonts w:hint="default"/>
          <w:color w:val="000000" w:themeColor="text1"/>
          <w:u w:val="none" w:color="auto"/>
          <w:lang w:eastAsia="zh-CN"/>
          <w14:textFill>
            <w14:solidFill>
              <w14:schemeClr w14:val="tx1"/>
            </w14:solidFill>
          </w14:textFill>
        </w:rPr>
        <w:object>
          <v:shape id="_x0000_i1026" o:spt="75" type="#_x0000_t75" style="height:181.8pt;width:394.4pt;" o:ole="t" filled="f" o:preferrelative="t" stroked="f" coordsize="21600,21600">
            <v:path/>
            <v:fill on="f" focussize="0,0"/>
            <v:stroke on="f"/>
            <v:imagedata r:id="rId28" o:title=""/>
            <o:lock v:ext="edit" aspectratio="f"/>
            <w10:wrap type="none"/>
            <w10:anchorlock/>
          </v:shape>
          <o:OLEObject Type="Embed" ProgID="Visio.Drawing.11" ShapeID="_x0000_i1026" DrawAspect="Content" ObjectID="_1468075726" r:id="rId27">
            <o:LockedField>false</o:LockedField>
          </o:OLEObject>
        </w:object>
      </w:r>
      <w:r>
        <w:rPr>
          <w:rFonts w:hint="eastAsia" w:ascii="Times New Roman" w:hAnsi="Times New Roman" w:eastAsia="宋体" w:cs="Times New Roman"/>
          <w:b/>
          <w:bCs/>
          <w:color w:val="auto"/>
          <w:spacing w:val="0"/>
          <w:w w:val="100"/>
          <w:position w:val="0"/>
          <w:sz w:val="24"/>
          <w:szCs w:val="24"/>
          <w:u w:val="none" w:color="auto"/>
          <w:lang w:val="en-US" w:eastAsia="zh-CN"/>
        </w:rPr>
        <w:t>图2.5-1  大坝加固工艺流程及产污节点图</w:t>
      </w:r>
    </w:p>
    <w:p w14:paraId="7E7B711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（1）拆除工程</w:t>
      </w:r>
    </w:p>
    <w:p w14:paraId="5AAF724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混凝土拆除由1m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液压破碎锤拆除，8～10t自卸汽车运输至弃渣场，平均运距5km。</w:t>
      </w:r>
    </w:p>
    <w:p w14:paraId="4A50ED7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（2）清基</w:t>
      </w:r>
    </w:p>
    <w:p w14:paraId="61F3F0A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清基采用59kW的推土机推运并集渣，采用1～2m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挖掘机配8～10t自卸车运输。利用料运至临时堆料场，平均运距3.5km；弃渣运至弃渣场，平均运距5km。</w:t>
      </w:r>
    </w:p>
    <w:p w14:paraId="237FDB7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 xml:space="preserve"> </w:t>
      </w:r>
      <w:r>
        <w:rPr>
          <w:rFonts w:hint="default" w:ascii="Times New Roman" w:hAnsi="Times New Roman" w:eastAsia="宋体" w:cs="Times New Roman"/>
          <w:color w:val="auto"/>
          <w:spacing w:val="0"/>
          <w:w w:val="100"/>
          <w:position w:val="0"/>
          <w:sz w:val="24"/>
          <w:szCs w:val="24"/>
          <w:u w:val="none" w:color="auto"/>
          <w:lang w:val="en-US" w:eastAsia="zh-CN"/>
        </w:rPr>
        <w:t>（3）水泥土搅拌桩</w:t>
      </w:r>
    </w:p>
    <w:p w14:paraId="012178E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水泥土搅拌桩桩径0.6m，施工时需土方抛填至高程28.00m形成施工平台。</w:t>
      </w:r>
    </w:p>
    <w:p w14:paraId="4ABF111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搅拌桩施工采用深层搅拌桩机，水泥搅拌桩施工程序为：桩机就位→喷浆钻进搅拌→喷浆提升搅拌→重复喷浆钻进搅拌→重复喷浆提升搅拌→成桩完毕。水泥搅拌桩采用GPJ-7型深层搅拌机施工，灰浆采用200L灰浆搅拌机拌制，通过灰浆泵输送浆液。施工前根据设计进行工艺性试桩，以确定掺灰量、提升速度、旋转速度等施工参数。为保证施工质量，水泥搅拌桩采用二喷四搅，在喷浆提升过程中应严格控制其提升速度。施工时停浆面应高出桩顶设计标高0.3m，开挖时再将超出桩顶标高部分凿除。</w:t>
      </w:r>
    </w:p>
    <w:p w14:paraId="285263F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（4）帷幕灌浆</w:t>
      </w:r>
    </w:p>
    <w:p w14:paraId="3EBC815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帷幕灌浆施工工艺流程为:施工准备→钻孔→钻孔冲洗→裂隙冲洗→简易压水试验→灌浆→封孔→质量检查。</w:t>
      </w:r>
    </w:p>
    <w:p w14:paraId="34F28A3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帷幕灌浆采用150型地质回转钻钻孔，自上而下分段循环灌浆法施工。灌浆泵灌浆，自动记录仪与之配套使用。灌浆压力根据现场灌浆试验成果确定。灌浆浆液用42.5级普通硅酸盐或大坝硅酸盐纯水泥浆液。在灌浆部位搭设临时制输浆站供浆。</w:t>
      </w:r>
    </w:p>
    <w:p w14:paraId="2774230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灌浆孔位与设计孔位的偏差不应大于10cm，孔深不应小于设计孔深。钻孔结束后，应及时进行钻孔冲洗，一般采用大流量水流冲洗，冲洗后，孔底残留物厚度不应大于20cm。采用自上而下分段灌浆法时，各灌浆段在灌浆前应进行裂隙冲洗，裂隙冲洗宜采用压力水冲洗，冲洗压力可为灌浆压力的80%，并不大于1MPa，冲洗时间至回水澄清时止或不大于20min。采用自上而下分段灌浆法灌浆前宜进行简易压水试验，简易压水试验可与裂隙冲洗结合进行。帷幕灌浆段长度宜为5～6m，普通水泥浆压水灰比可采用5、3、2、1、0.5五级，灌注时由稀至浓逐级变换。当灌浆段在最大设计压力下，注入率不大于1L/min后，继续灌注30min，可结束灌浆。全孔灌浆结束后，应以水灰比为0.5的新鲜普通水泥浆液置换孔内稀浆或积水，采用全孔灌浆封孔法封孔，封孔灌浆压力可采用全孔段平均灌浆压力。</w:t>
      </w:r>
    </w:p>
    <w:p w14:paraId="4FDCD51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（5）格宾石笼</w:t>
      </w:r>
      <w:r>
        <w:rPr>
          <w:rFonts w:hint="eastAsia" w:ascii="Times New Roman" w:hAnsi="Times New Roman" w:eastAsia="宋体" w:cs="Times New Roman"/>
          <w:color w:val="auto"/>
          <w:spacing w:val="0"/>
          <w:w w:val="100"/>
          <w:position w:val="0"/>
          <w:sz w:val="24"/>
          <w:szCs w:val="24"/>
          <w:u w:val="none" w:color="auto"/>
          <w:lang w:val="en-US" w:eastAsia="zh-CN"/>
        </w:rPr>
        <w:t>施工</w:t>
      </w:r>
    </w:p>
    <w:p w14:paraId="2E78CEA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格宾石笼由人工定位组装，块石利用外购料，由5t装载机运至施工作业面，人工配1m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装石料铺砌，填充石料不得一次填满，每个石笼必须均匀投料。封盖前须将顶部石料铺砌平整，填充石料高度一致，方可封盖绑扎。拆除时利用氧气乙炔将格宾石笼分解成单独个体，利用汽车起重机将格宾石笼装车，采用10～15t载重汽车运输。</w:t>
      </w:r>
    </w:p>
    <w:p w14:paraId="1088320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（6）混凝土</w:t>
      </w:r>
      <w:r>
        <w:rPr>
          <w:rFonts w:hint="eastAsia" w:ascii="Times New Roman" w:hAnsi="Times New Roman" w:eastAsia="宋体" w:cs="Times New Roman"/>
          <w:color w:val="auto"/>
          <w:spacing w:val="0"/>
          <w:w w:val="100"/>
          <w:position w:val="0"/>
          <w:sz w:val="24"/>
          <w:szCs w:val="24"/>
          <w:u w:val="none" w:color="auto"/>
          <w:lang w:val="en-US" w:eastAsia="zh-CN"/>
        </w:rPr>
        <w:t>浇筑</w:t>
      </w:r>
    </w:p>
    <w:p w14:paraId="4939AAB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混凝土施工部位主要为排水沟、踏步、路面、防浪墙等。混凝土由商混站供料，平均运距27km，排水沟、踏步采用溜槽入仓，防浪墙混凝土由10t履带吊0.5m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吊罐入仓，混凝土采用人工立模，组合钢模板，局部辅以木模板，人工平仓，采用φ50mm插入式振捣器振捣密实，靠近模板边沿采用φ30mm软管振捣器振捣。</w:t>
      </w:r>
      <w:r>
        <w:rPr>
          <w:rFonts w:hint="eastAsia" w:ascii="Times New Roman" w:hAnsi="Times New Roman" w:eastAsia="宋体" w:cs="Times New Roman"/>
          <w:color w:val="auto"/>
          <w:spacing w:val="0"/>
          <w:w w:val="100"/>
          <w:position w:val="0"/>
          <w:sz w:val="24"/>
          <w:szCs w:val="24"/>
          <w:u w:val="none" w:color="auto"/>
          <w:lang w:val="en-US" w:eastAsia="zh-CN"/>
        </w:rPr>
        <w:t>坝顶路面</w:t>
      </w:r>
      <w:r>
        <w:rPr>
          <w:rFonts w:hint="default" w:ascii="Times New Roman" w:hAnsi="Times New Roman" w:eastAsia="宋体" w:cs="Times New Roman"/>
          <w:color w:val="auto"/>
          <w:spacing w:val="0"/>
          <w:w w:val="100"/>
          <w:position w:val="0"/>
          <w:sz w:val="24"/>
          <w:szCs w:val="24"/>
          <w:u w:val="none" w:color="auto"/>
          <w:lang w:val="en-US" w:eastAsia="zh-CN"/>
        </w:rPr>
        <w:t>面层采用6cm厚沥青混凝土，下部设20cm厚水泥稳定垫层和 15cm厚碎石垫层。混凝土浇筑完成后，及时进行保湿养护。</w:t>
      </w:r>
    </w:p>
    <w:p w14:paraId="21E3D10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（7）土方回填</w:t>
      </w:r>
    </w:p>
    <w:p w14:paraId="3AAA13E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回填采用料场料及开挖料，料场料平均运距5km，开挖料平均运距3.5km，腐殖土利用开挖料，平均运距3.5km。填筑施工从最低处开始，分层铺料、压实。8～10t自卸汽车运料至工作面，80～120HP推土机铺料、平整，10～13t振动碾碾压。分层厚度30cm，碾压遍数6～8遍，具体碾压参数应在正式填筑施工前通过试验确定。</w:t>
      </w:r>
    </w:p>
    <w:p w14:paraId="48222CF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（8）白蚁防治</w:t>
      </w:r>
    </w:p>
    <w:p w14:paraId="394CC8F3">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白蚁危害采用白蚁诱杀坑法处理，坑内放置对环境无污染的面蚁粉药剂杀灭白蚁，药后经常检查，直至巢内白蚁全部消灭干净。诱杀坑尺寸为30×30×25cm，间距10m，梅花形布置。</w:t>
      </w:r>
    </w:p>
    <w:p w14:paraId="21A6F924">
      <w:pPr>
        <w:pStyle w:val="5"/>
        <w:bidi w:val="0"/>
        <w:rPr>
          <w:rFonts w:hint="default"/>
          <w:lang w:val="en-US" w:eastAsia="zh-CN"/>
        </w:rPr>
      </w:pPr>
      <w:r>
        <w:rPr>
          <w:rFonts w:hint="default"/>
          <w:lang w:val="en-US" w:eastAsia="zh-CN"/>
        </w:rPr>
        <w:t>泄洪闸</w:t>
      </w:r>
      <w:r>
        <w:rPr>
          <w:rFonts w:hint="eastAsia"/>
          <w:lang w:val="en-US" w:eastAsia="zh-CN"/>
        </w:rPr>
        <w:t>加固工艺流程</w:t>
      </w:r>
    </w:p>
    <w:p w14:paraId="2E29546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泄洪闸施工项目主要包括</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拆除工程、土方开挖、水泥土搅拌桩、混凝土浇筑、土方回填等。</w:t>
      </w:r>
    </w:p>
    <w:p w14:paraId="34CBF8F4">
      <w:pPr>
        <w:keepNext w:val="0"/>
        <w:keepLines w:val="0"/>
        <w:pageBreakBefore w:val="0"/>
        <w:widowControl w:val="0"/>
        <w:overflowPunct/>
        <w:autoSpaceDE/>
        <w:autoSpaceDN/>
        <w:bidi w:val="0"/>
        <w:snapToGrid/>
        <w:spacing w:line="360" w:lineRule="auto"/>
        <w:jc w:val="center"/>
        <w:textAlignment w:val="auto"/>
        <w:rPr>
          <w:rFonts w:hint="default"/>
          <w:color w:val="000000" w:themeColor="text1"/>
          <w:u w:val="none" w:color="auto"/>
          <w:lang w:eastAsia="zh-CN"/>
          <w14:textFill>
            <w14:solidFill>
              <w14:schemeClr w14:val="tx1"/>
            </w14:solidFill>
          </w14:textFill>
        </w:rPr>
      </w:pPr>
      <w:r>
        <w:rPr>
          <w:rFonts w:hint="default"/>
          <w:color w:val="000000" w:themeColor="text1"/>
          <w:u w:val="none" w:color="auto"/>
          <w:lang w:eastAsia="zh-CN"/>
          <w14:textFill>
            <w14:solidFill>
              <w14:schemeClr w14:val="tx1"/>
            </w14:solidFill>
          </w14:textFill>
        </w:rPr>
        <w:object>
          <v:shape id="_x0000_i1027" o:spt="75" type="#_x0000_t75" style="height:105.1pt;width:273.05pt;" o:ole="t" filled="f" o:preferrelative="t" stroked="f" coordsize="21600,21600">
            <v:path/>
            <v:fill on="f" focussize="0,0"/>
            <v:stroke on="f"/>
            <v:imagedata r:id="rId30" o:title=""/>
            <o:lock v:ext="edit" aspectratio="f"/>
            <w10:wrap type="none"/>
            <w10:anchorlock/>
          </v:shape>
          <o:OLEObject Type="Embed" ProgID="Visio.Drawing.11" ShapeID="_x0000_i1027" DrawAspect="Content" ObjectID="_1468075727" r:id="rId29">
            <o:LockedField>false</o:LockedField>
          </o:OLEObject>
        </w:object>
      </w:r>
    </w:p>
    <w:p w14:paraId="6A82D445">
      <w:pPr>
        <w:keepNext w:val="0"/>
        <w:keepLines w:val="0"/>
        <w:pageBreakBefore w:val="0"/>
        <w:widowControl w:val="0"/>
        <w:overflowPunct/>
        <w:autoSpaceDE/>
        <w:autoSpaceDN/>
        <w:bidi w:val="0"/>
        <w:snapToGrid/>
        <w:spacing w:line="360" w:lineRule="auto"/>
        <w:jc w:val="center"/>
        <w:textAlignment w:val="auto"/>
        <w:rPr>
          <w:rFonts w:hint="default"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 xml:space="preserve">图2.5-2  </w:t>
      </w:r>
      <w:r>
        <w:rPr>
          <w:rFonts w:hint="default" w:ascii="Times New Roman" w:hAnsi="Times New Roman" w:eastAsia="宋体" w:cs="Times New Roman"/>
          <w:b/>
          <w:bCs/>
          <w:color w:val="auto"/>
          <w:spacing w:val="0"/>
          <w:w w:val="100"/>
          <w:position w:val="0"/>
          <w:sz w:val="24"/>
          <w:szCs w:val="24"/>
          <w:u w:val="none" w:color="auto"/>
          <w:lang w:val="en-US" w:eastAsia="zh-CN"/>
        </w:rPr>
        <w:t>泄洪闸</w:t>
      </w:r>
      <w:r>
        <w:rPr>
          <w:rFonts w:hint="eastAsia" w:ascii="Times New Roman" w:hAnsi="Times New Roman" w:eastAsia="宋体" w:cs="Times New Roman"/>
          <w:b/>
          <w:bCs/>
          <w:color w:val="auto"/>
          <w:spacing w:val="0"/>
          <w:w w:val="100"/>
          <w:position w:val="0"/>
          <w:sz w:val="24"/>
          <w:szCs w:val="24"/>
          <w:u w:val="none" w:color="auto"/>
          <w:lang w:val="en-US" w:eastAsia="zh-CN"/>
        </w:rPr>
        <w:t>加固工艺流程及产污节点图</w:t>
      </w:r>
    </w:p>
    <w:p w14:paraId="78D6A5CF">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（1）拆除工程</w:t>
      </w:r>
    </w:p>
    <w:p w14:paraId="1A8FFC9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砌石拆除采用人工配1.0m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挖掘机拆除，8～10t自卸汽车运输至弃渣场，平均运距5km。</w:t>
      </w:r>
    </w:p>
    <w:p w14:paraId="32DF865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（2）浆砌石</w:t>
      </w:r>
      <w:r>
        <w:rPr>
          <w:rFonts w:hint="eastAsia" w:ascii="Times New Roman" w:hAnsi="Times New Roman" w:eastAsia="宋体" w:cs="Times New Roman"/>
          <w:color w:val="auto"/>
          <w:spacing w:val="0"/>
          <w:w w:val="100"/>
          <w:position w:val="0"/>
          <w:sz w:val="24"/>
          <w:szCs w:val="24"/>
          <w:u w:val="none" w:color="auto"/>
          <w:lang w:val="en-US" w:eastAsia="zh-CN"/>
        </w:rPr>
        <w:t>施工</w:t>
      </w:r>
    </w:p>
    <w:p w14:paraId="488DE25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浆砌石利用拆除料，由8t～15t自卸汽车运输，综合运距3.5km。浆砌石由人工铺设，施工时一般由低向高平衡上升，保持交错结合，密实平整，严禁架空，大块封边，不留边缝，砌筑时不得破坏垫层。</w:t>
      </w:r>
    </w:p>
    <w:p w14:paraId="12D3D7DD">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（3）充填灌浆</w:t>
      </w:r>
    </w:p>
    <w:p w14:paraId="4FA3A5AC">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充填灌浆选用分段灌注法，自下往上分段灌注，段长5m。造孔灌浆分二序工程施工，第一序孔距2m，第二序孔距1m，造一序孔，灌一序孔，灌完一序孔，再灌下一序孔。在灌浆中，应对第一序孔轮灌，选用少灌多复的方式，每米深度每一次灌浆量应控制在0.3～0.5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，每孔灌浆频次6次，每一次间距5d。灌浆开展到在规定的压力下，注入浆体升到孔口，经持续复灌3次已不吃浆，就可以结束灌浆。在灌浆全过程中应做好纪录，灌浆工作压力应根据现场实验确定。</w:t>
      </w:r>
    </w:p>
    <w:p w14:paraId="5EE2E70A">
      <w:pPr>
        <w:pStyle w:val="5"/>
        <w:bidi w:val="0"/>
        <w:rPr>
          <w:rFonts w:hint="default"/>
          <w:lang w:val="en-US" w:eastAsia="zh-CN"/>
        </w:rPr>
      </w:pPr>
      <w:r>
        <w:rPr>
          <w:rFonts w:hint="default"/>
          <w:lang w:val="en-US" w:eastAsia="zh-CN"/>
        </w:rPr>
        <w:t>进水涵</w:t>
      </w:r>
      <w:r>
        <w:rPr>
          <w:rFonts w:hint="eastAsia"/>
          <w:lang w:val="en-US" w:eastAsia="zh-CN"/>
        </w:rPr>
        <w:t>加固工艺流程</w:t>
      </w:r>
    </w:p>
    <w:p w14:paraId="41ECB01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进水涵施工项目主要包括</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拆除工程、土方开挖、水泥土搅拌桩、混凝土浇筑、土方回填等。</w:t>
      </w:r>
    </w:p>
    <w:p w14:paraId="3305B6E9">
      <w:pPr>
        <w:keepNext w:val="0"/>
        <w:keepLines w:val="0"/>
        <w:pageBreakBefore w:val="0"/>
        <w:widowControl w:val="0"/>
        <w:overflowPunct/>
        <w:autoSpaceDE/>
        <w:autoSpaceDN/>
        <w:bidi w:val="0"/>
        <w:snapToGrid/>
        <w:spacing w:line="360" w:lineRule="auto"/>
        <w:ind w:left="0" w:firstLine="420" w:firstLineChars="200"/>
        <w:jc w:val="center"/>
        <w:textAlignment w:val="auto"/>
        <w:rPr>
          <w:rFonts w:hint="default" w:ascii="Times New Roman" w:hAnsi="Times New Roman" w:eastAsia="宋体" w:cs="Times New Roman"/>
          <w:b/>
          <w:bCs/>
          <w:color w:val="FF0000"/>
          <w:spacing w:val="0"/>
          <w:w w:val="100"/>
          <w:position w:val="0"/>
          <w:sz w:val="24"/>
          <w:szCs w:val="24"/>
          <w:u w:val="none" w:color="auto"/>
          <w:lang w:val="en-US" w:eastAsia="zh-CN"/>
        </w:rPr>
      </w:pPr>
      <w:r>
        <w:rPr>
          <w:rFonts w:hint="default"/>
          <w:color w:val="000000" w:themeColor="text1"/>
          <w:u w:val="none" w:color="auto"/>
          <w:lang w:eastAsia="zh-CN"/>
          <w14:textFill>
            <w14:solidFill>
              <w14:schemeClr w14:val="tx1"/>
            </w14:solidFill>
          </w14:textFill>
        </w:rPr>
        <w:object>
          <v:shape id="_x0000_i1028" o:spt="75" type="#_x0000_t75" style="height:105.1pt;width:415.55pt;" o:ole="t" filled="f" o:preferrelative="t" stroked="f" coordsize="21600,21600">
            <v:path/>
            <v:fill on="f" focussize="0,0"/>
            <v:stroke on="f"/>
            <v:imagedata r:id="rId32" o:title=""/>
            <o:lock v:ext="edit" aspectratio="f"/>
            <w10:wrap type="none"/>
            <w10:anchorlock/>
          </v:shape>
          <o:OLEObject Type="Embed" ProgID="Visio.Drawing.11" ShapeID="_x0000_i1028" DrawAspect="Content" ObjectID="_1468075728" r:id="rId31">
            <o:LockedField>false</o:LockedField>
          </o:OLEObject>
        </w:object>
      </w:r>
      <w:r>
        <w:rPr>
          <w:rFonts w:hint="eastAsia" w:ascii="Times New Roman" w:hAnsi="Times New Roman" w:eastAsia="宋体" w:cs="Times New Roman"/>
          <w:b/>
          <w:bCs/>
          <w:color w:val="auto"/>
          <w:spacing w:val="0"/>
          <w:w w:val="100"/>
          <w:position w:val="0"/>
          <w:sz w:val="24"/>
          <w:szCs w:val="24"/>
          <w:u w:val="none" w:color="auto"/>
          <w:lang w:val="en-US" w:eastAsia="zh-CN"/>
        </w:rPr>
        <w:t xml:space="preserve">图2.5-3  </w:t>
      </w:r>
      <w:r>
        <w:rPr>
          <w:rFonts w:hint="default" w:ascii="Times New Roman" w:hAnsi="Times New Roman" w:eastAsia="宋体" w:cs="Times New Roman"/>
          <w:b/>
          <w:bCs/>
          <w:color w:val="auto"/>
          <w:spacing w:val="0"/>
          <w:w w:val="100"/>
          <w:position w:val="0"/>
          <w:sz w:val="24"/>
          <w:szCs w:val="24"/>
          <w:u w:val="none" w:color="auto"/>
          <w:lang w:val="en-US" w:eastAsia="zh-CN"/>
        </w:rPr>
        <w:t>进水涵</w:t>
      </w:r>
      <w:r>
        <w:rPr>
          <w:rFonts w:hint="eastAsia" w:ascii="Times New Roman" w:hAnsi="Times New Roman" w:eastAsia="宋体" w:cs="Times New Roman"/>
          <w:b/>
          <w:bCs/>
          <w:color w:val="auto"/>
          <w:spacing w:val="0"/>
          <w:w w:val="100"/>
          <w:position w:val="0"/>
          <w:sz w:val="24"/>
          <w:szCs w:val="24"/>
          <w:u w:val="none" w:color="auto"/>
          <w:lang w:val="en-US" w:eastAsia="zh-CN"/>
        </w:rPr>
        <w:t>加固工艺流程及产污节点图</w:t>
      </w:r>
    </w:p>
    <w:p w14:paraId="1327B019">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（1）拆除工程</w:t>
      </w:r>
    </w:p>
    <w:p w14:paraId="3B1EEBF0">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混凝土拆除由1m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液压破碎锤拆除，8～10t自卸汽车运输至弃渣场，运距5km。</w:t>
      </w:r>
    </w:p>
    <w:p w14:paraId="6022024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（2）土方开挖</w:t>
      </w:r>
    </w:p>
    <w:p w14:paraId="3F71685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土方开挖采用1.0～2.0m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挖掘机开挖，80～120HP推土机集渣，8～10t自卸汽车运输。利用料运至临时堆料场，平均运距3.5km；弃渣运至弃渣场，平均运距5km。</w:t>
      </w:r>
    </w:p>
    <w:p w14:paraId="780CEDF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（3）水泥土搅拌桩</w:t>
      </w:r>
    </w:p>
    <w:p w14:paraId="3872CCE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搅拌桩施工采用深层搅拌桩机，水泥搅拌桩施工程序为：桩机就位→喷浆钻进搅拌→喷浆提升搅拌→重复喷浆钻进搅拌→重复喷浆提升搅拌→成桩完毕。水泥搅拌桩采用GPJ-7型深层搅拌机施工，灰浆采用200L灰浆搅拌机拌制，通过灰浆泵输送浆液。施工前根据设计进行工艺性试桩，以确定掺灰量、提升速度、旋转速度等施工参数。为保证施工质量，水泥搅拌桩采用二喷四搅，在喷浆提升过程中应严格控制其提升速度。施工时停浆面应高出桩顶设计标高0.3m，开挖时再将超出桩顶标高部分凿除。</w:t>
      </w:r>
    </w:p>
    <w:p w14:paraId="72AA94B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（4）混凝土</w:t>
      </w:r>
      <w:r>
        <w:rPr>
          <w:rFonts w:hint="eastAsia" w:ascii="Times New Roman" w:hAnsi="Times New Roman" w:eastAsia="宋体" w:cs="Times New Roman"/>
          <w:color w:val="auto"/>
          <w:spacing w:val="0"/>
          <w:w w:val="100"/>
          <w:position w:val="0"/>
          <w:sz w:val="24"/>
          <w:szCs w:val="24"/>
          <w:u w:val="none" w:color="auto"/>
          <w:lang w:val="en-US" w:eastAsia="zh-CN"/>
        </w:rPr>
        <w:t>浇筑</w:t>
      </w:r>
    </w:p>
    <w:p w14:paraId="18653AE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进水涵混凝土浇筑部位包括箱涵、闸室、启闭机房、进水池、消力池等，混凝土由商混站供料，运距约27km，混凝土泵送入仓，插入式振捣器振捣密实。</w:t>
      </w:r>
    </w:p>
    <w:p w14:paraId="123000DA">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（5）土方回填</w:t>
      </w:r>
    </w:p>
    <w:p w14:paraId="077A4D9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回填采用料场料及开挖料，开挖料平均运距3.5km，料场料平均运距8km。填筑施工从最低处开始，分层铺料、压实。8～10t自卸汽车运料至工作面，80～120HP推土机铺料、平整，10～13t振动碾碾压。分层厚度30cm，碾压遍数6～8遍，具体碾压参数应在正式填筑施工前通过试验确定。</w:t>
      </w:r>
    </w:p>
    <w:p w14:paraId="315AD5BA">
      <w:pPr>
        <w:pStyle w:val="5"/>
        <w:bidi w:val="0"/>
        <w:rPr>
          <w:rFonts w:hint="default"/>
          <w:lang w:val="en-US" w:eastAsia="zh-CN"/>
        </w:rPr>
      </w:pPr>
      <w:r>
        <w:rPr>
          <w:rFonts w:hint="default"/>
          <w:lang w:val="en-US" w:eastAsia="zh-CN"/>
        </w:rPr>
        <w:t>输水涵</w:t>
      </w:r>
      <w:r>
        <w:rPr>
          <w:rFonts w:hint="eastAsia"/>
          <w:lang w:val="en-US" w:eastAsia="zh-CN"/>
        </w:rPr>
        <w:t>加固工艺流程</w:t>
      </w:r>
    </w:p>
    <w:p w14:paraId="4777235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输水涵施工项目主要包括</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拆除工程、土方开挖、水泥土搅拌桩、混凝土浇筑、土方回填等。</w:t>
      </w:r>
    </w:p>
    <w:p w14:paraId="62A22382">
      <w:pPr>
        <w:keepNext w:val="0"/>
        <w:keepLines w:val="0"/>
        <w:pageBreakBefore w:val="0"/>
        <w:widowControl w:val="0"/>
        <w:overflowPunct/>
        <w:autoSpaceDE/>
        <w:autoSpaceDN/>
        <w:bidi w:val="0"/>
        <w:snapToGrid/>
        <w:spacing w:line="360" w:lineRule="auto"/>
        <w:jc w:val="center"/>
        <w:textAlignment w:val="auto"/>
        <w:rPr>
          <w:rFonts w:hint="default" w:ascii="Times New Roman" w:hAnsi="Times New Roman" w:eastAsia="宋体" w:cs="Times New Roman"/>
          <w:b/>
          <w:bCs/>
          <w:color w:val="FF0000"/>
          <w:spacing w:val="0"/>
          <w:w w:val="100"/>
          <w:position w:val="0"/>
          <w:sz w:val="24"/>
          <w:szCs w:val="24"/>
          <w:u w:val="none" w:color="auto"/>
          <w:lang w:val="en-US" w:eastAsia="zh-CN"/>
        </w:rPr>
      </w:pPr>
      <w:r>
        <w:rPr>
          <w:rFonts w:hint="default"/>
          <w:color w:val="000000" w:themeColor="text1"/>
          <w:u w:val="none" w:color="auto"/>
          <w:lang w:eastAsia="zh-CN"/>
          <w14:textFill>
            <w14:solidFill>
              <w14:schemeClr w14:val="tx1"/>
            </w14:solidFill>
          </w14:textFill>
        </w:rPr>
        <w:object>
          <v:shape id="_x0000_i1029" o:spt="75" type="#_x0000_t75" style="height:105.1pt;width:415.55pt;" o:ole="t" filled="f" o:preferrelative="t" stroked="f" coordsize="21600,21600">
            <v:path/>
            <v:fill on="f" focussize="0,0"/>
            <v:stroke on="f"/>
            <v:imagedata r:id="rId34" o:title=""/>
            <o:lock v:ext="edit" aspectratio="f"/>
            <w10:wrap type="none"/>
            <w10:anchorlock/>
          </v:shape>
          <o:OLEObject Type="Embed" ProgID="Visio.Drawing.11" ShapeID="_x0000_i1029" DrawAspect="Content" ObjectID="_1468075729" r:id="rId33">
            <o:LockedField>false</o:LockedField>
          </o:OLEObject>
        </w:object>
      </w:r>
      <w:r>
        <w:rPr>
          <w:rFonts w:hint="eastAsia" w:ascii="Times New Roman" w:hAnsi="Times New Roman" w:eastAsia="宋体" w:cs="Times New Roman"/>
          <w:b/>
          <w:bCs/>
          <w:color w:val="auto"/>
          <w:spacing w:val="0"/>
          <w:w w:val="100"/>
          <w:position w:val="0"/>
          <w:sz w:val="24"/>
          <w:szCs w:val="24"/>
          <w:u w:val="none" w:color="auto"/>
          <w:lang w:val="en-US" w:eastAsia="zh-CN"/>
        </w:rPr>
        <w:t>图2.5-4  输水</w:t>
      </w:r>
      <w:r>
        <w:rPr>
          <w:rFonts w:hint="default" w:ascii="Times New Roman" w:hAnsi="Times New Roman" w:eastAsia="宋体" w:cs="Times New Roman"/>
          <w:b/>
          <w:bCs/>
          <w:color w:val="auto"/>
          <w:spacing w:val="0"/>
          <w:w w:val="100"/>
          <w:position w:val="0"/>
          <w:sz w:val="24"/>
          <w:szCs w:val="24"/>
          <w:u w:val="none" w:color="auto"/>
          <w:lang w:val="en-US" w:eastAsia="zh-CN"/>
        </w:rPr>
        <w:t>涵</w:t>
      </w:r>
      <w:r>
        <w:rPr>
          <w:rFonts w:hint="eastAsia" w:ascii="Times New Roman" w:hAnsi="Times New Roman" w:eastAsia="宋体" w:cs="Times New Roman"/>
          <w:b/>
          <w:bCs/>
          <w:color w:val="auto"/>
          <w:spacing w:val="0"/>
          <w:w w:val="100"/>
          <w:position w:val="0"/>
          <w:sz w:val="24"/>
          <w:szCs w:val="24"/>
          <w:u w:val="none" w:color="auto"/>
          <w:lang w:val="en-US" w:eastAsia="zh-CN"/>
        </w:rPr>
        <w:t>加固工艺流程及产污节点图</w:t>
      </w:r>
    </w:p>
    <w:p w14:paraId="488FADA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（1）拆除工程</w:t>
      </w:r>
    </w:p>
    <w:p w14:paraId="2AE05A2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混凝土拆除由1m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液压破碎锤拆除，8～10t自卸汽车运输至弃渣场，运距5km。</w:t>
      </w:r>
    </w:p>
    <w:p w14:paraId="7175C4A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（2）土方开挖</w:t>
      </w:r>
    </w:p>
    <w:p w14:paraId="2FC6D785">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土方开挖采用1.0～2.0m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挖掘机开挖，80～120HP推土机集渣，8～10t自卸汽车运输。利用料运至临时堆料场，平均运距3.5km；弃渣运至弃渣场，平均运距5km。</w:t>
      </w:r>
    </w:p>
    <w:p w14:paraId="779DCCF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（3）水泥土搅拌桩施工</w:t>
      </w:r>
    </w:p>
    <w:p w14:paraId="6783668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水泥搅拌桩施工采用深层搅拌桩机，水泥搅拌桩施工程序为：桩机就位→喷浆钻进搅拌→喷浆提升搅拌→重复喷浆钻进搅拌→重复喷浆提升搅拌→成桩完毕。水泥搅拌桩采用GPJ-7型深层搅拌机施工，灰浆采用200L灰浆搅拌机拌制，通过灰浆泵输送浆液。施工前根据设计进行工艺性试桩，以确定掺灰量、提升速度、旋转速度等施工参数。为保证施工质量，水泥搅拌桩采用二喷四搅，在喷浆提升过程中应严格控制其提升速度。施工时停浆面应高出桩顶设计标高0.3m，开挖时再将超出桩顶标高部分凿除。</w:t>
      </w:r>
    </w:p>
    <w:p w14:paraId="12864597">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（4）混凝土</w:t>
      </w:r>
      <w:r>
        <w:rPr>
          <w:rFonts w:hint="eastAsia" w:ascii="Times New Roman" w:hAnsi="Times New Roman" w:eastAsia="宋体" w:cs="Times New Roman"/>
          <w:color w:val="auto"/>
          <w:spacing w:val="0"/>
          <w:w w:val="100"/>
          <w:position w:val="0"/>
          <w:sz w:val="24"/>
          <w:szCs w:val="24"/>
          <w:u w:val="none" w:color="auto"/>
          <w:lang w:val="en-US" w:eastAsia="zh-CN"/>
        </w:rPr>
        <w:t>浇筑</w:t>
      </w:r>
    </w:p>
    <w:p w14:paraId="65B1283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混凝土浇筑部位包括闸室、启闭机房、进水池等，混凝土由商混站供料，混凝土罐车运输，运距约27km，泵送入仓，插入式振捣器振捣密实。</w:t>
      </w:r>
    </w:p>
    <w:p w14:paraId="76B4F38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（5）土方</w:t>
      </w:r>
      <w:r>
        <w:rPr>
          <w:rFonts w:hint="eastAsia" w:ascii="Times New Roman" w:hAnsi="Times New Roman" w:eastAsia="宋体" w:cs="Times New Roman"/>
          <w:color w:val="auto"/>
          <w:spacing w:val="0"/>
          <w:w w:val="100"/>
          <w:position w:val="0"/>
          <w:sz w:val="24"/>
          <w:szCs w:val="24"/>
          <w:u w:val="none" w:color="auto"/>
          <w:lang w:val="en-US" w:eastAsia="zh-CN"/>
        </w:rPr>
        <w:t>回</w:t>
      </w:r>
      <w:r>
        <w:rPr>
          <w:rFonts w:hint="default" w:ascii="Times New Roman" w:hAnsi="Times New Roman" w:eastAsia="宋体" w:cs="Times New Roman"/>
          <w:color w:val="auto"/>
          <w:spacing w:val="0"/>
          <w:w w:val="100"/>
          <w:position w:val="0"/>
          <w:sz w:val="24"/>
          <w:szCs w:val="24"/>
          <w:u w:val="none" w:color="auto"/>
          <w:lang w:val="en-US" w:eastAsia="zh-CN"/>
        </w:rPr>
        <w:t>填</w:t>
      </w:r>
    </w:p>
    <w:p w14:paraId="767A711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回填采用开挖料，开挖料平均运距3.5km。填筑施工从最低处开始，分层铺料、压实。8～10t自卸汽车运料至工作面，80～120HP推土机铺料、平整，10～13t振动碾碾压。分层厚度30cm，碾压遍数6～8遍，具体碾压参数应在正式填筑施工前通过试验确定。</w:t>
      </w:r>
    </w:p>
    <w:p w14:paraId="7B8DF4DF">
      <w:pPr>
        <w:pStyle w:val="5"/>
        <w:bidi w:val="0"/>
        <w:rPr>
          <w:rFonts w:hint="default"/>
          <w:lang w:val="en-US" w:eastAsia="zh-CN"/>
        </w:rPr>
      </w:pPr>
      <w:r>
        <w:rPr>
          <w:rFonts w:hint="default"/>
          <w:lang w:val="en-US" w:eastAsia="zh-CN"/>
        </w:rPr>
        <w:t>防汛道路</w:t>
      </w:r>
      <w:r>
        <w:rPr>
          <w:rFonts w:hint="eastAsia"/>
          <w:lang w:val="en-US" w:eastAsia="zh-CN"/>
        </w:rPr>
        <w:t>改造工艺流程</w:t>
      </w:r>
    </w:p>
    <w:p w14:paraId="07299A0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防汛道路施工项目主要包括</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土方开挖、拆除工程、混凝土浇筑、土方回填等。</w:t>
      </w:r>
    </w:p>
    <w:p w14:paraId="07A8B700">
      <w:pPr>
        <w:keepNext w:val="0"/>
        <w:keepLines w:val="0"/>
        <w:pageBreakBefore w:val="0"/>
        <w:widowControl w:val="0"/>
        <w:overflowPunct/>
        <w:autoSpaceDE/>
        <w:autoSpaceDN/>
        <w:bidi w:val="0"/>
        <w:snapToGrid/>
        <w:spacing w:line="360" w:lineRule="auto"/>
        <w:ind w:left="0" w:firstLine="420" w:firstLineChars="200"/>
        <w:jc w:val="center"/>
        <w:textAlignment w:val="auto"/>
        <w:rPr>
          <w:rFonts w:hint="default" w:ascii="Times New Roman" w:hAnsi="Times New Roman" w:eastAsia="宋体" w:cs="Times New Roman"/>
          <w:b/>
          <w:bCs/>
          <w:color w:val="FF0000"/>
          <w:spacing w:val="0"/>
          <w:w w:val="100"/>
          <w:position w:val="0"/>
          <w:sz w:val="24"/>
          <w:szCs w:val="24"/>
          <w:u w:val="none" w:color="auto"/>
          <w:lang w:val="en-US" w:eastAsia="zh-CN"/>
        </w:rPr>
      </w:pPr>
      <w:r>
        <w:rPr>
          <w:rFonts w:hint="default"/>
          <w:color w:val="000000" w:themeColor="text1"/>
          <w:u w:val="none" w:color="auto"/>
          <w:lang w:eastAsia="zh-CN"/>
          <w14:textFill>
            <w14:solidFill>
              <w14:schemeClr w14:val="tx1"/>
            </w14:solidFill>
          </w14:textFill>
        </w:rPr>
        <w:object>
          <v:shape id="_x0000_i1030" o:spt="75" type="#_x0000_t75" style="height:95.65pt;width:411.6pt;" o:ole="t" filled="f" o:preferrelative="t" stroked="f" coordsize="21600,21600">
            <v:path/>
            <v:fill on="f" focussize="0,0"/>
            <v:stroke on="f"/>
            <v:imagedata r:id="rId36" o:title=""/>
            <o:lock v:ext="edit" aspectratio="f"/>
            <w10:wrap type="none"/>
            <w10:anchorlock/>
          </v:shape>
          <o:OLEObject Type="Embed" ProgID="Visio.Drawing.11" ShapeID="_x0000_i1030" DrawAspect="Content" ObjectID="_1468075730" r:id="rId35">
            <o:LockedField>false</o:LockedField>
          </o:OLEObject>
        </w:object>
      </w:r>
      <w:r>
        <w:rPr>
          <w:rFonts w:hint="eastAsia" w:ascii="Times New Roman" w:hAnsi="Times New Roman" w:eastAsia="宋体" w:cs="Times New Roman"/>
          <w:b/>
          <w:bCs/>
          <w:color w:val="auto"/>
          <w:spacing w:val="0"/>
          <w:w w:val="100"/>
          <w:position w:val="0"/>
          <w:sz w:val="24"/>
          <w:szCs w:val="24"/>
          <w:u w:val="none" w:color="auto"/>
          <w:lang w:val="en-US" w:eastAsia="zh-CN"/>
        </w:rPr>
        <w:t>图2.5-5  防汛道路改造工艺流程及产污节点图</w:t>
      </w:r>
    </w:p>
    <w:p w14:paraId="061C8D0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（1）拆除工程</w:t>
      </w:r>
    </w:p>
    <w:p w14:paraId="60FF1CCE">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混凝土拆除由1m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液压破碎锤拆除，8～10t自卸汽车运输至弃渣场，平均运距5km。</w:t>
      </w:r>
    </w:p>
    <w:p w14:paraId="0273B43B">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（2）土方开挖</w:t>
      </w:r>
    </w:p>
    <w:p w14:paraId="11C02548">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土方开挖采用1.0～2.0m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挖掘机开挖，8～10t自卸汽车运输至临时堆料场，平均运距3.5km。</w:t>
      </w:r>
    </w:p>
    <w:p w14:paraId="5DD63BD1">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（3）土方</w:t>
      </w:r>
      <w:r>
        <w:rPr>
          <w:rFonts w:hint="eastAsia" w:ascii="Times New Roman" w:hAnsi="Times New Roman" w:eastAsia="宋体" w:cs="Times New Roman"/>
          <w:color w:val="auto"/>
          <w:spacing w:val="0"/>
          <w:w w:val="100"/>
          <w:position w:val="0"/>
          <w:sz w:val="24"/>
          <w:szCs w:val="24"/>
          <w:u w:val="none" w:color="auto"/>
          <w:lang w:val="en-US" w:eastAsia="zh-CN"/>
        </w:rPr>
        <w:t>回填</w:t>
      </w:r>
    </w:p>
    <w:p w14:paraId="62C31BB6">
      <w:pPr>
        <w:keepNext w:val="0"/>
        <w:keepLines w:val="0"/>
        <w:pageBreakBefore w:val="0"/>
        <w:widowControl w:val="0"/>
        <w:overflowPunct/>
        <w:autoSpaceDE/>
        <w:autoSpaceDN/>
        <w:bidi w:val="0"/>
        <w:snapToGrid/>
        <w:spacing w:line="360" w:lineRule="auto"/>
        <w:ind w:left="0" w:firstLine="480" w:firstLineChars="200"/>
        <w:textAlignment w:val="auto"/>
        <w:rPr>
          <w:rFonts w:hint="eastAsia" w:ascii="Times New Roman" w:hAnsi="Times New Roman" w:cs="Times New Roman"/>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土方回填采用开挖料，平均运距3.5km。填筑施工从最低处开始，分层铺料、压实。8～10t自卸汽车运料至工作面，80～120HP推土机铺料、平整，10～13t振动碾碾压。分层厚度30cm，碾压遍数6～8遍，具体碾压参数应在正式填筑施工前通过试验确定。</w:t>
      </w:r>
      <w:r>
        <w:rPr>
          <w:rFonts w:hint="eastAsia" w:ascii="Times New Roman" w:hAnsi="Times New Roman" w:cs="Times New Roman"/>
          <w:u w:val="none" w:color="auto"/>
          <w:lang w:val="en-US" w:eastAsia="zh-CN"/>
        </w:rPr>
        <w:t xml:space="preserve"> </w:t>
      </w:r>
    </w:p>
    <w:p w14:paraId="59F957A2">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（4）混凝土</w:t>
      </w:r>
      <w:r>
        <w:rPr>
          <w:rFonts w:hint="eastAsia" w:ascii="Times New Roman" w:hAnsi="Times New Roman" w:eastAsia="宋体" w:cs="Times New Roman"/>
          <w:color w:val="auto"/>
          <w:spacing w:val="0"/>
          <w:w w:val="100"/>
          <w:position w:val="0"/>
          <w:sz w:val="24"/>
          <w:szCs w:val="24"/>
          <w:u w:val="none" w:color="auto"/>
          <w:lang w:val="en-US" w:eastAsia="zh-CN"/>
        </w:rPr>
        <w:t>浇筑</w:t>
      </w:r>
    </w:p>
    <w:p w14:paraId="6B04AE66">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cs="Times New Roman"/>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根据工程情况</w:t>
      </w:r>
      <w:r>
        <w:rPr>
          <w:rFonts w:hint="default" w:ascii="Times New Roman" w:hAnsi="Times New Roman" w:eastAsia="宋体" w:cs="Times New Roman"/>
          <w:color w:val="auto"/>
          <w:spacing w:val="0"/>
          <w:w w:val="100"/>
          <w:position w:val="0"/>
          <w:sz w:val="24"/>
          <w:szCs w:val="24"/>
          <w:u w:val="none" w:color="auto"/>
          <w:lang w:val="en-US" w:eastAsia="zh-CN"/>
        </w:rPr>
        <w:t>分段采用混凝土路面或沥青混凝土路面</w:t>
      </w:r>
      <w:r>
        <w:rPr>
          <w:rFonts w:hint="eastAsia" w:ascii="Times New Roman" w:hAnsi="Times New Roman" w:eastAsia="宋体" w:cs="Times New Roman"/>
          <w:color w:val="auto"/>
          <w:spacing w:val="0"/>
          <w:w w:val="100"/>
          <w:position w:val="0"/>
          <w:sz w:val="24"/>
          <w:szCs w:val="24"/>
          <w:u w:val="none" w:color="auto"/>
          <w:lang w:val="en-US" w:eastAsia="zh-CN"/>
        </w:rPr>
        <w:t>对防汛公路进行</w:t>
      </w:r>
      <w:r>
        <w:rPr>
          <w:rFonts w:hint="default" w:ascii="Times New Roman" w:hAnsi="Times New Roman" w:eastAsia="宋体" w:cs="Times New Roman"/>
          <w:color w:val="auto"/>
          <w:spacing w:val="0"/>
          <w:w w:val="100"/>
          <w:position w:val="0"/>
          <w:sz w:val="24"/>
          <w:szCs w:val="24"/>
          <w:u w:val="none" w:color="auto"/>
          <w:lang w:val="en-US" w:eastAsia="zh-CN"/>
        </w:rPr>
        <w:t>加宽改造</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防汛道路</w:t>
      </w:r>
      <w:r>
        <w:rPr>
          <w:rFonts w:hint="eastAsia" w:ascii="Times New Roman" w:hAnsi="Times New Roman" w:eastAsia="宋体" w:cs="Times New Roman"/>
          <w:color w:val="auto"/>
          <w:spacing w:val="0"/>
          <w:w w:val="100"/>
          <w:position w:val="0"/>
          <w:sz w:val="24"/>
          <w:szCs w:val="24"/>
          <w:u w:val="none" w:color="auto"/>
          <w:lang w:val="en-US" w:eastAsia="zh-CN"/>
        </w:rPr>
        <w:t>混凝土路面总厚度</w:t>
      </w:r>
      <w:r>
        <w:rPr>
          <w:rFonts w:hint="default" w:ascii="Times New Roman" w:hAnsi="Times New Roman" w:eastAsia="宋体" w:cs="Times New Roman"/>
          <w:color w:val="auto"/>
          <w:spacing w:val="0"/>
          <w:w w:val="100"/>
          <w:position w:val="0"/>
          <w:sz w:val="24"/>
          <w:szCs w:val="24"/>
          <w:u w:val="none" w:color="auto"/>
          <w:lang w:val="en-US" w:eastAsia="zh-CN"/>
        </w:rPr>
        <w:t>40cm</w:t>
      </w:r>
      <w:r>
        <w:rPr>
          <w:rFonts w:hint="eastAsia" w:ascii="Times New Roman" w:hAnsi="Times New Roman" w:eastAsia="宋体" w:cs="Times New Roman"/>
          <w:color w:val="auto"/>
          <w:spacing w:val="0"/>
          <w:w w:val="100"/>
          <w:position w:val="0"/>
          <w:sz w:val="24"/>
          <w:szCs w:val="24"/>
          <w:u w:val="none" w:color="auto"/>
          <w:lang w:val="en-US" w:eastAsia="zh-CN"/>
        </w:rPr>
        <w:t>，结构形式为：</w:t>
      </w:r>
      <w:r>
        <w:rPr>
          <w:rFonts w:hint="default" w:ascii="Times New Roman" w:hAnsi="Times New Roman" w:eastAsia="宋体" w:cs="Times New Roman"/>
          <w:color w:val="auto"/>
          <w:spacing w:val="0"/>
          <w:w w:val="100"/>
          <w:position w:val="0"/>
          <w:sz w:val="24"/>
          <w:szCs w:val="24"/>
          <w:u w:val="none" w:color="auto"/>
          <w:lang w:val="en-US" w:eastAsia="zh-CN"/>
        </w:rPr>
        <w:t>20cm</w:t>
      </w:r>
      <w:r>
        <w:rPr>
          <w:rFonts w:hint="eastAsia" w:ascii="Times New Roman" w:hAnsi="Times New Roman" w:eastAsia="宋体" w:cs="Times New Roman"/>
          <w:color w:val="auto"/>
          <w:spacing w:val="0"/>
          <w:w w:val="100"/>
          <w:position w:val="0"/>
          <w:sz w:val="24"/>
          <w:szCs w:val="24"/>
          <w:u w:val="none" w:color="auto"/>
          <w:lang w:val="en-US" w:eastAsia="zh-CN"/>
        </w:rPr>
        <w:t>水泥混凝土面层（</w:t>
      </w:r>
      <w:r>
        <w:rPr>
          <w:rFonts w:hint="default" w:ascii="Times New Roman" w:hAnsi="Times New Roman" w:eastAsia="宋体" w:cs="Times New Roman"/>
          <w:color w:val="auto"/>
          <w:spacing w:val="0"/>
          <w:w w:val="100"/>
          <w:position w:val="0"/>
          <w:sz w:val="24"/>
          <w:szCs w:val="24"/>
          <w:u w:val="none" w:color="auto"/>
          <w:lang w:val="en-US" w:eastAsia="zh-CN"/>
        </w:rPr>
        <w:t>C25</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+20cm</w:t>
      </w:r>
      <w:r>
        <w:rPr>
          <w:rFonts w:hint="eastAsia" w:ascii="Times New Roman" w:hAnsi="Times New Roman" w:eastAsia="宋体" w:cs="Times New Roman"/>
          <w:color w:val="auto"/>
          <w:spacing w:val="0"/>
          <w:w w:val="100"/>
          <w:position w:val="0"/>
          <w:sz w:val="24"/>
          <w:szCs w:val="24"/>
          <w:u w:val="none" w:color="auto"/>
          <w:lang w:val="en-US" w:eastAsia="zh-CN"/>
        </w:rPr>
        <w:t>厚</w:t>
      </w:r>
      <w:r>
        <w:rPr>
          <w:rFonts w:hint="default" w:ascii="Times New Roman" w:hAnsi="Times New Roman" w:eastAsia="宋体" w:cs="Times New Roman"/>
          <w:color w:val="auto"/>
          <w:spacing w:val="0"/>
          <w:w w:val="100"/>
          <w:position w:val="0"/>
          <w:sz w:val="24"/>
          <w:szCs w:val="24"/>
          <w:u w:val="none" w:color="auto"/>
          <w:lang w:val="en-US" w:eastAsia="zh-CN"/>
        </w:rPr>
        <w:t>6%</w:t>
      </w:r>
      <w:r>
        <w:rPr>
          <w:rFonts w:hint="eastAsia" w:ascii="Times New Roman" w:hAnsi="Times New Roman" w:eastAsia="宋体" w:cs="Times New Roman"/>
          <w:color w:val="auto"/>
          <w:spacing w:val="0"/>
          <w:w w:val="100"/>
          <w:position w:val="0"/>
          <w:sz w:val="24"/>
          <w:szCs w:val="24"/>
          <w:u w:val="none" w:color="auto"/>
          <w:lang w:val="en-US" w:eastAsia="zh-CN"/>
        </w:rPr>
        <w:t>水泥稳定碎石层，</w:t>
      </w:r>
      <w:r>
        <w:rPr>
          <w:rFonts w:hint="default" w:ascii="Times New Roman" w:hAnsi="Times New Roman" w:eastAsia="宋体" w:cs="Times New Roman"/>
          <w:color w:val="auto"/>
          <w:spacing w:val="0"/>
          <w:w w:val="100"/>
          <w:position w:val="0"/>
          <w:sz w:val="24"/>
          <w:szCs w:val="24"/>
          <w:u w:val="none" w:color="auto"/>
          <w:lang w:val="en-US" w:eastAsia="zh-CN"/>
        </w:rPr>
        <w:t>混凝土路面采用商混站供料。</w:t>
      </w:r>
      <w:r>
        <w:rPr>
          <w:rFonts w:hint="eastAsia" w:ascii="Times New Roman" w:hAnsi="Times New Roman" w:eastAsia="宋体" w:cs="Times New Roman"/>
          <w:color w:val="auto"/>
          <w:spacing w:val="0"/>
          <w:w w:val="100"/>
          <w:position w:val="0"/>
          <w:sz w:val="24"/>
          <w:szCs w:val="24"/>
          <w:u w:val="none" w:color="auto"/>
          <w:lang w:val="en-US" w:eastAsia="zh-CN"/>
        </w:rPr>
        <w:t>沥青混凝土路面面层采用</w:t>
      </w:r>
      <w:r>
        <w:rPr>
          <w:rFonts w:hint="default" w:ascii="Times New Roman" w:hAnsi="Times New Roman" w:eastAsia="宋体" w:cs="Times New Roman"/>
          <w:color w:val="auto"/>
          <w:spacing w:val="0"/>
          <w:w w:val="100"/>
          <w:position w:val="0"/>
          <w:sz w:val="24"/>
          <w:szCs w:val="24"/>
          <w:u w:val="none" w:color="auto"/>
          <w:lang w:val="en-US" w:eastAsia="zh-CN"/>
        </w:rPr>
        <w:t>6cm</w:t>
      </w:r>
      <w:r>
        <w:rPr>
          <w:rFonts w:hint="eastAsia" w:ascii="Times New Roman" w:hAnsi="Times New Roman" w:eastAsia="宋体" w:cs="Times New Roman"/>
          <w:color w:val="auto"/>
          <w:spacing w:val="0"/>
          <w:w w:val="100"/>
          <w:position w:val="0"/>
          <w:sz w:val="24"/>
          <w:szCs w:val="24"/>
          <w:u w:val="none" w:color="auto"/>
          <w:lang w:val="en-US" w:eastAsia="zh-CN"/>
        </w:rPr>
        <w:t>厚</w:t>
      </w:r>
      <w:r>
        <w:rPr>
          <w:rFonts w:hint="default" w:ascii="Times New Roman" w:hAnsi="Times New Roman" w:eastAsia="宋体" w:cs="Times New Roman"/>
          <w:color w:val="auto"/>
          <w:spacing w:val="0"/>
          <w:w w:val="100"/>
          <w:position w:val="0"/>
          <w:sz w:val="24"/>
          <w:szCs w:val="24"/>
          <w:u w:val="none" w:color="auto"/>
          <w:lang w:val="en-US" w:eastAsia="zh-CN"/>
        </w:rPr>
        <w:t>AC-13C</w:t>
      </w:r>
      <w:r>
        <w:rPr>
          <w:rFonts w:hint="eastAsia" w:ascii="Times New Roman" w:hAnsi="Times New Roman" w:eastAsia="宋体" w:cs="Times New Roman"/>
          <w:color w:val="auto"/>
          <w:spacing w:val="0"/>
          <w:w w:val="100"/>
          <w:position w:val="0"/>
          <w:sz w:val="24"/>
          <w:szCs w:val="24"/>
          <w:u w:val="none" w:color="auto"/>
          <w:lang w:val="en-US" w:eastAsia="zh-CN"/>
        </w:rPr>
        <w:t>细粒式沥青混凝土</w:t>
      </w:r>
      <w:r>
        <w:rPr>
          <w:rFonts w:hint="default" w:ascii="Times New Roman" w:hAnsi="Times New Roman" w:eastAsia="宋体" w:cs="Times New Roman"/>
          <w:color w:val="auto"/>
          <w:spacing w:val="0"/>
          <w:w w:val="100"/>
          <w:position w:val="0"/>
          <w:sz w:val="24"/>
          <w:szCs w:val="24"/>
          <w:u w:val="none" w:color="auto"/>
          <w:lang w:val="en-US" w:eastAsia="zh-CN"/>
        </w:rPr>
        <w:t>+20cm</w:t>
      </w:r>
      <w:r>
        <w:rPr>
          <w:rFonts w:hint="eastAsia" w:ascii="Times New Roman" w:hAnsi="Times New Roman" w:eastAsia="宋体" w:cs="Times New Roman"/>
          <w:color w:val="auto"/>
          <w:spacing w:val="0"/>
          <w:w w:val="100"/>
          <w:position w:val="0"/>
          <w:sz w:val="24"/>
          <w:szCs w:val="24"/>
          <w:u w:val="none" w:color="auto"/>
          <w:lang w:val="en-US" w:eastAsia="zh-CN"/>
        </w:rPr>
        <w:t>厚</w:t>
      </w:r>
      <w:r>
        <w:rPr>
          <w:rFonts w:hint="default" w:ascii="Times New Roman" w:hAnsi="Times New Roman" w:eastAsia="宋体" w:cs="Times New Roman"/>
          <w:color w:val="auto"/>
          <w:spacing w:val="0"/>
          <w:w w:val="100"/>
          <w:position w:val="0"/>
          <w:sz w:val="24"/>
          <w:szCs w:val="24"/>
          <w:u w:val="none" w:color="auto"/>
          <w:lang w:val="en-US" w:eastAsia="zh-CN"/>
        </w:rPr>
        <w:t>6%</w:t>
      </w:r>
      <w:r>
        <w:rPr>
          <w:rFonts w:hint="eastAsia" w:ascii="Times New Roman" w:hAnsi="Times New Roman" w:eastAsia="宋体" w:cs="Times New Roman"/>
          <w:color w:val="auto"/>
          <w:spacing w:val="0"/>
          <w:w w:val="100"/>
          <w:position w:val="0"/>
          <w:sz w:val="24"/>
          <w:szCs w:val="24"/>
          <w:u w:val="none" w:color="auto"/>
          <w:lang w:val="en-US" w:eastAsia="zh-CN"/>
        </w:rPr>
        <w:t>水泥稳定垫层，下部设</w:t>
      </w:r>
      <w:r>
        <w:rPr>
          <w:rFonts w:hint="default" w:ascii="Times New Roman" w:hAnsi="Times New Roman" w:eastAsia="宋体" w:cs="Times New Roman"/>
          <w:color w:val="auto"/>
          <w:spacing w:val="0"/>
          <w:w w:val="100"/>
          <w:position w:val="0"/>
          <w:sz w:val="24"/>
          <w:szCs w:val="24"/>
          <w:u w:val="none" w:color="auto"/>
          <w:lang w:val="en-US" w:eastAsia="zh-CN"/>
        </w:rPr>
        <w:t>15cm</w:t>
      </w:r>
      <w:r>
        <w:rPr>
          <w:rFonts w:hint="eastAsia" w:ascii="Times New Roman" w:hAnsi="Times New Roman" w:eastAsia="宋体" w:cs="Times New Roman"/>
          <w:color w:val="auto"/>
          <w:spacing w:val="0"/>
          <w:w w:val="100"/>
          <w:position w:val="0"/>
          <w:sz w:val="24"/>
          <w:szCs w:val="24"/>
          <w:u w:val="none" w:color="auto"/>
          <w:lang w:val="en-US" w:eastAsia="zh-CN"/>
        </w:rPr>
        <w:t>厚碎石层，沥青混凝土采用商混站供料。混凝土商混搅拌</w:t>
      </w:r>
      <w:r>
        <w:rPr>
          <w:rFonts w:hint="default" w:ascii="Times New Roman" w:hAnsi="Times New Roman" w:eastAsia="宋体" w:cs="Times New Roman"/>
          <w:color w:val="auto"/>
          <w:spacing w:val="0"/>
          <w:w w:val="100"/>
          <w:position w:val="0"/>
          <w:sz w:val="24"/>
          <w:szCs w:val="24"/>
          <w:u w:val="none" w:color="auto"/>
          <w:lang w:val="en-US" w:eastAsia="zh-CN"/>
        </w:rPr>
        <w:t>车运输入</w:t>
      </w:r>
      <w:r>
        <w:rPr>
          <w:rFonts w:hint="eastAsia" w:ascii="Times New Roman" w:hAnsi="Times New Roman" w:eastAsia="宋体" w:cs="Times New Roman"/>
          <w:color w:val="auto"/>
          <w:spacing w:val="0"/>
          <w:w w:val="100"/>
          <w:position w:val="0"/>
          <w:sz w:val="24"/>
          <w:szCs w:val="24"/>
          <w:u w:val="none" w:color="auto"/>
          <w:lang w:val="en-US" w:eastAsia="zh-CN"/>
        </w:rPr>
        <w:t>场</w:t>
      </w:r>
      <w:r>
        <w:rPr>
          <w:rFonts w:hint="default" w:ascii="Times New Roman" w:hAnsi="Times New Roman" w:eastAsia="宋体" w:cs="Times New Roman"/>
          <w:color w:val="auto"/>
          <w:spacing w:val="0"/>
          <w:w w:val="100"/>
          <w:position w:val="0"/>
          <w:sz w:val="24"/>
          <w:szCs w:val="24"/>
          <w:u w:val="none" w:color="auto"/>
          <w:lang w:val="en-US" w:eastAsia="zh-CN"/>
        </w:rPr>
        <w:t>，摊铺机摊铺，平板振捣器振捣</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其主要工艺流程为：施工放样→基层检验→支立模板→混凝土拌和与运输→摊铺混凝土→振捣→表面修整→接缝施工→养护、拆模→验收检测。混凝土浇筑完成后，及时进行保湿养护。</w:t>
      </w:r>
      <w:r>
        <w:rPr>
          <w:rFonts w:hint="eastAsia" w:ascii="Times New Roman" w:hAnsi="Times New Roman" w:cs="Times New Roman"/>
          <w:u w:val="none" w:color="auto"/>
          <w:lang w:val="en-US" w:eastAsia="zh-CN"/>
        </w:rPr>
        <w:t xml:space="preserve"> </w:t>
      </w:r>
    </w:p>
    <w:p w14:paraId="2869AC31">
      <w:pPr>
        <w:pStyle w:val="4"/>
        <w:bidi w:val="0"/>
        <w:rPr>
          <w:rFonts w:hint="default" w:ascii="Times New Roman" w:hAnsi="Times New Roman" w:cs="Times New Roman"/>
          <w:u w:val="none" w:color="auto"/>
        </w:rPr>
      </w:pPr>
      <w:bookmarkStart w:id="112" w:name="bookmark297"/>
      <w:bookmarkStart w:id="113" w:name="bookmark296"/>
      <w:bookmarkStart w:id="114" w:name="_Toc11622"/>
      <w:r>
        <w:rPr>
          <w:rFonts w:hint="default" w:ascii="Times New Roman" w:hAnsi="Times New Roman" w:cs="Times New Roman"/>
          <w:u w:val="none" w:color="auto"/>
        </w:rPr>
        <w:t>施工期污染源分析</w:t>
      </w:r>
      <w:bookmarkEnd w:id="112"/>
      <w:bookmarkEnd w:id="113"/>
      <w:bookmarkEnd w:id="114"/>
    </w:p>
    <w:p w14:paraId="643DB93F">
      <w:pPr>
        <w:pStyle w:val="5"/>
        <w:bidi w:val="0"/>
        <w:rPr>
          <w:rFonts w:hint="default" w:ascii="Times New Roman" w:hAnsi="Times New Roman" w:cs="Times New Roman"/>
          <w:u w:val="none" w:color="auto"/>
        </w:rPr>
      </w:pPr>
      <w:bookmarkStart w:id="115" w:name="bookmark342"/>
      <w:bookmarkStart w:id="116" w:name="bookmark343"/>
      <w:r>
        <w:rPr>
          <w:rFonts w:hint="default" w:ascii="Times New Roman" w:hAnsi="Times New Roman" w:cs="Times New Roman"/>
          <w:u w:val="none" w:color="auto"/>
        </w:rPr>
        <w:t>废气污染源</w:t>
      </w:r>
    </w:p>
    <w:p w14:paraId="355F3099">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w:t>
      </w:r>
      <w:r>
        <w:rPr>
          <w:rFonts w:hint="default" w:ascii="Times New Roman" w:hAnsi="Times New Roman" w:eastAsia="宋体" w:cs="Times New Roman"/>
          <w:caps w:val="0"/>
          <w:smallCaps w:val="0"/>
          <w:color w:val="auto"/>
          <w:spacing w:val="0"/>
          <w:w w:val="100"/>
          <w:kern w:val="0"/>
          <w:position w:val="0"/>
          <w:sz w:val="24"/>
          <w:szCs w:val="24"/>
          <w:u w:val="none" w:color="auto"/>
        </w:rPr>
        <w:t>项目</w:t>
      </w:r>
      <w:r>
        <w:rPr>
          <w:rFonts w:hint="default" w:ascii="Times New Roman" w:hAnsi="Times New Roman" w:eastAsia="宋体" w:cs="Times New Roman"/>
          <w:color w:val="auto"/>
          <w:sz w:val="24"/>
          <w:szCs w:val="24"/>
          <w:u w:val="none" w:color="auto"/>
        </w:rPr>
        <w:t>混凝土</w:t>
      </w:r>
      <w:r>
        <w:rPr>
          <w:rFonts w:hint="eastAsia" w:ascii="Times New Roman" w:hAnsi="Times New Roman" w:eastAsia="宋体" w:cs="Times New Roman"/>
          <w:color w:val="auto"/>
          <w:sz w:val="24"/>
          <w:szCs w:val="24"/>
          <w:u w:val="none" w:color="auto"/>
          <w:lang w:eastAsia="zh-CN"/>
        </w:rPr>
        <w:t>浇筑</w:t>
      </w:r>
      <w:r>
        <w:rPr>
          <w:rFonts w:hint="default" w:ascii="Times New Roman" w:hAnsi="Times New Roman" w:eastAsia="宋体" w:cs="Times New Roman"/>
          <w:color w:val="auto"/>
          <w:sz w:val="24"/>
          <w:szCs w:val="24"/>
          <w:u w:val="none" w:color="auto"/>
        </w:rPr>
        <w:t>采用商品混凝土</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在华容县</w:t>
      </w:r>
      <w:r>
        <w:rPr>
          <w:rFonts w:hint="eastAsia" w:ascii="Times New Roman" w:hAnsi="Times New Roman" w:eastAsia="宋体" w:cs="Times New Roman"/>
          <w:color w:val="auto"/>
          <w:sz w:val="24"/>
          <w:szCs w:val="24"/>
          <w:u w:val="none" w:color="auto"/>
          <w:lang w:val="en-US" w:eastAsia="zh-CN"/>
        </w:rPr>
        <w:t>城</w:t>
      </w:r>
      <w:r>
        <w:rPr>
          <w:rFonts w:hint="default" w:ascii="Times New Roman" w:hAnsi="Times New Roman" w:eastAsia="宋体" w:cs="Times New Roman"/>
          <w:color w:val="auto"/>
          <w:sz w:val="24"/>
          <w:szCs w:val="24"/>
          <w:u w:val="none" w:color="auto"/>
          <w:lang w:val="en-US" w:eastAsia="zh-CN"/>
        </w:rPr>
        <w:t>就近购买</w:t>
      </w:r>
      <w:r>
        <w:rPr>
          <w:rFonts w:hint="default"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eastAsia="zh-CN"/>
        </w:rPr>
        <w:t>不</w:t>
      </w:r>
      <w:r>
        <w:rPr>
          <w:rFonts w:hint="default" w:ascii="Times New Roman" w:hAnsi="Times New Roman" w:eastAsia="宋体" w:cs="Times New Roman"/>
          <w:color w:val="auto"/>
          <w:sz w:val="24"/>
          <w:szCs w:val="24"/>
          <w:u w:val="none" w:color="auto"/>
          <w:lang w:eastAsia="zh-CN"/>
        </w:rPr>
        <w:t>设置混凝土拌和站。</w:t>
      </w:r>
      <w:r>
        <w:rPr>
          <w:rFonts w:hint="default" w:ascii="Times New Roman" w:hAnsi="Times New Roman" w:eastAsia="宋体" w:cs="Times New Roman"/>
          <w:caps w:val="0"/>
          <w:smallCaps w:val="0"/>
          <w:color w:val="auto"/>
          <w:spacing w:val="0"/>
          <w:w w:val="100"/>
          <w:kern w:val="0"/>
          <w:position w:val="0"/>
          <w:sz w:val="24"/>
          <w:szCs w:val="24"/>
          <w:u w:val="none" w:color="auto"/>
        </w:rPr>
        <w:t>施工期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废气</w:t>
      </w:r>
      <w:r>
        <w:rPr>
          <w:rFonts w:hint="default" w:ascii="Times New Roman" w:hAnsi="Times New Roman" w:eastAsia="宋体" w:cs="Times New Roman"/>
          <w:caps w:val="0"/>
          <w:smallCaps w:val="0"/>
          <w:color w:val="auto"/>
          <w:spacing w:val="0"/>
          <w:w w:val="100"/>
          <w:kern w:val="0"/>
          <w:position w:val="0"/>
          <w:sz w:val="24"/>
          <w:szCs w:val="24"/>
          <w:u w:val="none" w:color="auto"/>
        </w:rPr>
        <w:t>主要</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为</w:t>
      </w:r>
      <w:r>
        <w:rPr>
          <w:rFonts w:hint="default" w:ascii="Times New Roman" w:hAnsi="Times New Roman" w:eastAsia="宋体" w:cs="Times New Roman"/>
          <w:caps w:val="0"/>
          <w:smallCaps w:val="0"/>
          <w:color w:val="auto"/>
          <w:spacing w:val="0"/>
          <w:w w:val="100"/>
          <w:kern w:val="0"/>
          <w:position w:val="0"/>
          <w:sz w:val="24"/>
          <w:szCs w:val="24"/>
          <w:u w:val="none" w:color="auto"/>
        </w:rPr>
        <w:t>施工</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扬尘</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施工机械产生的燃油废气</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和沥青混凝土铺路产生的沥青烟</w:t>
      </w:r>
      <w:r>
        <w:rPr>
          <w:rFonts w:hint="default" w:ascii="Times New Roman" w:hAnsi="Times New Roman" w:eastAsia="宋体" w:cs="Times New Roman"/>
          <w:caps w:val="0"/>
          <w:smallCaps w:val="0"/>
          <w:color w:val="auto"/>
          <w:spacing w:val="0"/>
          <w:w w:val="100"/>
          <w:kern w:val="0"/>
          <w:position w:val="0"/>
          <w:sz w:val="24"/>
          <w:szCs w:val="24"/>
          <w:u w:val="none" w:color="auto"/>
        </w:rPr>
        <w:t>等。</w:t>
      </w:r>
    </w:p>
    <w:p w14:paraId="69515BE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position w:val="0"/>
          <w:sz w:val="24"/>
          <w:u w:val="none" w:color="auto"/>
          <w:lang w:eastAsia="zh-CN"/>
        </w:rPr>
      </w:pPr>
      <w:r>
        <w:rPr>
          <w:rFonts w:hint="default" w:ascii="Times New Roman" w:hAnsi="Times New Roman" w:eastAsia="宋体" w:cs="Times New Roman"/>
          <w:color w:val="auto"/>
          <w:spacing w:val="0"/>
          <w:w w:val="100"/>
          <w:position w:val="0"/>
          <w:sz w:val="24"/>
          <w:u w:val="none" w:color="auto"/>
          <w:lang w:eastAsia="zh-CN"/>
        </w:rPr>
        <w:t>(1)施工扬尘</w:t>
      </w:r>
    </w:p>
    <w:p w14:paraId="2730D0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position w:val="0"/>
          <w:sz w:val="24"/>
          <w:u w:val="none" w:color="auto"/>
          <w:lang w:eastAsia="zh-CN"/>
        </w:rPr>
      </w:pPr>
      <w:r>
        <w:rPr>
          <w:rFonts w:hint="default" w:ascii="Times New Roman" w:hAnsi="Times New Roman" w:eastAsia="宋体" w:cs="Times New Roman"/>
          <w:color w:val="auto"/>
          <w:spacing w:val="0"/>
          <w:w w:val="100"/>
          <w:position w:val="0"/>
          <w:sz w:val="24"/>
          <w:u w:val="none" w:color="auto"/>
          <w:lang w:eastAsia="zh-CN"/>
        </w:rPr>
        <w:t>①施工场地扬尘</w:t>
      </w:r>
    </w:p>
    <w:p w14:paraId="38274858">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施工场地扬尘主要来源于土石方开挖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、回填</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，同时物料装卸堆放、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拆除工程、抛石护脚施工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和裸露地面均会产生粉尘。</w:t>
      </w:r>
    </w:p>
    <w:p w14:paraId="4DB052FB">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本工程土石方开挖量约为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6.16</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万m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olor w:val="auto"/>
          <w:kern w:val="0"/>
          <w:sz w:val="24"/>
          <w:szCs w:val="24"/>
          <w:u w:val="none" w:color="auto"/>
          <w:lang w:val="en-US" w:eastAsia="zh-CN" w:bidi="ar"/>
        </w:rPr>
        <w:t>根据《环境影响评价技术手册-水利水电工程》，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在无防治措施的情况下，</w:t>
      </w:r>
      <w:r>
        <w:rPr>
          <w:rFonts w:hint="default" w:ascii="Times New Roman" w:hAnsi="Times New Roman" w:eastAsia="宋体" w:cs="Times New Roman"/>
          <w:color w:val="auto"/>
          <w:kern w:val="0"/>
          <w:sz w:val="24"/>
          <w:szCs w:val="24"/>
          <w:u w:val="none" w:color="auto"/>
          <w:lang w:val="en-US" w:eastAsia="zh-CN" w:bidi="ar"/>
        </w:rPr>
        <w:t>粉尘的产生系数为12t/万m</w:t>
      </w:r>
      <w:r>
        <w:rPr>
          <w:rFonts w:hint="default" w:ascii="Times New Roman" w:hAnsi="Times New Roman" w:eastAsia="宋体" w:cs="Times New Roman"/>
          <w:color w:val="auto"/>
          <w:kern w:val="0"/>
          <w:sz w:val="24"/>
          <w:szCs w:val="24"/>
          <w:u w:val="none" w:color="auto"/>
          <w:vertAlign w:val="superscript"/>
          <w:lang w:val="en-US" w:eastAsia="zh-CN" w:bidi="ar"/>
        </w:rPr>
        <w:t>3</w:t>
      </w:r>
      <w:r>
        <w:rPr>
          <w:rFonts w:hint="eastAsia" w:ascii="Times New Roman" w:hAnsi="Times New Roman" w:eastAsia="宋体" w:cs="Times New Roman"/>
          <w:color w:val="auto"/>
          <w:kern w:val="0"/>
          <w:sz w:val="24"/>
          <w:szCs w:val="24"/>
          <w:u w:val="none" w:color="auto"/>
          <w:lang w:val="en-US" w:eastAsia="zh-CN" w:bidi="ar"/>
        </w:rPr>
        <w:t>。</w:t>
      </w:r>
      <w:r>
        <w:rPr>
          <w:rFonts w:hint="eastAsia" w:ascii="宋体" w:hAnsi="宋体" w:eastAsia="宋体" w:cs="宋体"/>
          <w:color w:val="auto"/>
          <w:kern w:val="0"/>
          <w:sz w:val="24"/>
          <w:szCs w:val="24"/>
          <w:lang w:val="en-US" w:eastAsia="zh-CN" w:bidi="ar"/>
        </w:rPr>
        <w:t>考虑本工程主体主要是在潮湿环境中进行，起尘量远小于其他工程。同时采取</w:t>
      </w:r>
      <w:r>
        <w:rPr>
          <w:rFonts w:hint="default" w:ascii="Times New Roman" w:hAnsi="Times New Roman" w:eastAsia="宋体" w:cs="Times New Roman"/>
          <w:color w:val="auto"/>
          <w:kern w:val="0"/>
          <w:sz w:val="24"/>
          <w:szCs w:val="24"/>
          <w:u w:val="none" w:color="auto"/>
          <w:lang w:val="en-US" w:eastAsia="zh-CN" w:bidi="ar"/>
        </w:rPr>
        <w:t>洒水抑尘等措施</w:t>
      </w:r>
      <w:r>
        <w:rPr>
          <w:rFonts w:hint="eastAsia" w:ascii="Times New Roman" w:hAnsi="Times New Roman" w:eastAsia="宋体" w:cs="Times New Roman"/>
          <w:color w:val="auto"/>
          <w:kern w:val="0"/>
          <w:sz w:val="24"/>
          <w:szCs w:val="24"/>
          <w:u w:val="none" w:color="auto"/>
          <w:lang w:val="en-US" w:eastAsia="zh-CN" w:bidi="ar"/>
        </w:rPr>
        <w:t>，可有效抑制粉尘产生量。类比同类型工程，本项目</w:t>
      </w:r>
      <w:r>
        <w:rPr>
          <w:rFonts w:hint="eastAsia" w:ascii="宋体" w:hAnsi="宋体" w:eastAsia="宋体" w:cs="宋体"/>
          <w:color w:val="auto"/>
          <w:kern w:val="0"/>
          <w:sz w:val="24"/>
          <w:szCs w:val="24"/>
          <w:lang w:val="en-US" w:eastAsia="zh-CN" w:bidi="ar"/>
        </w:rPr>
        <w:t>开挖粉尘排放系数取</w:t>
      </w:r>
      <w:r>
        <w:rPr>
          <w:rFonts w:hint="default" w:ascii="Times New Roman" w:hAnsi="Times New Roman" w:eastAsia="宋体" w:cs="Times New Roman"/>
          <w:color w:val="auto"/>
          <w:kern w:val="0"/>
          <w:sz w:val="24"/>
          <w:szCs w:val="24"/>
          <w:lang w:val="en-US" w:eastAsia="zh-CN" w:bidi="ar"/>
        </w:rPr>
        <w:t>0.06</w:t>
      </w:r>
      <w:r>
        <w:rPr>
          <w:rFonts w:hint="default" w:ascii="Times New Roman" w:hAnsi="Times New Roman" w:eastAsia="宋体" w:cs="Times New Roman"/>
          <w:color w:val="auto"/>
          <w:kern w:val="0"/>
          <w:sz w:val="24"/>
          <w:szCs w:val="24"/>
          <w:u w:val="none" w:color="auto"/>
          <w:lang w:val="en-US" w:eastAsia="zh-CN" w:bidi="ar"/>
        </w:rPr>
        <w:t>t/万m</w:t>
      </w:r>
      <w:r>
        <w:rPr>
          <w:rFonts w:hint="default" w:ascii="Times New Roman" w:hAnsi="Times New Roman" w:eastAsia="宋体" w:cs="Times New Roman"/>
          <w:color w:val="auto"/>
          <w:kern w:val="0"/>
          <w:sz w:val="24"/>
          <w:szCs w:val="24"/>
          <w:u w:val="none" w:color="auto"/>
          <w:vertAlign w:val="superscript"/>
          <w:lang w:val="en-US" w:eastAsia="zh-CN" w:bidi="ar"/>
        </w:rPr>
        <w:t>3</w:t>
      </w:r>
      <w:r>
        <w:rPr>
          <w:rFonts w:hint="default" w:ascii="Times New Roman" w:hAnsi="Times New Roman" w:eastAsia="宋体" w:cs="Times New Roman"/>
          <w:color w:val="auto"/>
          <w:kern w:val="0"/>
          <w:sz w:val="24"/>
          <w:szCs w:val="24"/>
          <w:u w:val="none" w:color="auto"/>
          <w:lang w:val="en-US" w:eastAsia="zh-CN" w:bidi="ar"/>
        </w:rPr>
        <w:t>，则</w:t>
      </w:r>
      <w:r>
        <w:rPr>
          <w:rFonts w:hint="eastAsia" w:ascii="Times New Roman" w:hAnsi="Times New Roman" w:eastAsia="宋体" w:cs="Times New Roman"/>
          <w:color w:val="auto"/>
          <w:kern w:val="0"/>
          <w:sz w:val="24"/>
          <w:szCs w:val="24"/>
          <w:u w:val="none" w:color="auto"/>
          <w:lang w:val="en-US" w:eastAsia="zh-CN" w:bidi="ar"/>
        </w:rPr>
        <w:t>项目</w:t>
      </w:r>
      <w:r>
        <w:rPr>
          <w:rFonts w:hint="default" w:ascii="Times New Roman" w:hAnsi="Times New Roman" w:eastAsia="宋体" w:cs="Times New Roman"/>
          <w:color w:val="auto"/>
          <w:kern w:val="0"/>
          <w:sz w:val="24"/>
          <w:szCs w:val="24"/>
          <w:u w:val="none" w:color="auto"/>
          <w:lang w:val="en-US" w:eastAsia="zh-CN" w:bidi="ar"/>
        </w:rPr>
        <w:t>土石方开挖粉尘排放量为</w:t>
      </w:r>
      <w:r>
        <w:rPr>
          <w:rFonts w:hint="eastAsia" w:ascii="Times New Roman" w:hAnsi="Times New Roman" w:eastAsia="宋体" w:cs="Times New Roman"/>
          <w:color w:val="auto"/>
          <w:kern w:val="0"/>
          <w:sz w:val="24"/>
          <w:szCs w:val="24"/>
          <w:u w:val="none" w:color="auto"/>
          <w:lang w:val="en-US" w:eastAsia="zh-CN" w:bidi="ar"/>
        </w:rPr>
        <w:t>0.37</w:t>
      </w:r>
      <w:r>
        <w:rPr>
          <w:rFonts w:hint="default" w:ascii="Times New Roman" w:hAnsi="Times New Roman" w:eastAsia="宋体" w:cs="Times New Roman"/>
          <w:color w:val="auto"/>
          <w:kern w:val="0"/>
          <w:sz w:val="24"/>
          <w:szCs w:val="24"/>
          <w:u w:val="none" w:color="auto"/>
          <w:lang w:val="en-US" w:eastAsia="zh-CN" w:bidi="ar"/>
        </w:rPr>
        <w:t>t。</w:t>
      </w:r>
    </w:p>
    <w:p w14:paraId="78CE1CC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position w:val="0"/>
          <w:sz w:val="24"/>
          <w:u w:val="none" w:color="auto"/>
          <w:lang w:eastAsia="zh-CN"/>
        </w:rPr>
      </w:pPr>
      <w:r>
        <w:rPr>
          <w:rFonts w:hint="default" w:ascii="Times New Roman" w:hAnsi="Times New Roman" w:eastAsia="宋体" w:cs="Times New Roman"/>
          <w:color w:val="auto"/>
          <w:spacing w:val="0"/>
          <w:w w:val="100"/>
          <w:position w:val="0"/>
          <w:sz w:val="24"/>
          <w:u w:val="none" w:color="auto"/>
          <w:lang w:eastAsia="zh-CN"/>
        </w:rPr>
        <w:t>堆场物料的种类、性质及堆场风速与起尘量关系密切，比重小的物料容易受扰动而起尘，物料中细小颗粒比例大时起尘量相应也大。堆场的扬尘包括料堆的风吹扬尘、装卸扬尘和过往车辆引起路面积尘二次扬尘等，均易产生较大的尘污染，对周围环境带来一定的影响。</w:t>
      </w:r>
      <w:r>
        <w:rPr>
          <w:rFonts w:hint="eastAsia" w:ascii="Times New Roman" w:hAnsi="Times New Roman" w:eastAsia="宋体" w:cs="Times New Roman"/>
          <w:color w:val="auto"/>
          <w:spacing w:val="0"/>
          <w:w w:val="100"/>
          <w:position w:val="0"/>
          <w:sz w:val="24"/>
          <w:u w:val="none" w:color="auto"/>
          <w:lang w:eastAsia="zh-CN"/>
        </w:rPr>
        <w:t>同时拆除工程、</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抛石护脚施工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和裸露地面</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均会产生少量粉尘。</w:t>
      </w:r>
    </w:p>
    <w:p w14:paraId="0918BF5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pacing w:val="0"/>
          <w:w w:val="100"/>
          <w:position w:val="0"/>
          <w:sz w:val="24"/>
          <w:u w:val="none" w:color="auto"/>
          <w:lang w:eastAsia="zh-CN"/>
        </w:rPr>
      </w:pPr>
      <w:r>
        <w:rPr>
          <w:rFonts w:hint="default" w:ascii="Times New Roman" w:hAnsi="Times New Roman" w:eastAsia="微软雅黑" w:cs="Times New Roman"/>
          <w:color w:val="auto"/>
          <w:spacing w:val="0"/>
          <w:w w:val="100"/>
          <w:position w:val="0"/>
          <w:sz w:val="24"/>
          <w:u w:val="none" w:color="auto"/>
          <w:lang w:eastAsia="zh-CN"/>
        </w:rPr>
        <w:t>②</w:t>
      </w:r>
      <w:r>
        <w:rPr>
          <w:rFonts w:hint="default" w:ascii="Times New Roman" w:hAnsi="Times New Roman" w:eastAsia="宋体" w:cs="Times New Roman"/>
          <w:color w:val="auto"/>
          <w:spacing w:val="0"/>
          <w:w w:val="100"/>
          <w:position w:val="0"/>
          <w:sz w:val="24"/>
          <w:u w:val="none" w:color="auto"/>
          <w:lang w:eastAsia="zh-CN"/>
        </w:rPr>
        <w:t>运输扬尘</w:t>
      </w:r>
    </w:p>
    <w:p w14:paraId="7B7E77E6">
      <w:pPr>
        <w:adjustRightInd w:val="0"/>
        <w:snapToGrid w:val="0"/>
        <w:spacing w:line="360" w:lineRule="auto"/>
        <w:ind w:firstLine="480" w:firstLineChars="200"/>
        <w:rPr>
          <w:rFonts w:hint="default" w:ascii="Times New Roman" w:hAnsi="Times New Roman" w:eastAsia="宋体" w:cs="Times New Roman"/>
          <w:color w:val="auto"/>
          <w:spacing w:val="0"/>
          <w:w w:val="100"/>
          <w:position w:val="0"/>
          <w:sz w:val="24"/>
          <w:u w:val="none" w:color="auto"/>
          <w:lang w:eastAsia="zh-CN"/>
        </w:rPr>
      </w:pPr>
      <w:r>
        <w:rPr>
          <w:rFonts w:hint="default" w:ascii="Times New Roman" w:hAnsi="Times New Roman" w:eastAsia="宋体" w:cs="Times New Roman"/>
          <w:color w:val="auto"/>
          <w:spacing w:val="0"/>
          <w:w w:val="100"/>
          <w:position w:val="0"/>
          <w:sz w:val="24"/>
          <w:u w:val="none" w:color="auto"/>
          <w:lang w:eastAsia="zh-CN"/>
        </w:rPr>
        <w:t>运输扬尘主要是由施工车辆运输土石方和施工材料引起，引起道路扬尘的因素较多，主要跟车辆行驶速度、风速、路面积尘量和路面积尘湿度有关，其中风速还直接影响到扬尘的传输距离，尤其遇到干旱少雨季节，更为严重。</w:t>
      </w:r>
    </w:p>
    <w:p w14:paraId="3E7A19B6">
      <w:pPr>
        <w:adjustRightInd w:val="0"/>
        <w:snapToGrid w:val="0"/>
        <w:spacing w:line="360" w:lineRule="auto"/>
        <w:ind w:firstLine="480" w:firstLineChars="200"/>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color w:val="auto"/>
          <w:spacing w:val="0"/>
          <w:w w:val="100"/>
          <w:position w:val="0"/>
          <w:sz w:val="24"/>
          <w:u w:val="none" w:color="auto"/>
          <w:lang w:val="en-US" w:eastAsia="zh-CN"/>
        </w:rPr>
        <w:t>项目土石方、原料等由密闭货车运输，运输过程扬尘参照</w:t>
      </w:r>
      <w:r>
        <w:rPr>
          <w:rFonts w:hint="default" w:ascii="Times New Roman" w:hAnsi="Times New Roman" w:eastAsia="宋体" w:cs="Times New Roman"/>
          <w:color w:val="auto"/>
          <w:spacing w:val="0"/>
          <w:w w:val="100"/>
          <w:position w:val="0"/>
          <w:sz w:val="24"/>
          <w:u w:val="none" w:color="auto"/>
          <w:lang w:eastAsia="zh-CN"/>
        </w:rPr>
        <w:t>上海港环境保护中心和武汉水运工程学院提出的经验公式估算</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，公式如下：</w:t>
      </w:r>
    </w:p>
    <w:p w14:paraId="4FEE377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position w:val="0"/>
          <w:highlight w:val="none"/>
          <w:u w:val="none" w:color="auto"/>
          <w:vertAlign w:val="subscript"/>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highlight w:val="none"/>
          <w:u w:val="none" w:color="auto"/>
          <w:vertAlign w:val="subscript"/>
          <w:lang w:val="en-US" w:eastAsia="zh-CN"/>
          <w14:textFill>
            <w14:solidFill>
              <w14:schemeClr w14:val="tx1"/>
            </w14:solidFill>
          </w14:textFill>
        </w:rPr>
        <w:object>
          <v:shape id="_x0000_i1031" o:spt="75" type="#_x0000_t75" style="height:54pt;width:177pt;" o:ole="t" filled="f" o:preferrelative="t" stroked="f" coordsize="21600,21600">
            <v:path/>
            <v:fill on="f" focussize="0,0"/>
            <v:stroke on="f"/>
            <v:imagedata r:id="rId38" o:title=""/>
            <o:lock v:ext="edit" aspectratio="t"/>
            <w10:wrap type="none"/>
            <w10:anchorlock/>
          </v:shape>
          <o:OLEObject Type="Embed" ProgID="Equation.KSEE3" ShapeID="_x0000_i1031" DrawAspect="Content" ObjectID="_1468075731" r:id="rId37">
            <o:LockedField>false</o:LockedField>
          </o:OLEObject>
        </w:object>
      </w:r>
    </w:p>
    <w:p w14:paraId="58511A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式中：Qy——交通运输起尘量</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kg/km/辆</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p>
    <w:p w14:paraId="670BAB93">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V——车辆行驶速度</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km/h</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，平均</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20</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km/h；</w:t>
      </w:r>
    </w:p>
    <w:p w14:paraId="50D39ED0">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P——道路灰尘覆盖量(kg/m</w:t>
      </w:r>
      <w:r>
        <w:rPr>
          <w:rFonts w:hint="default" w:ascii="Times New Roman" w:hAnsi="Times New Roman" w:eastAsia="宋体" w:cs="Times New Roman"/>
          <w:b w:val="0"/>
          <w:bCs/>
          <w:color w:val="000000" w:themeColor="text1"/>
          <w:spacing w:val="0"/>
          <w:kern w:val="21"/>
          <w:position w:val="0"/>
          <w:sz w:val="24"/>
          <w:szCs w:val="24"/>
          <w:highlight w:val="none"/>
          <w:u w:val="none" w:color="auto"/>
          <w:vertAlign w:val="superscript"/>
          <w14:textFill>
            <w14:solidFill>
              <w14:schemeClr w14:val="tx1"/>
            </w14:solidFill>
          </w14:textFill>
        </w:rPr>
        <w:t>2</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)，水泥路面以0.015kg/m</w:t>
      </w:r>
      <w:r>
        <w:rPr>
          <w:rFonts w:hint="default" w:ascii="Times New Roman" w:hAnsi="Times New Roman" w:eastAsia="宋体" w:cs="Times New Roman"/>
          <w:b w:val="0"/>
          <w:bCs/>
          <w:color w:val="000000" w:themeColor="text1"/>
          <w:spacing w:val="0"/>
          <w:kern w:val="21"/>
          <w:position w:val="0"/>
          <w:sz w:val="24"/>
          <w:szCs w:val="24"/>
          <w:highlight w:val="none"/>
          <w:u w:val="none" w:color="auto"/>
          <w:vertAlign w:val="superscript"/>
          <w14:textFill>
            <w14:solidFill>
              <w14:schemeClr w14:val="tx1"/>
            </w14:solidFill>
          </w14:textFill>
        </w:rPr>
        <w:t>2</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计；</w:t>
      </w:r>
    </w:p>
    <w:p w14:paraId="030543A6">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M——车辆载重</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t/辆</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3</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0t/辆；</w:t>
      </w:r>
    </w:p>
    <w:p w14:paraId="076B01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FF0000"/>
          <w:spacing w:val="0"/>
          <w:kern w:val="21"/>
          <w:position w:val="0"/>
          <w:sz w:val="24"/>
          <w:szCs w:val="24"/>
          <w:highlight w:val="none"/>
          <w:u w:val="none" w:color="auto"/>
        </w:rPr>
      </w:pP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根据以上公式计算，</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本项目</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单辆运输车</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辆每公里运输</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道路扬尘</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产生</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量为</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0.14</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kg/</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km</w:t>
      </w:r>
      <w:r>
        <w:rPr>
          <w:rFonts w:hint="default" w:ascii="Times New Roman" w:hAnsi="Times New Roman" w:eastAsia="微软雅黑" w:cs="Times New Roman"/>
          <w:b w:val="0"/>
          <w:bCs/>
          <w:color w:val="000000" w:themeColor="text1"/>
          <w:spacing w:val="0"/>
          <w:kern w:val="21"/>
          <w:position w:val="0"/>
          <w:sz w:val="24"/>
          <w:szCs w:val="24"/>
          <w:highlight w:val="none"/>
          <w:u w:val="none" w:color="auto"/>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辆</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14:textFill>
            <w14:solidFill>
              <w14:schemeClr w14:val="tx1"/>
            </w14:solidFill>
          </w14:textFill>
        </w:rPr>
        <w:t>本项目</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土石方、原材料运距不等，</w:t>
      </w:r>
      <w:r>
        <w:rPr>
          <w:rFonts w:hint="default" w:ascii="Times New Roman" w:hAnsi="Times New Roman" w:eastAsia="宋体" w:cs="Times New Roman"/>
          <w:b w:val="0"/>
          <w:bCs/>
          <w:color w:val="auto"/>
          <w:spacing w:val="0"/>
          <w:kern w:val="21"/>
          <w:position w:val="0"/>
          <w:sz w:val="24"/>
          <w:szCs w:val="24"/>
          <w:highlight w:val="none"/>
          <w:u w:val="none" w:color="auto"/>
          <w:lang w:val="en-US" w:eastAsia="zh-CN"/>
        </w:rPr>
        <w:t>平均运距按</w:t>
      </w:r>
      <w:r>
        <w:rPr>
          <w:rFonts w:hint="eastAsia" w:ascii="Times New Roman" w:hAnsi="Times New Roman" w:eastAsia="宋体" w:cs="Times New Roman"/>
          <w:b w:val="0"/>
          <w:bCs/>
          <w:color w:val="auto"/>
          <w:spacing w:val="0"/>
          <w:kern w:val="21"/>
          <w:position w:val="0"/>
          <w:sz w:val="24"/>
          <w:szCs w:val="24"/>
          <w:highlight w:val="none"/>
          <w:u w:val="none" w:color="auto"/>
          <w:lang w:val="en-US" w:eastAsia="zh-CN"/>
        </w:rPr>
        <w:t>2</w:t>
      </w:r>
      <w:r>
        <w:rPr>
          <w:rFonts w:hint="default" w:ascii="Times New Roman" w:hAnsi="Times New Roman" w:eastAsia="宋体" w:cs="Times New Roman"/>
          <w:b w:val="0"/>
          <w:bCs/>
          <w:color w:val="auto"/>
          <w:spacing w:val="0"/>
          <w:kern w:val="21"/>
          <w:position w:val="0"/>
          <w:sz w:val="24"/>
          <w:szCs w:val="24"/>
          <w:highlight w:val="none"/>
          <w:u w:val="none" w:color="auto"/>
        </w:rPr>
        <w:t>km</w:t>
      </w:r>
      <w:r>
        <w:rPr>
          <w:rFonts w:hint="default" w:ascii="Times New Roman" w:hAnsi="Times New Roman" w:eastAsia="宋体" w:cs="Times New Roman"/>
          <w:b w:val="0"/>
          <w:bCs/>
          <w:color w:val="auto"/>
          <w:spacing w:val="0"/>
          <w:kern w:val="21"/>
          <w:position w:val="0"/>
          <w:sz w:val="24"/>
          <w:szCs w:val="24"/>
          <w:highlight w:val="none"/>
          <w:u w:val="none" w:color="auto"/>
          <w:lang w:eastAsia="zh-CN"/>
        </w:rPr>
        <w:t>计</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车流量按30辆/天计算，则</w:t>
      </w:r>
      <w:r>
        <w:rPr>
          <w:rFonts w:hint="default" w:ascii="Times New Roman" w:hAnsi="Times New Roman" w:eastAsia="宋体" w:cs="Times New Roman"/>
          <w:b w:val="0"/>
          <w:bCs/>
          <w:color w:val="auto"/>
          <w:spacing w:val="0"/>
          <w:kern w:val="21"/>
          <w:position w:val="0"/>
          <w:sz w:val="24"/>
          <w:szCs w:val="24"/>
          <w:highlight w:val="none"/>
          <w:u w:val="none" w:color="auto"/>
          <w:lang w:eastAsia="zh-CN"/>
        </w:rPr>
        <w:t>本项目</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施工期道路运输产生扬尘量为</w:t>
      </w:r>
      <w:r>
        <w:rPr>
          <w:rFonts w:hint="eastAsia"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8.4</w:t>
      </w:r>
      <w:r>
        <w:rPr>
          <w:rFonts w:hint="default" w:ascii="Times New Roman" w:hAnsi="Times New Roman" w:eastAsia="宋体" w:cs="Times New Roman"/>
          <w:b w:val="0"/>
          <w:bCs/>
          <w:color w:val="000000" w:themeColor="text1"/>
          <w:spacing w:val="0"/>
          <w:kern w:val="21"/>
          <w:position w:val="0"/>
          <w:sz w:val="24"/>
          <w:szCs w:val="24"/>
          <w:highlight w:val="none"/>
          <w:u w:val="none" w:color="auto"/>
          <w:lang w:val="en-US" w:eastAsia="zh-CN"/>
          <w14:textFill>
            <w14:solidFill>
              <w14:schemeClr w14:val="tx1"/>
            </w14:solidFill>
          </w14:textFill>
        </w:rPr>
        <w:t>kg/d，项目工期为</w:t>
      </w:r>
      <w:r>
        <w:rPr>
          <w:rFonts w:hint="eastAsia" w:ascii="Times New Roman" w:hAnsi="Times New Roman" w:eastAsia="宋体" w:cs="Times New Roman"/>
          <w:b w:val="0"/>
          <w:bCs/>
          <w:color w:val="auto"/>
          <w:spacing w:val="0"/>
          <w:kern w:val="21"/>
          <w:position w:val="0"/>
          <w:sz w:val="24"/>
          <w:szCs w:val="24"/>
          <w:highlight w:val="none"/>
          <w:u w:val="none" w:color="auto"/>
          <w:lang w:val="en-US" w:eastAsia="zh-CN"/>
        </w:rPr>
        <w:t>10</w:t>
      </w:r>
      <w:r>
        <w:rPr>
          <w:rFonts w:hint="default" w:ascii="Times New Roman" w:hAnsi="Times New Roman" w:eastAsia="宋体" w:cs="Times New Roman"/>
          <w:b w:val="0"/>
          <w:bCs/>
          <w:color w:val="auto"/>
          <w:spacing w:val="0"/>
          <w:kern w:val="21"/>
          <w:position w:val="0"/>
          <w:sz w:val="24"/>
          <w:szCs w:val="24"/>
          <w:highlight w:val="none"/>
          <w:u w:val="none" w:color="auto"/>
          <w:lang w:val="en-US" w:eastAsia="zh-CN"/>
        </w:rPr>
        <w:t>个月，则年产生运输扬尘量约为</w:t>
      </w:r>
      <w:r>
        <w:rPr>
          <w:rFonts w:hint="eastAsia" w:ascii="Times New Roman" w:hAnsi="Times New Roman" w:eastAsia="宋体" w:cs="Times New Roman"/>
          <w:b w:val="0"/>
          <w:bCs/>
          <w:color w:val="auto"/>
          <w:spacing w:val="0"/>
          <w:kern w:val="21"/>
          <w:position w:val="0"/>
          <w:sz w:val="24"/>
          <w:szCs w:val="24"/>
          <w:highlight w:val="none"/>
          <w:u w:val="none" w:color="auto"/>
          <w:lang w:val="en-US" w:eastAsia="zh-CN"/>
        </w:rPr>
        <w:t>2.52</w:t>
      </w:r>
      <w:r>
        <w:rPr>
          <w:rFonts w:hint="default" w:ascii="Times New Roman" w:hAnsi="Times New Roman" w:eastAsia="宋体" w:cs="Times New Roman"/>
          <w:b w:val="0"/>
          <w:bCs/>
          <w:color w:val="auto"/>
          <w:spacing w:val="0"/>
          <w:kern w:val="21"/>
          <w:position w:val="0"/>
          <w:sz w:val="24"/>
          <w:szCs w:val="24"/>
          <w:highlight w:val="none"/>
          <w:u w:val="none" w:color="auto"/>
          <w:lang w:val="en-US" w:eastAsia="zh-CN"/>
        </w:rPr>
        <w:t>t/a</w:t>
      </w:r>
      <w:r>
        <w:rPr>
          <w:rFonts w:hint="default" w:ascii="Times New Roman" w:hAnsi="Times New Roman" w:eastAsia="宋体" w:cs="Times New Roman"/>
          <w:b w:val="0"/>
          <w:bCs/>
          <w:color w:val="auto"/>
          <w:spacing w:val="0"/>
          <w:kern w:val="21"/>
          <w:position w:val="0"/>
          <w:sz w:val="24"/>
          <w:szCs w:val="24"/>
          <w:highlight w:val="none"/>
          <w:u w:val="none" w:color="auto"/>
        </w:rPr>
        <w:t>。</w:t>
      </w:r>
    </w:p>
    <w:p w14:paraId="66C039D8">
      <w:pPr>
        <w:adjustRightInd w:val="0"/>
        <w:snapToGrid w:val="0"/>
        <w:spacing w:line="360" w:lineRule="auto"/>
        <w:ind w:firstLine="480" w:firstLineChars="200"/>
        <w:rPr>
          <w:rFonts w:hint="default" w:ascii="Times New Roman" w:hAnsi="Times New Roman" w:eastAsia="宋体" w:cs="Times New Roman"/>
          <w:color w:val="auto"/>
          <w:spacing w:val="0"/>
          <w:w w:val="100"/>
          <w:position w:val="0"/>
          <w:sz w:val="24"/>
          <w:u w:val="none" w:color="auto"/>
          <w:lang w:val="en-US" w:eastAsia="zh-CN"/>
        </w:rPr>
      </w:pPr>
      <w:r>
        <w:rPr>
          <w:rFonts w:hint="default" w:ascii="Times New Roman" w:hAnsi="Times New Roman" w:eastAsia="宋体" w:cs="Times New Roman"/>
          <w:color w:val="auto"/>
          <w:spacing w:val="0"/>
          <w:w w:val="100"/>
          <w:position w:val="0"/>
          <w:sz w:val="24"/>
          <w:u w:val="none" w:color="auto"/>
          <w:lang w:val="en-US" w:eastAsia="zh-CN"/>
        </w:rPr>
        <w:t>（2）施工机械燃油废气</w:t>
      </w:r>
    </w:p>
    <w:p w14:paraId="073FE8EE">
      <w:pPr>
        <w:keepNext w:val="0"/>
        <w:keepLines w:val="0"/>
        <w:widowControl/>
        <w:suppressLineNumbers w:val="0"/>
        <w:spacing w:line="360" w:lineRule="auto"/>
        <w:ind w:firstLine="480" w:firstLineChars="200"/>
        <w:jc w:val="left"/>
        <w:rPr>
          <w:rFonts w:hint="default" w:ascii="Times New Roman" w:hAnsi="Times New Roman" w:eastAsia="TTBFo00" w:cs="Times New Roman"/>
          <w:color w:val="000000"/>
          <w:kern w:val="0"/>
          <w:sz w:val="24"/>
          <w:szCs w:val="24"/>
          <w:u w:val="none" w:color="auto"/>
          <w:lang w:val="en-US" w:eastAsia="zh-CN" w:bidi="ar"/>
        </w:rPr>
      </w:pPr>
      <w:r>
        <w:rPr>
          <w:rFonts w:hint="default" w:ascii="Times New Roman" w:hAnsi="Times New Roman" w:eastAsia="TTBFo00" w:cs="Times New Roman"/>
          <w:color w:val="000000"/>
          <w:kern w:val="0"/>
          <w:sz w:val="24"/>
          <w:szCs w:val="24"/>
          <w:u w:val="none" w:color="auto"/>
          <w:lang w:val="en-US" w:eastAsia="zh-CN" w:bidi="ar"/>
        </w:rPr>
        <w:t>工程施工过程中需使用大量的燃油机械设备及运输车辆，机械燃油废气为无组织排放源，在使用过程中会产生 NOx、CO、HC和颗粒物等污染物。</w:t>
      </w:r>
      <w:r>
        <w:rPr>
          <w:rFonts w:hint="eastAsia" w:ascii="Times New Roman" w:hAnsi="Times New Roman" w:eastAsia="宋体" w:cs="Times New Roman"/>
          <w:color w:val="auto"/>
          <w:spacing w:val="0"/>
          <w:w w:val="100"/>
          <w:position w:val="0"/>
          <w:sz w:val="24"/>
          <w:u w:val="none" w:color="auto"/>
          <w:lang w:val="en-US" w:eastAsia="zh-CN"/>
        </w:rPr>
        <w:t>根据初步设计，</w:t>
      </w:r>
      <w:r>
        <w:rPr>
          <w:rFonts w:hint="default" w:ascii="Times New Roman" w:hAnsi="Times New Roman" w:eastAsia="TTBFo00" w:cs="Times New Roman"/>
          <w:color w:val="000000"/>
          <w:kern w:val="0"/>
          <w:sz w:val="24"/>
          <w:szCs w:val="24"/>
          <w:u w:val="none" w:color="auto"/>
          <w:lang w:val="en-US" w:eastAsia="zh-CN" w:bidi="ar"/>
        </w:rPr>
        <w:t>施工期约消耗油料</w:t>
      </w:r>
      <w:r>
        <w:rPr>
          <w:rFonts w:hint="eastAsia" w:ascii="Times New Roman" w:hAnsi="Times New Roman" w:eastAsia="宋体" w:cs="Times New Roman"/>
          <w:color w:val="auto"/>
          <w:spacing w:val="0"/>
          <w:w w:val="100"/>
          <w:position w:val="0"/>
          <w:sz w:val="24"/>
          <w:u w:val="none" w:color="auto"/>
          <w:lang w:val="en-US" w:eastAsia="zh-CN"/>
        </w:rPr>
        <w:t>287.496</w:t>
      </w:r>
      <w:r>
        <w:rPr>
          <w:rFonts w:hint="default" w:ascii="Times New Roman" w:hAnsi="Times New Roman" w:eastAsia="TTBFo00" w:cs="Times New Roman"/>
          <w:color w:val="000000"/>
          <w:kern w:val="0"/>
          <w:sz w:val="24"/>
          <w:szCs w:val="24"/>
          <w:u w:val="none" w:color="auto"/>
          <w:lang w:val="en-US" w:eastAsia="zh-CN" w:bidi="ar"/>
        </w:rPr>
        <w:t xml:space="preserve">t。 </w:t>
      </w:r>
    </w:p>
    <w:p w14:paraId="095B22A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pacing w:val="0"/>
          <w:w w:val="100"/>
          <w:position w:val="0"/>
          <w:sz w:val="24"/>
          <w:u w:val="none" w:color="auto"/>
          <w:lang w:val="en-US" w:eastAsia="zh-CN"/>
        </w:rPr>
      </w:pPr>
      <w:r>
        <w:rPr>
          <w:rFonts w:hint="default" w:ascii="Times New Roman" w:hAnsi="Times New Roman" w:eastAsia="宋体" w:cs="Times New Roman"/>
          <w:color w:val="auto"/>
          <w:spacing w:val="0"/>
          <w:w w:val="100"/>
          <w:position w:val="0"/>
          <w:sz w:val="24"/>
          <w:u w:val="none" w:color="auto"/>
          <w:lang w:eastAsia="zh-CN"/>
        </w:rPr>
        <w:t>燃油废气</w:t>
      </w:r>
      <w:r>
        <w:rPr>
          <w:rFonts w:hint="default" w:ascii="Times New Roman" w:hAnsi="Times New Roman" w:eastAsia="宋体" w:cs="Times New Roman"/>
          <w:color w:val="000000"/>
          <w:kern w:val="0"/>
          <w:sz w:val="24"/>
          <w:szCs w:val="24"/>
          <w:u w:val="none" w:color="auto"/>
          <w:lang w:val="en-US" w:eastAsia="zh-CN" w:bidi="ar"/>
        </w:rPr>
        <w:t>产生量与施工机械数量及密度、耗油量、燃料品质及机械设备状况等有关</w:t>
      </w:r>
      <w:r>
        <w:rPr>
          <w:rFonts w:hint="eastAsia" w:ascii="Times New Roman" w:hAnsi="Times New Roman" w:eastAsia="宋体" w:cs="Times New Roman"/>
          <w:color w:val="000000"/>
          <w:kern w:val="0"/>
          <w:sz w:val="24"/>
          <w:szCs w:val="24"/>
          <w:u w:val="none" w:color="auto"/>
          <w:lang w:val="en-US" w:eastAsia="zh-CN" w:bidi="ar"/>
        </w:rPr>
        <w:t>，</w:t>
      </w:r>
      <w:r>
        <w:rPr>
          <w:rFonts w:hint="default" w:ascii="Times New Roman" w:hAnsi="Times New Roman" w:eastAsia="宋体" w:cs="Times New Roman"/>
          <w:color w:val="auto"/>
          <w:spacing w:val="0"/>
          <w:w w:val="100"/>
          <w:position w:val="0"/>
          <w:sz w:val="24"/>
          <w:u w:val="none" w:color="auto"/>
          <w:lang w:val="en-US" w:eastAsia="zh-CN"/>
        </w:rPr>
        <w:t>参照《非道路移动源大气污染物排放清单编制技术指南（试行）》中的计算方法，</w:t>
      </w:r>
      <w:r>
        <w:rPr>
          <w:rFonts w:hint="eastAsia" w:ascii="Times New Roman" w:hAnsi="Times New Roman" w:eastAsia="宋体" w:cs="Times New Roman"/>
          <w:color w:val="auto"/>
          <w:spacing w:val="0"/>
          <w:w w:val="100"/>
          <w:position w:val="0"/>
          <w:sz w:val="24"/>
          <w:u w:val="none" w:color="auto"/>
          <w:lang w:val="en-US" w:eastAsia="zh-CN"/>
        </w:rPr>
        <w:t>经计算</w:t>
      </w:r>
      <w:r>
        <w:rPr>
          <w:rFonts w:hint="default" w:ascii="Times New Roman" w:hAnsi="Times New Roman" w:eastAsia="宋体" w:cs="Times New Roman"/>
          <w:color w:val="auto"/>
          <w:spacing w:val="0"/>
          <w:w w:val="100"/>
          <w:position w:val="0"/>
          <w:sz w:val="24"/>
          <w:u w:val="none" w:color="auto"/>
          <w:lang w:val="en-US" w:eastAsia="zh-CN"/>
        </w:rPr>
        <w:t>施工期工程机械大气污染物排放量计算结果见表2.</w:t>
      </w:r>
      <w:r>
        <w:rPr>
          <w:rFonts w:hint="eastAsia" w:ascii="Times New Roman" w:hAnsi="Times New Roman" w:eastAsia="宋体" w:cs="Times New Roman"/>
          <w:color w:val="auto"/>
          <w:spacing w:val="0"/>
          <w:w w:val="100"/>
          <w:position w:val="0"/>
          <w:sz w:val="24"/>
          <w:u w:val="none" w:color="auto"/>
          <w:lang w:val="en-US" w:eastAsia="zh-CN"/>
        </w:rPr>
        <w:t>4</w:t>
      </w:r>
      <w:r>
        <w:rPr>
          <w:rFonts w:hint="default" w:ascii="Times New Roman" w:hAnsi="Times New Roman" w:eastAsia="宋体" w:cs="Times New Roman"/>
          <w:color w:val="auto"/>
          <w:spacing w:val="0"/>
          <w:w w:val="100"/>
          <w:position w:val="0"/>
          <w:sz w:val="24"/>
          <w:u w:val="none" w:color="auto"/>
          <w:lang w:val="en-US" w:eastAsia="zh-CN"/>
        </w:rPr>
        <w:t xml:space="preserve">-1。 </w:t>
      </w:r>
    </w:p>
    <w:p w14:paraId="0C38040E">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spacing w:val="0"/>
          <w:w w:val="100"/>
          <w:position w:val="0"/>
          <w:sz w:val="24"/>
          <w:u w:val="none" w:color="auto"/>
          <w:lang w:val="en-US" w:eastAsia="zh-CN"/>
        </w:rPr>
      </w:pPr>
      <w:r>
        <w:rPr>
          <w:rFonts w:hint="default" w:ascii="Times New Roman" w:hAnsi="Times New Roman" w:eastAsia="宋体" w:cs="Times New Roman"/>
          <w:b/>
          <w:bCs/>
          <w:color w:val="auto"/>
          <w:spacing w:val="0"/>
          <w:w w:val="100"/>
          <w:position w:val="0"/>
          <w:sz w:val="24"/>
          <w:u w:val="none" w:color="auto"/>
          <w:lang w:eastAsia="zh-CN"/>
        </w:rPr>
        <w:t>表</w:t>
      </w:r>
      <w:r>
        <w:rPr>
          <w:rFonts w:hint="default" w:ascii="Times New Roman" w:hAnsi="Times New Roman" w:eastAsia="宋体" w:cs="Times New Roman"/>
          <w:b/>
          <w:bCs/>
          <w:color w:val="auto"/>
          <w:spacing w:val="0"/>
          <w:w w:val="100"/>
          <w:position w:val="0"/>
          <w:sz w:val="24"/>
          <w:u w:val="none" w:color="auto"/>
          <w:lang w:val="en-US" w:eastAsia="zh-CN"/>
        </w:rPr>
        <w:t>2.</w:t>
      </w:r>
      <w:r>
        <w:rPr>
          <w:rFonts w:hint="eastAsia" w:ascii="Times New Roman" w:hAnsi="Times New Roman" w:eastAsia="宋体" w:cs="Times New Roman"/>
          <w:b/>
          <w:bCs/>
          <w:color w:val="auto"/>
          <w:spacing w:val="0"/>
          <w:w w:val="100"/>
          <w:position w:val="0"/>
          <w:sz w:val="24"/>
          <w:u w:val="none" w:color="auto"/>
          <w:lang w:val="en-US" w:eastAsia="zh-CN"/>
        </w:rPr>
        <w:t>4</w:t>
      </w:r>
      <w:r>
        <w:rPr>
          <w:rFonts w:hint="default" w:ascii="Times New Roman" w:hAnsi="Times New Roman" w:eastAsia="宋体" w:cs="Times New Roman"/>
          <w:b/>
          <w:bCs/>
          <w:color w:val="auto"/>
          <w:spacing w:val="0"/>
          <w:w w:val="100"/>
          <w:position w:val="0"/>
          <w:sz w:val="24"/>
          <w:u w:val="none" w:color="auto"/>
          <w:lang w:val="en-US" w:eastAsia="zh-CN"/>
        </w:rPr>
        <w:t>-</w:t>
      </w:r>
      <w:r>
        <w:rPr>
          <w:rFonts w:hint="eastAsia" w:ascii="Times New Roman" w:hAnsi="Times New Roman" w:eastAsia="宋体" w:cs="Times New Roman"/>
          <w:b/>
          <w:bCs/>
          <w:color w:val="auto"/>
          <w:spacing w:val="0"/>
          <w:w w:val="100"/>
          <w:position w:val="0"/>
          <w:sz w:val="24"/>
          <w:u w:val="none" w:color="auto"/>
          <w:lang w:val="en-US" w:eastAsia="zh-CN"/>
        </w:rPr>
        <w:t>1</w:t>
      </w:r>
      <w:r>
        <w:rPr>
          <w:rFonts w:hint="default" w:ascii="Times New Roman" w:hAnsi="Times New Roman" w:eastAsia="宋体" w:cs="Times New Roman"/>
          <w:b/>
          <w:bCs/>
          <w:color w:val="auto"/>
          <w:spacing w:val="0"/>
          <w:w w:val="100"/>
          <w:position w:val="0"/>
          <w:sz w:val="24"/>
          <w:u w:val="none" w:color="auto"/>
          <w:lang w:val="en-US" w:eastAsia="zh-CN"/>
        </w:rPr>
        <w:t xml:space="preserve">  施工机械燃油废气排放量</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35"/>
        <w:gridCol w:w="1477"/>
        <w:gridCol w:w="1383"/>
        <w:gridCol w:w="2271"/>
        <w:gridCol w:w="2250"/>
      </w:tblGrid>
      <w:tr w14:paraId="55F0CA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blHeader/>
          <w:jc w:val="center"/>
        </w:trPr>
        <w:tc>
          <w:tcPr>
            <w:tcW w:w="1135" w:type="dxa"/>
            <w:tcBorders>
              <w:tl2br w:val="nil"/>
              <w:tr2bl w:val="nil"/>
            </w:tcBorders>
            <w:shd w:val="clear" w:color="auto" w:fill="auto"/>
            <w:noWrap/>
            <w:vAlign w:val="center"/>
          </w:tcPr>
          <w:p w14:paraId="52C6A4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color="auto"/>
                <w:lang w:eastAsia="zh-CN"/>
              </w:rPr>
            </w:pPr>
            <w:r>
              <w:rPr>
                <w:rFonts w:hint="default" w:ascii="Times New Roman" w:hAnsi="Times New Roman" w:eastAsia="宋体" w:cs="Times New Roman"/>
                <w:b/>
                <w:bCs/>
                <w:i w:val="0"/>
                <w:iCs w:val="0"/>
                <w:color w:val="000000"/>
                <w:sz w:val="21"/>
                <w:szCs w:val="21"/>
                <w:u w:val="none" w:color="auto"/>
                <w:lang w:eastAsia="zh-CN"/>
              </w:rPr>
              <w:t>燃油种类</w:t>
            </w:r>
          </w:p>
        </w:tc>
        <w:tc>
          <w:tcPr>
            <w:tcW w:w="1477" w:type="dxa"/>
            <w:tcBorders>
              <w:tl2br w:val="nil"/>
              <w:tr2bl w:val="nil"/>
            </w:tcBorders>
            <w:shd w:val="clear" w:color="auto" w:fill="auto"/>
            <w:noWrap/>
            <w:vAlign w:val="center"/>
          </w:tcPr>
          <w:p w14:paraId="47B52F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color="auto"/>
                <w:lang w:val="en-US"/>
              </w:rPr>
            </w:pPr>
            <w:r>
              <w:rPr>
                <w:rFonts w:hint="default" w:ascii="Times New Roman" w:hAnsi="Times New Roman" w:eastAsia="宋体" w:cs="Times New Roman"/>
                <w:b/>
                <w:bCs/>
                <w:i w:val="0"/>
                <w:iCs w:val="0"/>
                <w:color w:val="000000"/>
                <w:kern w:val="0"/>
                <w:sz w:val="21"/>
                <w:szCs w:val="21"/>
                <w:u w:val="none" w:color="auto"/>
                <w:lang w:val="en-US" w:eastAsia="zh-CN" w:bidi="ar"/>
              </w:rPr>
              <w:t>消耗量t</w:t>
            </w:r>
          </w:p>
        </w:tc>
        <w:tc>
          <w:tcPr>
            <w:tcW w:w="1383" w:type="dxa"/>
            <w:tcBorders>
              <w:tl2br w:val="nil"/>
              <w:tr2bl w:val="nil"/>
            </w:tcBorders>
            <w:shd w:val="clear" w:color="auto" w:fill="auto"/>
            <w:noWrap/>
            <w:vAlign w:val="center"/>
          </w:tcPr>
          <w:p w14:paraId="36FD396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color="auto"/>
                <w:lang w:eastAsia="zh-CN"/>
              </w:rPr>
            </w:pPr>
            <w:r>
              <w:rPr>
                <w:rFonts w:hint="default" w:ascii="Times New Roman" w:hAnsi="Times New Roman" w:eastAsia="宋体" w:cs="Times New Roman"/>
                <w:b/>
                <w:bCs/>
                <w:i w:val="0"/>
                <w:iCs w:val="0"/>
                <w:color w:val="000000"/>
                <w:sz w:val="21"/>
                <w:szCs w:val="21"/>
                <w:u w:val="none" w:color="auto"/>
                <w:lang w:eastAsia="zh-CN"/>
              </w:rPr>
              <w:t>排放因子</w:t>
            </w:r>
          </w:p>
        </w:tc>
        <w:tc>
          <w:tcPr>
            <w:tcW w:w="2271" w:type="dxa"/>
            <w:tcBorders>
              <w:tl2br w:val="nil"/>
              <w:tr2bl w:val="nil"/>
            </w:tcBorders>
            <w:shd w:val="clear" w:color="auto" w:fill="auto"/>
            <w:noWrap/>
            <w:vAlign w:val="center"/>
          </w:tcPr>
          <w:p w14:paraId="0AD31C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color="auto"/>
                <w:lang w:val="en-US" w:eastAsia="zh-CN"/>
              </w:rPr>
            </w:pPr>
            <w:r>
              <w:rPr>
                <w:rFonts w:hint="default" w:ascii="Times New Roman" w:hAnsi="Times New Roman" w:eastAsia="宋体" w:cs="Times New Roman"/>
                <w:b/>
                <w:bCs/>
                <w:i w:val="0"/>
                <w:iCs w:val="0"/>
                <w:color w:val="000000"/>
                <w:sz w:val="21"/>
                <w:szCs w:val="21"/>
                <w:u w:val="none" w:color="auto"/>
                <w:lang w:eastAsia="zh-CN"/>
              </w:rPr>
              <w:t>排放系数</w:t>
            </w:r>
            <w:r>
              <w:rPr>
                <w:rFonts w:hint="default" w:ascii="Times New Roman" w:hAnsi="Times New Roman" w:eastAsia="宋体" w:cs="Times New Roman"/>
                <w:b/>
                <w:bCs/>
                <w:i w:val="0"/>
                <w:iCs w:val="0"/>
                <w:color w:val="000000"/>
                <w:sz w:val="21"/>
                <w:szCs w:val="21"/>
                <w:u w:val="none" w:color="auto"/>
                <w:lang w:val="en-US" w:eastAsia="zh-CN"/>
              </w:rPr>
              <w:t>g/kg</w:t>
            </w:r>
          </w:p>
        </w:tc>
        <w:tc>
          <w:tcPr>
            <w:tcW w:w="2250" w:type="dxa"/>
            <w:tcBorders>
              <w:tl2br w:val="nil"/>
              <w:tr2bl w:val="nil"/>
            </w:tcBorders>
            <w:shd w:val="clear" w:color="auto" w:fill="auto"/>
            <w:noWrap/>
            <w:vAlign w:val="center"/>
          </w:tcPr>
          <w:p w14:paraId="5C4F3FE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color="auto"/>
                <w:lang w:val="en-US" w:eastAsia="zh-CN"/>
              </w:rPr>
            </w:pPr>
            <w:r>
              <w:rPr>
                <w:rFonts w:hint="eastAsia" w:ascii="Times New Roman" w:hAnsi="Times New Roman" w:eastAsia="宋体" w:cs="Times New Roman"/>
                <w:b/>
                <w:bCs/>
                <w:i w:val="0"/>
                <w:iCs w:val="0"/>
                <w:color w:val="000000"/>
                <w:sz w:val="21"/>
                <w:szCs w:val="21"/>
                <w:u w:val="none" w:color="auto"/>
                <w:lang w:eastAsia="zh-CN"/>
              </w:rPr>
              <w:t>污染物</w:t>
            </w:r>
            <w:r>
              <w:rPr>
                <w:rFonts w:hint="default" w:ascii="Times New Roman" w:hAnsi="Times New Roman" w:eastAsia="宋体" w:cs="Times New Roman"/>
                <w:b/>
                <w:bCs/>
                <w:i w:val="0"/>
                <w:iCs w:val="0"/>
                <w:color w:val="000000"/>
                <w:sz w:val="21"/>
                <w:szCs w:val="21"/>
                <w:u w:val="none" w:color="auto"/>
                <w:lang w:eastAsia="zh-CN"/>
              </w:rPr>
              <w:t>排放量</w:t>
            </w:r>
            <w:r>
              <w:rPr>
                <w:rFonts w:hint="default" w:ascii="Times New Roman" w:hAnsi="Times New Roman" w:eastAsia="宋体" w:cs="Times New Roman"/>
                <w:b/>
                <w:bCs/>
                <w:i w:val="0"/>
                <w:iCs w:val="0"/>
                <w:color w:val="000000"/>
                <w:kern w:val="0"/>
                <w:sz w:val="21"/>
                <w:szCs w:val="21"/>
                <w:u w:val="none" w:color="auto"/>
                <w:lang w:val="en-US" w:eastAsia="zh-CN" w:bidi="ar"/>
              </w:rPr>
              <w:t>t</w:t>
            </w:r>
          </w:p>
        </w:tc>
      </w:tr>
      <w:tr w14:paraId="55D868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35" w:type="dxa"/>
            <w:vMerge w:val="restart"/>
            <w:tcBorders>
              <w:tl2br w:val="nil"/>
              <w:tr2bl w:val="nil"/>
            </w:tcBorders>
            <w:shd w:val="clear" w:color="auto" w:fill="auto"/>
            <w:noWrap/>
            <w:vAlign w:val="center"/>
          </w:tcPr>
          <w:p w14:paraId="60A4443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eastAsia="zh-CN"/>
              </w:rPr>
            </w:pPr>
            <w:r>
              <w:rPr>
                <w:rFonts w:hint="default" w:ascii="Times New Roman" w:hAnsi="Times New Roman" w:eastAsia="宋体" w:cs="Times New Roman"/>
                <w:b w:val="0"/>
                <w:bCs w:val="0"/>
                <w:i w:val="0"/>
                <w:iCs w:val="0"/>
                <w:color w:val="000000"/>
                <w:sz w:val="21"/>
                <w:szCs w:val="21"/>
                <w:u w:val="none" w:color="auto"/>
                <w:lang w:eastAsia="zh-CN"/>
              </w:rPr>
              <w:t>柴油</w:t>
            </w:r>
          </w:p>
        </w:tc>
        <w:tc>
          <w:tcPr>
            <w:tcW w:w="1477" w:type="dxa"/>
            <w:vMerge w:val="restart"/>
            <w:tcBorders>
              <w:tl2br w:val="nil"/>
              <w:tr2bl w:val="nil"/>
            </w:tcBorders>
            <w:shd w:val="clear" w:color="auto" w:fill="auto"/>
            <w:noWrap/>
            <w:vAlign w:val="center"/>
          </w:tcPr>
          <w:p w14:paraId="68FFD1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color="auto"/>
                <w:lang w:val="en-US" w:eastAsia="zh-CN" w:bidi="ar"/>
              </w:rPr>
            </w:pPr>
            <w:r>
              <w:rPr>
                <w:rFonts w:hint="eastAsia" w:ascii="Times New Roman" w:hAnsi="Times New Roman" w:eastAsia="宋体" w:cs="Times New Roman"/>
                <w:b w:val="0"/>
                <w:bCs w:val="0"/>
                <w:i w:val="0"/>
                <w:iCs w:val="0"/>
                <w:color w:val="000000"/>
                <w:kern w:val="0"/>
                <w:sz w:val="21"/>
                <w:szCs w:val="21"/>
                <w:u w:val="none" w:color="auto"/>
                <w:lang w:val="en-US" w:eastAsia="zh-CN" w:bidi="ar"/>
              </w:rPr>
              <w:t>287.496</w:t>
            </w:r>
          </w:p>
        </w:tc>
        <w:tc>
          <w:tcPr>
            <w:tcW w:w="1383" w:type="dxa"/>
            <w:tcBorders>
              <w:tl2br w:val="nil"/>
              <w:tr2bl w:val="nil"/>
            </w:tcBorders>
            <w:shd w:val="clear" w:color="auto" w:fill="auto"/>
            <w:noWrap/>
            <w:vAlign w:val="center"/>
          </w:tcPr>
          <w:p w14:paraId="5D1C4D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PM</w:t>
            </w:r>
            <w:r>
              <w:rPr>
                <w:rFonts w:hint="default" w:ascii="Times New Roman" w:hAnsi="Times New Roman" w:eastAsia="宋体" w:cs="Times New Roman"/>
                <w:b w:val="0"/>
                <w:bCs w:val="0"/>
                <w:i w:val="0"/>
                <w:iCs w:val="0"/>
                <w:color w:val="000000"/>
                <w:sz w:val="21"/>
                <w:szCs w:val="21"/>
                <w:u w:val="none" w:color="auto"/>
                <w:vertAlign w:val="subscript"/>
                <w:lang w:val="en-US" w:eastAsia="zh-CN"/>
              </w:rPr>
              <w:t>10</w:t>
            </w:r>
          </w:p>
        </w:tc>
        <w:tc>
          <w:tcPr>
            <w:tcW w:w="2271" w:type="dxa"/>
            <w:tcBorders>
              <w:tl2br w:val="nil"/>
              <w:tr2bl w:val="nil"/>
            </w:tcBorders>
            <w:shd w:val="clear" w:color="auto" w:fill="auto"/>
            <w:noWrap/>
            <w:vAlign w:val="center"/>
          </w:tcPr>
          <w:p w14:paraId="1E28FC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2.086</w:t>
            </w:r>
          </w:p>
        </w:tc>
        <w:tc>
          <w:tcPr>
            <w:tcW w:w="2250" w:type="dxa"/>
            <w:tcBorders>
              <w:tl2br w:val="nil"/>
              <w:tr2bl w:val="nil"/>
            </w:tcBorders>
            <w:shd w:val="clear" w:color="auto" w:fill="auto"/>
            <w:noWrap/>
            <w:vAlign w:val="center"/>
          </w:tcPr>
          <w:p w14:paraId="12919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0.60 </w:t>
            </w:r>
          </w:p>
        </w:tc>
      </w:tr>
      <w:tr w14:paraId="74E924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35" w:type="dxa"/>
            <w:vMerge w:val="continue"/>
            <w:tcBorders>
              <w:tl2br w:val="nil"/>
              <w:tr2bl w:val="nil"/>
            </w:tcBorders>
            <w:shd w:val="clear" w:color="auto" w:fill="auto"/>
            <w:noWrap/>
            <w:vAlign w:val="center"/>
          </w:tcPr>
          <w:p w14:paraId="502CFD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eastAsia="zh-CN"/>
              </w:rPr>
            </w:pPr>
          </w:p>
        </w:tc>
        <w:tc>
          <w:tcPr>
            <w:tcW w:w="1477" w:type="dxa"/>
            <w:vMerge w:val="continue"/>
            <w:tcBorders>
              <w:tl2br w:val="nil"/>
              <w:tr2bl w:val="nil"/>
            </w:tcBorders>
            <w:shd w:val="clear" w:color="auto" w:fill="auto"/>
            <w:noWrap/>
            <w:vAlign w:val="center"/>
          </w:tcPr>
          <w:p w14:paraId="7B6B2AD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color="auto"/>
                <w:lang w:val="en-US" w:eastAsia="zh-CN" w:bidi="ar"/>
              </w:rPr>
            </w:pPr>
          </w:p>
        </w:tc>
        <w:tc>
          <w:tcPr>
            <w:tcW w:w="1383" w:type="dxa"/>
            <w:tcBorders>
              <w:tl2br w:val="nil"/>
              <w:tr2bl w:val="nil"/>
            </w:tcBorders>
            <w:shd w:val="clear" w:color="auto" w:fill="auto"/>
            <w:noWrap/>
            <w:vAlign w:val="center"/>
          </w:tcPr>
          <w:p w14:paraId="2494C0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THC</w:t>
            </w:r>
          </w:p>
        </w:tc>
        <w:tc>
          <w:tcPr>
            <w:tcW w:w="2271" w:type="dxa"/>
            <w:tcBorders>
              <w:tl2br w:val="nil"/>
              <w:tr2bl w:val="nil"/>
            </w:tcBorders>
            <w:shd w:val="clear" w:color="auto" w:fill="auto"/>
            <w:noWrap/>
            <w:vAlign w:val="center"/>
          </w:tcPr>
          <w:p w14:paraId="4B75FB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3.385</w:t>
            </w:r>
          </w:p>
        </w:tc>
        <w:tc>
          <w:tcPr>
            <w:tcW w:w="2250" w:type="dxa"/>
            <w:tcBorders>
              <w:tl2br w:val="nil"/>
              <w:tr2bl w:val="nil"/>
            </w:tcBorders>
            <w:shd w:val="clear" w:color="auto" w:fill="auto"/>
            <w:noWrap/>
            <w:vAlign w:val="center"/>
          </w:tcPr>
          <w:p w14:paraId="43CF19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0.97 </w:t>
            </w:r>
          </w:p>
        </w:tc>
      </w:tr>
      <w:tr w14:paraId="389E7E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35" w:type="dxa"/>
            <w:vMerge w:val="continue"/>
            <w:tcBorders>
              <w:tl2br w:val="nil"/>
              <w:tr2bl w:val="nil"/>
            </w:tcBorders>
            <w:shd w:val="clear" w:color="auto" w:fill="auto"/>
            <w:noWrap/>
            <w:vAlign w:val="center"/>
          </w:tcPr>
          <w:p w14:paraId="2550DB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eastAsia="zh-CN"/>
              </w:rPr>
            </w:pPr>
          </w:p>
        </w:tc>
        <w:tc>
          <w:tcPr>
            <w:tcW w:w="1477" w:type="dxa"/>
            <w:vMerge w:val="continue"/>
            <w:tcBorders>
              <w:tl2br w:val="nil"/>
              <w:tr2bl w:val="nil"/>
            </w:tcBorders>
            <w:shd w:val="clear" w:color="auto" w:fill="auto"/>
            <w:noWrap/>
            <w:vAlign w:val="center"/>
          </w:tcPr>
          <w:p w14:paraId="5DF162B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color="auto"/>
                <w:lang w:val="en-US" w:eastAsia="zh-CN" w:bidi="ar"/>
              </w:rPr>
            </w:pPr>
          </w:p>
        </w:tc>
        <w:tc>
          <w:tcPr>
            <w:tcW w:w="1383" w:type="dxa"/>
            <w:tcBorders>
              <w:tl2br w:val="nil"/>
              <w:tr2bl w:val="nil"/>
            </w:tcBorders>
            <w:shd w:val="clear" w:color="auto" w:fill="auto"/>
            <w:noWrap/>
            <w:vAlign w:val="center"/>
          </w:tcPr>
          <w:p w14:paraId="247598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NO</w:t>
            </w:r>
            <w:r>
              <w:rPr>
                <w:rFonts w:hint="default" w:ascii="Times New Roman" w:hAnsi="Times New Roman" w:eastAsia="宋体" w:cs="Times New Roman"/>
                <w:b w:val="0"/>
                <w:bCs w:val="0"/>
                <w:i w:val="0"/>
                <w:iCs w:val="0"/>
                <w:color w:val="000000"/>
                <w:sz w:val="21"/>
                <w:szCs w:val="21"/>
                <w:u w:val="none" w:color="auto"/>
                <w:vertAlign w:val="subscript"/>
                <w:lang w:val="en-US" w:eastAsia="zh-CN"/>
              </w:rPr>
              <w:t>X</w:t>
            </w:r>
          </w:p>
        </w:tc>
        <w:tc>
          <w:tcPr>
            <w:tcW w:w="2271" w:type="dxa"/>
            <w:tcBorders>
              <w:tl2br w:val="nil"/>
              <w:tr2bl w:val="nil"/>
            </w:tcBorders>
            <w:shd w:val="clear" w:color="auto" w:fill="auto"/>
            <w:noWrap/>
            <w:vAlign w:val="center"/>
          </w:tcPr>
          <w:p w14:paraId="3998A5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32.792</w:t>
            </w:r>
          </w:p>
        </w:tc>
        <w:tc>
          <w:tcPr>
            <w:tcW w:w="2250" w:type="dxa"/>
            <w:tcBorders>
              <w:tl2br w:val="nil"/>
              <w:tr2bl w:val="nil"/>
            </w:tcBorders>
            <w:shd w:val="clear" w:color="auto" w:fill="auto"/>
            <w:noWrap/>
            <w:vAlign w:val="center"/>
          </w:tcPr>
          <w:p w14:paraId="1BEF3C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9.43 </w:t>
            </w:r>
          </w:p>
        </w:tc>
      </w:tr>
      <w:tr w14:paraId="2B954C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35" w:type="dxa"/>
            <w:vMerge w:val="continue"/>
            <w:tcBorders>
              <w:tl2br w:val="nil"/>
              <w:tr2bl w:val="nil"/>
            </w:tcBorders>
            <w:shd w:val="clear" w:color="auto" w:fill="auto"/>
            <w:noWrap/>
            <w:vAlign w:val="center"/>
          </w:tcPr>
          <w:p w14:paraId="77E843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eastAsia="zh-CN"/>
              </w:rPr>
            </w:pPr>
          </w:p>
        </w:tc>
        <w:tc>
          <w:tcPr>
            <w:tcW w:w="1477" w:type="dxa"/>
            <w:vMerge w:val="continue"/>
            <w:tcBorders>
              <w:tl2br w:val="nil"/>
              <w:tr2bl w:val="nil"/>
            </w:tcBorders>
            <w:shd w:val="clear" w:color="auto" w:fill="auto"/>
            <w:noWrap/>
            <w:vAlign w:val="center"/>
          </w:tcPr>
          <w:p w14:paraId="608D17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color="auto"/>
                <w:lang w:val="en-US" w:eastAsia="zh-CN" w:bidi="ar"/>
              </w:rPr>
            </w:pPr>
          </w:p>
        </w:tc>
        <w:tc>
          <w:tcPr>
            <w:tcW w:w="1383" w:type="dxa"/>
            <w:tcBorders>
              <w:tl2br w:val="nil"/>
              <w:tr2bl w:val="nil"/>
            </w:tcBorders>
            <w:shd w:val="clear" w:color="auto" w:fill="auto"/>
            <w:noWrap/>
            <w:vAlign w:val="center"/>
          </w:tcPr>
          <w:p w14:paraId="264070A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CO</w:t>
            </w:r>
          </w:p>
        </w:tc>
        <w:tc>
          <w:tcPr>
            <w:tcW w:w="2271" w:type="dxa"/>
            <w:tcBorders>
              <w:tl2br w:val="nil"/>
              <w:tr2bl w:val="nil"/>
            </w:tcBorders>
            <w:shd w:val="clear" w:color="auto" w:fill="auto"/>
            <w:noWrap/>
            <w:vAlign w:val="center"/>
          </w:tcPr>
          <w:p w14:paraId="72F1182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b w:val="0"/>
                <w:bCs w:val="0"/>
                <w:i w:val="0"/>
                <w:iCs w:val="0"/>
                <w:color w:val="000000"/>
                <w:sz w:val="21"/>
                <w:szCs w:val="21"/>
                <w:u w:val="none" w:color="auto"/>
                <w:lang w:val="en-US" w:eastAsia="zh-CN"/>
              </w:rPr>
              <w:t>10.722</w:t>
            </w:r>
          </w:p>
        </w:tc>
        <w:tc>
          <w:tcPr>
            <w:tcW w:w="2250" w:type="dxa"/>
            <w:tcBorders>
              <w:tl2br w:val="nil"/>
              <w:tr2bl w:val="nil"/>
            </w:tcBorders>
            <w:shd w:val="clear" w:color="auto" w:fill="auto"/>
            <w:noWrap/>
            <w:vAlign w:val="center"/>
          </w:tcPr>
          <w:p w14:paraId="51A9BF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3.08 </w:t>
            </w:r>
          </w:p>
        </w:tc>
      </w:tr>
    </w:tbl>
    <w:p w14:paraId="0B8F67D7">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200"/>
        <w:textAlignment w:val="auto"/>
        <w:rPr>
          <w:rFonts w:hint="eastAsia" w:ascii="Times New Roman" w:hAnsi="Times New Roman" w:eastAsia="宋体" w:cs="Times New Roman"/>
          <w:color w:val="auto"/>
          <w:spacing w:val="0"/>
          <w:w w:val="100"/>
          <w:position w:val="0"/>
          <w:sz w:val="24"/>
          <w:u w:val="none" w:color="auto"/>
          <w:lang w:val="en-US" w:eastAsia="zh-CN"/>
        </w:rPr>
      </w:pPr>
      <w:r>
        <w:rPr>
          <w:rFonts w:hint="eastAsia" w:ascii="Times New Roman" w:hAnsi="Times New Roman" w:eastAsia="宋体" w:cs="Times New Roman"/>
          <w:color w:val="auto"/>
          <w:spacing w:val="0"/>
          <w:w w:val="100"/>
          <w:position w:val="0"/>
          <w:sz w:val="24"/>
          <w:u w:val="none" w:color="auto"/>
          <w:lang w:val="en-US" w:eastAsia="zh-CN"/>
        </w:rPr>
        <w:t>（3）沥青烟</w:t>
      </w:r>
    </w:p>
    <w:p w14:paraId="7A35880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根据项目初步设计，本次除险加固对主坝、六副坝</w:t>
      </w:r>
      <w:r>
        <w:rPr>
          <w:rFonts w:hint="default" w:ascii="Times New Roman" w:hAnsi="Times New Roman" w:eastAsia="宋体" w:cs="Times New Roman"/>
          <w:color w:val="000000"/>
          <w:kern w:val="0"/>
          <w:sz w:val="24"/>
          <w:szCs w:val="24"/>
          <w:u w:val="none" w:color="auto"/>
          <w:lang w:val="en-US" w:eastAsia="zh-CN" w:bidi="ar"/>
        </w:rPr>
        <w:t>原混凝土路面</w:t>
      </w:r>
      <w:r>
        <w:rPr>
          <w:rFonts w:hint="eastAsia" w:ascii="Times New Roman" w:hAnsi="Times New Roman" w:eastAsia="宋体" w:cs="Times New Roman"/>
          <w:color w:val="000000"/>
          <w:kern w:val="0"/>
          <w:sz w:val="24"/>
          <w:szCs w:val="24"/>
          <w:u w:val="none" w:color="auto"/>
          <w:lang w:val="en-US" w:eastAsia="zh-CN" w:bidi="ar"/>
        </w:rPr>
        <w:t>进行</w:t>
      </w:r>
      <w:r>
        <w:rPr>
          <w:rFonts w:hint="default" w:ascii="Times New Roman" w:hAnsi="Times New Roman" w:eastAsia="宋体" w:cs="Times New Roman"/>
          <w:color w:val="000000"/>
          <w:kern w:val="0"/>
          <w:sz w:val="24"/>
          <w:szCs w:val="24"/>
          <w:u w:val="none" w:color="auto"/>
          <w:lang w:val="en-US" w:eastAsia="zh-CN" w:bidi="ar"/>
        </w:rPr>
        <w:t>拆除，新建沥青混凝土路面</w:t>
      </w:r>
      <w:r>
        <w:rPr>
          <w:rFonts w:hint="eastAsia" w:ascii="Times New Roman" w:hAnsi="Times New Roman" w:eastAsia="宋体" w:cs="Times New Roman"/>
          <w:color w:val="000000"/>
          <w:kern w:val="0"/>
          <w:sz w:val="24"/>
          <w:szCs w:val="24"/>
          <w:u w:val="none" w:color="auto"/>
          <w:lang w:val="en-US" w:eastAsia="zh-CN" w:bidi="ar"/>
        </w:rPr>
        <w:t>；同时防汛公路改造过程，约1640</w:t>
      </w:r>
      <w:r>
        <w:rPr>
          <w:rFonts w:hint="default" w:ascii="Times New Roman" w:hAnsi="Times New Roman" w:eastAsia="宋体" w:cs="Times New Roman"/>
          <w:color w:val="000000"/>
          <w:kern w:val="0"/>
          <w:sz w:val="24"/>
          <w:szCs w:val="24"/>
          <w:u w:val="none" w:color="auto"/>
          <w:lang w:val="en-US" w:eastAsia="zh-CN" w:bidi="ar"/>
        </w:rPr>
        <w:t>m路面面层采用6cm厚 AC-13C细粒式沥青混凝土。</w:t>
      </w:r>
      <w:r>
        <w:rPr>
          <w:rFonts w:hint="eastAsia" w:ascii="Times New Roman" w:hAnsi="Times New Roman" w:eastAsia="宋体" w:cs="Times New Roman"/>
          <w:color w:val="000000"/>
          <w:kern w:val="0"/>
          <w:sz w:val="24"/>
          <w:szCs w:val="24"/>
          <w:u w:val="none" w:color="auto"/>
          <w:lang w:val="en-US" w:eastAsia="zh-CN" w:bidi="ar"/>
        </w:rPr>
        <w:t>沥青混凝土外购，</w:t>
      </w:r>
      <w:r>
        <w:rPr>
          <w:rFonts w:hint="default" w:ascii="Times New Roman" w:hAnsi="Times New Roman" w:eastAsia="宋体" w:cs="Times New Roman"/>
          <w:color w:val="000000"/>
          <w:kern w:val="0"/>
          <w:sz w:val="24"/>
          <w:szCs w:val="24"/>
          <w:u w:val="none" w:color="auto"/>
          <w:lang w:val="en-US" w:eastAsia="zh-CN" w:bidi="ar"/>
        </w:rPr>
        <w:t>类比同类项目，沥青铺浇路面时所产生的烟气，其污染物影响距离一般在50m以内，在下风向50m外苯并[a]芘浓度低于0.00001mg/m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，酚在下风向60m左右≤0.01mg/m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，THC在60m左右浓度≤0.16mg/m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 xml:space="preserve">。 </w:t>
      </w:r>
    </w:p>
    <w:p w14:paraId="7BE116E9">
      <w:pPr>
        <w:pStyle w:val="5"/>
        <w:bidi w:val="0"/>
        <w:rPr>
          <w:rFonts w:hint="default" w:ascii="Times New Roman" w:hAnsi="Times New Roman" w:cs="Times New Roman"/>
          <w:u w:val="none" w:color="auto"/>
        </w:rPr>
      </w:pPr>
      <w:r>
        <w:rPr>
          <w:rFonts w:hint="default" w:ascii="Times New Roman" w:hAnsi="Times New Roman" w:cs="Times New Roman"/>
          <w:u w:val="none" w:color="auto"/>
        </w:rPr>
        <w:t>废水污染源</w:t>
      </w:r>
    </w:p>
    <w:p w14:paraId="587B2A86">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项目</w:t>
      </w:r>
      <w:r>
        <w:rPr>
          <w:rFonts w:hint="default" w:ascii="Times New Roman" w:hAnsi="Times New Roman" w:eastAsia="宋体" w:cs="Times New Roman"/>
          <w:color w:val="000000"/>
          <w:kern w:val="0"/>
          <w:sz w:val="24"/>
          <w:szCs w:val="24"/>
          <w:u w:val="none" w:color="auto"/>
          <w:lang w:val="en-US" w:eastAsia="zh-CN" w:bidi="ar"/>
        </w:rPr>
        <w:t>施工废水主要包括</w:t>
      </w:r>
      <w:r>
        <w:rPr>
          <w:rFonts w:hint="eastAsia" w:ascii="Times New Roman" w:hAnsi="Times New Roman" w:eastAsia="宋体" w:cs="Times New Roman"/>
          <w:color w:val="000000"/>
          <w:kern w:val="0"/>
          <w:sz w:val="24"/>
          <w:szCs w:val="24"/>
          <w:u w:val="none" w:color="auto"/>
          <w:lang w:val="en-US" w:eastAsia="zh-CN" w:bidi="ar"/>
        </w:rPr>
        <w:t>混凝土养护废水</w:t>
      </w:r>
      <w:r>
        <w:rPr>
          <w:rFonts w:hint="default" w:ascii="Times New Roman" w:hAnsi="Times New Roman" w:eastAsia="宋体" w:cs="Times New Roman"/>
          <w:color w:val="000000"/>
          <w:kern w:val="0"/>
          <w:sz w:val="24"/>
          <w:szCs w:val="24"/>
          <w:u w:val="none" w:color="auto"/>
          <w:lang w:val="en-US" w:eastAsia="zh-CN" w:bidi="ar"/>
        </w:rPr>
        <w:t>、机械设备冲洗</w:t>
      </w:r>
      <w:r>
        <w:rPr>
          <w:rFonts w:hint="eastAsia" w:ascii="Times New Roman" w:hAnsi="Times New Roman" w:eastAsia="宋体" w:cs="Times New Roman"/>
          <w:color w:val="000000"/>
          <w:kern w:val="0"/>
          <w:sz w:val="24"/>
          <w:szCs w:val="24"/>
          <w:u w:val="none" w:color="auto"/>
          <w:lang w:val="en-US" w:eastAsia="zh-CN" w:bidi="ar"/>
        </w:rPr>
        <w:t>含油</w:t>
      </w:r>
      <w:r>
        <w:rPr>
          <w:rFonts w:hint="default" w:ascii="Times New Roman" w:hAnsi="Times New Roman" w:eastAsia="宋体" w:cs="Times New Roman"/>
          <w:color w:val="000000"/>
          <w:kern w:val="0"/>
          <w:sz w:val="24"/>
          <w:szCs w:val="24"/>
          <w:u w:val="none" w:color="auto"/>
          <w:lang w:val="en-US" w:eastAsia="zh-CN" w:bidi="ar"/>
        </w:rPr>
        <w:t>废水、灌浆施工废水</w:t>
      </w:r>
      <w:r>
        <w:rPr>
          <w:rFonts w:hint="eastAsia" w:ascii="Times New Roman" w:hAnsi="Times New Roman" w:eastAsia="宋体" w:cs="Times New Roman"/>
          <w:color w:val="000000"/>
          <w:kern w:val="0"/>
          <w:sz w:val="24"/>
          <w:szCs w:val="24"/>
          <w:u w:val="none" w:color="auto"/>
          <w:lang w:val="en-US" w:eastAsia="zh-CN" w:bidi="ar"/>
        </w:rPr>
        <w:t>和</w:t>
      </w:r>
      <w:r>
        <w:rPr>
          <w:rFonts w:hint="default" w:ascii="Times New Roman" w:hAnsi="Times New Roman" w:eastAsia="宋体" w:cs="Times New Roman"/>
          <w:color w:val="000000"/>
          <w:kern w:val="0"/>
          <w:sz w:val="24"/>
          <w:szCs w:val="24"/>
          <w:u w:val="none" w:color="auto"/>
          <w:lang w:val="en-US" w:eastAsia="zh-CN" w:bidi="ar"/>
        </w:rPr>
        <w:t>基坑排水</w:t>
      </w:r>
      <w:r>
        <w:rPr>
          <w:rFonts w:hint="eastAsia" w:ascii="Times New Roman" w:hAnsi="Times New Roman" w:eastAsia="宋体" w:cs="Times New Roman"/>
          <w:color w:val="000000"/>
          <w:kern w:val="0"/>
          <w:sz w:val="24"/>
          <w:szCs w:val="24"/>
          <w:u w:val="none" w:color="auto"/>
          <w:lang w:val="en-US" w:eastAsia="zh-CN" w:bidi="ar"/>
        </w:rPr>
        <w:t>废水</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施工期不设施工生活营地，施工人员生活污水依托周边居民化粪池处理后用于周边田地施肥。</w:t>
      </w:r>
    </w:p>
    <w:p w14:paraId="0D0BB83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u w:val="none" w:color="auto"/>
          <w:lang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施工废水</w:t>
      </w:r>
    </w:p>
    <w:p w14:paraId="7720072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u w:val="none" w:color="auto"/>
          <w:lang w:eastAsia="zh-CN"/>
        </w:rPr>
        <w:t>①</w:t>
      </w:r>
      <w:r>
        <w:rPr>
          <w:rFonts w:hint="default" w:ascii="Times New Roman" w:hAnsi="Times New Roman" w:eastAsia="宋体" w:cs="Times New Roman"/>
          <w:caps w:val="0"/>
          <w:smallCaps w:val="0"/>
          <w:color w:val="auto"/>
          <w:spacing w:val="0"/>
          <w:w w:val="100"/>
          <w:kern w:val="0"/>
          <w:position w:val="0"/>
          <w:sz w:val="24"/>
          <w:szCs w:val="24"/>
          <w:u w:val="none" w:color="auto"/>
        </w:rPr>
        <w:t>混凝土</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养护</w:t>
      </w:r>
      <w:r>
        <w:rPr>
          <w:rFonts w:hint="default" w:ascii="Times New Roman" w:hAnsi="Times New Roman" w:eastAsia="宋体" w:cs="Times New Roman"/>
          <w:caps w:val="0"/>
          <w:smallCaps w:val="0"/>
          <w:color w:val="auto"/>
          <w:spacing w:val="0"/>
          <w:w w:val="100"/>
          <w:kern w:val="0"/>
          <w:position w:val="0"/>
          <w:sz w:val="24"/>
          <w:szCs w:val="24"/>
          <w:u w:val="none" w:color="auto"/>
        </w:rPr>
        <w:t>废水</w:t>
      </w:r>
    </w:p>
    <w:p w14:paraId="14666285">
      <w:pPr>
        <w:keepNext w:val="0"/>
        <w:keepLines w:val="0"/>
        <w:widowControl/>
        <w:suppressLineNumbers w:val="0"/>
        <w:spacing w:line="360" w:lineRule="auto"/>
        <w:ind w:firstLine="480" w:firstLineChars="200"/>
        <w:jc w:val="left"/>
        <w:rPr>
          <w:rFonts w:hint="default" w:ascii="Times New Roman" w:hAnsi="Times New Roman" w:cs="Times New Roman"/>
          <w:u w:val="none" w:color="auto"/>
        </w:rPr>
      </w:pPr>
      <w:r>
        <w:rPr>
          <w:rFonts w:hint="default" w:ascii="Times New Roman" w:hAnsi="Times New Roman" w:eastAsia="宋体" w:cs="Times New Roman"/>
          <w:color w:val="000000"/>
          <w:kern w:val="0"/>
          <w:sz w:val="24"/>
          <w:szCs w:val="24"/>
          <w:u w:val="none" w:color="auto"/>
          <w:lang w:val="en-US" w:eastAsia="zh-CN" w:bidi="ar"/>
        </w:rPr>
        <w:t>根据建设方提供资料，本工程使用</w:t>
      </w:r>
      <w:r>
        <w:rPr>
          <w:rFonts w:hint="eastAsia" w:ascii="Times New Roman" w:hAnsi="Times New Roman" w:eastAsia="宋体" w:cs="Times New Roman"/>
          <w:color w:val="000000"/>
          <w:kern w:val="0"/>
          <w:sz w:val="24"/>
          <w:szCs w:val="24"/>
          <w:u w:val="none" w:color="auto"/>
          <w:lang w:val="en-US" w:eastAsia="zh-CN" w:bidi="ar"/>
        </w:rPr>
        <w:t>商品</w:t>
      </w:r>
      <w:r>
        <w:rPr>
          <w:rFonts w:hint="default" w:ascii="Times New Roman" w:hAnsi="Times New Roman" w:eastAsia="宋体" w:cs="Times New Roman"/>
          <w:color w:val="000000"/>
          <w:kern w:val="0"/>
          <w:sz w:val="24"/>
          <w:szCs w:val="24"/>
          <w:u w:val="none" w:color="auto"/>
          <w:lang w:val="en-US" w:eastAsia="zh-CN" w:bidi="ar"/>
        </w:rPr>
        <w:t>混凝土</w:t>
      </w:r>
      <w:r>
        <w:rPr>
          <w:rFonts w:hint="eastAsia" w:ascii="Times New Roman" w:hAnsi="Times New Roman" w:eastAsia="宋体" w:cs="Times New Roman"/>
          <w:color w:val="000000"/>
          <w:kern w:val="0"/>
          <w:sz w:val="24"/>
          <w:szCs w:val="24"/>
          <w:u w:val="none" w:color="auto"/>
          <w:lang w:val="en-US" w:eastAsia="zh-CN" w:bidi="ar"/>
        </w:rPr>
        <w:t>，施工</w:t>
      </w:r>
      <w:r>
        <w:rPr>
          <w:rFonts w:hint="default" w:ascii="Times New Roman" w:hAnsi="Times New Roman" w:eastAsia="宋体" w:cs="Times New Roman"/>
          <w:color w:val="000000"/>
          <w:kern w:val="0"/>
          <w:sz w:val="24"/>
          <w:szCs w:val="24"/>
          <w:u w:val="none" w:color="auto"/>
          <w:lang w:val="en-US" w:eastAsia="zh-CN" w:bidi="ar"/>
        </w:rPr>
        <w:t>现场</w:t>
      </w:r>
      <w:r>
        <w:rPr>
          <w:rFonts w:hint="eastAsia" w:ascii="Times New Roman" w:hAnsi="Times New Roman" w:eastAsia="宋体" w:cs="Times New Roman"/>
          <w:color w:val="000000"/>
          <w:kern w:val="0"/>
          <w:sz w:val="24"/>
          <w:szCs w:val="24"/>
          <w:u w:val="none" w:color="auto"/>
          <w:lang w:val="en-US" w:eastAsia="zh-CN" w:bidi="ar"/>
        </w:rPr>
        <w:t>不设混凝土</w:t>
      </w:r>
      <w:r>
        <w:rPr>
          <w:rFonts w:hint="default" w:ascii="Times New Roman" w:hAnsi="Times New Roman" w:eastAsia="宋体" w:cs="Times New Roman"/>
          <w:color w:val="000000"/>
          <w:kern w:val="0"/>
          <w:sz w:val="24"/>
          <w:szCs w:val="24"/>
          <w:u w:val="none" w:color="auto"/>
          <w:lang w:val="en-US" w:eastAsia="zh-CN" w:bidi="ar"/>
        </w:rPr>
        <w:t>拌和</w:t>
      </w:r>
      <w:r>
        <w:rPr>
          <w:rFonts w:hint="eastAsia" w:ascii="Times New Roman" w:hAnsi="Times New Roman" w:eastAsia="宋体" w:cs="Times New Roman"/>
          <w:color w:val="000000"/>
          <w:kern w:val="0"/>
          <w:sz w:val="24"/>
          <w:szCs w:val="24"/>
          <w:u w:val="none" w:color="auto"/>
          <w:lang w:val="en-US" w:eastAsia="zh-CN" w:bidi="ar"/>
        </w:rPr>
        <w:t>站，混凝土浇筑工序将产生混凝土养护废水。根据类比同类工程调查可知，混凝土养护废水主要污染物是</w:t>
      </w:r>
      <w:r>
        <w:rPr>
          <w:rFonts w:hint="default" w:ascii="Times New Roman" w:hAnsi="Times New Roman" w:eastAsia="宋体" w:cs="Times New Roman"/>
          <w:color w:val="000000"/>
          <w:kern w:val="0"/>
          <w:sz w:val="24"/>
          <w:szCs w:val="24"/>
          <w:u w:val="none" w:color="auto"/>
          <w:lang w:val="en-US" w:eastAsia="zh-CN" w:bidi="ar"/>
        </w:rPr>
        <w:t>SS</w:t>
      </w:r>
      <w:r>
        <w:rPr>
          <w:rFonts w:hint="eastAsia" w:ascii="Times New Roman" w:hAnsi="Times New Roman" w:eastAsia="宋体" w:cs="Times New Roman"/>
          <w:color w:val="000000"/>
          <w:kern w:val="0"/>
          <w:sz w:val="24"/>
          <w:szCs w:val="24"/>
          <w:u w:val="none" w:color="auto"/>
          <w:lang w:val="en-US" w:eastAsia="zh-CN" w:bidi="ar"/>
        </w:rPr>
        <w:t>和</w:t>
      </w:r>
      <w:r>
        <w:rPr>
          <w:rFonts w:hint="default" w:ascii="Times New Roman" w:hAnsi="Times New Roman" w:eastAsia="宋体" w:cs="Times New Roman"/>
          <w:color w:val="000000"/>
          <w:kern w:val="0"/>
          <w:sz w:val="24"/>
          <w:szCs w:val="24"/>
          <w:u w:val="none" w:color="auto"/>
          <w:lang w:val="en-US" w:eastAsia="zh-CN" w:bidi="ar"/>
        </w:rPr>
        <w:t>pH</w:t>
      </w:r>
      <w:r>
        <w:rPr>
          <w:rFonts w:hint="eastAsia" w:ascii="Times New Roman" w:hAnsi="Times New Roman" w:eastAsia="宋体" w:cs="Times New Roman"/>
          <w:color w:val="000000"/>
          <w:kern w:val="0"/>
          <w:sz w:val="24"/>
          <w:szCs w:val="24"/>
          <w:u w:val="none" w:color="auto"/>
          <w:lang w:val="en-US" w:eastAsia="zh-CN" w:bidi="ar"/>
        </w:rPr>
        <w:t>。砼养护产生的废水中的</w:t>
      </w:r>
      <w:r>
        <w:rPr>
          <w:rFonts w:hint="default" w:ascii="Times New Roman" w:hAnsi="Times New Roman" w:eastAsia="宋体" w:cs="Times New Roman"/>
          <w:color w:val="000000"/>
          <w:kern w:val="0"/>
          <w:sz w:val="24"/>
          <w:szCs w:val="24"/>
          <w:u w:val="none" w:color="auto"/>
          <w:lang w:val="en-US" w:eastAsia="zh-CN" w:bidi="ar"/>
        </w:rPr>
        <w:t>pH</w:t>
      </w:r>
      <w:r>
        <w:rPr>
          <w:rFonts w:hint="eastAsia" w:ascii="Times New Roman" w:hAnsi="Times New Roman" w:eastAsia="宋体" w:cs="Times New Roman"/>
          <w:color w:val="000000"/>
          <w:kern w:val="0"/>
          <w:sz w:val="24"/>
          <w:szCs w:val="24"/>
          <w:u w:val="none" w:color="auto"/>
          <w:lang w:val="en-US" w:eastAsia="zh-CN" w:bidi="ar"/>
        </w:rPr>
        <w:t>值可达到</w:t>
      </w:r>
      <w:r>
        <w:rPr>
          <w:rFonts w:hint="default" w:ascii="Times New Roman" w:hAnsi="Times New Roman" w:eastAsia="宋体" w:cs="Times New Roman"/>
          <w:color w:val="000000"/>
          <w:kern w:val="0"/>
          <w:sz w:val="24"/>
          <w:szCs w:val="24"/>
          <w:u w:val="none" w:color="auto"/>
          <w:lang w:val="en-US" w:eastAsia="zh-CN" w:bidi="ar"/>
        </w:rPr>
        <w:t>8</w:t>
      </w:r>
      <w:r>
        <w:rPr>
          <w:rFonts w:hint="eastAsia" w:ascii="Times New Roman" w:hAnsi="Times New Roman" w:eastAsia="宋体" w:cs="Times New Roman"/>
          <w:color w:val="000000"/>
          <w:kern w:val="0"/>
          <w:sz w:val="24"/>
          <w:szCs w:val="24"/>
          <w:u w:val="none" w:color="auto"/>
          <w:lang w:val="en-US" w:eastAsia="zh-CN" w:bidi="ar"/>
        </w:rPr>
        <w:t>～</w:t>
      </w:r>
      <w:r>
        <w:rPr>
          <w:rFonts w:hint="default" w:ascii="Times New Roman" w:hAnsi="Times New Roman" w:eastAsia="宋体" w:cs="Times New Roman"/>
          <w:color w:val="000000"/>
          <w:kern w:val="0"/>
          <w:sz w:val="24"/>
          <w:szCs w:val="24"/>
          <w:u w:val="none" w:color="auto"/>
          <w:lang w:val="en-US" w:eastAsia="zh-CN" w:bidi="ar"/>
        </w:rPr>
        <w:t>10</w:t>
      </w:r>
      <w:r>
        <w:rPr>
          <w:rFonts w:hint="eastAsia" w:ascii="Times New Roman" w:hAnsi="Times New Roman" w:eastAsia="宋体" w:cs="Times New Roman"/>
          <w:color w:val="000000"/>
          <w:kern w:val="0"/>
          <w:sz w:val="24"/>
          <w:szCs w:val="24"/>
          <w:u w:val="none" w:color="auto"/>
          <w:lang w:val="en-US" w:eastAsia="zh-CN" w:bidi="ar"/>
        </w:rPr>
        <w:t>，其悬浮物浓度较高，一般在</w:t>
      </w:r>
      <w:r>
        <w:rPr>
          <w:rFonts w:hint="default" w:ascii="Times New Roman" w:hAnsi="Times New Roman" w:eastAsia="宋体" w:cs="Times New Roman"/>
          <w:color w:val="000000"/>
          <w:kern w:val="0"/>
          <w:sz w:val="24"/>
          <w:szCs w:val="24"/>
          <w:u w:val="none" w:color="auto"/>
          <w:lang w:val="en-US" w:eastAsia="zh-CN" w:bidi="ar"/>
        </w:rPr>
        <w:t>3000mg/L</w:t>
      </w:r>
      <w:r>
        <w:rPr>
          <w:rFonts w:hint="eastAsia" w:ascii="Times New Roman" w:hAnsi="Times New Roman" w:eastAsia="宋体" w:cs="Times New Roman"/>
          <w:color w:val="000000"/>
          <w:kern w:val="0"/>
          <w:sz w:val="24"/>
          <w:szCs w:val="24"/>
          <w:u w:val="none" w:color="auto"/>
          <w:lang w:val="en-US" w:eastAsia="zh-CN" w:bidi="ar"/>
        </w:rPr>
        <w:t>左右。</w:t>
      </w:r>
    </w:p>
    <w:p w14:paraId="03A5A7C9">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微软雅黑" w:cs="Times New Roman"/>
          <w:color w:val="auto"/>
          <w:spacing w:val="0"/>
          <w:w w:val="100"/>
          <w:position w:val="0"/>
          <w:sz w:val="24"/>
          <w:u w:val="none" w:color="auto"/>
          <w:lang w:eastAsia="zh-CN"/>
        </w:rPr>
        <w:t>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机械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设备冲洗</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含油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废水</w:t>
      </w:r>
    </w:p>
    <w:p w14:paraId="5AEC6FF8">
      <w:pPr>
        <w:keepNext w:val="0"/>
        <w:keepLines w:val="0"/>
        <w:widowControl/>
        <w:suppressLineNumbers w:val="0"/>
        <w:spacing w:line="360" w:lineRule="auto"/>
        <w:ind w:firstLine="480" w:firstLineChars="200"/>
        <w:jc w:val="left"/>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利用水库管理所现有场地停放施工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机械设备。工程所需施工机械为常用机械，附近的城镇均具备修理条件，施工现场不进行机械维修，不在现场设置设备维修区。施工机械及运输车辆在冲洗时将产生含油冲洗废水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2CB70DC1">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项目施工高峰期需定期清洗的施工机械约有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52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辆（台），施工机械车辆定期冲洗将产生一定的含油废水。按每台机械冲洗水量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0.5m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、每天有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的燃油机械需要冲洗计，则施工期机械修配停放区冲洗水最大用量约为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5.2m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 xml:space="preserve">3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/d</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。冲洗含油废水产</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污系数取0.9，则本工程施工期机械设备车辆冲洗含油废水产生量为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4.68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/d。</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含油废水</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主要污染物为SS和石油类，石油类浓度约为100mg/L，悬浮物浓度约为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000mg/L。 </w:t>
      </w:r>
    </w:p>
    <w:p w14:paraId="4F67C5F9">
      <w:pPr>
        <w:pStyle w:val="79"/>
        <w:keepNext w:val="0"/>
        <w:keepLines w:val="0"/>
        <w:pageBreakBefore w:val="0"/>
        <w:widowControl w:val="0"/>
        <w:kinsoku/>
        <w:wordWrap/>
        <w:overflowPunct/>
        <w:topLinePunct w:val="0"/>
        <w:bidi w:val="0"/>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u w:val="none" w:color="auto"/>
          <w:lang w:eastAsia="zh-CN"/>
        </w:rPr>
      </w:pPr>
      <w:r>
        <w:rPr>
          <w:rFonts w:hint="default" w:ascii="Times New Roman" w:hAnsi="Times New Roman" w:eastAsia="微软雅黑" w:cs="Times New Roman"/>
          <w:caps w:val="0"/>
          <w:smallCaps w:val="0"/>
          <w:color w:val="auto"/>
          <w:spacing w:val="0"/>
          <w:w w:val="100"/>
          <w:kern w:val="0"/>
          <w:position w:val="0"/>
          <w:sz w:val="24"/>
          <w:szCs w:val="24"/>
          <w:u w:val="none" w:color="auto"/>
          <w:lang w:eastAsia="zh-CN"/>
        </w:rPr>
        <w:t>③</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灌浆</w:t>
      </w:r>
      <w:r>
        <w:rPr>
          <w:rFonts w:hint="default" w:ascii="Times New Roman" w:hAnsi="Times New Roman" w:cs="Times New Roman"/>
          <w:caps w:val="0"/>
          <w:smallCaps w:val="0"/>
          <w:color w:val="auto"/>
          <w:spacing w:val="0"/>
          <w:w w:val="100"/>
          <w:kern w:val="0"/>
          <w:position w:val="0"/>
          <w:sz w:val="24"/>
          <w:szCs w:val="24"/>
          <w:u w:val="none" w:color="auto"/>
          <w:lang w:eastAsia="zh-CN"/>
        </w:rPr>
        <w:t>施工废水</w:t>
      </w:r>
    </w:p>
    <w:p w14:paraId="48562439">
      <w:pPr>
        <w:spacing w:beforeLines="0" w:afterLines="0" w:line="360" w:lineRule="auto"/>
        <w:ind w:firstLine="480" w:firstLineChars="200"/>
        <w:jc w:val="left"/>
        <w:rPr>
          <w:rFonts w:hint="default" w:ascii="Times New Roman" w:hAnsi="Times New Roman" w:eastAsia="宋体" w:cs="Times New Roman"/>
          <w:sz w:val="24"/>
          <w:szCs w:val="24"/>
          <w:u w:val="none" w:color="auto"/>
        </w:rPr>
      </w:pPr>
      <w:r>
        <w:rPr>
          <w:rFonts w:hint="eastAsia" w:ascii="宋体" w:hAnsi="宋体" w:eastAsia="宋体" w:cs="宋体"/>
          <w:color w:val="000000"/>
          <w:kern w:val="0"/>
          <w:sz w:val="24"/>
          <w:szCs w:val="24"/>
          <w:lang w:val="en-US" w:eastAsia="zh-CN" w:bidi="ar"/>
        </w:rPr>
        <w:t>根据初步设计报告，项目施工期</w:t>
      </w:r>
      <w:r>
        <w:rPr>
          <w:rFonts w:hint="default" w:ascii="Times New Roman" w:hAnsi="Times New Roman" w:eastAsia="宋体" w:cs="Times New Roman"/>
          <w:sz w:val="24"/>
          <w:szCs w:val="24"/>
          <w:u w:val="none" w:color="auto"/>
          <w:lang w:val="en-US" w:eastAsia="zh-CN"/>
        </w:rPr>
        <w:t>水泥土搅拌桩防渗墙378m</w:t>
      </w:r>
      <w:r>
        <w:rPr>
          <w:rFonts w:hint="default" w:ascii="Times New Roman" w:hAnsi="Times New Roman" w:eastAsia="宋体" w:cs="Times New Roman"/>
          <w:sz w:val="24"/>
          <w:szCs w:val="24"/>
          <w:u w:val="none" w:color="auto"/>
          <w:vertAlign w:val="superscript"/>
          <w:lang w:val="en-US" w:eastAsia="zh-CN"/>
        </w:rPr>
        <w:t>2</w:t>
      </w:r>
      <w:r>
        <w:rPr>
          <w:rFonts w:hint="default" w:ascii="Times New Roman" w:hAnsi="Times New Roman" w:eastAsia="宋体" w:cs="Times New Roman"/>
          <w:sz w:val="24"/>
          <w:szCs w:val="24"/>
          <w:u w:val="none" w:color="auto"/>
          <w:lang w:val="en-US" w:eastAsia="zh-CN"/>
        </w:rPr>
        <w:t>、水泥土搅拌桩9.74万m</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充填灌浆625m</w:t>
      </w:r>
      <w:r>
        <w:rPr>
          <w:rFonts w:hint="eastAsia" w:ascii="Times New Roman" w:hAnsi="Times New Roman" w:eastAsia="宋体" w:cs="Times New Roman"/>
          <w:sz w:val="24"/>
          <w:szCs w:val="24"/>
          <w:u w:val="none" w:color="auto"/>
          <w:lang w:val="en-US" w:eastAsia="zh-CN"/>
        </w:rPr>
        <w:t>，施工过程中将产生含泥和水泥的泥浆，但基本不形成汇流。</w:t>
      </w:r>
    </w:p>
    <w:p w14:paraId="18574194">
      <w:pPr>
        <w:spacing w:beforeLines="0" w:afterLines="0" w:line="360" w:lineRule="auto"/>
        <w:ind w:firstLine="480" w:firstLineChars="200"/>
        <w:jc w:val="left"/>
        <w:rPr>
          <w:rFonts w:hint="default" w:ascii="Times New Roman" w:hAnsi="Times New Roman" w:eastAsia="宋体" w:cs="Times New Roman"/>
          <w:sz w:val="24"/>
          <w:szCs w:val="24"/>
          <w:u w:val="none" w:color="auto"/>
        </w:rPr>
      </w:pPr>
      <w:r>
        <w:rPr>
          <w:rFonts w:hint="eastAsia" w:ascii="Times New Roman" w:hAnsi="Times New Roman" w:eastAsia="宋体" w:cs="Times New Roman"/>
          <w:sz w:val="24"/>
          <w:szCs w:val="24"/>
          <w:u w:val="none" w:color="auto"/>
          <w:lang w:eastAsia="zh-CN"/>
        </w:rPr>
        <w:t>项目</w:t>
      </w:r>
      <w:r>
        <w:rPr>
          <w:rFonts w:hint="default" w:ascii="Times New Roman" w:hAnsi="Times New Roman" w:eastAsia="宋体" w:cs="Times New Roman"/>
          <w:sz w:val="24"/>
          <w:szCs w:val="24"/>
          <w:u w:val="none" w:color="auto"/>
          <w:lang w:eastAsia="zh-CN"/>
        </w:rPr>
        <w:t>主坝左坝肩防渗采用水泥土搅拌桩防渗墙+帷幕灌浆相结合的方案，</w:t>
      </w:r>
      <w:r>
        <w:rPr>
          <w:rFonts w:hint="eastAsia" w:ascii="Times New Roman" w:hAnsi="Times New Roman" w:eastAsia="宋体" w:cs="Times New Roman"/>
          <w:sz w:val="24"/>
          <w:szCs w:val="24"/>
          <w:u w:val="none" w:color="auto"/>
          <w:lang w:eastAsia="zh-CN"/>
        </w:rPr>
        <w:t>其中</w:t>
      </w:r>
      <w:r>
        <w:rPr>
          <w:rFonts w:hint="default" w:ascii="Times New Roman" w:hAnsi="Times New Roman" w:eastAsia="宋体" w:cs="Times New Roman"/>
          <w:sz w:val="24"/>
          <w:szCs w:val="24"/>
          <w:u w:val="none" w:color="auto"/>
          <w:lang w:eastAsia="zh-CN"/>
        </w:rPr>
        <w:t>帷幕灌浆</w:t>
      </w:r>
      <w:r>
        <w:rPr>
          <w:rFonts w:hint="default" w:ascii="Times New Roman" w:hAnsi="Times New Roman" w:eastAsia="宋体" w:cs="Times New Roman"/>
          <w:sz w:val="24"/>
          <w:szCs w:val="24"/>
          <w:u w:val="none" w:color="auto"/>
        </w:rPr>
        <w:t>帷幕灌浆</w:t>
      </w:r>
      <w:r>
        <w:rPr>
          <w:rFonts w:hint="eastAsia" w:ascii="Times New Roman" w:hAnsi="Times New Roman" w:eastAsia="宋体" w:cs="Times New Roman"/>
          <w:sz w:val="24"/>
          <w:szCs w:val="24"/>
          <w:u w:val="none" w:color="auto"/>
          <w:lang w:val="en-US" w:eastAsia="zh-CN"/>
        </w:rPr>
        <w:t>930</w:t>
      </w:r>
      <w:r>
        <w:rPr>
          <w:rFonts w:hint="default" w:ascii="Times New Roman" w:hAnsi="Times New Roman" w:eastAsia="宋体" w:cs="Times New Roman"/>
          <w:sz w:val="24"/>
          <w:szCs w:val="24"/>
          <w:u w:val="none" w:color="auto"/>
          <w:lang w:val="en-US" w:eastAsia="zh-CN"/>
        </w:rPr>
        <w:t>m</w:t>
      </w:r>
      <w:r>
        <w:rPr>
          <w:rFonts w:hint="default" w:ascii="Times New Roman" w:hAnsi="Times New Roman" w:eastAsia="宋体" w:cs="Times New Roman"/>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灌浆施工会产生一定量的碱性、浑浊度较高的施工废水。</w:t>
      </w:r>
      <w:r>
        <w:rPr>
          <w:rFonts w:hint="eastAsia" w:ascii="Times New Roman" w:hAnsi="Times New Roman" w:eastAsia="宋体" w:cs="Times New Roman"/>
          <w:sz w:val="24"/>
          <w:szCs w:val="24"/>
          <w:u w:val="none" w:color="auto"/>
          <w:lang w:val="en-US" w:eastAsia="zh-CN"/>
        </w:rPr>
        <w:t>废水</w:t>
      </w:r>
      <w:r>
        <w:rPr>
          <w:rFonts w:hint="default" w:ascii="Times New Roman" w:hAnsi="Times New Roman" w:eastAsia="宋体" w:cs="Times New Roman"/>
          <w:sz w:val="24"/>
          <w:szCs w:val="24"/>
          <w:u w:val="none" w:color="auto"/>
          <w:lang w:val="en-US" w:eastAsia="zh-CN"/>
        </w:rPr>
        <w:t>主要污染物是pH和SS，pH值为11～12，SS浓度约5000mg/L。</w:t>
      </w:r>
    </w:p>
    <w:p w14:paraId="18C0CB8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微软雅黑" w:cs="Times New Roman"/>
          <w:caps w:val="0"/>
          <w:smallCaps w:val="0"/>
          <w:color w:val="auto"/>
          <w:spacing w:val="0"/>
          <w:w w:val="100"/>
          <w:kern w:val="0"/>
          <w:position w:val="0"/>
          <w:sz w:val="24"/>
          <w:szCs w:val="24"/>
          <w:u w:val="none" w:color="auto"/>
          <w:lang w:eastAsia="zh-CN"/>
        </w:rPr>
        <w:t>④</w:t>
      </w:r>
      <w:r>
        <w:rPr>
          <w:rFonts w:hint="default" w:ascii="Times New Roman" w:hAnsi="Times New Roman" w:eastAsia="宋体" w:cs="Times New Roman"/>
          <w:caps w:val="0"/>
          <w:smallCaps w:val="0"/>
          <w:color w:val="auto"/>
          <w:spacing w:val="0"/>
          <w:w w:val="100"/>
          <w:kern w:val="0"/>
          <w:position w:val="0"/>
          <w:sz w:val="24"/>
          <w:szCs w:val="24"/>
          <w:u w:val="none" w:color="auto"/>
        </w:rPr>
        <w:t>基坑废水</w:t>
      </w:r>
    </w:p>
    <w:p w14:paraId="2A601EA3">
      <w:pPr>
        <w:spacing w:beforeLines="0" w:afterLines="0" w:line="360" w:lineRule="auto"/>
        <w:ind w:firstLine="480" w:firstLineChars="200"/>
        <w:jc w:val="left"/>
        <w:rPr>
          <w:rFonts w:hint="eastAsia" w:ascii="Times New Roman" w:hAnsi="Times New Roman" w:eastAsia="宋体" w:cs="Times New Roman"/>
          <w:sz w:val="24"/>
          <w:szCs w:val="24"/>
          <w:u w:val="none" w:color="auto"/>
          <w:lang w:val="en-US" w:eastAsia="zh-CN"/>
        </w:rPr>
      </w:pPr>
      <w:r>
        <w:rPr>
          <w:rFonts w:hint="eastAsia" w:ascii="Times New Roman" w:hAnsi="Times New Roman" w:eastAsia="宋体" w:cs="Times New Roman"/>
          <w:sz w:val="24"/>
          <w:szCs w:val="24"/>
          <w:u w:val="none" w:color="auto"/>
          <w:lang w:val="en-US" w:eastAsia="zh-CN"/>
        </w:rPr>
        <w:t>根据</w:t>
      </w:r>
      <w:r>
        <w:rPr>
          <w:rFonts w:hint="eastAsia" w:ascii="宋体" w:hAnsi="宋体" w:eastAsia="宋体" w:cs="宋体"/>
          <w:color w:val="000000"/>
          <w:kern w:val="0"/>
          <w:sz w:val="24"/>
          <w:szCs w:val="24"/>
          <w:lang w:val="en-US" w:eastAsia="zh-CN" w:bidi="ar"/>
        </w:rPr>
        <w:t>初步设计报告</w:t>
      </w:r>
      <w:r>
        <w:rPr>
          <w:rFonts w:hint="eastAsia" w:ascii="Times New Roman" w:hAnsi="Times New Roman" w:eastAsia="宋体" w:cs="Times New Roman"/>
          <w:sz w:val="24"/>
          <w:szCs w:val="24"/>
          <w:u w:val="none" w:color="auto"/>
          <w:lang w:val="en-US" w:eastAsia="zh-CN"/>
        </w:rPr>
        <w:t>，项目输水涵、进水涵及泄洪闸施工时需填筑围堰挡水，降低水位至27.00m，利用水泵抽水过流。围堰填筑会产生基坑排水。施工期间基坑排水分为初期排水和经常性排水，基坑初期排水主要污染物为</w:t>
      </w:r>
      <w:r>
        <w:rPr>
          <w:rFonts w:hint="default" w:ascii="Times New Roman" w:hAnsi="Times New Roman" w:eastAsia="宋体" w:cs="Times New Roman"/>
          <w:sz w:val="24"/>
          <w:szCs w:val="24"/>
          <w:u w:val="none" w:color="auto"/>
          <w:lang w:val="en-US" w:eastAsia="zh-CN"/>
        </w:rPr>
        <w:t>SS</w:t>
      </w:r>
      <w:r>
        <w:rPr>
          <w:rFonts w:hint="eastAsia" w:ascii="Times New Roman" w:hAnsi="Times New Roman" w:eastAsia="宋体" w:cs="Times New Roman"/>
          <w:sz w:val="24"/>
          <w:szCs w:val="24"/>
          <w:u w:val="none" w:color="auto"/>
          <w:lang w:val="en-US" w:eastAsia="zh-CN"/>
        </w:rPr>
        <w:t>，悬浮物浓度相对较低；基坑经常性排水主要来自混凝土养护用水、围堰渗水及雨水等，主要污染物为</w:t>
      </w:r>
      <w:r>
        <w:rPr>
          <w:rFonts w:hint="default" w:ascii="Times New Roman" w:hAnsi="Times New Roman" w:eastAsia="宋体" w:cs="Times New Roman"/>
          <w:sz w:val="24"/>
          <w:szCs w:val="24"/>
          <w:u w:val="none" w:color="auto"/>
          <w:lang w:val="en-US" w:eastAsia="zh-CN"/>
        </w:rPr>
        <w:t>SS</w:t>
      </w:r>
      <w:r>
        <w:rPr>
          <w:rFonts w:hint="eastAsia" w:ascii="Times New Roman" w:hAnsi="Times New Roman" w:eastAsia="宋体" w:cs="Times New Roman"/>
          <w:sz w:val="24"/>
          <w:szCs w:val="24"/>
          <w:u w:val="none" w:color="auto"/>
          <w:lang w:val="en-US" w:eastAsia="zh-CN"/>
        </w:rPr>
        <w:t>，废水呈弱碱性。</w:t>
      </w:r>
    </w:p>
    <w:p w14:paraId="7515FCA6">
      <w:pPr>
        <w:spacing w:beforeLines="0" w:afterLines="0"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sz w:val="24"/>
          <w:szCs w:val="24"/>
          <w:u w:val="none" w:color="auto"/>
          <w:lang w:val="en-US" w:eastAsia="zh-CN"/>
        </w:rPr>
        <w:t>本工程施工期</w:t>
      </w:r>
      <w:r>
        <w:rPr>
          <w:rFonts w:hint="default" w:ascii="Times New Roman" w:hAnsi="Times New Roman" w:eastAsia="宋体" w:cs="Times New Roman"/>
          <w:sz w:val="24"/>
          <w:szCs w:val="24"/>
          <w:u w:val="none" w:color="auto"/>
          <w:lang w:val="en-US" w:eastAsia="zh-CN"/>
        </w:rPr>
        <w:t>围堰填筑后，采用水泵抽水排干基坑内库容约0.3万m</w:t>
      </w:r>
      <w:r>
        <w:rPr>
          <w:rFonts w:hint="default" w:ascii="Times New Roman" w:hAnsi="Times New Roman" w:eastAsia="宋体" w:cs="Times New Roman"/>
          <w:sz w:val="24"/>
          <w:szCs w:val="24"/>
          <w:u w:val="none" w:color="auto"/>
          <w:vertAlign w:val="superscript"/>
          <w:lang w:val="en-US" w:eastAsia="zh-CN"/>
        </w:rPr>
        <w:t>3</w:t>
      </w:r>
      <w:r>
        <w:rPr>
          <w:rFonts w:hint="default" w:ascii="Times New Roman" w:hAnsi="Times New Roman" w:eastAsia="宋体" w:cs="Times New Roman"/>
          <w:sz w:val="24"/>
          <w:szCs w:val="24"/>
          <w:u w:val="none" w:color="auto"/>
          <w:lang w:val="en-US" w:eastAsia="zh-CN"/>
        </w:rPr>
        <w:t>，考虑期间降水汇水，选用1台200QJ80-22型号水泵，单台设计流量 80m</w:t>
      </w:r>
      <w:r>
        <w:rPr>
          <w:rFonts w:hint="default" w:ascii="Times New Roman" w:hAnsi="Times New Roman" w:eastAsia="宋体" w:cs="Times New Roman"/>
          <w:sz w:val="24"/>
          <w:szCs w:val="24"/>
          <w:u w:val="none" w:color="auto"/>
          <w:vertAlign w:val="superscript"/>
          <w:lang w:val="en-US" w:eastAsia="zh-CN"/>
        </w:rPr>
        <w:t>3</w:t>
      </w:r>
      <w:r>
        <w:rPr>
          <w:rFonts w:hint="default" w:ascii="Times New Roman" w:hAnsi="Times New Roman" w:eastAsia="宋体" w:cs="Times New Roman"/>
          <w:sz w:val="24"/>
          <w:szCs w:val="24"/>
          <w:u w:val="none" w:color="auto"/>
          <w:lang w:val="en-US" w:eastAsia="zh-CN"/>
        </w:rPr>
        <w:t xml:space="preserve"> /h</w:t>
      </w:r>
      <w:r>
        <w:rPr>
          <w:rFonts w:hint="eastAsia" w:ascii="Times New Roman" w:hAnsi="Times New Roman" w:eastAsia="宋体" w:cs="Times New Roman"/>
          <w:sz w:val="24"/>
          <w:szCs w:val="24"/>
          <w:u w:val="none" w:color="auto"/>
          <w:lang w:val="en-US" w:eastAsia="zh-CN"/>
        </w:rPr>
        <w:t>。基坑经常性排水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主要污染物是</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SS，其</w:t>
      </w:r>
      <w:r>
        <w:rPr>
          <w:rFonts w:hint="default" w:ascii="Times New Roman" w:hAnsi="Times New Roman" w:eastAsia="宋体" w:cs="Times New Roman"/>
          <w:caps w:val="0"/>
          <w:smallCaps w:val="0"/>
          <w:color w:val="auto"/>
          <w:spacing w:val="0"/>
          <w:w w:val="100"/>
          <w:kern w:val="0"/>
          <w:position w:val="0"/>
          <w:sz w:val="24"/>
          <w:szCs w:val="24"/>
          <w:u w:val="none" w:color="auto"/>
        </w:rPr>
        <w:t>浓度受降水、地下岩隙渗水和施工用水等因素的影响，具有间歇排放的特点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，基坑废水中</w:t>
      </w:r>
      <w:r>
        <w:rPr>
          <w:rFonts w:hint="eastAsia" w:ascii="Times New Roman" w:hAnsi="Times New Roman" w:eastAsia="宋体" w:cs="Times New Roman"/>
          <w:sz w:val="24"/>
          <w:szCs w:val="24"/>
          <w:u w:val="none" w:color="auto"/>
          <w:lang w:val="en-US" w:eastAsia="zh-CN"/>
        </w:rPr>
        <w:t>悬浮物浓度一般为</w:t>
      </w:r>
      <w:r>
        <w:rPr>
          <w:rFonts w:hint="default" w:ascii="Times New Roman" w:hAnsi="Times New Roman" w:eastAsia="宋体" w:cs="Times New Roman"/>
          <w:sz w:val="24"/>
          <w:szCs w:val="24"/>
          <w:u w:val="none" w:color="auto"/>
          <w:lang w:val="en-US" w:eastAsia="zh-CN"/>
        </w:rPr>
        <w:t>2000mg/L</w:t>
      </w:r>
      <w:r>
        <w:rPr>
          <w:rFonts w:hint="eastAsia" w:ascii="Times New Roman" w:hAnsi="Times New Roman" w:eastAsia="宋体" w:cs="Times New Roman"/>
          <w:sz w:val="24"/>
          <w:szCs w:val="24"/>
          <w:u w:val="none" w:color="auto"/>
          <w:lang w:val="en-US" w:eastAsia="zh-CN"/>
        </w:rPr>
        <w:t>左右。</w:t>
      </w:r>
    </w:p>
    <w:p w14:paraId="244EC6A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b w:val="0"/>
          <w:bCs w:val="0"/>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生活污水</w:t>
      </w:r>
    </w:p>
    <w:p w14:paraId="500EA8BD">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 w:val="24"/>
          <w:szCs w:val="24"/>
          <w:u w:val="none" w:color="auto"/>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不单独设置</w:t>
      </w:r>
      <w:r>
        <w:rPr>
          <w:rFonts w:hint="default" w:ascii="Times New Roman" w:hAnsi="Times New Roman" w:eastAsia="宋体" w:cs="Times New Roman"/>
          <w:caps w:val="0"/>
          <w:smallCaps w:val="0"/>
          <w:color w:val="auto"/>
          <w:spacing w:val="0"/>
          <w:w w:val="100"/>
          <w:kern w:val="0"/>
          <w:position w:val="0"/>
          <w:sz w:val="24"/>
          <w:szCs w:val="24"/>
          <w:u w:val="none" w:color="auto"/>
        </w:rPr>
        <w:t>施工营地，</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就近租用周边民房。根据施工组织设计，</w:t>
      </w:r>
      <w:r>
        <w:rPr>
          <w:rFonts w:hint="default" w:ascii="Times New Roman" w:hAnsi="Times New Roman" w:eastAsia="宋体" w:cs="Times New Roman"/>
          <w:caps w:val="0"/>
          <w:smallCaps w:val="0"/>
          <w:color w:val="auto"/>
          <w:spacing w:val="0"/>
          <w:w w:val="100"/>
          <w:kern w:val="0"/>
          <w:position w:val="0"/>
          <w:sz w:val="24"/>
          <w:szCs w:val="24"/>
          <w:u w:val="none" w:color="auto"/>
        </w:rPr>
        <w:t>施工高峰期人员约有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300</w:t>
      </w:r>
      <w:r>
        <w:rPr>
          <w:rFonts w:hint="default" w:ascii="Times New Roman" w:hAnsi="Times New Roman" w:eastAsia="宋体" w:cs="Times New Roman"/>
          <w:caps w:val="0"/>
          <w:smallCaps w:val="0"/>
          <w:color w:val="auto"/>
          <w:spacing w:val="0"/>
          <w:w w:val="100"/>
          <w:kern w:val="0"/>
          <w:position w:val="0"/>
          <w:sz w:val="24"/>
          <w:szCs w:val="24"/>
          <w:u w:val="none" w:color="auto"/>
        </w:rPr>
        <w:t>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约20人住宿，住宿</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施工人员生活用水按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140</w:t>
      </w:r>
      <w:r>
        <w:rPr>
          <w:rFonts w:hint="default" w:ascii="Times New Roman" w:hAnsi="Times New Roman" w:eastAsia="宋体" w:cs="Times New Roman"/>
          <w:caps w:val="0"/>
          <w:smallCaps w:val="0"/>
          <w:color w:val="auto"/>
          <w:spacing w:val="0"/>
          <w:w w:val="100"/>
          <w:kern w:val="0"/>
          <w:position w:val="0"/>
          <w:sz w:val="24"/>
          <w:szCs w:val="24"/>
          <w:u w:val="none" w:color="auto"/>
        </w:rPr>
        <w:t>L/人·d计，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非住宿</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施工人员生活用水按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50</w:t>
      </w:r>
      <w:r>
        <w:rPr>
          <w:rFonts w:hint="default" w:ascii="Times New Roman" w:hAnsi="Times New Roman" w:eastAsia="宋体" w:cs="Times New Roman"/>
          <w:caps w:val="0"/>
          <w:smallCaps w:val="0"/>
          <w:color w:val="auto"/>
          <w:spacing w:val="0"/>
          <w:w w:val="100"/>
          <w:kern w:val="0"/>
          <w:position w:val="0"/>
          <w:sz w:val="24"/>
          <w:szCs w:val="24"/>
          <w:u w:val="none" w:color="auto"/>
        </w:rPr>
        <w:t>L/人·d计，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则生活用水量为16.8</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生活污水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产生</w:t>
      </w:r>
      <w:r>
        <w:rPr>
          <w:rFonts w:hint="default" w:ascii="Times New Roman" w:hAnsi="Times New Roman" w:eastAsia="宋体" w:cs="Times New Roman"/>
          <w:caps w:val="0"/>
          <w:smallCaps w:val="0"/>
          <w:color w:val="auto"/>
          <w:spacing w:val="0"/>
          <w:w w:val="100"/>
          <w:kern w:val="0"/>
          <w:position w:val="0"/>
          <w:sz w:val="24"/>
          <w:szCs w:val="24"/>
          <w:u w:val="none" w:color="auto"/>
        </w:rPr>
        <w:t>量按用水量的80%计，则生活污水产生量为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13.44</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000000"/>
          <w:kern w:val="0"/>
          <w:sz w:val="24"/>
          <w:szCs w:val="24"/>
          <w:u w:val="none" w:color="auto"/>
          <w:lang w:val="en-US" w:eastAsia="zh-CN" w:bidi="ar"/>
        </w:rPr>
        <w:t>生活污水主要污染物为COD、BOD</w:t>
      </w:r>
      <w:r>
        <w:rPr>
          <w:rFonts w:hint="default" w:ascii="Times New Roman" w:hAnsi="Times New Roman" w:eastAsia="宋体" w:cs="Times New Roman"/>
          <w:color w:val="000000"/>
          <w:kern w:val="0"/>
          <w:sz w:val="15"/>
          <w:szCs w:val="15"/>
          <w:u w:val="none" w:color="auto"/>
          <w:lang w:val="en-US" w:eastAsia="zh-CN" w:bidi="ar"/>
        </w:rPr>
        <w:t>5</w:t>
      </w:r>
      <w:r>
        <w:rPr>
          <w:rFonts w:hint="default" w:ascii="Times New Roman" w:hAnsi="Times New Roman" w:eastAsia="宋体" w:cs="Times New Roman"/>
          <w:color w:val="000000"/>
          <w:kern w:val="0"/>
          <w:sz w:val="24"/>
          <w:szCs w:val="24"/>
          <w:u w:val="none" w:color="auto"/>
          <w:lang w:val="en-US" w:eastAsia="zh-CN" w:bidi="ar"/>
        </w:rPr>
        <w:t>、氨氮、SS等，浓度约为200mg/L、100mg/L、20mg/L、100mg/L。</w:t>
      </w:r>
    </w:p>
    <w:p w14:paraId="2E668DB3">
      <w:pPr>
        <w:pageBreakBefore w:val="0"/>
        <w:numPr>
          <w:ilvl w:val="0"/>
          <w:numId w:val="0"/>
        </w:numPr>
        <w:kinsoku w:val="0"/>
        <w:wordWrap w:val="0"/>
        <w:overflowPunct/>
        <w:topLinePunct/>
        <w:autoSpaceDE/>
        <w:autoSpaceDN/>
        <w:bidi w:val="0"/>
        <w:adjustRightInd w:val="0"/>
        <w:spacing w:line="500" w:lineRule="exact"/>
        <w:ind w:leftChars="200"/>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（3）施工过程扰动产生的悬浮物</w:t>
      </w:r>
    </w:p>
    <w:p w14:paraId="7479D6CD">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本项目主坝上游坝坡高程28.00</w:t>
      </w:r>
      <w:r>
        <w:rPr>
          <w:rFonts w:hint="default" w:ascii="Times New Roman" w:hAnsi="Times New Roman" w:eastAsia="宋体" w:cs="Times New Roman"/>
          <w:color w:val="000000"/>
          <w:kern w:val="0"/>
          <w:sz w:val="24"/>
          <w:szCs w:val="24"/>
          <w:u w:val="none" w:color="auto"/>
          <w:lang w:val="en-US" w:eastAsia="zh-CN" w:bidi="ar"/>
        </w:rPr>
        <w:t>m</w:t>
      </w:r>
      <w:r>
        <w:rPr>
          <w:rFonts w:hint="eastAsia" w:ascii="Times New Roman" w:hAnsi="Times New Roman" w:eastAsia="宋体" w:cs="Times New Roman"/>
          <w:color w:val="000000"/>
          <w:kern w:val="0"/>
          <w:sz w:val="24"/>
          <w:szCs w:val="24"/>
          <w:u w:val="none" w:color="auto"/>
          <w:lang w:val="en-US" w:eastAsia="zh-CN" w:bidi="ar"/>
        </w:rPr>
        <w:t>以下、一~六副坝上游高程27.5</w:t>
      </w:r>
      <w:r>
        <w:rPr>
          <w:rFonts w:hint="default" w:ascii="Times New Roman" w:hAnsi="Times New Roman" w:eastAsia="宋体" w:cs="Times New Roman"/>
          <w:color w:val="000000"/>
          <w:kern w:val="0"/>
          <w:sz w:val="24"/>
          <w:szCs w:val="24"/>
          <w:u w:val="none" w:color="auto"/>
          <w:lang w:val="en-US" w:eastAsia="zh-CN" w:bidi="ar"/>
        </w:rPr>
        <w:t>m</w:t>
      </w:r>
      <w:r>
        <w:rPr>
          <w:rFonts w:hint="eastAsia" w:ascii="Times New Roman" w:hAnsi="Times New Roman" w:eastAsia="宋体" w:cs="Times New Roman"/>
          <w:color w:val="000000"/>
          <w:kern w:val="0"/>
          <w:sz w:val="24"/>
          <w:szCs w:val="24"/>
          <w:u w:val="none" w:color="auto"/>
          <w:lang w:val="en-US" w:eastAsia="zh-CN" w:bidi="ar"/>
        </w:rPr>
        <w:t>以下均采用抛石护脚，抛石过程会造成局部施工水域悬浮物浓度增加。同时围堰施工和拆除过程，也会对水体产生扰动，造成水体悬浮物增加。根据同类工程施工经验，施工扰动引起的</w:t>
      </w:r>
      <w:r>
        <w:rPr>
          <w:rFonts w:hint="default" w:ascii="Times New Roman" w:hAnsi="Times New Roman" w:eastAsia="宋体" w:cs="Times New Roman"/>
          <w:color w:val="000000"/>
          <w:kern w:val="0"/>
          <w:sz w:val="24"/>
          <w:szCs w:val="24"/>
          <w:u w:val="none" w:color="auto"/>
          <w:lang w:val="en-US" w:eastAsia="zh-CN" w:bidi="ar"/>
        </w:rPr>
        <w:t>SS</w:t>
      </w:r>
      <w:r>
        <w:rPr>
          <w:rFonts w:hint="eastAsia" w:ascii="Times New Roman" w:hAnsi="Times New Roman" w:eastAsia="宋体" w:cs="Times New Roman"/>
          <w:color w:val="000000"/>
          <w:kern w:val="0"/>
          <w:sz w:val="24"/>
          <w:szCs w:val="24"/>
          <w:u w:val="none" w:color="auto"/>
          <w:lang w:val="en-US" w:eastAsia="zh-CN" w:bidi="ar"/>
        </w:rPr>
        <w:t>浓度约为</w:t>
      </w:r>
      <w:r>
        <w:rPr>
          <w:rFonts w:hint="default" w:ascii="Times New Roman" w:hAnsi="Times New Roman" w:eastAsia="宋体" w:cs="Times New Roman"/>
          <w:color w:val="000000"/>
          <w:kern w:val="0"/>
          <w:sz w:val="24"/>
          <w:szCs w:val="24"/>
          <w:u w:val="none" w:color="auto"/>
          <w:lang w:val="en-US" w:eastAsia="zh-CN" w:bidi="ar"/>
        </w:rPr>
        <w:t>1500mg/L</w:t>
      </w:r>
      <w:r>
        <w:rPr>
          <w:rFonts w:hint="eastAsia" w:ascii="Times New Roman" w:hAnsi="Times New Roman" w:eastAsia="宋体" w:cs="Times New Roman"/>
          <w:color w:val="000000"/>
          <w:kern w:val="0"/>
          <w:sz w:val="24"/>
          <w:szCs w:val="24"/>
          <w:u w:val="none" w:color="auto"/>
          <w:lang w:val="en-US" w:eastAsia="zh-CN" w:bidi="ar"/>
        </w:rPr>
        <w:t>。</w:t>
      </w:r>
    </w:p>
    <w:p w14:paraId="058B5435">
      <w:pPr>
        <w:pStyle w:val="5"/>
        <w:bidi w:val="0"/>
        <w:rPr>
          <w:rFonts w:hint="default" w:ascii="Times New Roman" w:hAnsi="Times New Roman" w:cs="Times New Roman"/>
          <w:u w:val="none" w:color="auto"/>
        </w:rPr>
      </w:pPr>
      <w:r>
        <w:rPr>
          <w:rFonts w:hint="default" w:ascii="Times New Roman" w:hAnsi="Times New Roman" w:cs="Times New Roman"/>
          <w:u w:val="none" w:color="auto"/>
        </w:rPr>
        <w:t>噪声污染源</w:t>
      </w:r>
    </w:p>
    <w:p w14:paraId="0800F28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本项目的噪声源主要来自施工场地施工机械作业、车辆运输等。施工场地机械噪声源主要来自装载机、搅拌机、挖掘机、推土机、空压机、水泵等机械施工活动，噪声值一般在80dB（A）～100dB（A）之间。</w:t>
      </w:r>
    </w:p>
    <w:p w14:paraId="545DB67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参考《水电水利工程施工环境保护技术规程》（DL/T 5260-2010）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、《环境噪声与振动控制工程技术导则》( HJ2034-2013)，同时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类比</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同类型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水库除险加固工程，本工程常用施工机械噪声源强见下表。</w:t>
      </w:r>
    </w:p>
    <w:p w14:paraId="7CD6E082">
      <w:pPr>
        <w:pStyle w:val="74"/>
        <w:pageBreakBefore w:val="0"/>
        <w:shd w:val="clear" w:color="auto" w:fill="auto"/>
        <w:kinsoku w:val="0"/>
        <w:wordWrap w:val="0"/>
        <w:overflowPunct/>
        <w:topLinePunct/>
        <w:autoSpaceDE/>
        <w:autoSpaceDN/>
        <w:bidi w:val="0"/>
        <w:spacing w:line="240" w:lineRule="auto"/>
        <w:jc w:val="center"/>
        <w:rPr>
          <w:rStyle w:val="73"/>
          <w:rFonts w:hint="default" w:ascii="Times New Roman" w:hAnsi="Times New Roman" w:eastAsia="宋体" w:cs="Times New Roman"/>
          <w:b/>
          <w:bCs/>
          <w:caps w:val="0"/>
          <w:smallCaps w:val="0"/>
          <w:color w:val="auto"/>
          <w:spacing w:val="0"/>
          <w:w w:val="100"/>
          <w:position w:val="0"/>
          <w:sz w:val="21"/>
          <w:szCs w:val="21"/>
          <w:u w:val="none" w:color="auto"/>
        </w:rPr>
      </w:pPr>
      <w:r>
        <w:rPr>
          <w:rStyle w:val="73"/>
          <w:rFonts w:hint="default" w:ascii="Times New Roman" w:hAnsi="Times New Roman" w:eastAsia="宋体" w:cs="Times New Roman"/>
          <w:b/>
          <w:bCs/>
          <w:caps w:val="0"/>
          <w:smallCaps w:val="0"/>
          <w:color w:val="auto"/>
          <w:spacing w:val="0"/>
          <w:w w:val="100"/>
          <w:position w:val="0"/>
          <w:sz w:val="21"/>
          <w:szCs w:val="21"/>
          <w:u w:val="none" w:color="auto"/>
        </w:rPr>
        <w:t>表2.</w:t>
      </w:r>
      <w:r>
        <w:rPr>
          <w:rStyle w:val="73"/>
          <w:rFonts w:hint="eastAsia" w:ascii="Times New Roman" w:eastAsia="宋体" w:cs="Times New Roman"/>
          <w:b/>
          <w:bCs/>
          <w:caps w:val="0"/>
          <w:smallCaps w:val="0"/>
          <w:color w:val="auto"/>
          <w:spacing w:val="0"/>
          <w:w w:val="100"/>
          <w:position w:val="0"/>
          <w:sz w:val="21"/>
          <w:szCs w:val="21"/>
          <w:u w:val="none" w:color="auto"/>
          <w:lang w:val="en-US" w:eastAsia="zh-CN"/>
        </w:rPr>
        <w:t>4</w:t>
      </w:r>
      <w:r>
        <w:rPr>
          <w:rStyle w:val="73"/>
          <w:rFonts w:hint="default" w:ascii="Times New Roman" w:hAnsi="Times New Roman" w:eastAsia="宋体" w:cs="Times New Roman"/>
          <w:b/>
          <w:bCs/>
          <w:caps w:val="0"/>
          <w:smallCaps w:val="0"/>
          <w:color w:val="auto"/>
          <w:spacing w:val="0"/>
          <w:w w:val="100"/>
          <w:position w:val="0"/>
          <w:sz w:val="21"/>
          <w:szCs w:val="21"/>
          <w:u w:val="none" w:color="auto"/>
          <w:lang w:val="en-US" w:eastAsia="zh-CN"/>
        </w:rPr>
        <w:t>-</w:t>
      </w:r>
      <w:r>
        <w:rPr>
          <w:rStyle w:val="73"/>
          <w:rFonts w:hint="eastAsia" w:ascii="Times New Roman" w:eastAsia="宋体" w:cs="Times New Roman"/>
          <w:b/>
          <w:bCs/>
          <w:caps w:val="0"/>
          <w:smallCaps w:val="0"/>
          <w:color w:val="auto"/>
          <w:spacing w:val="0"/>
          <w:w w:val="100"/>
          <w:position w:val="0"/>
          <w:sz w:val="21"/>
          <w:szCs w:val="21"/>
          <w:u w:val="none" w:color="auto"/>
          <w:lang w:val="en-US" w:eastAsia="zh-CN"/>
        </w:rPr>
        <w:t>2</w:t>
      </w:r>
      <w:r>
        <w:rPr>
          <w:rStyle w:val="73"/>
          <w:rFonts w:hint="default" w:ascii="Times New Roman" w:hAnsi="Times New Roman" w:eastAsia="宋体" w:cs="Times New Roman"/>
          <w:b/>
          <w:bCs/>
          <w:caps w:val="0"/>
          <w:smallCaps w:val="0"/>
          <w:color w:val="auto"/>
          <w:spacing w:val="0"/>
          <w:w w:val="100"/>
          <w:position w:val="0"/>
          <w:sz w:val="21"/>
          <w:szCs w:val="21"/>
          <w:u w:val="none" w:color="auto"/>
        </w:rPr>
        <w:t xml:space="preserve">  主要施工机械</w:t>
      </w:r>
      <w:r>
        <w:rPr>
          <w:rStyle w:val="73"/>
          <w:rFonts w:hint="default" w:ascii="Times New Roman" w:hAnsi="Times New Roman" w:eastAsia="宋体" w:cs="Times New Roman"/>
          <w:b/>
          <w:bCs/>
          <w:caps w:val="0"/>
          <w:smallCaps w:val="0"/>
          <w:color w:val="auto"/>
          <w:spacing w:val="0"/>
          <w:w w:val="100"/>
          <w:position w:val="0"/>
          <w:sz w:val="21"/>
          <w:szCs w:val="21"/>
          <w:u w:val="none" w:color="auto"/>
          <w:lang w:val="en-US" w:eastAsia="zh-CN"/>
        </w:rPr>
        <w:t>设备</w:t>
      </w:r>
      <w:r>
        <w:rPr>
          <w:rStyle w:val="73"/>
          <w:rFonts w:hint="default" w:ascii="Times New Roman" w:hAnsi="Times New Roman" w:eastAsia="宋体" w:cs="Times New Roman"/>
          <w:b/>
          <w:bCs/>
          <w:caps w:val="0"/>
          <w:smallCaps w:val="0"/>
          <w:color w:val="auto"/>
          <w:spacing w:val="0"/>
          <w:w w:val="100"/>
          <w:position w:val="0"/>
          <w:sz w:val="21"/>
          <w:szCs w:val="21"/>
          <w:u w:val="none" w:color="auto"/>
        </w:rPr>
        <w:t xml:space="preserve">噪声源强  </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15"/>
        <w:gridCol w:w="2271"/>
        <w:gridCol w:w="1729"/>
        <w:gridCol w:w="1442"/>
        <w:gridCol w:w="1959"/>
      </w:tblGrid>
      <w:tr w14:paraId="75211B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04BA9E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2271" w:type="dxa"/>
            <w:tcBorders>
              <w:tl2br w:val="nil"/>
              <w:tr2bl w:val="nil"/>
            </w:tcBorders>
            <w:shd w:val="clear" w:color="auto" w:fill="auto"/>
            <w:noWrap/>
            <w:vAlign w:val="center"/>
          </w:tcPr>
          <w:p w14:paraId="7AF3B9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机械名称</w:t>
            </w:r>
          </w:p>
        </w:tc>
        <w:tc>
          <w:tcPr>
            <w:tcW w:w="1729" w:type="dxa"/>
            <w:tcBorders>
              <w:tl2br w:val="nil"/>
              <w:tr2bl w:val="nil"/>
            </w:tcBorders>
            <w:shd w:val="clear" w:color="auto" w:fill="auto"/>
            <w:noWrap/>
            <w:vAlign w:val="center"/>
          </w:tcPr>
          <w:p w14:paraId="48C2BF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型号</w:t>
            </w:r>
          </w:p>
        </w:tc>
        <w:tc>
          <w:tcPr>
            <w:tcW w:w="1442" w:type="dxa"/>
            <w:tcBorders>
              <w:tl2br w:val="nil"/>
              <w:tr2bl w:val="nil"/>
            </w:tcBorders>
            <w:shd w:val="clear" w:color="auto" w:fill="auto"/>
            <w:noWrap/>
            <w:vAlign w:val="center"/>
          </w:tcPr>
          <w:p w14:paraId="664315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w:t>
            </w:r>
          </w:p>
        </w:tc>
        <w:tc>
          <w:tcPr>
            <w:tcW w:w="1959" w:type="dxa"/>
            <w:tcBorders>
              <w:tl2br w:val="nil"/>
              <w:tr2bl w:val="nil"/>
            </w:tcBorders>
            <w:shd w:val="clear" w:color="auto" w:fill="auto"/>
            <w:noWrap/>
            <w:vAlign w:val="center"/>
          </w:tcPr>
          <w:p w14:paraId="2BE2C2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color="auto"/>
                <w:lang w:val="en-US" w:eastAsia="zh-CN" w:bidi="ar"/>
              </w:rPr>
              <w:t>噪声源强</w:t>
            </w:r>
            <w:r>
              <w:rPr>
                <w:rStyle w:val="73"/>
                <w:rFonts w:hint="default" w:ascii="Times New Roman" w:hAnsi="Times New Roman" w:eastAsia="宋体" w:cs="Times New Roman"/>
                <w:b/>
                <w:bCs/>
                <w:caps w:val="0"/>
                <w:smallCaps w:val="0"/>
                <w:color w:val="auto"/>
                <w:spacing w:val="0"/>
                <w:w w:val="100"/>
                <w:position w:val="0"/>
                <w:sz w:val="21"/>
                <w:szCs w:val="21"/>
                <w:u w:val="none" w:color="auto"/>
              </w:rPr>
              <w:t>dB（A）</w:t>
            </w:r>
          </w:p>
        </w:tc>
      </w:tr>
      <w:tr w14:paraId="254E67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7315C3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271" w:type="dxa"/>
            <w:tcBorders>
              <w:tl2br w:val="nil"/>
              <w:tr2bl w:val="nil"/>
            </w:tcBorders>
            <w:shd w:val="clear" w:color="auto" w:fill="auto"/>
            <w:noWrap/>
            <w:vAlign w:val="center"/>
          </w:tcPr>
          <w:p w14:paraId="11A2DD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挖掘机</w:t>
            </w:r>
          </w:p>
        </w:tc>
        <w:tc>
          <w:tcPr>
            <w:tcW w:w="1729" w:type="dxa"/>
            <w:tcBorders>
              <w:tl2br w:val="nil"/>
              <w:tr2bl w:val="nil"/>
            </w:tcBorders>
            <w:shd w:val="clear" w:color="auto" w:fill="auto"/>
            <w:noWrap/>
            <w:vAlign w:val="center"/>
          </w:tcPr>
          <w:p w14:paraId="5915C9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1442" w:type="dxa"/>
            <w:tcBorders>
              <w:tl2br w:val="nil"/>
              <w:tr2bl w:val="nil"/>
            </w:tcBorders>
            <w:shd w:val="clear" w:color="auto" w:fill="auto"/>
            <w:noWrap/>
            <w:vAlign w:val="center"/>
          </w:tcPr>
          <w:p w14:paraId="18B36E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5台</w:t>
            </w:r>
          </w:p>
        </w:tc>
        <w:tc>
          <w:tcPr>
            <w:tcW w:w="1959" w:type="dxa"/>
            <w:tcBorders>
              <w:tl2br w:val="nil"/>
              <w:tr2bl w:val="nil"/>
            </w:tcBorders>
            <w:shd w:val="clear" w:color="auto" w:fill="auto"/>
            <w:noWrap/>
            <w:vAlign w:val="center"/>
          </w:tcPr>
          <w:p w14:paraId="0B88E6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r>
      <w:tr w14:paraId="4C31D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56EAF2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271" w:type="dxa"/>
            <w:tcBorders>
              <w:tl2br w:val="nil"/>
              <w:tr2bl w:val="nil"/>
            </w:tcBorders>
            <w:shd w:val="clear" w:color="auto" w:fill="auto"/>
            <w:noWrap/>
            <w:vAlign w:val="center"/>
          </w:tcPr>
          <w:p w14:paraId="6DE880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自卸汽车</w:t>
            </w:r>
          </w:p>
        </w:tc>
        <w:tc>
          <w:tcPr>
            <w:tcW w:w="1729" w:type="dxa"/>
            <w:tcBorders>
              <w:tl2br w:val="nil"/>
              <w:tr2bl w:val="nil"/>
            </w:tcBorders>
            <w:shd w:val="clear" w:color="auto" w:fill="auto"/>
            <w:noWrap/>
            <w:vAlign w:val="center"/>
          </w:tcPr>
          <w:p w14:paraId="477ED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8~15t</w:t>
            </w:r>
          </w:p>
        </w:tc>
        <w:tc>
          <w:tcPr>
            <w:tcW w:w="1442" w:type="dxa"/>
            <w:tcBorders>
              <w:tl2br w:val="nil"/>
              <w:tr2bl w:val="nil"/>
            </w:tcBorders>
            <w:shd w:val="clear" w:color="auto" w:fill="auto"/>
            <w:noWrap/>
            <w:vAlign w:val="center"/>
          </w:tcPr>
          <w:p w14:paraId="0DB916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15辆</w:t>
            </w:r>
          </w:p>
        </w:tc>
        <w:tc>
          <w:tcPr>
            <w:tcW w:w="1959" w:type="dxa"/>
            <w:tcBorders>
              <w:tl2br w:val="nil"/>
              <w:tr2bl w:val="nil"/>
            </w:tcBorders>
            <w:shd w:val="clear" w:color="auto" w:fill="auto"/>
            <w:noWrap/>
            <w:vAlign w:val="center"/>
          </w:tcPr>
          <w:p w14:paraId="515931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r>
      <w:tr w14:paraId="004268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0C0EF8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271" w:type="dxa"/>
            <w:tcBorders>
              <w:tl2br w:val="nil"/>
              <w:tr2bl w:val="nil"/>
            </w:tcBorders>
            <w:shd w:val="clear" w:color="auto" w:fill="auto"/>
            <w:noWrap/>
            <w:vAlign w:val="center"/>
          </w:tcPr>
          <w:p w14:paraId="6FF9D6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振动碾</w:t>
            </w:r>
          </w:p>
        </w:tc>
        <w:tc>
          <w:tcPr>
            <w:tcW w:w="1729" w:type="dxa"/>
            <w:tcBorders>
              <w:tl2br w:val="nil"/>
              <w:tr2bl w:val="nil"/>
            </w:tcBorders>
            <w:shd w:val="clear" w:color="auto" w:fill="auto"/>
            <w:noWrap/>
            <w:vAlign w:val="center"/>
          </w:tcPr>
          <w:p w14:paraId="4A9A5E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10~13t</w:t>
            </w:r>
          </w:p>
        </w:tc>
        <w:tc>
          <w:tcPr>
            <w:tcW w:w="1442" w:type="dxa"/>
            <w:tcBorders>
              <w:tl2br w:val="nil"/>
              <w:tr2bl w:val="nil"/>
            </w:tcBorders>
            <w:shd w:val="clear" w:color="auto" w:fill="auto"/>
            <w:noWrap/>
            <w:vAlign w:val="center"/>
          </w:tcPr>
          <w:p w14:paraId="1FB1ED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3台</w:t>
            </w:r>
          </w:p>
        </w:tc>
        <w:tc>
          <w:tcPr>
            <w:tcW w:w="1959" w:type="dxa"/>
            <w:tcBorders>
              <w:tl2br w:val="nil"/>
              <w:tr2bl w:val="nil"/>
            </w:tcBorders>
            <w:shd w:val="clear" w:color="auto" w:fill="auto"/>
            <w:noWrap/>
            <w:vAlign w:val="center"/>
          </w:tcPr>
          <w:p w14:paraId="5A748D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92</w:t>
            </w:r>
          </w:p>
        </w:tc>
      </w:tr>
      <w:tr w14:paraId="372687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443E46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271" w:type="dxa"/>
            <w:tcBorders>
              <w:tl2br w:val="nil"/>
              <w:tr2bl w:val="nil"/>
            </w:tcBorders>
            <w:shd w:val="clear" w:color="auto" w:fill="auto"/>
            <w:noWrap/>
            <w:vAlign w:val="center"/>
          </w:tcPr>
          <w:p w14:paraId="0364E2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蛙式打夯机</w:t>
            </w:r>
          </w:p>
        </w:tc>
        <w:tc>
          <w:tcPr>
            <w:tcW w:w="1729" w:type="dxa"/>
            <w:tcBorders>
              <w:tl2br w:val="nil"/>
              <w:tr2bl w:val="nil"/>
            </w:tcBorders>
            <w:shd w:val="clear" w:color="auto" w:fill="auto"/>
            <w:noWrap/>
            <w:vAlign w:val="center"/>
          </w:tcPr>
          <w:p w14:paraId="32F43B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2.8kW</w:t>
            </w:r>
          </w:p>
        </w:tc>
        <w:tc>
          <w:tcPr>
            <w:tcW w:w="1442" w:type="dxa"/>
            <w:tcBorders>
              <w:tl2br w:val="nil"/>
              <w:tr2bl w:val="nil"/>
            </w:tcBorders>
            <w:shd w:val="clear" w:color="auto" w:fill="auto"/>
            <w:noWrap/>
            <w:vAlign w:val="center"/>
          </w:tcPr>
          <w:p w14:paraId="691983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3台</w:t>
            </w:r>
          </w:p>
        </w:tc>
        <w:tc>
          <w:tcPr>
            <w:tcW w:w="1959" w:type="dxa"/>
            <w:tcBorders>
              <w:tl2br w:val="nil"/>
              <w:tr2bl w:val="nil"/>
            </w:tcBorders>
            <w:shd w:val="clear" w:color="auto" w:fill="auto"/>
            <w:noWrap/>
            <w:vAlign w:val="center"/>
          </w:tcPr>
          <w:p w14:paraId="35FB5E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94</w:t>
            </w:r>
          </w:p>
        </w:tc>
      </w:tr>
      <w:tr w14:paraId="55C5FA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24DBF2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271" w:type="dxa"/>
            <w:tcBorders>
              <w:tl2br w:val="nil"/>
              <w:tr2bl w:val="nil"/>
            </w:tcBorders>
            <w:shd w:val="clear" w:color="auto" w:fill="auto"/>
            <w:noWrap/>
            <w:vAlign w:val="center"/>
          </w:tcPr>
          <w:p w14:paraId="164C5C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推土机</w:t>
            </w:r>
          </w:p>
        </w:tc>
        <w:tc>
          <w:tcPr>
            <w:tcW w:w="1729" w:type="dxa"/>
            <w:tcBorders>
              <w:tl2br w:val="nil"/>
              <w:tr2bl w:val="nil"/>
            </w:tcBorders>
            <w:shd w:val="clear" w:color="auto" w:fill="auto"/>
            <w:noWrap/>
            <w:vAlign w:val="center"/>
          </w:tcPr>
          <w:p w14:paraId="3EFB92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80~120HP</w:t>
            </w:r>
          </w:p>
        </w:tc>
        <w:tc>
          <w:tcPr>
            <w:tcW w:w="1442" w:type="dxa"/>
            <w:tcBorders>
              <w:tl2br w:val="nil"/>
              <w:tr2bl w:val="nil"/>
            </w:tcBorders>
            <w:shd w:val="clear" w:color="auto" w:fill="auto"/>
            <w:noWrap/>
            <w:vAlign w:val="center"/>
          </w:tcPr>
          <w:p w14:paraId="16E919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4台</w:t>
            </w:r>
          </w:p>
        </w:tc>
        <w:tc>
          <w:tcPr>
            <w:tcW w:w="1959" w:type="dxa"/>
            <w:tcBorders>
              <w:tl2br w:val="nil"/>
              <w:tr2bl w:val="nil"/>
            </w:tcBorders>
            <w:shd w:val="clear" w:color="auto" w:fill="auto"/>
            <w:noWrap/>
            <w:vAlign w:val="center"/>
          </w:tcPr>
          <w:p w14:paraId="784132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88</w:t>
            </w:r>
          </w:p>
        </w:tc>
      </w:tr>
      <w:tr w14:paraId="161067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3322AE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271" w:type="dxa"/>
            <w:tcBorders>
              <w:tl2br w:val="nil"/>
              <w:tr2bl w:val="nil"/>
            </w:tcBorders>
            <w:shd w:val="clear" w:color="auto" w:fill="auto"/>
            <w:noWrap/>
            <w:vAlign w:val="center"/>
          </w:tcPr>
          <w:p w14:paraId="7BD030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混凝土振捣器</w:t>
            </w:r>
          </w:p>
        </w:tc>
        <w:tc>
          <w:tcPr>
            <w:tcW w:w="1729" w:type="dxa"/>
            <w:tcBorders>
              <w:tl2br w:val="nil"/>
              <w:tr2bl w:val="nil"/>
            </w:tcBorders>
            <w:shd w:val="clear" w:color="auto" w:fill="auto"/>
            <w:noWrap/>
            <w:vAlign w:val="center"/>
          </w:tcPr>
          <w:p w14:paraId="6DD064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1.1KW</w:t>
            </w:r>
          </w:p>
        </w:tc>
        <w:tc>
          <w:tcPr>
            <w:tcW w:w="1442" w:type="dxa"/>
            <w:tcBorders>
              <w:tl2br w:val="nil"/>
              <w:tr2bl w:val="nil"/>
            </w:tcBorders>
            <w:shd w:val="clear" w:color="auto" w:fill="auto"/>
            <w:noWrap/>
            <w:vAlign w:val="center"/>
          </w:tcPr>
          <w:p w14:paraId="0166F2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3台</w:t>
            </w:r>
          </w:p>
        </w:tc>
        <w:tc>
          <w:tcPr>
            <w:tcW w:w="1959" w:type="dxa"/>
            <w:tcBorders>
              <w:tl2br w:val="nil"/>
              <w:tr2bl w:val="nil"/>
            </w:tcBorders>
            <w:shd w:val="clear" w:color="auto" w:fill="auto"/>
            <w:noWrap/>
            <w:vAlign w:val="center"/>
          </w:tcPr>
          <w:p w14:paraId="5B25F0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88</w:t>
            </w:r>
          </w:p>
        </w:tc>
      </w:tr>
      <w:tr w14:paraId="61C71D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759BC3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271" w:type="dxa"/>
            <w:tcBorders>
              <w:tl2br w:val="nil"/>
              <w:tr2bl w:val="nil"/>
            </w:tcBorders>
            <w:shd w:val="clear" w:color="auto" w:fill="auto"/>
            <w:noWrap/>
            <w:vAlign w:val="center"/>
          </w:tcPr>
          <w:p w14:paraId="0E7936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搅拌桩机</w:t>
            </w:r>
          </w:p>
        </w:tc>
        <w:tc>
          <w:tcPr>
            <w:tcW w:w="1729" w:type="dxa"/>
            <w:tcBorders>
              <w:tl2br w:val="nil"/>
              <w:tr2bl w:val="nil"/>
            </w:tcBorders>
            <w:shd w:val="clear" w:color="auto" w:fill="auto"/>
            <w:noWrap/>
            <w:vAlign w:val="center"/>
          </w:tcPr>
          <w:p w14:paraId="7D3A9802">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442" w:type="dxa"/>
            <w:tcBorders>
              <w:tl2br w:val="nil"/>
              <w:tr2bl w:val="nil"/>
            </w:tcBorders>
            <w:shd w:val="clear" w:color="auto" w:fill="auto"/>
            <w:noWrap/>
            <w:vAlign w:val="center"/>
          </w:tcPr>
          <w:p w14:paraId="055796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4台</w:t>
            </w:r>
          </w:p>
        </w:tc>
        <w:tc>
          <w:tcPr>
            <w:tcW w:w="1959" w:type="dxa"/>
            <w:tcBorders>
              <w:tl2br w:val="nil"/>
              <w:tr2bl w:val="nil"/>
            </w:tcBorders>
            <w:shd w:val="clear" w:color="auto" w:fill="auto"/>
            <w:noWrap/>
            <w:vAlign w:val="center"/>
          </w:tcPr>
          <w:p w14:paraId="52446B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r>
      <w:tr w14:paraId="674E9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01041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271" w:type="dxa"/>
            <w:tcBorders>
              <w:tl2br w:val="nil"/>
              <w:tr2bl w:val="nil"/>
            </w:tcBorders>
            <w:shd w:val="clear" w:color="auto" w:fill="auto"/>
            <w:noWrap/>
            <w:vAlign w:val="center"/>
          </w:tcPr>
          <w:p w14:paraId="428086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灰浆搅拌机</w:t>
            </w:r>
          </w:p>
        </w:tc>
        <w:tc>
          <w:tcPr>
            <w:tcW w:w="1729" w:type="dxa"/>
            <w:tcBorders>
              <w:tl2br w:val="nil"/>
              <w:tr2bl w:val="nil"/>
            </w:tcBorders>
            <w:shd w:val="clear" w:color="auto" w:fill="auto"/>
            <w:noWrap/>
            <w:vAlign w:val="center"/>
          </w:tcPr>
          <w:p w14:paraId="6BC94979">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442" w:type="dxa"/>
            <w:tcBorders>
              <w:tl2br w:val="nil"/>
              <w:tr2bl w:val="nil"/>
            </w:tcBorders>
            <w:shd w:val="clear" w:color="auto" w:fill="auto"/>
            <w:noWrap/>
            <w:vAlign w:val="center"/>
          </w:tcPr>
          <w:p w14:paraId="0DE19C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4台</w:t>
            </w:r>
          </w:p>
        </w:tc>
        <w:tc>
          <w:tcPr>
            <w:tcW w:w="1959" w:type="dxa"/>
            <w:tcBorders>
              <w:tl2br w:val="nil"/>
              <w:tr2bl w:val="nil"/>
            </w:tcBorders>
            <w:shd w:val="clear" w:color="auto" w:fill="auto"/>
            <w:noWrap/>
            <w:vAlign w:val="center"/>
          </w:tcPr>
          <w:p w14:paraId="62DD8B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84</w:t>
            </w:r>
          </w:p>
        </w:tc>
      </w:tr>
      <w:tr w14:paraId="753EFD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6FFBF7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2271" w:type="dxa"/>
            <w:tcBorders>
              <w:tl2br w:val="nil"/>
              <w:tr2bl w:val="nil"/>
            </w:tcBorders>
            <w:shd w:val="clear" w:color="auto" w:fill="auto"/>
            <w:noWrap/>
            <w:vAlign w:val="center"/>
          </w:tcPr>
          <w:p w14:paraId="68644B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灰浆泵</w:t>
            </w:r>
          </w:p>
        </w:tc>
        <w:tc>
          <w:tcPr>
            <w:tcW w:w="1729" w:type="dxa"/>
            <w:tcBorders>
              <w:tl2br w:val="nil"/>
              <w:tr2bl w:val="nil"/>
            </w:tcBorders>
            <w:shd w:val="clear" w:color="auto" w:fill="auto"/>
            <w:noWrap/>
            <w:vAlign w:val="center"/>
          </w:tcPr>
          <w:p w14:paraId="291656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4KW</w:t>
            </w:r>
          </w:p>
        </w:tc>
        <w:tc>
          <w:tcPr>
            <w:tcW w:w="1442" w:type="dxa"/>
            <w:tcBorders>
              <w:tl2br w:val="nil"/>
              <w:tr2bl w:val="nil"/>
            </w:tcBorders>
            <w:shd w:val="clear" w:color="auto" w:fill="auto"/>
            <w:noWrap/>
            <w:vAlign w:val="center"/>
          </w:tcPr>
          <w:p w14:paraId="76761C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4台</w:t>
            </w:r>
          </w:p>
        </w:tc>
        <w:tc>
          <w:tcPr>
            <w:tcW w:w="1959" w:type="dxa"/>
            <w:tcBorders>
              <w:tl2br w:val="nil"/>
              <w:tr2bl w:val="nil"/>
            </w:tcBorders>
            <w:shd w:val="clear" w:color="auto" w:fill="auto"/>
            <w:noWrap/>
            <w:vAlign w:val="center"/>
          </w:tcPr>
          <w:p w14:paraId="27658D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95</w:t>
            </w:r>
          </w:p>
        </w:tc>
      </w:tr>
      <w:tr w14:paraId="581D36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3559D0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2271" w:type="dxa"/>
            <w:tcBorders>
              <w:tl2br w:val="nil"/>
              <w:tr2bl w:val="nil"/>
            </w:tcBorders>
            <w:shd w:val="clear" w:color="auto" w:fill="auto"/>
            <w:noWrap/>
            <w:vAlign w:val="center"/>
          </w:tcPr>
          <w:p w14:paraId="1A09B1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灌浆泵</w:t>
            </w:r>
          </w:p>
        </w:tc>
        <w:tc>
          <w:tcPr>
            <w:tcW w:w="1729" w:type="dxa"/>
            <w:tcBorders>
              <w:tl2br w:val="nil"/>
              <w:tr2bl w:val="nil"/>
            </w:tcBorders>
            <w:shd w:val="clear" w:color="auto" w:fill="auto"/>
            <w:noWrap/>
            <w:vAlign w:val="center"/>
          </w:tcPr>
          <w:p w14:paraId="3401897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中压泥浆</w:t>
            </w:r>
          </w:p>
        </w:tc>
        <w:tc>
          <w:tcPr>
            <w:tcW w:w="1442" w:type="dxa"/>
            <w:tcBorders>
              <w:tl2br w:val="nil"/>
              <w:tr2bl w:val="nil"/>
            </w:tcBorders>
            <w:shd w:val="clear" w:color="auto" w:fill="auto"/>
            <w:noWrap/>
            <w:vAlign w:val="center"/>
          </w:tcPr>
          <w:p w14:paraId="45086C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1台</w:t>
            </w:r>
          </w:p>
        </w:tc>
        <w:tc>
          <w:tcPr>
            <w:tcW w:w="1959" w:type="dxa"/>
            <w:tcBorders>
              <w:tl2br w:val="nil"/>
              <w:tr2bl w:val="nil"/>
            </w:tcBorders>
            <w:shd w:val="clear" w:color="auto" w:fill="auto"/>
            <w:noWrap/>
            <w:vAlign w:val="center"/>
          </w:tcPr>
          <w:p w14:paraId="6D7D08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89</w:t>
            </w:r>
          </w:p>
        </w:tc>
      </w:tr>
      <w:tr w14:paraId="6FB6F8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tcBorders>
              <w:tl2br w:val="nil"/>
              <w:tr2bl w:val="nil"/>
            </w:tcBorders>
            <w:shd w:val="clear" w:color="auto" w:fill="auto"/>
            <w:noWrap/>
            <w:vAlign w:val="center"/>
          </w:tcPr>
          <w:p w14:paraId="307785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271" w:type="dxa"/>
            <w:tcBorders>
              <w:tl2br w:val="nil"/>
              <w:tr2bl w:val="nil"/>
            </w:tcBorders>
            <w:shd w:val="clear" w:color="auto" w:fill="auto"/>
            <w:noWrap/>
            <w:vAlign w:val="center"/>
          </w:tcPr>
          <w:p w14:paraId="4AFD94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地质钻机</w:t>
            </w:r>
          </w:p>
        </w:tc>
        <w:tc>
          <w:tcPr>
            <w:tcW w:w="1729" w:type="dxa"/>
            <w:tcBorders>
              <w:tl2br w:val="nil"/>
              <w:tr2bl w:val="nil"/>
            </w:tcBorders>
            <w:shd w:val="clear" w:color="auto" w:fill="auto"/>
            <w:noWrap/>
            <w:vAlign w:val="center"/>
          </w:tcPr>
          <w:p w14:paraId="019EBC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150型</w:t>
            </w:r>
          </w:p>
        </w:tc>
        <w:tc>
          <w:tcPr>
            <w:tcW w:w="1442" w:type="dxa"/>
            <w:tcBorders>
              <w:tl2br w:val="nil"/>
              <w:tr2bl w:val="nil"/>
            </w:tcBorders>
            <w:shd w:val="clear" w:color="auto" w:fill="auto"/>
            <w:noWrap/>
            <w:vAlign w:val="center"/>
          </w:tcPr>
          <w:p w14:paraId="736880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2台</w:t>
            </w:r>
          </w:p>
        </w:tc>
        <w:tc>
          <w:tcPr>
            <w:tcW w:w="1959" w:type="dxa"/>
            <w:tcBorders>
              <w:tl2br w:val="nil"/>
              <w:tr2bl w:val="nil"/>
            </w:tcBorders>
            <w:shd w:val="clear" w:color="auto" w:fill="auto"/>
            <w:noWrap/>
            <w:vAlign w:val="center"/>
          </w:tcPr>
          <w:p w14:paraId="3D354D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r>
    </w:tbl>
    <w:p w14:paraId="16A91559">
      <w:pPr>
        <w:pStyle w:val="5"/>
        <w:bidi w:val="0"/>
        <w:rPr>
          <w:rFonts w:hint="default" w:ascii="Times New Roman" w:hAnsi="Times New Roman" w:cs="Times New Roman"/>
          <w:u w:val="none" w:color="auto"/>
        </w:rPr>
      </w:pPr>
      <w:r>
        <w:rPr>
          <w:rFonts w:hint="default" w:ascii="Times New Roman" w:hAnsi="Times New Roman" w:cs="Times New Roman"/>
          <w:u w:val="none" w:color="auto"/>
        </w:rPr>
        <w:t>固体废物</w:t>
      </w:r>
    </w:p>
    <w:p w14:paraId="33282605">
      <w:pPr>
        <w:keepNext w:val="0"/>
        <w:keepLines w:val="0"/>
        <w:pageBreakBefore w:val="0"/>
        <w:widowControl/>
        <w:suppressLineNumbers w:val="0"/>
        <w:kinsoku/>
        <w:overflowPunct/>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施工期固体废物主要包括施工过程产生的弃渣、建筑垃圾、拆除的旧设备</w:t>
      </w:r>
      <w:r>
        <w:rPr>
          <w:rFonts w:hint="eastAsia" w:ascii="Times New Roman" w:hAnsi="Times New Roman" w:eastAsia="宋体"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沉淀池收集的污泥、</w:t>
      </w:r>
      <w:r>
        <w:rPr>
          <w:rFonts w:hint="eastAsia" w:ascii="Times New Roman" w:hAnsi="Times New Roman" w:eastAsia="宋体" w:cs="Times New Roman"/>
          <w:color w:val="auto"/>
          <w:kern w:val="0"/>
          <w:sz w:val="24"/>
          <w:szCs w:val="24"/>
          <w:u w:val="none" w:color="auto"/>
          <w:lang w:val="en-US" w:eastAsia="zh-CN" w:bidi="ar"/>
        </w:rPr>
        <w:t>隔油</w:t>
      </w:r>
      <w:r>
        <w:rPr>
          <w:rFonts w:hint="default" w:ascii="Times New Roman" w:hAnsi="Times New Roman" w:eastAsia="宋体" w:cs="Times New Roman"/>
          <w:color w:val="auto"/>
          <w:kern w:val="0"/>
          <w:sz w:val="24"/>
          <w:szCs w:val="24"/>
          <w:u w:val="none" w:color="auto"/>
          <w:lang w:val="en-US" w:eastAsia="zh-CN" w:bidi="ar"/>
        </w:rPr>
        <w:t>池收集的废油、和施工人员生活垃圾。</w:t>
      </w:r>
    </w:p>
    <w:p w14:paraId="73BA8CB5">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宋体" w:cs="Times New Roman"/>
          <w:color w:val="auto"/>
          <w:spacing w:val="0"/>
          <w:w w:val="100"/>
          <w:position w:val="0"/>
          <w:sz w:val="24"/>
          <w:szCs w:val="24"/>
          <w:u w:val="none" w:color="auto"/>
          <w:lang w:eastAsia="zh-CN"/>
        </w:rPr>
        <w:t>）工程弃土</w:t>
      </w:r>
    </w:p>
    <w:p w14:paraId="11CE4FE9">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根据</w:t>
      </w:r>
      <w:r>
        <w:rPr>
          <w:rFonts w:hint="eastAsia" w:ascii="Times New Roman" w:hAnsi="Times New Roman" w:eastAsia="宋体" w:cs="Times New Roman"/>
          <w:color w:val="auto"/>
          <w:spacing w:val="0"/>
          <w:w w:val="100"/>
          <w:position w:val="0"/>
          <w:sz w:val="24"/>
          <w:szCs w:val="24"/>
          <w:u w:val="none" w:color="auto"/>
          <w:lang w:eastAsia="zh-CN"/>
        </w:rPr>
        <w:t>项目</w:t>
      </w:r>
      <w:r>
        <w:rPr>
          <w:rFonts w:hint="default" w:ascii="Times New Roman" w:hAnsi="Times New Roman" w:eastAsia="宋体" w:cs="Times New Roman"/>
          <w:color w:val="auto"/>
          <w:spacing w:val="0"/>
          <w:w w:val="100"/>
          <w:position w:val="0"/>
          <w:sz w:val="24"/>
          <w:szCs w:val="24"/>
          <w:u w:val="none" w:color="auto"/>
        </w:rPr>
        <w:t>土石方平衡</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本工程产生弃土</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1.336万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，运至侯家岭弃土场回填。</w:t>
      </w:r>
    </w:p>
    <w:p w14:paraId="2081155E">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eastAsia="zh-CN"/>
        </w:rPr>
        <w:t>）拆除的</w:t>
      </w:r>
      <w:r>
        <w:rPr>
          <w:rFonts w:hint="eastAsia" w:ascii="Times New Roman" w:hAnsi="Times New Roman" w:eastAsia="宋体" w:cs="Times New Roman"/>
          <w:color w:val="auto"/>
          <w:spacing w:val="0"/>
          <w:w w:val="100"/>
          <w:position w:val="0"/>
          <w:sz w:val="24"/>
          <w:szCs w:val="24"/>
          <w:u w:val="none" w:color="auto"/>
          <w:lang w:eastAsia="zh-CN"/>
        </w:rPr>
        <w:t>旧</w:t>
      </w:r>
      <w:r>
        <w:rPr>
          <w:rFonts w:hint="default" w:ascii="Times New Roman" w:hAnsi="Times New Roman" w:eastAsia="宋体" w:cs="Times New Roman"/>
          <w:color w:val="auto"/>
          <w:spacing w:val="0"/>
          <w:w w:val="100"/>
          <w:position w:val="0"/>
          <w:sz w:val="24"/>
          <w:szCs w:val="24"/>
          <w:u w:val="none" w:color="auto"/>
          <w:lang w:eastAsia="zh-CN"/>
        </w:rPr>
        <w:t>设备</w:t>
      </w:r>
    </w:p>
    <w:p w14:paraId="090736E3">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本工程</w:t>
      </w:r>
      <w:r>
        <w:rPr>
          <w:rFonts w:hint="eastAsia" w:ascii="Times New Roman" w:hAnsi="Times New Roman" w:eastAsia="宋体" w:cs="Times New Roman"/>
          <w:color w:val="auto"/>
          <w:spacing w:val="0"/>
          <w:w w:val="100"/>
          <w:position w:val="0"/>
          <w:sz w:val="24"/>
          <w:szCs w:val="24"/>
          <w:u w:val="none" w:color="auto"/>
          <w:lang w:eastAsia="zh-CN"/>
        </w:rPr>
        <w:t>对</w:t>
      </w:r>
      <w:r>
        <w:rPr>
          <w:rFonts w:hint="default" w:ascii="Times New Roman" w:hAnsi="Times New Roman" w:eastAsia="宋体" w:cs="Times New Roman"/>
          <w:color w:val="auto"/>
          <w:spacing w:val="0"/>
          <w:w w:val="100"/>
          <w:position w:val="0"/>
          <w:sz w:val="24"/>
          <w:szCs w:val="24"/>
          <w:u w:val="none" w:color="auto"/>
          <w:lang w:eastAsia="zh-CN"/>
        </w:rPr>
        <w:t>泄洪闸</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输水涵闸</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进水涵</w:t>
      </w:r>
      <w:r>
        <w:rPr>
          <w:rFonts w:hint="eastAsia" w:ascii="Times New Roman" w:hAnsi="Times New Roman" w:eastAsia="宋体" w:cs="Times New Roman"/>
          <w:color w:val="auto"/>
          <w:spacing w:val="0"/>
          <w:w w:val="100"/>
          <w:position w:val="0"/>
          <w:sz w:val="24"/>
          <w:szCs w:val="24"/>
          <w:u w:val="none" w:color="auto"/>
          <w:lang w:eastAsia="zh-CN"/>
        </w:rPr>
        <w:t>的</w:t>
      </w:r>
      <w:r>
        <w:rPr>
          <w:rFonts w:hint="default" w:ascii="Times New Roman" w:hAnsi="Times New Roman" w:eastAsia="宋体" w:cs="Times New Roman"/>
          <w:color w:val="auto"/>
          <w:spacing w:val="0"/>
          <w:w w:val="100"/>
          <w:position w:val="0"/>
          <w:sz w:val="24"/>
          <w:szCs w:val="24"/>
          <w:u w:val="none" w:color="auto"/>
          <w:lang w:eastAsia="zh-CN"/>
        </w:rPr>
        <w:t>拦污栅、工作闸门及其启闭设备</w:t>
      </w:r>
      <w:r>
        <w:rPr>
          <w:rFonts w:hint="eastAsia" w:ascii="Times New Roman" w:hAnsi="Times New Roman" w:eastAsia="宋体" w:cs="Times New Roman"/>
          <w:color w:val="auto"/>
          <w:spacing w:val="0"/>
          <w:w w:val="100"/>
          <w:position w:val="0"/>
          <w:sz w:val="24"/>
          <w:szCs w:val="24"/>
          <w:u w:val="none" w:color="auto"/>
          <w:lang w:eastAsia="zh-CN"/>
        </w:rPr>
        <w:t>进行更新或维修</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工程对金属结构及设备拆除后</w:t>
      </w:r>
      <w:r>
        <w:rPr>
          <w:rFonts w:hint="default" w:ascii="Times New Roman" w:hAnsi="Times New Roman" w:eastAsia="宋体" w:cs="Times New Roman"/>
          <w:color w:val="auto"/>
          <w:spacing w:val="0"/>
          <w:w w:val="100"/>
          <w:position w:val="0"/>
          <w:sz w:val="24"/>
          <w:szCs w:val="24"/>
          <w:u w:val="none" w:color="auto"/>
          <w:lang w:eastAsia="zh-CN"/>
        </w:rPr>
        <w:t>外售</w:t>
      </w:r>
      <w:r>
        <w:rPr>
          <w:rFonts w:hint="default" w:ascii="Times New Roman" w:hAnsi="Times New Roman" w:eastAsia="宋体" w:cs="Times New Roman"/>
          <w:color w:val="auto"/>
          <w:spacing w:val="0"/>
          <w:w w:val="100"/>
          <w:position w:val="0"/>
          <w:sz w:val="24"/>
          <w:szCs w:val="24"/>
          <w:u w:val="none" w:color="auto"/>
        </w:rPr>
        <w:t>进行资源回收</w:t>
      </w:r>
      <w:r>
        <w:rPr>
          <w:rFonts w:hint="default" w:ascii="Times New Roman" w:hAnsi="Times New Roman" w:eastAsia="宋体" w:cs="Times New Roman"/>
          <w:color w:val="auto"/>
          <w:spacing w:val="0"/>
          <w:w w:val="100"/>
          <w:position w:val="0"/>
          <w:sz w:val="24"/>
          <w:szCs w:val="24"/>
          <w:u w:val="none" w:color="auto"/>
          <w:lang w:eastAsia="zh-CN"/>
        </w:rPr>
        <w:t>利用</w:t>
      </w:r>
      <w:r>
        <w:rPr>
          <w:rFonts w:hint="default" w:ascii="Times New Roman" w:hAnsi="Times New Roman" w:eastAsia="宋体" w:cs="Times New Roman"/>
          <w:color w:val="auto"/>
          <w:spacing w:val="0"/>
          <w:w w:val="100"/>
          <w:position w:val="0"/>
          <w:sz w:val="24"/>
          <w:szCs w:val="24"/>
          <w:u w:val="none" w:color="auto"/>
        </w:rPr>
        <w:t>。</w:t>
      </w:r>
    </w:p>
    <w:p w14:paraId="6FC2BAE8">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3</w:t>
      </w:r>
      <w:r>
        <w:rPr>
          <w:rFonts w:hint="default" w:ascii="Times New Roman" w:hAnsi="Times New Roman" w:eastAsia="宋体" w:cs="Times New Roman"/>
          <w:color w:val="auto"/>
          <w:spacing w:val="0"/>
          <w:w w:val="100"/>
          <w:position w:val="0"/>
          <w:sz w:val="24"/>
          <w:szCs w:val="24"/>
          <w:u w:val="none" w:color="auto"/>
          <w:lang w:eastAsia="zh-CN"/>
        </w:rPr>
        <w:t>）建筑垃圾</w:t>
      </w:r>
    </w:p>
    <w:p w14:paraId="7D0E361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val="en-US"/>
        </w:rPr>
      </w:pPr>
      <w:r>
        <w:rPr>
          <w:rFonts w:hint="default" w:ascii="Times New Roman" w:hAnsi="Times New Roman" w:eastAsia="宋体" w:cs="Times New Roman"/>
          <w:color w:val="auto"/>
          <w:spacing w:val="0"/>
          <w:w w:val="100"/>
          <w:position w:val="0"/>
          <w:sz w:val="24"/>
          <w:szCs w:val="24"/>
          <w:u w:val="none" w:color="auto"/>
          <w:lang w:eastAsia="zh-CN"/>
        </w:rPr>
        <w:t>项目施工过程中会产生部分建筑垃圾，主要为管理房、大坝护坡</w:t>
      </w:r>
      <w:r>
        <w:rPr>
          <w:rFonts w:hint="eastAsia" w:ascii="Times New Roman" w:hAnsi="Times New Roman" w:eastAsia="宋体" w:cs="Times New Roman"/>
          <w:color w:val="auto"/>
          <w:spacing w:val="0"/>
          <w:w w:val="100"/>
          <w:position w:val="0"/>
          <w:sz w:val="24"/>
          <w:szCs w:val="24"/>
          <w:u w:val="none" w:color="auto"/>
          <w:lang w:eastAsia="zh-CN"/>
        </w:rPr>
        <w:t>、路面混凝土，以及施工临时设施</w:t>
      </w:r>
      <w:r>
        <w:rPr>
          <w:rFonts w:hint="default" w:ascii="Times New Roman" w:hAnsi="Times New Roman" w:eastAsia="宋体" w:cs="Times New Roman"/>
          <w:color w:val="auto"/>
          <w:spacing w:val="0"/>
          <w:w w:val="100"/>
          <w:position w:val="0"/>
          <w:sz w:val="24"/>
          <w:szCs w:val="24"/>
          <w:u w:val="none" w:color="auto"/>
          <w:lang w:eastAsia="zh-CN"/>
        </w:rPr>
        <w:t>等拆除工程产生的废弃建筑垃圾。根据工程设计方案，</w:t>
      </w:r>
      <w:r>
        <w:rPr>
          <w:rFonts w:hint="eastAsia" w:ascii="Times New Roman" w:hAnsi="Times New Roman" w:eastAsia="宋体" w:cs="Times New Roman"/>
          <w:color w:val="auto"/>
          <w:spacing w:val="0"/>
          <w:w w:val="100"/>
          <w:position w:val="0"/>
          <w:sz w:val="24"/>
          <w:szCs w:val="24"/>
          <w:u w:val="none" w:color="auto"/>
          <w:lang w:eastAsia="zh-CN"/>
        </w:rPr>
        <w:t>拆除料产生</w:t>
      </w:r>
      <w:r>
        <w:rPr>
          <w:rFonts w:hint="default" w:ascii="Times New Roman" w:hAnsi="Times New Roman" w:eastAsia="宋体" w:cs="Times New Roman"/>
          <w:color w:val="auto"/>
          <w:spacing w:val="0"/>
          <w:w w:val="100"/>
          <w:position w:val="0"/>
          <w:sz w:val="24"/>
          <w:szCs w:val="24"/>
          <w:u w:val="none" w:color="auto"/>
          <w:lang w:eastAsia="zh-CN"/>
        </w:rPr>
        <w:t>量约为</w:t>
      </w:r>
      <w:r>
        <w:rPr>
          <w:rFonts w:hint="eastAsia" w:ascii="Times New Roman" w:hAnsi="Times New Roman" w:eastAsia="宋体" w:cs="Times New Roman"/>
          <w:color w:val="auto"/>
          <w:spacing w:val="0"/>
          <w:w w:val="100"/>
          <w:position w:val="0"/>
          <w:sz w:val="24"/>
          <w:szCs w:val="24"/>
          <w:u w:val="none" w:color="auto"/>
          <w:lang w:val="en-US" w:eastAsia="zh-CN"/>
        </w:rPr>
        <w:t>0.873万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olor w:val="auto"/>
          <w:spacing w:val="0"/>
          <w:w w:val="100"/>
          <w:position w:val="0"/>
          <w:sz w:val="24"/>
          <w:szCs w:val="24"/>
          <w:u w:val="none" w:color="auto"/>
          <w:lang w:val="en-US" w:eastAsia="zh-CN"/>
        </w:rPr>
        <w:t>，收集后</w:t>
      </w:r>
      <w:r>
        <w:rPr>
          <w:rFonts w:hint="eastAsia" w:ascii="Times New Roman" w:hAnsi="Times New Roman" w:eastAsia="宋体" w:cs="Times New Roman"/>
          <w:color w:val="auto"/>
          <w:spacing w:val="0"/>
          <w:w w:val="100"/>
          <w:position w:val="0"/>
          <w:sz w:val="24"/>
          <w:szCs w:val="24"/>
          <w:u w:val="none" w:color="auto"/>
          <w:lang w:val="en-US" w:eastAsia="zh-CN"/>
        </w:rPr>
        <w:t>优先综合利用，不能利用部分</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交由专业渣土公司</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运至</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政府部门指定地点处理处置</w:t>
      </w:r>
      <w:r>
        <w:rPr>
          <w:rFonts w:hint="default" w:ascii="Times New Roman" w:hAnsi="Times New Roman" w:eastAsia="宋体" w:cs="Times New Roman"/>
          <w:color w:val="auto"/>
          <w:spacing w:val="0"/>
          <w:w w:val="100"/>
          <w:position w:val="0"/>
          <w:sz w:val="24"/>
          <w:szCs w:val="24"/>
          <w:u w:val="none" w:color="auto"/>
          <w:lang w:val="en-US" w:eastAsia="zh-CN"/>
        </w:rPr>
        <w:t>。</w:t>
      </w:r>
    </w:p>
    <w:p w14:paraId="57DA98A2">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 xml:space="preserve">沉淀池收集的污泥 </w:t>
      </w:r>
    </w:p>
    <w:p w14:paraId="19695C04">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u w:val="none" w:color="auto"/>
          <w:lang w:eastAsia="zh-CN"/>
        </w:rPr>
      </w:pPr>
      <w:r>
        <w:rPr>
          <w:rFonts w:hint="default" w:ascii="Times New Roman" w:hAnsi="Times New Roman" w:eastAsia="宋体" w:cs="Times New Roman"/>
          <w:sz w:val="24"/>
          <w:szCs w:val="24"/>
          <w:u w:val="none" w:color="auto"/>
          <w:lang w:val="en-US" w:eastAsia="zh-CN"/>
        </w:rPr>
        <w:t>本工程施工期产生的废水经沉淀池处理后回用，不外排</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沉淀池会产生污泥、泥渣</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施工期污泥产生量约为15t。</w:t>
      </w:r>
    </w:p>
    <w:p w14:paraId="6B9720EE">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lang w:eastAsia="zh-CN"/>
        </w:rPr>
        <w:t>）废油</w:t>
      </w:r>
    </w:p>
    <w:p w14:paraId="7DBF930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val="en-US" w:eastAsia="zh-CN"/>
        </w:rPr>
        <w:t>项目机械设备冲洗废水中石油含量较高，经</w:t>
      </w:r>
      <w:r>
        <w:rPr>
          <w:rFonts w:hint="eastAsia" w:ascii="Times New Roman" w:hAnsi="Times New Roman" w:eastAsia="宋体" w:cs="Times New Roman"/>
          <w:color w:val="auto"/>
          <w:spacing w:val="0"/>
          <w:w w:val="100"/>
          <w:position w:val="0"/>
          <w:sz w:val="24"/>
          <w:szCs w:val="24"/>
          <w:u w:val="none" w:color="auto"/>
          <w:lang w:val="en-US" w:eastAsia="zh-CN"/>
        </w:rPr>
        <w:t>隔油</w:t>
      </w:r>
      <w:r>
        <w:rPr>
          <w:rFonts w:hint="default" w:ascii="Times New Roman" w:hAnsi="Times New Roman" w:eastAsia="宋体" w:cs="Times New Roman"/>
          <w:color w:val="auto"/>
          <w:spacing w:val="0"/>
          <w:w w:val="100"/>
          <w:position w:val="0"/>
          <w:sz w:val="24"/>
          <w:szCs w:val="24"/>
          <w:u w:val="none" w:color="auto"/>
          <w:lang w:val="en-US" w:eastAsia="zh-CN"/>
        </w:rPr>
        <w:t xml:space="preserve">池处理后会产生废油，废油产生量约为0.5t/a。根据《国家危险废物名录》（2021年版），隔油沉淀池废油属于“HW08 废矿物油与含矿物油废物”中的“900-210-08 含油废水处理中隔油、气浮、沉淀等处理过程中产生的浮油、浮渣和污泥”，应委托有资质单位处理。 </w:t>
      </w:r>
    </w:p>
    <w:p w14:paraId="0A710A90">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6</w:t>
      </w:r>
      <w:r>
        <w:rPr>
          <w:rFonts w:hint="default" w:ascii="Times New Roman" w:hAnsi="Times New Roman" w:eastAsia="宋体" w:cs="Times New Roman"/>
          <w:color w:val="auto"/>
          <w:spacing w:val="0"/>
          <w:w w:val="100"/>
          <w:position w:val="0"/>
          <w:sz w:val="24"/>
          <w:szCs w:val="24"/>
          <w:u w:val="none" w:color="auto"/>
          <w:lang w:eastAsia="zh-CN"/>
        </w:rPr>
        <w:t>）施工人员生活垃圾</w:t>
      </w:r>
    </w:p>
    <w:p w14:paraId="55CBDB07">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本项目施工高峰期入场人员约有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300</w:t>
      </w:r>
      <w:r>
        <w:rPr>
          <w:rFonts w:hint="default" w:ascii="Times New Roman" w:hAnsi="Times New Roman" w:eastAsia="宋体" w:cs="Times New Roman"/>
          <w:caps w:val="0"/>
          <w:smallCaps w:val="0"/>
          <w:color w:val="auto"/>
          <w:spacing w:val="0"/>
          <w:w w:val="100"/>
          <w:kern w:val="0"/>
          <w:position w:val="0"/>
          <w:sz w:val="24"/>
          <w:szCs w:val="24"/>
          <w:u w:val="none" w:color="auto"/>
        </w:rPr>
        <w:t>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约20人住宿，住宿</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施工人员生活垃圾按每人每天生活垃圾产生量按1.0kg/d计，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非住宿</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施工人员生活垃圾按每人每天生活垃圾产生量按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0.5</w:t>
      </w:r>
      <w:r>
        <w:rPr>
          <w:rFonts w:hint="default" w:ascii="Times New Roman" w:hAnsi="Times New Roman" w:eastAsia="宋体" w:cs="Times New Roman"/>
          <w:caps w:val="0"/>
          <w:smallCaps w:val="0"/>
          <w:color w:val="auto"/>
          <w:spacing w:val="0"/>
          <w:w w:val="100"/>
          <w:kern w:val="0"/>
          <w:position w:val="0"/>
          <w:sz w:val="24"/>
          <w:szCs w:val="24"/>
          <w:u w:val="none" w:color="auto"/>
        </w:rPr>
        <w:t>kg/d计，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则生活垃圾</w:t>
      </w:r>
      <w:r>
        <w:rPr>
          <w:rFonts w:hint="default" w:ascii="Times New Roman" w:hAnsi="Times New Roman" w:eastAsia="宋体" w:cs="Times New Roman"/>
          <w:caps w:val="0"/>
          <w:smallCaps w:val="0"/>
          <w:color w:val="auto"/>
          <w:spacing w:val="0"/>
          <w:w w:val="100"/>
          <w:kern w:val="0"/>
          <w:position w:val="0"/>
          <w:sz w:val="24"/>
          <w:szCs w:val="24"/>
          <w:u w:val="none" w:color="auto"/>
        </w:rPr>
        <w:t>产生量为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0.16t</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生活垃圾</w:t>
      </w:r>
      <w:r>
        <w:rPr>
          <w:rFonts w:hint="default" w:ascii="Times New Roman" w:hAnsi="Times New Roman" w:eastAsia="宋体" w:cs="Times New Roman"/>
          <w:caps w:val="0"/>
          <w:smallCaps w:val="0"/>
          <w:color w:val="auto"/>
          <w:spacing w:val="0"/>
          <w:w w:val="100"/>
          <w:kern w:val="0"/>
          <w:position w:val="0"/>
          <w:sz w:val="24"/>
          <w:szCs w:val="24"/>
          <w:u w:val="none" w:color="auto"/>
        </w:rPr>
        <w:t>定点堆放，定期清运处理。</w:t>
      </w:r>
    </w:p>
    <w:bookmarkEnd w:id="115"/>
    <w:bookmarkEnd w:id="116"/>
    <w:p w14:paraId="6A64400D">
      <w:pPr>
        <w:pStyle w:val="4"/>
        <w:bidi w:val="0"/>
        <w:rPr>
          <w:rFonts w:hint="default" w:ascii="Times New Roman" w:hAnsi="Times New Roman" w:cs="Times New Roman"/>
          <w:u w:val="none" w:color="auto"/>
        </w:rPr>
      </w:pPr>
      <w:bookmarkStart w:id="117" w:name="_Toc19898"/>
      <w:r>
        <w:rPr>
          <w:rFonts w:hint="default" w:ascii="Times New Roman" w:hAnsi="Times New Roman" w:cs="Times New Roman"/>
          <w:u w:val="none" w:color="auto"/>
        </w:rPr>
        <w:t>营运期污染源分析</w:t>
      </w:r>
      <w:bookmarkEnd w:id="117"/>
    </w:p>
    <w:p w14:paraId="404C291D">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bookmarkStart w:id="118" w:name="bookmark309"/>
      <w:bookmarkStart w:id="119" w:name="bookmark308"/>
      <w:r>
        <w:rPr>
          <w:rFonts w:hint="default" w:ascii="Times New Roman" w:hAnsi="Times New Roman" w:eastAsia="宋体" w:cs="Times New Roman"/>
          <w:caps w:val="0"/>
          <w:smallCaps w:val="0"/>
          <w:color w:val="auto"/>
          <w:spacing w:val="0"/>
          <w:w w:val="100"/>
          <w:kern w:val="0"/>
          <w:position w:val="0"/>
          <w:sz w:val="24"/>
          <w:szCs w:val="24"/>
          <w:u w:val="none" w:color="auto"/>
        </w:rPr>
        <w:t>本工程为水库除险加固工程，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营运期主要污染物为水库管理人员产生的三废，以及设备运行噪声。</w:t>
      </w:r>
      <w:r>
        <w:rPr>
          <w:rFonts w:hint="default" w:ascii="Times New Roman" w:hAnsi="Times New Roman" w:eastAsia="宋体" w:cs="Times New Roman"/>
          <w:caps w:val="0"/>
          <w:smallCaps w:val="0"/>
          <w:color w:val="auto"/>
          <w:spacing w:val="0"/>
          <w:w w:val="100"/>
          <w:kern w:val="0"/>
          <w:position w:val="0"/>
          <w:sz w:val="24"/>
          <w:szCs w:val="24"/>
          <w:u w:val="none" w:color="auto"/>
        </w:rPr>
        <w:t>工程完成后，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运行期不新增工程管理人员，生活污水、食堂油烟、生活垃圾等均不新增。</w:t>
      </w:r>
    </w:p>
    <w:p w14:paraId="1DB69267">
      <w:pPr>
        <w:keepNext w:val="0"/>
        <w:keepLines w:val="0"/>
        <w:pageBreakBefore w:val="0"/>
        <w:widowControl w:val="0"/>
        <w:numPr>
          <w:ilvl w:val="0"/>
          <w:numId w:val="10"/>
        </w:numPr>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生活污水</w:t>
      </w:r>
    </w:p>
    <w:p w14:paraId="72B1C43F">
      <w:pPr>
        <w:keepNext w:val="0"/>
        <w:keepLines w:val="0"/>
        <w:pageBreakBefore w:val="0"/>
        <w:widowControl w:val="0"/>
        <w:kinsoku/>
        <w:wordWrap w:val="0"/>
        <w:overflowPunct/>
        <w:topLinePunct/>
        <w:autoSpaceDE/>
        <w:autoSpaceDN/>
        <w:bidi w:val="0"/>
        <w:adjustRightInd w:val="0"/>
        <w:snapToGrid/>
        <w:spacing w:line="500" w:lineRule="exact"/>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营运期水库管理人员</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人，不新增人员，</w:t>
      </w:r>
      <w:r>
        <w:rPr>
          <w:rFonts w:hint="default" w:ascii="Times New Roman" w:hAnsi="Times New Roman" w:eastAsia="宋体" w:cs="Times New Roman"/>
          <w:caps w:val="0"/>
          <w:smallCaps w:val="0"/>
          <w:color w:val="auto"/>
          <w:spacing w:val="0"/>
          <w:w w:val="100"/>
          <w:kern w:val="0"/>
          <w:position w:val="0"/>
          <w:sz w:val="24"/>
          <w:szCs w:val="24"/>
          <w:u w:val="none" w:color="auto"/>
        </w:rPr>
        <w:t>生活用水按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140</w:t>
      </w:r>
      <w:r>
        <w:rPr>
          <w:rFonts w:hint="default" w:ascii="Times New Roman" w:hAnsi="Times New Roman" w:eastAsia="宋体" w:cs="Times New Roman"/>
          <w:caps w:val="0"/>
          <w:smallCaps w:val="0"/>
          <w:color w:val="auto"/>
          <w:spacing w:val="0"/>
          <w:w w:val="100"/>
          <w:kern w:val="0"/>
          <w:position w:val="0"/>
          <w:sz w:val="24"/>
          <w:szCs w:val="24"/>
          <w:u w:val="none" w:color="auto"/>
        </w:rPr>
        <w:t>L/人·d计，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则生活用水量为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1.54</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生活污水量按用水量的80%，生活污水产生量为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1.232</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000000"/>
          <w:kern w:val="0"/>
          <w:sz w:val="24"/>
          <w:szCs w:val="24"/>
          <w:u w:val="none" w:color="auto"/>
          <w:lang w:val="en-US" w:eastAsia="zh-CN" w:bidi="ar"/>
        </w:rPr>
        <w:t>生活污水主要污染物为COD、BOD</w:t>
      </w:r>
      <w:r>
        <w:rPr>
          <w:rFonts w:hint="default" w:ascii="Times New Roman" w:hAnsi="Times New Roman" w:eastAsia="宋体" w:cs="Times New Roman"/>
          <w:color w:val="000000"/>
          <w:kern w:val="0"/>
          <w:sz w:val="15"/>
          <w:szCs w:val="15"/>
          <w:u w:val="none" w:color="auto"/>
          <w:lang w:val="en-US" w:eastAsia="zh-CN" w:bidi="ar"/>
        </w:rPr>
        <w:t>5</w:t>
      </w:r>
      <w:r>
        <w:rPr>
          <w:rFonts w:hint="default" w:ascii="Times New Roman" w:hAnsi="Times New Roman" w:eastAsia="宋体" w:cs="Times New Roman"/>
          <w:color w:val="000000"/>
          <w:kern w:val="0"/>
          <w:sz w:val="24"/>
          <w:szCs w:val="24"/>
          <w:u w:val="none" w:color="auto"/>
          <w:lang w:val="en-US" w:eastAsia="zh-CN" w:bidi="ar"/>
        </w:rPr>
        <w:t>、氨氮、SS等，浓度约为200mg/L、100mg/L、20mg/L、100mg/L。</w:t>
      </w:r>
      <w:r>
        <w:rPr>
          <w:rFonts w:hint="eastAsia" w:ascii="Times New Roman" w:hAnsi="Times New Roman" w:eastAsia="宋体" w:cs="Times New Roman"/>
          <w:color w:val="000000"/>
          <w:kern w:val="0"/>
          <w:sz w:val="24"/>
          <w:szCs w:val="24"/>
          <w:u w:val="none" w:color="auto"/>
          <w:lang w:val="en-US" w:eastAsia="zh-CN" w:bidi="ar"/>
        </w:rPr>
        <w:t>生活污水经化粪池处理后用于周边田地施肥，不外排。</w:t>
      </w:r>
    </w:p>
    <w:p w14:paraId="49729BC6">
      <w:pPr>
        <w:keepNext w:val="0"/>
        <w:keepLines w:val="0"/>
        <w:pageBreakBefore w:val="0"/>
        <w:widowControl w:val="0"/>
        <w:numPr>
          <w:ilvl w:val="0"/>
          <w:numId w:val="0"/>
        </w:numPr>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（2）食堂油烟</w:t>
      </w:r>
    </w:p>
    <w:p w14:paraId="482C21AC">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运营期水库管理人员不变，不新增废气，运营期主要废气污染源为食堂油烟。管理房食堂油烟经抽油烟机处理后达标排放，排放浓度＜2mg/m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33C24AF6">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（3）噪声</w:t>
      </w:r>
    </w:p>
    <w:p w14:paraId="5CAC793E">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运营期主要为启闭机、备用发电机等设备运行产生的噪声，噪声源在80～85dB（A）。</w:t>
      </w:r>
    </w:p>
    <w:p w14:paraId="587F8D8A">
      <w:pPr>
        <w:keepNext w:val="0"/>
        <w:keepLines w:val="0"/>
        <w:pageBreakBefore w:val="0"/>
        <w:widowControl w:val="0"/>
        <w:numPr>
          <w:ilvl w:val="0"/>
          <w:numId w:val="0"/>
        </w:numPr>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（4）生活垃圾</w:t>
      </w:r>
    </w:p>
    <w:p w14:paraId="064755BF">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营运期水库管理人员</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人，不新增人员，</w:t>
      </w:r>
      <w:r>
        <w:rPr>
          <w:rFonts w:hint="default" w:ascii="Times New Roman" w:hAnsi="Times New Roman" w:eastAsia="宋体" w:cs="Times New Roman"/>
          <w:caps w:val="0"/>
          <w:smallCaps w:val="0"/>
          <w:color w:val="auto"/>
          <w:spacing w:val="0"/>
          <w:w w:val="100"/>
          <w:kern w:val="0"/>
          <w:position w:val="0"/>
          <w:sz w:val="24"/>
          <w:szCs w:val="24"/>
          <w:u w:val="none" w:color="auto"/>
        </w:rPr>
        <w:t>生活</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垃圾产生量按</w:t>
      </w:r>
      <w:r>
        <w:rPr>
          <w:rFonts w:hint="default" w:ascii="Times New Roman" w:hAnsi="Times New Roman" w:eastAsia="宋体" w:cs="Times New Roman"/>
          <w:caps w:val="0"/>
          <w:smallCaps w:val="0"/>
          <w:color w:val="auto"/>
          <w:spacing w:val="0"/>
          <w:w w:val="100"/>
          <w:kern w:val="0"/>
          <w:position w:val="0"/>
          <w:sz w:val="24"/>
          <w:szCs w:val="24"/>
          <w:u w:val="none" w:color="auto"/>
        </w:rPr>
        <w:t>1.0kg/d计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，则生活垃圾产生量为0.0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t</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，统一收集后交由环卫部门清运处理。</w:t>
      </w:r>
    </w:p>
    <w:p w14:paraId="46E513C4">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p>
    <w:bookmarkEnd w:id="118"/>
    <w:bookmarkEnd w:id="119"/>
    <w:p w14:paraId="6179C806">
      <w:pPr>
        <w:keepNext w:val="0"/>
        <w:keepLines w:val="0"/>
        <w:pageBreakBefore w:val="0"/>
        <w:widowControl w:val="0"/>
        <w:kinsoku w:val="0"/>
        <w:wordWrap w:val="0"/>
        <w:overflowPunct/>
        <w:topLinePunct/>
        <w:autoSpaceDE/>
        <w:autoSpaceDN/>
        <w:bidi w:val="0"/>
        <w:snapToGrid/>
        <w:spacing w:line="360" w:lineRule="auto"/>
        <w:ind w:left="0"/>
        <w:textAlignment w:val="auto"/>
        <w:outlineLvl w:val="0"/>
        <w:rPr>
          <w:rFonts w:hint="default" w:ascii="Times New Roman" w:hAnsi="Times New Roman" w:eastAsia="宋体" w:cs="Times New Roman"/>
          <w:b/>
          <w:caps w:val="0"/>
          <w:smallCaps w:val="0"/>
          <w:color w:val="auto"/>
          <w:spacing w:val="0"/>
          <w:w w:val="100"/>
          <w:position w:val="0"/>
          <w:sz w:val="32"/>
          <w:szCs w:val="32"/>
          <w:u w:val="none" w:color="auto"/>
        </w:rPr>
        <w:sectPr>
          <w:pgSz w:w="11906" w:h="16838"/>
          <w:pgMar w:top="1440" w:right="1803" w:bottom="1440" w:left="1803"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37C91EC9">
      <w:pPr>
        <w:pStyle w:val="2"/>
        <w:bidi w:val="0"/>
        <w:rPr>
          <w:rFonts w:hint="default" w:ascii="Times New Roman" w:hAnsi="Times New Roman" w:cs="Times New Roman"/>
          <w:u w:val="none" w:color="auto"/>
        </w:rPr>
      </w:pPr>
      <w:bookmarkStart w:id="120" w:name="_Toc14164"/>
      <w:r>
        <w:rPr>
          <w:rFonts w:hint="default" w:ascii="Times New Roman" w:hAnsi="Times New Roman" w:cs="Times New Roman"/>
          <w:u w:val="none" w:color="auto"/>
        </w:rPr>
        <w:t>环境现状调查与评价</w:t>
      </w:r>
      <w:bookmarkEnd w:id="120"/>
    </w:p>
    <w:p w14:paraId="5075361C">
      <w:pPr>
        <w:pStyle w:val="3"/>
        <w:bidi w:val="0"/>
        <w:rPr>
          <w:rFonts w:hint="default" w:ascii="Times New Roman" w:hAnsi="Times New Roman" w:cs="Times New Roman"/>
          <w:u w:val="none" w:color="auto"/>
        </w:rPr>
      </w:pPr>
      <w:bookmarkStart w:id="121" w:name="_Toc30708"/>
      <w:r>
        <w:rPr>
          <w:rFonts w:hint="default" w:ascii="Times New Roman" w:hAnsi="Times New Roman" w:cs="Times New Roman"/>
          <w:u w:val="none" w:color="auto"/>
        </w:rPr>
        <w:t>自然环境概况</w:t>
      </w:r>
      <w:bookmarkEnd w:id="121"/>
    </w:p>
    <w:p w14:paraId="5C37CD51">
      <w:pPr>
        <w:pStyle w:val="4"/>
        <w:bidi w:val="0"/>
        <w:rPr>
          <w:rFonts w:hint="default" w:ascii="Times New Roman" w:hAnsi="Times New Roman" w:cs="Times New Roman"/>
          <w:u w:val="none" w:color="auto"/>
          <w:lang w:eastAsia="zh-CN"/>
        </w:rPr>
      </w:pPr>
      <w:bookmarkStart w:id="122" w:name="_Toc26166"/>
      <w:r>
        <w:rPr>
          <w:rFonts w:hint="default" w:ascii="Times New Roman" w:hAnsi="Times New Roman" w:cs="Times New Roman"/>
          <w:u w:val="none" w:color="auto"/>
          <w:lang w:eastAsia="zh-CN"/>
        </w:rPr>
        <w:t>流域概况</w:t>
      </w:r>
      <w:bookmarkEnd w:id="122"/>
    </w:p>
    <w:p w14:paraId="49DD128E">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位于湖南省岳阳市华容县禹山镇境内，藕池河东支下游北侧，上西湖北部湖汊上，主坝坝址位于华容县禹山镇老河口村，距华容县城23km。北汊水库是一座以灌溉、防洪为主，兼有养殖等综合效益的中型水库。北汊水库控制流域面积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，主河道长度3.25km，干流平均坡降3.3‰。</w:t>
      </w:r>
    </w:p>
    <w:p w14:paraId="533AC4D3">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北汊水库地处洞庭湖凹盆地北缘，地势北高南低，中部丘岗隆起，东西低平开阔，微向东洞庭湖倾斜。流域平均海拔在35m以上，海拔最高点（雷打岩）为382.9m，最低点为东湖湖底（海拔）21m，高差361.9m。</w:t>
      </w:r>
    </w:p>
    <w:p w14:paraId="5A373288">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北汊水库仅有本身17.5km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流域面积的来水，无外引水情况。北汊水库库区内五副坝、四副坝控制流域面积分别为0.45km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、0.68km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，北汊水库流域水系示意图见</w:t>
      </w:r>
      <w:r>
        <w:rPr>
          <w:rFonts w:hint="eastAsia" w:ascii="Times New Roman" w:hAnsi="Times New Roman" w:eastAsia="宋体" w:cs="Times New Roman"/>
          <w:color w:val="auto"/>
          <w:spacing w:val="0"/>
          <w:w w:val="100"/>
          <w:position w:val="0"/>
          <w:sz w:val="24"/>
          <w:szCs w:val="24"/>
          <w:highlight w:val="none"/>
          <w:u w:val="none" w:color="auto"/>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.1-1。</w:t>
      </w:r>
    </w:p>
    <w:p w14:paraId="0578D2D4">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p>
    <w:p w14:paraId="38D7C7D2">
      <w:pPr>
        <w:shd w:val="clear" w:color="auto" w:fill="FFFFFF"/>
        <w:adjustRightInd w:val="0"/>
        <w:snapToGrid w:val="0"/>
        <w:spacing w:line="480" w:lineRule="atLeast"/>
        <w:ind w:left="0" w:leftChars="0" w:firstLine="0" w:firstLineChars="0"/>
        <w:jc w:val="both"/>
        <w:rPr>
          <w:rFonts w:hint="default" w:ascii="Times New Roman" w:hAnsi="Times New Roman" w:cs="Times New Roman"/>
          <w:spacing w:val="0"/>
          <w:w w:val="100"/>
          <w:position w:val="0"/>
          <w:u w:val="none" w:color="auto"/>
        </w:rPr>
      </w:pPr>
      <w:r>
        <w:rPr>
          <w:rFonts w:hint="default" w:ascii="Times New Roman" w:hAnsi="Times New Roman" w:cs="Times New Roman"/>
          <w:sz w:val="21"/>
          <w:u w:val="none" w:color="auto"/>
        </w:rPr>
        <mc:AlternateContent>
          <mc:Choice Requires="wps">
            <w:drawing>
              <wp:anchor distT="0" distB="0" distL="114300" distR="114300" simplePos="0" relativeHeight="251666432" behindDoc="0" locked="0" layoutInCell="1" allowOverlap="1">
                <wp:simplePos x="0" y="0"/>
                <wp:positionH relativeFrom="column">
                  <wp:posOffset>795655</wp:posOffset>
                </wp:positionH>
                <wp:positionV relativeFrom="paragraph">
                  <wp:posOffset>3757930</wp:posOffset>
                </wp:positionV>
                <wp:extent cx="605790" cy="213995"/>
                <wp:effectExtent l="6350" t="643255" r="1155700" b="11430"/>
                <wp:wrapNone/>
                <wp:docPr id="36" name="矩形标注 36"/>
                <wp:cNvGraphicFramePr/>
                <a:graphic xmlns:a="http://schemas.openxmlformats.org/drawingml/2006/main">
                  <a:graphicData uri="http://schemas.microsoft.com/office/word/2010/wordprocessingShape">
                    <wps:wsp>
                      <wps:cNvSpPr/>
                      <wps:spPr>
                        <a:xfrm>
                          <a:off x="3275965" y="1826895"/>
                          <a:ext cx="605790" cy="213995"/>
                        </a:xfrm>
                        <a:prstGeom prst="wedgeRectCallout">
                          <a:avLst>
                            <a:gd name="adj1" fmla="val 232494"/>
                            <a:gd name="adj2" fmla="val -338130"/>
                          </a:avLst>
                        </a:prstGeom>
                        <a:solidFill>
                          <a:schemeClr val="bg2">
                            <a:alpha val="76000"/>
                          </a:schemeClr>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04C5FCA">
                            <w:pPr>
                              <w:jc w:val="center"/>
                              <w:rPr>
                                <w:rFonts w:hint="eastAsia" w:eastAsiaTheme="minorEastAsia"/>
                                <w:color w:val="FF0000"/>
                                <w:sz w:val="18"/>
                                <w:szCs w:val="18"/>
                                <w:lang w:eastAsia="zh-CN"/>
                              </w:rPr>
                            </w:pPr>
                            <w:r>
                              <w:rPr>
                                <w:rFonts w:hint="eastAsia"/>
                                <w:color w:val="FF0000"/>
                                <w:sz w:val="18"/>
                                <w:szCs w:val="18"/>
                                <w:lang w:eastAsia="zh-CN"/>
                              </w:rPr>
                              <w:t>北汊水库</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62.65pt;margin-top:295.9pt;height:16.85pt;width:47.7pt;z-index:251666432;v-text-anchor:middle;mso-width-relative:page;mso-height-relative:page;" fillcolor="#E7E6E6 [3214]" filled="t" stroked="t" coordsize="21600,21600" o:gfxdata="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yCJlJ2AAA&#10;AAsBAAAPAAAAAAAAAAEAIAAAACIAAABkcnMvZG93bnJldi54bWxQSwECFAAUAAAACACHTuJABqvL&#10;/ckCAACDBQAADgAAAAAAAAABACAAAAAnAQAAZHJzL2Uyb0RvYy54bWxQSwUGAAAAAAYABgBZAQAA&#10;YgYAAAAA&#10;" adj="61019,-62236">
                <v:fill on="t" opacity="49807f" focussize="0,0"/>
                <v:stroke weight="1pt" color="#FF0000 [2404]" miterlimit="8" joinstyle="miter"/>
                <v:imagedata o:title=""/>
                <o:lock v:ext="edit" aspectratio="f"/>
                <v:textbox inset="0mm,0mm,0mm,0mm">
                  <w:txbxContent>
                    <w:p w14:paraId="304C5FCA">
                      <w:pPr>
                        <w:jc w:val="center"/>
                        <w:rPr>
                          <w:rFonts w:hint="eastAsia" w:eastAsiaTheme="minorEastAsia"/>
                          <w:color w:val="FF0000"/>
                          <w:sz w:val="18"/>
                          <w:szCs w:val="18"/>
                          <w:lang w:eastAsia="zh-CN"/>
                        </w:rPr>
                      </w:pPr>
                      <w:r>
                        <w:rPr>
                          <w:rFonts w:hint="eastAsia"/>
                          <w:color w:val="FF0000"/>
                          <w:sz w:val="18"/>
                          <w:szCs w:val="18"/>
                          <w:lang w:eastAsia="zh-CN"/>
                        </w:rPr>
                        <w:t>北汊水库</w:t>
                      </w:r>
                    </w:p>
                  </w:txbxContent>
                </v:textbox>
              </v:shape>
            </w:pict>
          </mc:Fallback>
        </mc:AlternateContent>
      </w:r>
      <w:r>
        <w:drawing>
          <wp:inline distT="0" distB="0" distL="114300" distR="114300">
            <wp:extent cx="5274945" cy="5346700"/>
            <wp:effectExtent l="12700" t="12700" r="15875" b="2032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39"/>
                    <a:stretch>
                      <a:fillRect/>
                    </a:stretch>
                  </pic:blipFill>
                  <pic:spPr>
                    <a:xfrm>
                      <a:off x="0" y="0"/>
                      <a:ext cx="5274945" cy="5346700"/>
                    </a:xfrm>
                    <a:prstGeom prst="rect">
                      <a:avLst/>
                    </a:prstGeom>
                    <a:noFill/>
                    <a:ln w="12700">
                      <a:solidFill>
                        <a:schemeClr val="tx1"/>
                      </a:solidFill>
                    </a:ln>
                  </pic:spPr>
                </pic:pic>
              </a:graphicData>
            </a:graphic>
          </wp:inline>
        </w:drawing>
      </w:r>
    </w:p>
    <w:p w14:paraId="40E43581">
      <w:pPr>
        <w:pStyle w:val="48"/>
        <w:jc w:val="center"/>
        <w:rPr>
          <w:rFonts w:hint="default" w:ascii="Times New Roman" w:hAnsi="Times New Roman" w:eastAsia="宋体" w:cs="Times New Roman"/>
          <w:b/>
          <w:bCs/>
          <w:spacing w:val="0"/>
          <w:w w:val="100"/>
          <w:position w:val="0"/>
          <w:sz w:val="24"/>
          <w:szCs w:val="24"/>
          <w:u w:val="none" w:color="auto"/>
          <w:lang w:eastAsia="zh-CN"/>
        </w:rPr>
      </w:pPr>
      <w:r>
        <w:rPr>
          <w:rFonts w:hint="default" w:ascii="Times New Roman" w:hAnsi="Times New Roman" w:eastAsia="宋体" w:cs="Times New Roman"/>
          <w:b/>
          <w:bCs/>
          <w:spacing w:val="0"/>
          <w:w w:val="100"/>
          <w:position w:val="0"/>
          <w:sz w:val="24"/>
          <w:szCs w:val="24"/>
          <w:u w:val="none" w:color="auto"/>
          <w:lang w:eastAsia="zh-CN"/>
        </w:rPr>
        <w:t>图</w:t>
      </w:r>
      <w:r>
        <w:rPr>
          <w:rFonts w:hint="default" w:ascii="Times New Roman" w:hAnsi="Times New Roman" w:eastAsia="宋体" w:cs="Times New Roman"/>
          <w:b/>
          <w:bCs/>
          <w:spacing w:val="0"/>
          <w:w w:val="100"/>
          <w:position w:val="0"/>
          <w:sz w:val="24"/>
          <w:szCs w:val="24"/>
          <w:u w:val="none" w:color="auto"/>
          <w:lang w:val="en-US" w:eastAsia="zh-CN"/>
        </w:rPr>
        <w:t xml:space="preserve">3.1-1  </w:t>
      </w:r>
      <w:r>
        <w:rPr>
          <w:rFonts w:hint="eastAsia" w:ascii="Times New Roman" w:hAnsi="Times New Roman" w:eastAsia="宋体" w:cs="Times New Roman"/>
          <w:b/>
          <w:bCs/>
          <w:spacing w:val="0"/>
          <w:w w:val="100"/>
          <w:position w:val="0"/>
          <w:sz w:val="24"/>
          <w:szCs w:val="24"/>
          <w:u w:val="none" w:color="auto"/>
          <w:lang w:eastAsia="zh-CN"/>
        </w:rPr>
        <w:t>北汊水库</w:t>
      </w:r>
      <w:r>
        <w:rPr>
          <w:rFonts w:hint="default" w:ascii="Times New Roman" w:hAnsi="Times New Roman" w:eastAsia="宋体" w:cs="Times New Roman"/>
          <w:b/>
          <w:bCs/>
          <w:spacing w:val="0"/>
          <w:w w:val="100"/>
          <w:position w:val="0"/>
          <w:sz w:val="24"/>
          <w:szCs w:val="24"/>
          <w:u w:val="none" w:color="auto"/>
          <w:lang w:eastAsia="zh-CN"/>
        </w:rPr>
        <w:t>流域图</w:t>
      </w:r>
    </w:p>
    <w:p w14:paraId="5F596DBF">
      <w:pPr>
        <w:pStyle w:val="4"/>
        <w:bidi w:val="0"/>
        <w:rPr>
          <w:rFonts w:hint="default" w:ascii="Times New Roman" w:hAnsi="Times New Roman" w:cs="Times New Roman"/>
          <w:u w:val="none" w:color="auto"/>
          <w:lang w:eastAsia="zh-CN"/>
        </w:rPr>
      </w:pPr>
      <w:bookmarkStart w:id="123" w:name="_Toc20922"/>
      <w:r>
        <w:rPr>
          <w:rFonts w:hint="default" w:ascii="Times New Roman" w:hAnsi="Times New Roman" w:cs="Times New Roman"/>
          <w:u w:val="none" w:color="auto"/>
          <w:lang w:eastAsia="zh-CN"/>
        </w:rPr>
        <w:t>地理位置</w:t>
      </w:r>
      <w:bookmarkEnd w:id="123"/>
    </w:p>
    <w:p w14:paraId="3DAB9FC4">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华容县位于湖南省北部边陲，岳阳市西境，地处东径</w:t>
      </w:r>
      <w:r>
        <w:rPr>
          <w:rFonts w:hint="default" w:ascii="Times New Roman" w:hAnsi="Times New Roman" w:eastAsia="宋体" w:cs="Times New Roman"/>
          <w:color w:val="auto"/>
          <w:spacing w:val="0"/>
          <w:w w:val="100"/>
          <w:position w:val="0"/>
          <w:sz w:val="24"/>
          <w:szCs w:val="24"/>
          <w:highlight w:val="none"/>
          <w:u w:val="none" w:color="auto"/>
          <w:lang w:val="en-US" w:eastAsia="zh-CN"/>
        </w:rPr>
        <w:t>112°18′31″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113°1′32″</w:t>
      </w:r>
      <w:r>
        <w:rPr>
          <w:rFonts w:hint="eastAsia" w:ascii="Times New Roman" w:hAnsi="Times New Roman" w:eastAsia="宋体" w:cs="Times New Roman"/>
          <w:color w:val="auto"/>
          <w:spacing w:val="0"/>
          <w:w w:val="100"/>
          <w:position w:val="0"/>
          <w:sz w:val="24"/>
          <w:szCs w:val="24"/>
          <w:highlight w:val="none"/>
          <w:u w:val="none" w:color="auto"/>
          <w:lang w:val="en-US" w:eastAsia="zh-CN"/>
        </w:rPr>
        <w:t>，北纬</w:t>
      </w:r>
      <w:r>
        <w:rPr>
          <w:rFonts w:hint="default" w:ascii="Times New Roman" w:hAnsi="Times New Roman" w:eastAsia="宋体" w:cs="Times New Roman"/>
          <w:color w:val="auto"/>
          <w:spacing w:val="0"/>
          <w:w w:val="100"/>
          <w:position w:val="0"/>
          <w:sz w:val="24"/>
          <w:szCs w:val="24"/>
          <w:highlight w:val="none"/>
          <w:u w:val="none" w:color="auto"/>
          <w:lang w:val="en-US" w:eastAsia="zh-CN"/>
        </w:rPr>
        <w:t>29°10′18″</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29°48′27″</w:t>
      </w:r>
      <w:r>
        <w:rPr>
          <w:rFonts w:hint="eastAsia" w:ascii="Times New Roman" w:hAnsi="Times New Roman" w:eastAsia="宋体" w:cs="Times New Roman"/>
          <w:color w:val="auto"/>
          <w:spacing w:val="0"/>
          <w:w w:val="100"/>
          <w:position w:val="0"/>
          <w:sz w:val="24"/>
          <w:szCs w:val="24"/>
          <w:highlight w:val="none"/>
          <w:u w:val="none" w:color="auto"/>
          <w:lang w:val="en-US" w:eastAsia="zh-CN"/>
        </w:rPr>
        <w:t>。周邻</w:t>
      </w:r>
      <w:r>
        <w:rPr>
          <w:rFonts w:hint="default" w:ascii="Times New Roman" w:hAnsi="Times New Roman" w:eastAsia="宋体" w:cs="Times New Roman"/>
          <w:color w:val="auto"/>
          <w:spacing w:val="0"/>
          <w:w w:val="100"/>
          <w:position w:val="0"/>
          <w:sz w:val="24"/>
          <w:szCs w:val="24"/>
          <w:highlight w:val="none"/>
          <w:u w:val="none" w:color="auto"/>
          <w:lang w:val="en-US" w:eastAsia="zh-CN"/>
        </w:rPr>
        <w:t>6</w:t>
      </w:r>
      <w:r>
        <w:rPr>
          <w:rFonts w:hint="eastAsia" w:ascii="Times New Roman" w:hAnsi="Times New Roman" w:eastAsia="宋体" w:cs="Times New Roman"/>
          <w:color w:val="auto"/>
          <w:spacing w:val="0"/>
          <w:w w:val="100"/>
          <w:position w:val="0"/>
          <w:sz w:val="24"/>
          <w:szCs w:val="24"/>
          <w:highlight w:val="none"/>
          <w:u w:val="none" w:color="auto"/>
          <w:lang w:val="en-US" w:eastAsia="zh-CN"/>
        </w:rPr>
        <w:t>县（市）、场，东与岳阳市君山区交界，西与益阳市南县相邻，南连国营北洲子农场，北接湖北省石首市，东北与湖北省监利市隔江相望。境内东西最大横距</w:t>
      </w:r>
      <w:r>
        <w:rPr>
          <w:rFonts w:hint="default" w:ascii="Times New Roman" w:hAnsi="Times New Roman" w:eastAsia="宋体" w:cs="Times New Roman"/>
          <w:color w:val="auto"/>
          <w:spacing w:val="0"/>
          <w:w w:val="100"/>
          <w:position w:val="0"/>
          <w:sz w:val="24"/>
          <w:szCs w:val="24"/>
          <w:highlight w:val="none"/>
          <w:u w:val="none" w:color="auto"/>
          <w:lang w:val="en-US" w:eastAsia="zh-CN"/>
        </w:rPr>
        <w:t>68km</w:t>
      </w:r>
      <w:r>
        <w:rPr>
          <w:rFonts w:hint="eastAsia" w:ascii="Times New Roman" w:hAnsi="Times New Roman" w:eastAsia="宋体" w:cs="Times New Roman"/>
          <w:color w:val="auto"/>
          <w:spacing w:val="0"/>
          <w:w w:val="100"/>
          <w:position w:val="0"/>
          <w:sz w:val="24"/>
          <w:szCs w:val="24"/>
          <w:highlight w:val="none"/>
          <w:u w:val="none" w:color="auto"/>
          <w:lang w:val="en-US" w:eastAsia="zh-CN"/>
        </w:rPr>
        <w:t>，南北最大纵距</w:t>
      </w:r>
      <w:r>
        <w:rPr>
          <w:rFonts w:hint="default" w:ascii="Times New Roman" w:hAnsi="Times New Roman" w:eastAsia="宋体" w:cs="Times New Roman"/>
          <w:color w:val="auto"/>
          <w:spacing w:val="0"/>
          <w:w w:val="100"/>
          <w:position w:val="0"/>
          <w:sz w:val="24"/>
          <w:szCs w:val="24"/>
          <w:highlight w:val="none"/>
          <w:u w:val="none" w:color="auto"/>
          <w:lang w:val="en-US" w:eastAsia="zh-CN"/>
        </w:rPr>
        <w:t>80km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5E81E67C">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北汊水库位于湖南省岳阳市华容县禹山镇境内，藕池河东支下游北侧，上西湖北部湖汊上，主坝坝址位于华容县禹山镇老河口村，距华容县城</w:t>
      </w:r>
      <w:r>
        <w:rPr>
          <w:rFonts w:hint="default" w:ascii="Times New Roman" w:hAnsi="Times New Roman" w:eastAsia="宋体" w:cs="Times New Roman"/>
          <w:color w:val="auto"/>
          <w:spacing w:val="0"/>
          <w:w w:val="100"/>
          <w:position w:val="0"/>
          <w:sz w:val="24"/>
          <w:szCs w:val="24"/>
          <w:highlight w:val="none"/>
          <w:u w:val="none" w:color="auto"/>
          <w:lang w:val="en-US" w:eastAsia="zh-CN"/>
        </w:rPr>
        <w:t>23km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221DC901">
      <w:pPr>
        <w:numPr>
          <w:ilvl w:val="0"/>
          <w:numId w:val="0"/>
        </w:numPr>
        <w:spacing w:line="360" w:lineRule="auto"/>
        <w:ind w:firstLine="480" w:firstLineChars="200"/>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项目地理位置具体见附图一。</w:t>
      </w:r>
    </w:p>
    <w:p w14:paraId="6C7A5704">
      <w:pPr>
        <w:pStyle w:val="4"/>
        <w:bidi w:val="0"/>
        <w:rPr>
          <w:rFonts w:hint="default" w:ascii="Times New Roman" w:hAnsi="Times New Roman" w:cs="Times New Roman"/>
          <w:u w:val="none" w:color="auto"/>
        </w:rPr>
      </w:pPr>
      <w:bookmarkStart w:id="124" w:name="_Toc22593"/>
      <w:r>
        <w:rPr>
          <w:rFonts w:hint="default" w:ascii="Times New Roman" w:hAnsi="Times New Roman" w:cs="Times New Roman"/>
          <w:u w:val="none" w:color="auto"/>
        </w:rPr>
        <w:t>气象</w:t>
      </w:r>
      <w:bookmarkEnd w:id="124"/>
    </w:p>
    <w:p w14:paraId="5AAE8943">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位于亚热带季风湿润气候区，雨量充沛，温热湿润。根据华容气象站1991年~2022年资料，多年平均气温16.6°C，多年平均降雨量1308.4mm，多年平均蒸发量1204.7mm，全年无霜期约278天，多年平均年最大风速15.6m/s。</w:t>
      </w:r>
    </w:p>
    <w:p w14:paraId="01B534D6">
      <w:pPr>
        <w:pStyle w:val="4"/>
        <w:bidi w:val="0"/>
        <w:rPr>
          <w:rFonts w:hint="eastAsia"/>
          <w:lang w:val="en-US" w:eastAsia="zh-CN"/>
        </w:rPr>
      </w:pPr>
      <w:bookmarkStart w:id="125" w:name="_Toc26025"/>
      <w:r>
        <w:rPr>
          <w:rFonts w:hint="eastAsia"/>
          <w:lang w:val="en-US" w:eastAsia="zh-CN"/>
        </w:rPr>
        <w:t>径流</w:t>
      </w:r>
      <w:bookmarkEnd w:id="125"/>
    </w:p>
    <w:p w14:paraId="61580273">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北汊水库历年各月平均来水量统计见下表：</w:t>
      </w:r>
    </w:p>
    <w:p w14:paraId="387B20E7">
      <w:pPr>
        <w:pageBreakBefore w:val="0"/>
        <w:widowControl/>
        <w:kinsoku w:val="0"/>
        <w:wordWrap w:val="0"/>
        <w:overflowPunct/>
        <w:topLinePunct/>
        <w:autoSpaceDE/>
        <w:autoSpaceDN/>
        <w:bidi w:val="0"/>
        <w:spacing w:line="240" w:lineRule="auto"/>
        <w:jc w:val="cente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t>表3</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.1-</w:t>
      </w:r>
      <w: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t>1  北汊水库历年各月平均来水量</w:t>
      </w:r>
    </w:p>
    <w:p w14:paraId="2C19591C">
      <w:pPr>
        <w:numPr>
          <w:ilvl w:val="0"/>
          <w:numId w:val="0"/>
        </w:numPr>
        <w:spacing w:line="360" w:lineRule="auto"/>
        <w:rPr>
          <w:rFonts w:hint="eastAsia" w:ascii="Times New Roman" w:hAnsi="Times New Roman" w:eastAsia="宋体" w:cs="Times New Roman"/>
          <w:color w:val="auto"/>
          <w:spacing w:val="0"/>
          <w:w w:val="100"/>
          <w:position w:val="0"/>
          <w:sz w:val="24"/>
          <w:szCs w:val="24"/>
          <w:highlight w:val="none"/>
          <w:u w:val="none" w:color="auto"/>
          <w:lang w:val="en-US" w:eastAsia="zh-CN"/>
        </w:rPr>
      </w:pPr>
      <w:r>
        <w:drawing>
          <wp:inline distT="0" distB="0" distL="114300" distR="114300">
            <wp:extent cx="5791835" cy="1080770"/>
            <wp:effectExtent l="0" t="0" r="14605" b="127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40">
                      <a:lum bright="-12000" contrast="24000"/>
                    </a:blip>
                    <a:stretch>
                      <a:fillRect/>
                    </a:stretch>
                  </pic:blipFill>
                  <pic:spPr>
                    <a:xfrm>
                      <a:off x="0" y="0"/>
                      <a:ext cx="5791835" cy="1080770"/>
                    </a:xfrm>
                    <a:prstGeom prst="rect">
                      <a:avLst/>
                    </a:prstGeom>
                    <a:noFill/>
                    <a:ln>
                      <a:noFill/>
                    </a:ln>
                  </pic:spPr>
                </pic:pic>
              </a:graphicData>
            </a:graphic>
          </wp:inline>
        </w:drawing>
      </w:r>
    </w:p>
    <w:p w14:paraId="65CFFD63">
      <w:pPr>
        <w:pStyle w:val="4"/>
        <w:bidi w:val="0"/>
        <w:rPr>
          <w:rFonts w:hint="eastAsia"/>
          <w:lang w:eastAsia="zh-CN"/>
        </w:rPr>
      </w:pPr>
      <w:bookmarkStart w:id="126" w:name="_Toc9707"/>
      <w:r>
        <w:rPr>
          <w:rFonts w:hint="eastAsia"/>
          <w:lang w:eastAsia="zh-CN"/>
        </w:rPr>
        <w:t>水位库容关系</w:t>
      </w:r>
      <w:bookmarkEnd w:id="126"/>
    </w:p>
    <w:p w14:paraId="521B9F02">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w:t>
      </w:r>
      <w:r>
        <w:rPr>
          <w:rFonts w:hint="eastAsia" w:ascii="Times New Roman" w:hAnsi="Times New Roman" w:eastAsia="宋体" w:cs="Times New Roman"/>
          <w:color w:val="auto"/>
          <w:spacing w:val="0"/>
          <w:w w:val="100"/>
          <w:position w:val="0"/>
          <w:sz w:val="24"/>
          <w:szCs w:val="24"/>
          <w:highlight w:val="none"/>
          <w:u w:val="none" w:color="auto"/>
          <w:lang w:val="en-US" w:eastAsia="zh-CN"/>
        </w:rPr>
        <w:t>水位</w:t>
      </w:r>
      <w:r>
        <w:rPr>
          <w:rFonts w:hint="default" w:ascii="Times New Roman" w:hAnsi="Times New Roman" w:eastAsia="宋体" w:cs="Times New Roman"/>
          <w:color w:val="auto"/>
          <w:spacing w:val="0"/>
          <w:w w:val="100"/>
          <w:position w:val="0"/>
          <w:sz w:val="24"/>
          <w:szCs w:val="24"/>
          <w:highlight w:val="none"/>
          <w:u w:val="none" w:color="auto"/>
          <w:lang w:val="en-US" w:eastAsia="zh-CN"/>
        </w:rPr>
        <w:t>库容</w:t>
      </w:r>
      <w:r>
        <w:rPr>
          <w:rFonts w:hint="eastAsia" w:ascii="Times New Roman" w:hAnsi="Times New Roman" w:eastAsia="宋体" w:cs="Times New Roman"/>
          <w:color w:val="auto"/>
          <w:spacing w:val="0"/>
          <w:w w:val="100"/>
          <w:position w:val="0"/>
          <w:sz w:val="24"/>
          <w:szCs w:val="24"/>
          <w:highlight w:val="none"/>
          <w:u w:val="none" w:color="auto"/>
          <w:lang w:val="en-US" w:eastAsia="zh-CN"/>
        </w:rPr>
        <w:t>关系表</w:t>
      </w:r>
      <w:r>
        <w:rPr>
          <w:rFonts w:hint="default" w:ascii="Times New Roman" w:hAnsi="Times New Roman" w:eastAsia="宋体" w:cs="Times New Roman"/>
          <w:color w:val="auto"/>
          <w:spacing w:val="0"/>
          <w:w w:val="100"/>
          <w:position w:val="0"/>
          <w:sz w:val="24"/>
          <w:szCs w:val="24"/>
          <w:highlight w:val="none"/>
          <w:u w:val="none" w:color="auto"/>
          <w:lang w:val="en-US" w:eastAsia="zh-CN"/>
        </w:rPr>
        <w:t>见</w:t>
      </w:r>
      <w:r>
        <w:rPr>
          <w:rFonts w:hint="eastAsia" w:ascii="Times New Roman" w:hAnsi="Times New Roman" w:eastAsia="宋体" w:cs="Times New Roman"/>
          <w:color w:val="auto"/>
          <w:spacing w:val="0"/>
          <w:w w:val="100"/>
          <w:position w:val="0"/>
          <w:sz w:val="24"/>
          <w:szCs w:val="24"/>
          <w:highlight w:val="none"/>
          <w:u w:val="none" w:color="auto"/>
          <w:lang w:val="en-US" w:eastAsia="zh-CN"/>
        </w:rPr>
        <w:t>下</w:t>
      </w:r>
      <w:r>
        <w:rPr>
          <w:rFonts w:hint="default" w:ascii="Times New Roman" w:hAnsi="Times New Roman" w:eastAsia="宋体" w:cs="Times New Roman"/>
          <w:color w:val="auto"/>
          <w:spacing w:val="0"/>
          <w:w w:val="100"/>
          <w:position w:val="0"/>
          <w:sz w:val="24"/>
          <w:szCs w:val="24"/>
          <w:highlight w:val="none"/>
          <w:u w:val="none" w:color="auto"/>
          <w:lang w:val="en-US" w:eastAsia="zh-CN"/>
        </w:rPr>
        <w:t>表</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138BC182">
      <w:pPr>
        <w:pageBreakBefore w:val="0"/>
        <w:widowControl/>
        <w:kinsoku w:val="0"/>
        <w:wordWrap w:val="0"/>
        <w:overflowPunct/>
        <w:topLinePunct/>
        <w:autoSpaceDE/>
        <w:autoSpaceDN/>
        <w:bidi w:val="0"/>
        <w:spacing w:line="240" w:lineRule="auto"/>
        <w:jc w:val="cente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b/>
          <w:caps w:val="0"/>
          <w:smallCaps w:val="0"/>
          <w:color w:val="auto"/>
          <w:spacing w:val="0"/>
          <w:w w:val="100"/>
          <w:position w:val="0"/>
          <w:sz w:val="24"/>
          <w:szCs w:val="24"/>
          <w:u w:val="none" w:color="auto"/>
          <w:lang w:val="en-US" w:eastAsia="zh-CN"/>
        </w:rPr>
        <w:t>表3.1-2  北汊水库水位~库容关系表</w:t>
      </w:r>
    </w:p>
    <w:p w14:paraId="2A9AD1F0">
      <w:pPr>
        <w:numPr>
          <w:ilvl w:val="0"/>
          <w:numId w:val="0"/>
        </w:numPr>
        <w:spacing w:line="360" w:lineRule="auto"/>
        <w:rPr>
          <w:rFonts w:hint="default" w:ascii="Times New Roman" w:hAnsi="Times New Roman" w:eastAsia="宋体" w:cs="Times New Roman"/>
          <w:color w:val="auto"/>
          <w:spacing w:val="0"/>
          <w:w w:val="100"/>
          <w:position w:val="0"/>
          <w:sz w:val="24"/>
          <w:szCs w:val="24"/>
          <w:highlight w:val="none"/>
          <w:u w:val="none" w:color="auto"/>
          <w:lang w:val="en-US" w:eastAsia="zh-CN"/>
        </w:rPr>
      </w:pPr>
      <w:r>
        <w:drawing>
          <wp:inline distT="0" distB="0" distL="114300" distR="114300">
            <wp:extent cx="5873115" cy="591185"/>
            <wp:effectExtent l="0" t="0" r="9525" b="317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41">
                      <a:lum bright="-12000" contrast="24000"/>
                    </a:blip>
                    <a:stretch>
                      <a:fillRect/>
                    </a:stretch>
                  </pic:blipFill>
                  <pic:spPr>
                    <a:xfrm>
                      <a:off x="0" y="0"/>
                      <a:ext cx="5873115" cy="591185"/>
                    </a:xfrm>
                    <a:prstGeom prst="rect">
                      <a:avLst/>
                    </a:prstGeom>
                    <a:noFill/>
                    <a:ln>
                      <a:noFill/>
                    </a:ln>
                  </pic:spPr>
                </pic:pic>
              </a:graphicData>
            </a:graphic>
          </wp:inline>
        </w:drawing>
      </w:r>
    </w:p>
    <w:p w14:paraId="1AF96986">
      <w:pPr>
        <w:pStyle w:val="4"/>
        <w:bidi w:val="0"/>
        <w:rPr>
          <w:rFonts w:hint="default" w:ascii="Times New Roman" w:hAnsi="Times New Roman" w:eastAsia="宋体" w:cs="Times New Roman"/>
          <w:b/>
          <w:caps w:val="0"/>
          <w:smallCaps w:val="0"/>
          <w:color w:val="auto"/>
          <w:spacing w:val="0"/>
          <w:w w:val="100"/>
          <w:position w:val="0"/>
          <w:sz w:val="28"/>
          <w:szCs w:val="28"/>
          <w:u w:val="none" w:color="auto"/>
        </w:rPr>
      </w:pPr>
      <w:bookmarkStart w:id="127" w:name="_Toc2403"/>
      <w:r>
        <w:rPr>
          <w:rFonts w:hint="default" w:ascii="Times New Roman" w:hAnsi="Times New Roman" w:eastAsia="SimSun,Bold" w:cs="Times New Roman"/>
          <w:b/>
          <w:spacing w:val="0"/>
          <w:w w:val="100"/>
          <w:position w:val="0"/>
          <w:sz w:val="28"/>
          <w:szCs w:val="28"/>
          <w:u w:val="none" w:color="auto"/>
        </w:rPr>
        <w:t>区域地质概况</w:t>
      </w:r>
      <w:bookmarkEnd w:id="127"/>
    </w:p>
    <w:p w14:paraId="51EF5628">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华容县位于湖南省北部边陲、岳阳市西境，地处东经</w:t>
      </w:r>
      <w:r>
        <w:rPr>
          <w:rFonts w:hint="default" w:ascii="Times New Roman" w:hAnsi="Times New Roman" w:eastAsia="宋体" w:cs="Times New Roman"/>
          <w:color w:val="auto"/>
          <w:spacing w:val="0"/>
          <w:w w:val="100"/>
          <w:position w:val="0"/>
          <w:sz w:val="24"/>
          <w:szCs w:val="24"/>
          <w:highlight w:val="none"/>
          <w:u w:val="none" w:color="auto"/>
          <w:lang w:val="en-US" w:eastAsia="zh-CN"/>
        </w:rPr>
        <w:t>112°8′31"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113°1′32"</w:t>
      </w:r>
      <w:r>
        <w:rPr>
          <w:rFonts w:hint="eastAsia" w:ascii="Times New Roman" w:hAnsi="Times New Roman" w:eastAsia="宋体" w:cs="Times New Roman"/>
          <w:color w:val="auto"/>
          <w:spacing w:val="0"/>
          <w:w w:val="100"/>
          <w:position w:val="0"/>
          <w:sz w:val="24"/>
          <w:szCs w:val="24"/>
          <w:highlight w:val="none"/>
          <w:u w:val="none" w:color="auto"/>
          <w:lang w:val="en-US" w:eastAsia="zh-CN"/>
        </w:rPr>
        <w:t>，北纬</w:t>
      </w:r>
      <w:r>
        <w:rPr>
          <w:rFonts w:hint="default" w:ascii="Times New Roman" w:hAnsi="Times New Roman" w:eastAsia="宋体" w:cs="Times New Roman"/>
          <w:color w:val="auto"/>
          <w:spacing w:val="0"/>
          <w:w w:val="100"/>
          <w:position w:val="0"/>
          <w:sz w:val="24"/>
          <w:szCs w:val="24"/>
          <w:highlight w:val="none"/>
          <w:u w:val="none" w:color="auto"/>
          <w:lang w:val="en-US" w:eastAsia="zh-CN"/>
        </w:rPr>
        <w:t>29°10′18"</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29°48′27"</w:t>
      </w:r>
      <w:r>
        <w:rPr>
          <w:rFonts w:hint="eastAsia" w:ascii="Times New Roman" w:hAnsi="Times New Roman" w:eastAsia="宋体" w:cs="Times New Roman"/>
          <w:color w:val="auto"/>
          <w:spacing w:val="0"/>
          <w:w w:val="100"/>
          <w:position w:val="0"/>
          <w:sz w:val="24"/>
          <w:szCs w:val="24"/>
          <w:highlight w:val="none"/>
          <w:u w:val="none" w:color="auto"/>
          <w:lang w:val="en-US" w:eastAsia="zh-CN"/>
        </w:rPr>
        <w:t>之间。北倚长江，南滨洞庭湖，东接岳阳县，西连益阳市南县，境内有杭瑞高速（</w:t>
      </w:r>
      <w:r>
        <w:rPr>
          <w:rFonts w:hint="default" w:ascii="Times New Roman" w:hAnsi="Times New Roman" w:eastAsia="宋体" w:cs="Times New Roman"/>
          <w:color w:val="auto"/>
          <w:spacing w:val="0"/>
          <w:w w:val="100"/>
          <w:position w:val="0"/>
          <w:sz w:val="24"/>
          <w:szCs w:val="24"/>
          <w:highlight w:val="none"/>
          <w:u w:val="none" w:color="auto"/>
          <w:lang w:val="en-US" w:eastAsia="zh-CN"/>
        </w:rPr>
        <w:t>G56</w:t>
      </w:r>
      <w:r>
        <w:rPr>
          <w:rFonts w:hint="eastAsia" w:ascii="Times New Roman" w:hAnsi="Times New Roman" w:eastAsia="宋体" w:cs="Times New Roman"/>
          <w:color w:val="auto"/>
          <w:spacing w:val="0"/>
          <w:w w:val="100"/>
          <w:position w:val="0"/>
          <w:sz w:val="24"/>
          <w:szCs w:val="24"/>
          <w:highlight w:val="none"/>
          <w:u w:val="none" w:color="auto"/>
          <w:lang w:val="en-US" w:eastAsia="zh-CN"/>
        </w:rPr>
        <w:t>）及省道</w:t>
      </w:r>
      <w:r>
        <w:rPr>
          <w:rFonts w:hint="default" w:ascii="Times New Roman" w:hAnsi="Times New Roman" w:eastAsia="宋体" w:cs="Times New Roman"/>
          <w:color w:val="auto"/>
          <w:spacing w:val="0"/>
          <w:w w:val="100"/>
          <w:position w:val="0"/>
          <w:sz w:val="24"/>
          <w:szCs w:val="24"/>
          <w:highlight w:val="none"/>
          <w:u w:val="none" w:color="auto"/>
          <w:lang w:val="en-US" w:eastAsia="zh-CN"/>
        </w:rPr>
        <w:t>S203</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S306</w:t>
      </w:r>
      <w:r>
        <w:rPr>
          <w:rFonts w:hint="eastAsia" w:ascii="Times New Roman" w:hAnsi="Times New Roman" w:eastAsia="宋体" w:cs="Times New Roman"/>
          <w:color w:val="auto"/>
          <w:spacing w:val="0"/>
          <w:w w:val="100"/>
          <w:position w:val="0"/>
          <w:sz w:val="24"/>
          <w:szCs w:val="24"/>
          <w:highlight w:val="none"/>
          <w:u w:val="none" w:color="auto"/>
          <w:lang w:val="en-US" w:eastAsia="zh-CN"/>
        </w:rPr>
        <w:t>，交通便捷。</w:t>
      </w:r>
    </w:p>
    <w:p w14:paraId="01732EED">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本地区属北亚热带季风湿润气候型，光照充足，雨量适度，温暖湿润，冬春多寒潮，夏季降水集中。地区年平均气温为</w:t>
      </w:r>
      <w:r>
        <w:rPr>
          <w:rFonts w:hint="default" w:ascii="Times New Roman" w:hAnsi="Times New Roman" w:eastAsia="宋体" w:cs="Times New Roman"/>
          <w:color w:val="auto"/>
          <w:spacing w:val="0"/>
          <w:w w:val="100"/>
          <w:position w:val="0"/>
          <w:sz w:val="24"/>
          <w:szCs w:val="24"/>
          <w:highlight w:val="none"/>
          <w:u w:val="none" w:color="auto"/>
          <w:lang w:val="en-US" w:eastAsia="zh-CN"/>
        </w:rPr>
        <w:t>16.6℃</w:t>
      </w:r>
      <w:r>
        <w:rPr>
          <w:rFonts w:hint="eastAsia" w:ascii="Times New Roman" w:hAnsi="Times New Roman" w:eastAsia="宋体" w:cs="Times New Roman"/>
          <w:color w:val="auto"/>
          <w:spacing w:val="0"/>
          <w:w w:val="100"/>
          <w:position w:val="0"/>
          <w:sz w:val="24"/>
          <w:szCs w:val="24"/>
          <w:highlight w:val="none"/>
          <w:u w:val="none" w:color="auto"/>
          <w:lang w:val="en-US" w:eastAsia="zh-CN"/>
        </w:rPr>
        <w:t>，极端最高气温</w:t>
      </w:r>
      <w:r>
        <w:rPr>
          <w:rFonts w:hint="default" w:ascii="Times New Roman" w:hAnsi="Times New Roman" w:eastAsia="宋体" w:cs="Times New Roman"/>
          <w:color w:val="auto"/>
          <w:spacing w:val="0"/>
          <w:w w:val="100"/>
          <w:position w:val="0"/>
          <w:sz w:val="24"/>
          <w:szCs w:val="24"/>
          <w:highlight w:val="none"/>
          <w:u w:val="none" w:color="auto"/>
          <w:lang w:val="en-US" w:eastAsia="zh-CN"/>
        </w:rPr>
        <w:t>40℃</w:t>
      </w:r>
      <w:r>
        <w:rPr>
          <w:rFonts w:hint="eastAsia" w:ascii="Times New Roman" w:hAnsi="Times New Roman" w:eastAsia="宋体" w:cs="Times New Roman"/>
          <w:color w:val="auto"/>
          <w:spacing w:val="0"/>
          <w:w w:val="100"/>
          <w:position w:val="0"/>
          <w:sz w:val="24"/>
          <w:szCs w:val="24"/>
          <w:highlight w:val="none"/>
          <w:u w:val="none" w:color="auto"/>
          <w:lang w:val="en-US" w:eastAsia="zh-CN"/>
        </w:rPr>
        <w:t>，极端最低气温</w:t>
      </w:r>
      <w:r>
        <w:rPr>
          <w:rFonts w:hint="default" w:ascii="Times New Roman" w:hAnsi="Times New Roman" w:eastAsia="宋体" w:cs="Times New Roman"/>
          <w:color w:val="auto"/>
          <w:spacing w:val="0"/>
          <w:w w:val="100"/>
          <w:position w:val="0"/>
          <w:sz w:val="24"/>
          <w:szCs w:val="24"/>
          <w:highlight w:val="none"/>
          <w:u w:val="none" w:color="auto"/>
          <w:lang w:val="en-US" w:eastAsia="zh-CN"/>
        </w:rPr>
        <w:t>-12.6℃</w:t>
      </w:r>
      <w:r>
        <w:rPr>
          <w:rFonts w:hint="eastAsia" w:ascii="Times New Roman" w:hAnsi="Times New Roman" w:eastAsia="宋体" w:cs="Times New Roman"/>
          <w:color w:val="auto"/>
          <w:spacing w:val="0"/>
          <w:w w:val="100"/>
          <w:position w:val="0"/>
          <w:sz w:val="24"/>
          <w:szCs w:val="24"/>
          <w:highlight w:val="none"/>
          <w:u w:val="none" w:color="auto"/>
          <w:lang w:val="en-US" w:eastAsia="zh-CN"/>
        </w:rPr>
        <w:t>；地区年平均降水量</w:t>
      </w:r>
      <w:r>
        <w:rPr>
          <w:rFonts w:hint="default" w:ascii="Times New Roman" w:hAnsi="Times New Roman" w:eastAsia="宋体" w:cs="Times New Roman"/>
          <w:color w:val="auto"/>
          <w:spacing w:val="0"/>
          <w:w w:val="100"/>
          <w:position w:val="0"/>
          <w:sz w:val="24"/>
          <w:szCs w:val="24"/>
          <w:highlight w:val="none"/>
          <w:u w:val="none" w:color="auto"/>
          <w:lang w:val="en-US" w:eastAsia="zh-CN"/>
        </w:rPr>
        <w:t>1256.7mm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3F75644E">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地处洞庭湖凹盆地北缘，地势北高南低，中部丘岗隆起，东西低平开阔，微向东洞庭湖倾斜。地貌分区特征较为明显：东北部为低山丘陵区，间有溪谷湖汊，中南部为丘岗区，其余为冲积、湖积平原。平均海拔在</w:t>
      </w:r>
      <w:r>
        <w:rPr>
          <w:rFonts w:hint="default" w:ascii="Times New Roman" w:hAnsi="Times New Roman" w:eastAsia="宋体" w:cs="Times New Roman"/>
          <w:color w:val="auto"/>
          <w:spacing w:val="0"/>
          <w:w w:val="100"/>
          <w:position w:val="0"/>
          <w:sz w:val="24"/>
          <w:szCs w:val="24"/>
          <w:highlight w:val="none"/>
          <w:u w:val="none" w:color="auto"/>
          <w:lang w:val="en-US" w:eastAsia="zh-CN"/>
        </w:rPr>
        <w:t>35m</w:t>
      </w:r>
      <w:r>
        <w:rPr>
          <w:rFonts w:hint="eastAsia" w:ascii="Times New Roman" w:hAnsi="Times New Roman" w:eastAsia="宋体" w:cs="Times New Roman"/>
          <w:color w:val="auto"/>
          <w:spacing w:val="0"/>
          <w:w w:val="100"/>
          <w:position w:val="0"/>
          <w:sz w:val="24"/>
          <w:szCs w:val="24"/>
          <w:highlight w:val="none"/>
          <w:u w:val="none" w:color="auto"/>
          <w:lang w:val="en-US" w:eastAsia="zh-CN"/>
        </w:rPr>
        <w:t>以上，海拔最高点（雷打岩）为</w:t>
      </w:r>
      <w:r>
        <w:rPr>
          <w:rFonts w:hint="default" w:ascii="Times New Roman" w:hAnsi="Times New Roman" w:eastAsia="宋体" w:cs="Times New Roman"/>
          <w:color w:val="auto"/>
          <w:spacing w:val="0"/>
          <w:w w:val="100"/>
          <w:position w:val="0"/>
          <w:sz w:val="24"/>
          <w:szCs w:val="24"/>
          <w:highlight w:val="none"/>
          <w:u w:val="none" w:color="auto"/>
          <w:lang w:val="en-US" w:eastAsia="zh-CN"/>
        </w:rPr>
        <w:t>382.9m</w:t>
      </w:r>
      <w:r>
        <w:rPr>
          <w:rFonts w:hint="eastAsia" w:ascii="Times New Roman" w:hAnsi="Times New Roman" w:eastAsia="宋体" w:cs="Times New Roman"/>
          <w:color w:val="auto"/>
          <w:spacing w:val="0"/>
          <w:w w:val="100"/>
          <w:position w:val="0"/>
          <w:sz w:val="24"/>
          <w:szCs w:val="24"/>
          <w:highlight w:val="none"/>
          <w:u w:val="none" w:color="auto"/>
          <w:lang w:val="en-US" w:eastAsia="zh-CN"/>
        </w:rPr>
        <w:t>，最低点为东湖湖底（海拔）</w:t>
      </w:r>
      <w:r>
        <w:rPr>
          <w:rFonts w:hint="default" w:ascii="Times New Roman" w:hAnsi="Times New Roman" w:eastAsia="宋体" w:cs="Times New Roman"/>
          <w:color w:val="auto"/>
          <w:spacing w:val="0"/>
          <w:w w:val="100"/>
          <w:position w:val="0"/>
          <w:sz w:val="24"/>
          <w:szCs w:val="24"/>
          <w:highlight w:val="none"/>
          <w:u w:val="none" w:color="auto"/>
          <w:lang w:val="en-US" w:eastAsia="zh-CN"/>
        </w:rPr>
        <w:t>21m</w:t>
      </w:r>
      <w:r>
        <w:rPr>
          <w:rFonts w:hint="eastAsia" w:ascii="Times New Roman" w:hAnsi="Times New Roman" w:eastAsia="宋体" w:cs="Times New Roman"/>
          <w:color w:val="auto"/>
          <w:spacing w:val="0"/>
          <w:w w:val="100"/>
          <w:position w:val="0"/>
          <w:sz w:val="24"/>
          <w:szCs w:val="24"/>
          <w:highlight w:val="none"/>
          <w:u w:val="none" w:color="auto"/>
          <w:lang w:val="en-US" w:eastAsia="zh-CN"/>
        </w:rPr>
        <w:t>，高差</w:t>
      </w:r>
      <w:r>
        <w:rPr>
          <w:rFonts w:hint="default" w:ascii="Times New Roman" w:hAnsi="Times New Roman" w:eastAsia="宋体" w:cs="Times New Roman"/>
          <w:color w:val="auto"/>
          <w:spacing w:val="0"/>
          <w:w w:val="100"/>
          <w:position w:val="0"/>
          <w:sz w:val="24"/>
          <w:szCs w:val="24"/>
          <w:highlight w:val="none"/>
          <w:u w:val="none" w:color="auto"/>
          <w:lang w:val="en-US" w:eastAsia="zh-CN"/>
        </w:rPr>
        <w:t>361.9m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3B14AA46">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根据区域地质资料及野外地质调查，区域内基岩出露甚少，第四系河相、河湖相松散堆积物分布广泛，尤以全新统分布最广，中更新统次之，中更新统及下更新统零星出露。湖盆内的孤山残丘可见前震旦系浅变质碎屑岩、泥盆系碎屑岩及第三系红层出露。东南与东北部边缘分布加里东～燕山期花岗岩侵入体。</w:t>
      </w:r>
    </w:p>
    <w:p w14:paraId="7DA99265">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洞庭湖区是著名的新华夏系第二沉降带的中部。工程区所处位置是洞庭湖坳陷的北端与汉水坳陷的南部。为燕山期以来逐渐形成的一个中新生代大型坳陷盆地。区内无大的活动性断裂通过，构造简单。根据《中国地震动参数区划图》（</w:t>
      </w:r>
      <w:r>
        <w:rPr>
          <w:rFonts w:hint="default" w:ascii="Times New Roman" w:hAnsi="Times New Roman" w:eastAsia="宋体" w:cs="Times New Roman"/>
          <w:color w:val="auto"/>
          <w:spacing w:val="0"/>
          <w:w w:val="100"/>
          <w:position w:val="0"/>
          <w:sz w:val="24"/>
          <w:szCs w:val="24"/>
          <w:highlight w:val="none"/>
          <w:u w:val="none" w:color="auto"/>
          <w:lang w:val="en-US" w:eastAsia="zh-CN"/>
        </w:rPr>
        <w:t>GB18306-2015</w:t>
      </w:r>
      <w:r>
        <w:rPr>
          <w:rFonts w:hint="eastAsia" w:ascii="Times New Roman" w:hAnsi="Times New Roman" w:eastAsia="宋体" w:cs="Times New Roman"/>
          <w:color w:val="auto"/>
          <w:spacing w:val="0"/>
          <w:w w:val="100"/>
          <w:position w:val="0"/>
          <w:sz w:val="24"/>
          <w:szCs w:val="24"/>
          <w:highlight w:val="none"/>
          <w:u w:val="none" w:color="auto"/>
          <w:lang w:val="en-US" w:eastAsia="zh-CN"/>
        </w:rPr>
        <w:t>）附表</w:t>
      </w:r>
      <w:r>
        <w:rPr>
          <w:rFonts w:hint="default" w:ascii="Times New Roman" w:hAnsi="Times New Roman" w:eastAsia="宋体" w:cs="Times New Roman"/>
          <w:color w:val="auto"/>
          <w:spacing w:val="0"/>
          <w:w w:val="100"/>
          <w:position w:val="0"/>
          <w:sz w:val="24"/>
          <w:szCs w:val="24"/>
          <w:highlight w:val="none"/>
          <w:u w:val="none" w:color="auto"/>
          <w:lang w:val="en-US" w:eastAsia="zh-CN"/>
        </w:rPr>
        <w:t>C18</w:t>
      </w:r>
      <w:r>
        <w:rPr>
          <w:rFonts w:hint="eastAsia" w:ascii="Times New Roman" w:hAnsi="Times New Roman" w:eastAsia="宋体" w:cs="Times New Roman"/>
          <w:color w:val="auto"/>
          <w:spacing w:val="0"/>
          <w:w w:val="100"/>
          <w:position w:val="0"/>
          <w:sz w:val="24"/>
          <w:szCs w:val="24"/>
          <w:highlight w:val="none"/>
          <w:u w:val="none" w:color="auto"/>
          <w:lang w:val="en-US" w:eastAsia="zh-CN"/>
        </w:rPr>
        <w:t>，工程所辖区华容县禹山镇的地震动峰值加速度为</w:t>
      </w:r>
      <w:r>
        <w:rPr>
          <w:rFonts w:hint="default" w:ascii="Times New Roman" w:hAnsi="Times New Roman" w:eastAsia="宋体" w:cs="Times New Roman"/>
          <w:color w:val="auto"/>
          <w:spacing w:val="0"/>
          <w:w w:val="100"/>
          <w:position w:val="0"/>
          <w:sz w:val="24"/>
          <w:szCs w:val="24"/>
          <w:highlight w:val="none"/>
          <w:u w:val="none" w:color="auto"/>
          <w:lang w:val="en-US" w:eastAsia="zh-CN"/>
        </w:rPr>
        <w:t>0.05g</w:t>
      </w:r>
      <w:r>
        <w:rPr>
          <w:rFonts w:hint="eastAsia" w:ascii="Times New Roman" w:hAnsi="Times New Roman" w:eastAsia="宋体" w:cs="Times New Roman"/>
          <w:color w:val="auto"/>
          <w:spacing w:val="0"/>
          <w:w w:val="100"/>
          <w:position w:val="0"/>
          <w:sz w:val="24"/>
          <w:szCs w:val="24"/>
          <w:highlight w:val="none"/>
          <w:u w:val="none" w:color="auto"/>
          <w:lang w:val="en-US" w:eastAsia="zh-CN"/>
        </w:rPr>
        <w:t>，地震动反应谱特征周期为</w:t>
      </w:r>
      <w:r>
        <w:rPr>
          <w:rFonts w:hint="default" w:ascii="Times New Roman" w:hAnsi="Times New Roman" w:eastAsia="宋体" w:cs="Times New Roman"/>
          <w:color w:val="auto"/>
          <w:spacing w:val="0"/>
          <w:w w:val="100"/>
          <w:position w:val="0"/>
          <w:sz w:val="24"/>
          <w:szCs w:val="24"/>
          <w:highlight w:val="none"/>
          <w:u w:val="none" w:color="auto"/>
          <w:lang w:val="en-US" w:eastAsia="zh-CN"/>
        </w:rPr>
        <w:t>0.35s</w:t>
      </w:r>
      <w:r>
        <w:rPr>
          <w:rFonts w:hint="eastAsia" w:ascii="Times New Roman" w:hAnsi="Times New Roman" w:eastAsia="宋体" w:cs="Times New Roman"/>
          <w:color w:val="auto"/>
          <w:spacing w:val="0"/>
          <w:w w:val="100"/>
          <w:position w:val="0"/>
          <w:sz w:val="24"/>
          <w:szCs w:val="24"/>
          <w:highlight w:val="none"/>
          <w:u w:val="none" w:color="auto"/>
          <w:lang w:val="en-US" w:eastAsia="zh-CN"/>
        </w:rPr>
        <w:t>，相对应的地震基本烈度为</w:t>
      </w:r>
      <w:r>
        <w:rPr>
          <w:rFonts w:hint="default" w:ascii="Times New Roman" w:hAnsi="Times New Roman" w:eastAsia="宋体" w:cs="Times New Roman"/>
          <w:color w:val="auto"/>
          <w:spacing w:val="0"/>
          <w:w w:val="100"/>
          <w:position w:val="0"/>
          <w:sz w:val="24"/>
          <w:szCs w:val="24"/>
          <w:highlight w:val="none"/>
          <w:u w:val="none" w:color="auto"/>
          <w:lang w:val="en-US" w:eastAsia="zh-CN"/>
        </w:rPr>
        <w:t>Ⅵ</w:t>
      </w:r>
      <w:r>
        <w:rPr>
          <w:rFonts w:hint="eastAsia" w:ascii="Times New Roman" w:hAnsi="Times New Roman" w:eastAsia="宋体" w:cs="Times New Roman"/>
          <w:color w:val="auto"/>
          <w:spacing w:val="0"/>
          <w:w w:val="100"/>
          <w:position w:val="0"/>
          <w:sz w:val="24"/>
          <w:szCs w:val="24"/>
          <w:highlight w:val="none"/>
          <w:u w:val="none" w:color="auto"/>
          <w:lang w:val="en-US" w:eastAsia="zh-CN"/>
        </w:rPr>
        <w:t>度。区域构造稳定性好。</w:t>
      </w:r>
    </w:p>
    <w:p w14:paraId="0A2D29BC">
      <w:pPr>
        <w:pStyle w:val="4"/>
        <w:bidi w:val="0"/>
        <w:rPr>
          <w:rFonts w:hint="default" w:ascii="Times New Roman" w:hAnsi="Times New Roman" w:cs="Times New Roman"/>
          <w:u w:val="none" w:color="auto"/>
        </w:rPr>
      </w:pPr>
      <w:bookmarkStart w:id="128" w:name="_Toc6451"/>
      <w:r>
        <w:rPr>
          <w:rFonts w:hint="default" w:ascii="Times New Roman" w:hAnsi="Times New Roman" w:cs="Times New Roman"/>
          <w:u w:val="none" w:color="auto"/>
        </w:rPr>
        <w:t>水库区工程地质</w:t>
      </w:r>
      <w:bookmarkEnd w:id="128"/>
    </w:p>
    <w:p w14:paraId="47F818AF">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北汊水库位于洞庭湖以北冲湖积平原与低矮丘陵过渡地带，北部为低矮丘陵，高程</w:t>
      </w:r>
      <w:r>
        <w:rPr>
          <w:rFonts w:hint="default" w:ascii="Times New Roman" w:hAnsi="Times New Roman" w:eastAsia="宋体" w:cs="Times New Roman"/>
          <w:color w:val="auto"/>
          <w:spacing w:val="0"/>
          <w:w w:val="100"/>
          <w:position w:val="0"/>
          <w:sz w:val="24"/>
          <w:szCs w:val="24"/>
          <w:highlight w:val="none"/>
          <w:u w:val="none" w:color="auto"/>
          <w:lang w:val="en-US" w:eastAsia="zh-CN"/>
        </w:rPr>
        <w:t>50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150m</w:t>
      </w:r>
      <w:r>
        <w:rPr>
          <w:rFonts w:hint="eastAsia" w:ascii="Times New Roman" w:hAnsi="Times New Roman" w:eastAsia="宋体" w:cs="Times New Roman"/>
          <w:color w:val="auto"/>
          <w:spacing w:val="0"/>
          <w:w w:val="100"/>
          <w:position w:val="0"/>
          <w:sz w:val="24"/>
          <w:szCs w:val="24"/>
          <w:highlight w:val="none"/>
          <w:u w:val="none" w:color="auto"/>
          <w:lang w:val="en-US" w:eastAsia="zh-CN"/>
        </w:rPr>
        <w:t>，岗丘多呈孤立浑圆状，排列无序，岗丘间河湖沟汊发育。南部为广茂的冲湖积平原，河湖沟汊纵横交错，堤防沿河湖沟汊临岸而建，地势低矮平缓，高程</w:t>
      </w:r>
      <w:r>
        <w:rPr>
          <w:rFonts w:hint="default" w:ascii="Times New Roman" w:hAnsi="Times New Roman" w:eastAsia="宋体" w:cs="Times New Roman"/>
          <w:color w:val="auto"/>
          <w:spacing w:val="0"/>
          <w:w w:val="100"/>
          <w:position w:val="0"/>
          <w:sz w:val="24"/>
          <w:szCs w:val="24"/>
          <w:highlight w:val="none"/>
          <w:u w:val="none" w:color="auto"/>
          <w:lang w:val="en-US" w:eastAsia="zh-CN"/>
        </w:rPr>
        <w:t>25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28m</w:t>
      </w:r>
      <w:r>
        <w:rPr>
          <w:rFonts w:hint="eastAsia" w:ascii="Times New Roman" w:hAnsi="Times New Roman" w:eastAsia="宋体" w:cs="Times New Roman"/>
          <w:color w:val="auto"/>
          <w:spacing w:val="0"/>
          <w:w w:val="100"/>
          <w:position w:val="0"/>
          <w:sz w:val="24"/>
          <w:szCs w:val="24"/>
          <w:highlight w:val="none"/>
          <w:u w:val="none" w:color="auto"/>
          <w:lang w:val="en-US" w:eastAsia="zh-CN"/>
        </w:rPr>
        <w:t>。大坝库长约</w:t>
      </w:r>
      <w:r>
        <w:rPr>
          <w:rFonts w:hint="default" w:ascii="Times New Roman" w:hAnsi="Times New Roman" w:eastAsia="宋体" w:cs="Times New Roman"/>
          <w:color w:val="auto"/>
          <w:spacing w:val="0"/>
          <w:w w:val="100"/>
          <w:position w:val="0"/>
          <w:sz w:val="24"/>
          <w:szCs w:val="24"/>
          <w:highlight w:val="none"/>
          <w:u w:val="none" w:color="auto"/>
          <w:lang w:val="en-US" w:eastAsia="zh-CN"/>
        </w:rPr>
        <w:t>15.5km</w:t>
      </w:r>
      <w:r>
        <w:rPr>
          <w:rFonts w:hint="eastAsia" w:ascii="Times New Roman" w:hAnsi="Times New Roman" w:eastAsia="宋体" w:cs="Times New Roman"/>
          <w:color w:val="auto"/>
          <w:spacing w:val="0"/>
          <w:w w:val="100"/>
          <w:position w:val="0"/>
          <w:sz w:val="24"/>
          <w:szCs w:val="24"/>
          <w:highlight w:val="none"/>
          <w:u w:val="none" w:color="auto"/>
          <w:lang w:val="en-US" w:eastAsia="zh-CN"/>
        </w:rPr>
        <w:t>，面积约</w:t>
      </w:r>
      <w:r>
        <w:rPr>
          <w:rFonts w:hint="default" w:ascii="Times New Roman" w:hAnsi="Times New Roman" w:eastAsia="宋体" w:cs="Times New Roman"/>
          <w:color w:val="auto"/>
          <w:spacing w:val="0"/>
          <w:w w:val="100"/>
          <w:position w:val="0"/>
          <w:sz w:val="24"/>
          <w:szCs w:val="24"/>
          <w:highlight w:val="none"/>
          <w:u w:val="none" w:color="auto"/>
          <w:lang w:val="en-US" w:eastAsia="zh-CN"/>
        </w:rPr>
        <w:t>2.7km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175DAE37">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库区覆盖层为第四系全新统冲湖积层（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Q4al+l</w:t>
      </w:r>
      <w:r>
        <w:rPr>
          <w:rFonts w:hint="eastAsia" w:ascii="Times New Roman" w:hAnsi="Times New Roman" w:eastAsia="宋体" w:cs="Times New Roman"/>
          <w:color w:val="auto"/>
          <w:spacing w:val="0"/>
          <w:w w:val="100"/>
          <w:position w:val="0"/>
          <w:sz w:val="24"/>
          <w:szCs w:val="24"/>
          <w:highlight w:val="none"/>
          <w:u w:val="none" w:color="auto"/>
          <w:lang w:val="en-US" w:eastAsia="zh-CN"/>
        </w:rPr>
        <w:t>）淤泥质粘土、第四系中更新统白沙井组（</w:t>
      </w:r>
      <w:r>
        <w:rPr>
          <w:rFonts w:hint="default" w:ascii="Times New Roman" w:hAnsi="Times New Roman" w:eastAsia="宋体" w:cs="Times New Roman"/>
          <w:color w:val="auto"/>
          <w:spacing w:val="0"/>
          <w:w w:val="100"/>
          <w:position w:val="0"/>
          <w:sz w:val="24"/>
          <w:szCs w:val="24"/>
          <w:highlight w:val="none"/>
          <w:u w:val="none" w:color="auto"/>
          <w:lang w:val="en-US" w:eastAsia="zh-CN"/>
        </w:rPr>
        <w:t>Q2b</w:t>
      </w:r>
      <w:r>
        <w:rPr>
          <w:rFonts w:hint="eastAsia" w:ascii="Times New Roman" w:hAnsi="Times New Roman" w:eastAsia="宋体" w:cs="Times New Roman"/>
          <w:color w:val="auto"/>
          <w:spacing w:val="0"/>
          <w:w w:val="100"/>
          <w:position w:val="0"/>
          <w:sz w:val="24"/>
          <w:szCs w:val="24"/>
          <w:highlight w:val="none"/>
          <w:u w:val="none" w:color="auto"/>
          <w:lang w:val="en-US" w:eastAsia="zh-CN"/>
        </w:rPr>
        <w:t>）网纹状粘土及少量人工堆积层（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Q4s</w:t>
      </w: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）、第四系残坡积层（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Q4edl</w:t>
      </w:r>
      <w:r>
        <w:rPr>
          <w:rFonts w:hint="eastAsia" w:ascii="Times New Roman" w:hAnsi="Times New Roman" w:eastAsia="宋体" w:cs="Times New Roman"/>
          <w:color w:val="auto"/>
          <w:spacing w:val="0"/>
          <w:w w:val="100"/>
          <w:position w:val="0"/>
          <w:sz w:val="24"/>
          <w:szCs w:val="24"/>
          <w:highlight w:val="none"/>
          <w:u w:val="none" w:color="auto"/>
          <w:lang w:val="en-US" w:eastAsia="zh-CN"/>
        </w:rPr>
        <w:t>）粘土夹碎石，出露基岩为泥盆系中统跳马涧组（</w:t>
      </w:r>
      <w:r>
        <w:rPr>
          <w:rFonts w:hint="default" w:ascii="Times New Roman" w:hAnsi="Times New Roman" w:eastAsia="宋体" w:cs="Times New Roman"/>
          <w:color w:val="auto"/>
          <w:spacing w:val="0"/>
          <w:w w:val="100"/>
          <w:position w:val="0"/>
          <w:sz w:val="24"/>
          <w:szCs w:val="24"/>
          <w:highlight w:val="none"/>
          <w:u w:val="none" w:color="auto"/>
          <w:lang w:val="en-US" w:eastAsia="zh-CN"/>
        </w:rPr>
        <w:t>D2t</w:t>
      </w:r>
      <w:r>
        <w:rPr>
          <w:rFonts w:hint="eastAsia" w:ascii="Times New Roman" w:hAnsi="Times New Roman" w:eastAsia="宋体" w:cs="Times New Roman"/>
          <w:color w:val="auto"/>
          <w:spacing w:val="0"/>
          <w:w w:val="100"/>
          <w:position w:val="0"/>
          <w:sz w:val="24"/>
          <w:szCs w:val="24"/>
          <w:highlight w:val="none"/>
          <w:u w:val="none" w:color="auto"/>
          <w:lang w:val="en-US" w:eastAsia="zh-CN"/>
        </w:rPr>
        <w:t>）泥质粉砂岩，岩层倾向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250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335°</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30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42°</w:t>
      </w:r>
      <w:r>
        <w:rPr>
          <w:rFonts w:hint="eastAsia" w:ascii="Times New Roman" w:hAnsi="Times New Roman" w:eastAsia="宋体" w:cs="Times New Roman"/>
          <w:color w:val="auto"/>
          <w:spacing w:val="0"/>
          <w:w w:val="100"/>
          <w:position w:val="0"/>
          <w:sz w:val="24"/>
          <w:szCs w:val="24"/>
          <w:highlight w:val="none"/>
          <w:u w:val="none" w:color="auto"/>
          <w:lang w:val="en-US" w:eastAsia="zh-CN"/>
        </w:rPr>
        <w:t>，产状变化较大，未见断层分布。</w:t>
      </w:r>
    </w:p>
    <w:p w14:paraId="7BF8E36F">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区内地下水条件较为简单，其地下水类型主要为第四系孔隙水，其次为基岩裂隙水。第四系孔隙水主要赋存于第四系人工堆积层及冲湖积淤泥质粘土层之孔隙中，主要就近接受库水、湖汊、沟渠、鱼塘地表水补给，水量较丰富、水动态随地表水动态而变化，其径流时间短。基岩裂隙水赋存于泥质粉砂岩的裂隙中，以节理和岩层层面为迳流通道，向地表和河床排泄，其地下水动态完全受天然降水控制，雨量多则水富，雨量少则水少或枯竭，水量随季节性变化明显。</w:t>
      </w:r>
    </w:p>
    <w:p w14:paraId="17139505">
      <w:pPr>
        <w:pStyle w:val="4"/>
        <w:bidi w:val="0"/>
        <w:rPr>
          <w:rFonts w:hint="default"/>
          <w:sz w:val="28"/>
          <w:szCs w:val="28"/>
        </w:rPr>
      </w:pPr>
      <w:r>
        <w:rPr>
          <w:rFonts w:hint="default"/>
          <w:sz w:val="28"/>
          <w:szCs w:val="28"/>
        </w:rPr>
        <w:t xml:space="preserve"> </w:t>
      </w:r>
      <w:bookmarkStart w:id="129" w:name="_Toc1607"/>
      <w:r>
        <w:rPr>
          <w:rFonts w:hint="default"/>
          <w:sz w:val="28"/>
          <w:szCs w:val="28"/>
        </w:rPr>
        <w:t>坝</w:t>
      </w:r>
      <w:r>
        <w:rPr>
          <w:rFonts w:hint="eastAsia"/>
          <w:sz w:val="28"/>
          <w:szCs w:val="28"/>
          <w:lang w:eastAsia="zh-CN"/>
        </w:rPr>
        <w:t>址</w:t>
      </w:r>
      <w:r>
        <w:rPr>
          <w:rFonts w:hint="default"/>
          <w:sz w:val="28"/>
          <w:szCs w:val="28"/>
        </w:rPr>
        <w:t>区工程地质条件</w:t>
      </w:r>
      <w:bookmarkEnd w:id="129"/>
    </w:p>
    <w:p w14:paraId="233EF15D">
      <w:pPr>
        <w:pStyle w:val="5"/>
        <w:bidi w:val="0"/>
        <w:rPr>
          <w:rFonts w:hint="eastAsia"/>
          <w:lang w:val="en-US" w:eastAsia="zh-CN"/>
        </w:rPr>
      </w:pPr>
      <w:r>
        <w:rPr>
          <w:rFonts w:hint="eastAsia"/>
          <w:lang w:val="en-US" w:eastAsia="zh-CN"/>
        </w:rPr>
        <w:t>地形地貌</w:t>
      </w:r>
    </w:p>
    <w:p w14:paraId="4666A551">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主、副坝区一带冲湖积、冲积地貌并存，主、副坝两岸坝肩为中更新统冲积岗地，岗地高程</w:t>
      </w:r>
      <w:r>
        <w:rPr>
          <w:rFonts w:hint="default" w:ascii="Times New Roman" w:hAnsi="Times New Roman" w:eastAsia="宋体" w:cs="Times New Roman"/>
          <w:color w:val="auto"/>
          <w:spacing w:val="0"/>
          <w:w w:val="100"/>
          <w:position w:val="0"/>
          <w:sz w:val="24"/>
          <w:szCs w:val="24"/>
          <w:highlight w:val="none"/>
          <w:u w:val="none" w:color="auto"/>
          <w:lang w:val="en-US" w:eastAsia="zh-CN"/>
        </w:rPr>
        <w:t>32</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35m</w:t>
      </w:r>
      <w:r>
        <w:rPr>
          <w:rFonts w:hint="eastAsia" w:ascii="Times New Roman" w:hAnsi="Times New Roman" w:eastAsia="宋体" w:cs="Times New Roman"/>
          <w:color w:val="auto"/>
          <w:spacing w:val="0"/>
          <w:w w:val="100"/>
          <w:position w:val="0"/>
          <w:sz w:val="24"/>
          <w:szCs w:val="24"/>
          <w:highlight w:val="none"/>
          <w:u w:val="none" w:color="auto"/>
          <w:lang w:val="en-US" w:eastAsia="zh-CN"/>
        </w:rPr>
        <w:t>，受沟汊切割，多呈孤立低矮岗丘，岗丘地形坡度</w:t>
      </w:r>
      <w:r>
        <w:rPr>
          <w:rFonts w:hint="default" w:ascii="Times New Roman" w:hAnsi="Times New Roman" w:eastAsia="宋体" w:cs="Times New Roman"/>
          <w:color w:val="auto"/>
          <w:spacing w:val="0"/>
          <w:w w:val="100"/>
          <w:position w:val="0"/>
          <w:sz w:val="24"/>
          <w:szCs w:val="24"/>
          <w:highlight w:val="none"/>
          <w:u w:val="none" w:color="auto"/>
          <w:lang w:val="en-US" w:eastAsia="zh-CN"/>
        </w:rPr>
        <w:t>20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30º</w:t>
      </w:r>
      <w:r>
        <w:rPr>
          <w:rFonts w:hint="eastAsia" w:ascii="Times New Roman" w:hAnsi="Times New Roman" w:eastAsia="宋体" w:cs="Times New Roman"/>
          <w:color w:val="auto"/>
          <w:spacing w:val="0"/>
          <w:w w:val="100"/>
          <w:position w:val="0"/>
          <w:sz w:val="24"/>
          <w:szCs w:val="24"/>
          <w:highlight w:val="none"/>
          <w:u w:val="none" w:color="auto"/>
          <w:lang w:val="en-US" w:eastAsia="zh-CN"/>
        </w:rPr>
        <w:t>，相对高差</w:t>
      </w:r>
      <w:r>
        <w:rPr>
          <w:rFonts w:hint="default" w:ascii="Times New Roman" w:hAnsi="Times New Roman" w:eastAsia="宋体" w:cs="Times New Roman"/>
          <w:color w:val="auto"/>
          <w:spacing w:val="0"/>
          <w:w w:val="100"/>
          <w:position w:val="0"/>
          <w:sz w:val="24"/>
          <w:szCs w:val="24"/>
          <w:highlight w:val="none"/>
          <w:u w:val="none" w:color="auto"/>
          <w:lang w:val="en-US" w:eastAsia="zh-CN"/>
        </w:rPr>
        <w:t>8.0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11.0m</w:t>
      </w:r>
      <w:r>
        <w:rPr>
          <w:rFonts w:hint="eastAsia" w:ascii="Times New Roman" w:hAnsi="Times New Roman" w:eastAsia="宋体" w:cs="Times New Roman"/>
          <w:color w:val="auto"/>
          <w:spacing w:val="0"/>
          <w:w w:val="100"/>
          <w:position w:val="0"/>
          <w:sz w:val="24"/>
          <w:szCs w:val="24"/>
          <w:highlight w:val="none"/>
          <w:u w:val="none" w:color="auto"/>
          <w:lang w:val="en-US" w:eastAsia="zh-CN"/>
        </w:rPr>
        <w:t>。岗丘间湖汊宽缓，宽</w:t>
      </w:r>
      <w:r>
        <w:rPr>
          <w:rFonts w:hint="default" w:ascii="Times New Roman" w:hAnsi="Times New Roman" w:eastAsia="宋体" w:cs="Times New Roman"/>
          <w:color w:val="auto"/>
          <w:spacing w:val="0"/>
          <w:w w:val="100"/>
          <w:position w:val="0"/>
          <w:sz w:val="24"/>
          <w:szCs w:val="24"/>
          <w:highlight w:val="none"/>
          <w:u w:val="none" w:color="auto"/>
          <w:lang w:val="en-US" w:eastAsia="zh-CN"/>
        </w:rPr>
        <w:t>150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1400m</w:t>
      </w:r>
      <w:r>
        <w:rPr>
          <w:rFonts w:hint="eastAsia" w:ascii="Times New Roman" w:hAnsi="Times New Roman" w:eastAsia="宋体" w:cs="Times New Roman"/>
          <w:color w:val="auto"/>
          <w:spacing w:val="0"/>
          <w:w w:val="100"/>
          <w:position w:val="0"/>
          <w:sz w:val="24"/>
          <w:szCs w:val="24"/>
          <w:highlight w:val="none"/>
          <w:u w:val="none" w:color="auto"/>
          <w:lang w:val="en-US" w:eastAsia="zh-CN"/>
        </w:rPr>
        <w:t>，其地形低矮，地面高程</w:t>
      </w:r>
      <w:r>
        <w:rPr>
          <w:rFonts w:hint="default" w:ascii="Times New Roman" w:hAnsi="Times New Roman" w:eastAsia="宋体" w:cs="Times New Roman"/>
          <w:color w:val="auto"/>
          <w:spacing w:val="0"/>
          <w:w w:val="100"/>
          <w:position w:val="0"/>
          <w:sz w:val="24"/>
          <w:szCs w:val="24"/>
          <w:highlight w:val="none"/>
          <w:u w:val="none" w:color="auto"/>
          <w:lang w:val="en-US" w:eastAsia="zh-CN"/>
        </w:rPr>
        <w:t>25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28m</w:t>
      </w:r>
      <w:r>
        <w:rPr>
          <w:rFonts w:hint="eastAsia" w:ascii="Times New Roman" w:hAnsi="Times New Roman" w:eastAsia="宋体" w:cs="Times New Roman"/>
          <w:color w:val="auto"/>
          <w:spacing w:val="0"/>
          <w:w w:val="100"/>
          <w:position w:val="0"/>
          <w:sz w:val="24"/>
          <w:szCs w:val="24"/>
          <w:highlight w:val="none"/>
          <w:u w:val="none" w:color="auto"/>
          <w:lang w:val="en-US" w:eastAsia="zh-CN"/>
        </w:rPr>
        <w:t>。主、副坝横跨湖汊，坝顶高程</w:t>
      </w:r>
      <w:r>
        <w:rPr>
          <w:rFonts w:hint="default" w:ascii="Times New Roman" w:hAnsi="Times New Roman" w:eastAsia="宋体" w:cs="Times New Roman"/>
          <w:color w:val="auto"/>
          <w:spacing w:val="0"/>
          <w:w w:val="100"/>
          <w:position w:val="0"/>
          <w:sz w:val="24"/>
          <w:szCs w:val="24"/>
          <w:highlight w:val="none"/>
          <w:u w:val="none" w:color="auto"/>
          <w:lang w:val="en-US" w:eastAsia="zh-CN"/>
        </w:rPr>
        <w:t>32.50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33.6m</w:t>
      </w:r>
      <w:r>
        <w:rPr>
          <w:rFonts w:hint="eastAsia" w:ascii="Times New Roman" w:hAnsi="Times New Roman" w:eastAsia="宋体" w:cs="Times New Roman"/>
          <w:color w:val="auto"/>
          <w:spacing w:val="0"/>
          <w:w w:val="100"/>
          <w:position w:val="0"/>
          <w:sz w:val="24"/>
          <w:szCs w:val="24"/>
          <w:highlight w:val="none"/>
          <w:u w:val="none" w:color="auto"/>
          <w:lang w:val="en-US" w:eastAsia="zh-CN"/>
        </w:rPr>
        <w:t>，坝轴线长</w:t>
      </w:r>
      <w:r>
        <w:rPr>
          <w:rFonts w:hint="default" w:ascii="Times New Roman" w:hAnsi="Times New Roman" w:eastAsia="宋体" w:cs="Times New Roman"/>
          <w:color w:val="auto"/>
          <w:spacing w:val="0"/>
          <w:w w:val="100"/>
          <w:position w:val="0"/>
          <w:sz w:val="24"/>
          <w:szCs w:val="24"/>
          <w:highlight w:val="none"/>
          <w:u w:val="none" w:color="auto"/>
          <w:lang w:val="en-US" w:eastAsia="zh-CN"/>
        </w:rPr>
        <w:t>200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1455m</w:t>
      </w:r>
      <w:r>
        <w:rPr>
          <w:rFonts w:hint="eastAsia" w:ascii="Times New Roman" w:hAnsi="Times New Roman" w:eastAsia="宋体" w:cs="Times New Roman"/>
          <w:color w:val="auto"/>
          <w:spacing w:val="0"/>
          <w:w w:val="100"/>
          <w:position w:val="0"/>
          <w:sz w:val="24"/>
          <w:szCs w:val="24"/>
          <w:highlight w:val="none"/>
          <w:u w:val="none" w:color="auto"/>
          <w:lang w:val="en-US" w:eastAsia="zh-CN"/>
        </w:rPr>
        <w:t>，坝高</w:t>
      </w:r>
      <w:r>
        <w:rPr>
          <w:rFonts w:hint="default" w:ascii="Times New Roman" w:hAnsi="Times New Roman" w:eastAsia="宋体" w:cs="Times New Roman"/>
          <w:color w:val="auto"/>
          <w:spacing w:val="0"/>
          <w:w w:val="100"/>
          <w:position w:val="0"/>
          <w:sz w:val="24"/>
          <w:szCs w:val="24"/>
          <w:highlight w:val="none"/>
          <w:u w:val="none" w:color="auto"/>
          <w:lang w:val="en-US" w:eastAsia="zh-CN"/>
        </w:rPr>
        <w:t>8.0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11.0</w:t>
      </w:r>
      <w:r>
        <w:rPr>
          <w:rFonts w:hint="eastAsia" w:ascii="Times New Roman" w:hAnsi="Times New Roman" w:eastAsia="宋体" w:cs="Times New Roman"/>
          <w:color w:val="auto"/>
          <w:spacing w:val="0"/>
          <w:w w:val="100"/>
          <w:position w:val="0"/>
          <w:sz w:val="24"/>
          <w:szCs w:val="24"/>
          <w:highlight w:val="none"/>
          <w:u w:val="none" w:color="auto"/>
          <w:lang w:val="en-US" w:eastAsia="zh-CN"/>
        </w:rPr>
        <w:t>，内外坡比</w:t>
      </w: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1.75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1.25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09024B3B">
      <w:pPr>
        <w:pStyle w:val="5"/>
        <w:bidi w:val="0"/>
        <w:rPr>
          <w:rFonts w:hint="eastAsia"/>
          <w:lang w:val="en-US" w:eastAsia="zh-CN"/>
        </w:rPr>
      </w:pPr>
      <w:r>
        <w:rPr>
          <w:rFonts w:hint="default"/>
          <w:lang w:val="en-US" w:eastAsia="zh-CN"/>
        </w:rPr>
        <w:t>地层岩性</w:t>
      </w:r>
    </w:p>
    <w:p w14:paraId="74E633EF">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据本次勘探钻孔揭露，主、副坝区一带分布地层为人工堆积层、河湖相冲湖积层、中更新统、残坡积层及泥盆系跳马涧组碎屑岩，各地层岩性由老至新分述如下：</w:t>
      </w:r>
    </w:p>
    <w:p w14:paraId="09AA58CA">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）泥盆系中统跳马涧组（</w:t>
      </w:r>
      <w:r>
        <w:rPr>
          <w:rFonts w:hint="default" w:ascii="Times New Roman" w:hAnsi="Times New Roman" w:eastAsia="宋体" w:cs="Times New Roman"/>
          <w:color w:val="auto"/>
          <w:spacing w:val="0"/>
          <w:w w:val="100"/>
          <w:position w:val="0"/>
          <w:sz w:val="24"/>
          <w:szCs w:val="24"/>
          <w:highlight w:val="none"/>
          <w:u w:val="none" w:color="auto"/>
          <w:lang w:val="en-US" w:eastAsia="zh-CN"/>
        </w:rPr>
        <w:t>D2t</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灰色、灰白色薄至中厚层状泥质粉砂岩，厚度大于</w:t>
      </w:r>
      <w:r>
        <w:rPr>
          <w:rFonts w:hint="default" w:ascii="Times New Roman" w:hAnsi="Times New Roman" w:eastAsia="宋体" w:cs="Times New Roman"/>
          <w:color w:val="auto"/>
          <w:spacing w:val="0"/>
          <w:w w:val="100"/>
          <w:position w:val="0"/>
          <w:sz w:val="24"/>
          <w:szCs w:val="24"/>
          <w:highlight w:val="none"/>
          <w:u w:val="none" w:color="auto"/>
          <w:lang w:val="en-US" w:eastAsia="zh-CN"/>
        </w:rPr>
        <w:t>100m</w:t>
      </w:r>
      <w:r>
        <w:rPr>
          <w:rFonts w:hint="eastAsia" w:ascii="Times New Roman" w:hAnsi="Times New Roman" w:eastAsia="宋体" w:cs="Times New Roman"/>
          <w:color w:val="auto"/>
          <w:spacing w:val="0"/>
          <w:w w:val="100"/>
          <w:position w:val="0"/>
          <w:sz w:val="24"/>
          <w:szCs w:val="24"/>
          <w:highlight w:val="none"/>
          <w:u w:val="none" w:color="auto"/>
          <w:lang w:val="en-US" w:eastAsia="zh-CN"/>
        </w:rPr>
        <w:t>，分布于主坝左坝肩及四、五副坝坝基以下，覆于第四系松散层之下。钻孔揭露深度内的岩石多呈强～弱风化状态。</w:t>
      </w:r>
    </w:p>
    <w:p w14:paraId="091C5C2C">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2</w:t>
      </w: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）第四系中更新统白沙井组（</w:t>
      </w:r>
      <w:r>
        <w:rPr>
          <w:rFonts w:hint="default" w:ascii="Times New Roman" w:hAnsi="Times New Roman" w:eastAsia="宋体" w:cs="Times New Roman"/>
          <w:color w:val="auto"/>
          <w:spacing w:val="0"/>
          <w:w w:val="100"/>
          <w:position w:val="0"/>
          <w:sz w:val="24"/>
          <w:szCs w:val="24"/>
          <w:highlight w:val="none"/>
          <w:u w:val="none" w:color="auto"/>
          <w:lang w:val="en-US" w:eastAsia="zh-CN"/>
        </w:rPr>
        <w:t>Q2b</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3A0471A3">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上部为灰黑色、黄褐色、灰绿色粘土，可</w:t>
      </w:r>
      <w:r>
        <w:rPr>
          <w:rFonts w:hint="default" w:ascii="Times New Roman" w:hAnsi="Times New Roman" w:eastAsia="宋体" w:cs="Times New Roman"/>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pacing w:val="0"/>
          <w:w w:val="100"/>
          <w:position w:val="0"/>
          <w:sz w:val="24"/>
          <w:szCs w:val="24"/>
          <w:highlight w:val="none"/>
          <w:u w:val="none" w:color="auto"/>
          <w:lang w:val="en-US" w:eastAsia="zh-CN"/>
        </w:rPr>
        <w:t>硬塑状，干强度及韧性中等。为主、副坝坝基主要分布地层。厚度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11.5m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1F7DC79A">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下部为棕黄色、棕红色网纹状粘土，硬塑状，呈土状光泽，切面较光滑，均一性好，无砂感，呈细腻状，粘性较强，无摇震反应，干强度较高，密实度好，岩芯呈柱状，且不易折断。土层具网纹结构，网纹呈灰白色、白色，网纹宽一般</w:t>
      </w:r>
      <w:r>
        <w:rPr>
          <w:rFonts w:hint="default" w:ascii="Times New Roman" w:hAnsi="Times New Roman" w:eastAsia="宋体" w:cs="Times New Roman"/>
          <w:color w:val="auto"/>
          <w:spacing w:val="0"/>
          <w:w w:val="100"/>
          <w:position w:val="0"/>
          <w:sz w:val="24"/>
          <w:szCs w:val="24"/>
          <w:highlight w:val="none"/>
          <w:u w:val="none" w:color="auto"/>
          <w:lang w:val="en-US" w:eastAsia="zh-CN"/>
        </w:rPr>
        <w:t>0.1-2cm</w:t>
      </w:r>
      <w:r>
        <w:rPr>
          <w:rFonts w:hint="eastAsia" w:ascii="Times New Roman" w:hAnsi="Times New Roman" w:eastAsia="宋体" w:cs="Times New Roman"/>
          <w:color w:val="auto"/>
          <w:spacing w:val="0"/>
          <w:w w:val="100"/>
          <w:position w:val="0"/>
          <w:sz w:val="24"/>
          <w:szCs w:val="24"/>
          <w:highlight w:val="none"/>
          <w:u w:val="none" w:color="auto"/>
          <w:lang w:val="en-US" w:eastAsia="zh-CN"/>
        </w:rPr>
        <w:t>，长一般</w:t>
      </w:r>
      <w:r>
        <w:rPr>
          <w:rFonts w:hint="default" w:ascii="Times New Roman" w:hAnsi="Times New Roman" w:eastAsia="宋体" w:cs="Times New Roman"/>
          <w:color w:val="auto"/>
          <w:spacing w:val="0"/>
          <w:w w:val="100"/>
          <w:position w:val="0"/>
          <w:sz w:val="24"/>
          <w:szCs w:val="24"/>
          <w:highlight w:val="none"/>
          <w:u w:val="none" w:color="auto"/>
          <w:lang w:val="en-US" w:eastAsia="zh-CN"/>
        </w:rPr>
        <w:t>1-5cm</w:t>
      </w:r>
      <w:r>
        <w:rPr>
          <w:rFonts w:hint="eastAsia" w:ascii="Times New Roman" w:hAnsi="Times New Roman" w:eastAsia="宋体" w:cs="Times New Roman"/>
          <w:color w:val="auto"/>
          <w:spacing w:val="0"/>
          <w:w w:val="100"/>
          <w:position w:val="0"/>
          <w:sz w:val="24"/>
          <w:szCs w:val="24"/>
          <w:highlight w:val="none"/>
          <w:u w:val="none" w:color="auto"/>
          <w:lang w:val="en-US" w:eastAsia="zh-CN"/>
        </w:rPr>
        <w:t>，无序排列，呈树枝状，网状，网状矿物成分主要为高岭土。局部夹黑褐色铁锰质小结核，胶结程度好。厚度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12.1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20.0m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736B7C1D">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底部为砂卵砾石，仅在四副坝坝基下见有分布。厚度0～1.6m。</w:t>
      </w:r>
    </w:p>
    <w:p w14:paraId="733CA1ED">
      <w:pPr>
        <w:numPr>
          <w:ilvl w:val="0"/>
          <w:numId w:val="0"/>
        </w:numPr>
        <w:spacing w:line="360" w:lineRule="auto"/>
        <w:ind w:left="479" w:leftChars="228" w:firstLine="0" w:firstLineChars="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主坝桩号</w:t>
      </w:r>
      <w:r>
        <w:rPr>
          <w:rFonts w:hint="default" w:ascii="Times New Roman" w:hAnsi="Times New Roman" w:eastAsia="宋体" w:cs="Times New Roman"/>
          <w:color w:val="auto"/>
          <w:spacing w:val="0"/>
          <w:w w:val="100"/>
          <w:position w:val="0"/>
          <w:sz w:val="24"/>
          <w:szCs w:val="24"/>
          <w:highlight w:val="none"/>
          <w:u w:val="none" w:color="auto"/>
          <w:lang w:val="en-US" w:eastAsia="zh-CN"/>
        </w:rPr>
        <w:t>K1+010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K1+175</w:t>
      </w:r>
      <w:r>
        <w:rPr>
          <w:rFonts w:hint="eastAsia" w:ascii="Times New Roman" w:hAnsi="Times New Roman" w:eastAsia="宋体" w:cs="Times New Roman"/>
          <w:color w:val="auto"/>
          <w:spacing w:val="0"/>
          <w:w w:val="100"/>
          <w:position w:val="0"/>
          <w:sz w:val="24"/>
          <w:szCs w:val="24"/>
          <w:highlight w:val="none"/>
          <w:u w:val="none" w:color="auto"/>
          <w:lang w:val="en-US" w:eastAsia="zh-CN"/>
        </w:rPr>
        <w:t>段有粘土夹粉细砂，呈透镜体。厚度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2.9m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）第四系全新统冲湖积层（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Q4al+l</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7705AC3A">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灰黑色、褐灰色淤泥质粘土，呈软塑状，湿，无摇震反应，干强度低，夹有机质，有腐味。厚度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1.8</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9.5m</w:t>
      </w:r>
      <w:r>
        <w:rPr>
          <w:rFonts w:hint="eastAsia" w:ascii="Times New Roman" w:hAnsi="Times New Roman" w:eastAsia="宋体" w:cs="Times New Roman"/>
          <w:color w:val="auto"/>
          <w:spacing w:val="0"/>
          <w:w w:val="100"/>
          <w:position w:val="0"/>
          <w:sz w:val="24"/>
          <w:szCs w:val="24"/>
          <w:highlight w:val="none"/>
          <w:u w:val="none" w:color="auto"/>
          <w:lang w:val="en-US" w:eastAsia="zh-CN"/>
        </w:rPr>
        <w:t>。局部地段夹薄层状粉细砂层，厚度一般</w:t>
      </w:r>
      <w:r>
        <w:rPr>
          <w:rFonts w:hint="default" w:ascii="Times New Roman" w:hAnsi="Times New Roman" w:eastAsia="宋体" w:cs="Times New Roman"/>
          <w:color w:val="auto"/>
          <w:spacing w:val="0"/>
          <w:w w:val="100"/>
          <w:position w:val="0"/>
          <w:sz w:val="24"/>
          <w:szCs w:val="24"/>
          <w:highlight w:val="none"/>
          <w:u w:val="none" w:color="auto"/>
          <w:lang w:val="en-US" w:eastAsia="zh-CN"/>
        </w:rPr>
        <w:t>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1.9m</w:t>
      </w:r>
      <w:r>
        <w:rPr>
          <w:rFonts w:hint="eastAsia" w:ascii="Times New Roman" w:hAnsi="Times New Roman" w:eastAsia="宋体" w:cs="Times New Roman"/>
          <w:color w:val="auto"/>
          <w:spacing w:val="0"/>
          <w:w w:val="100"/>
          <w:position w:val="0"/>
          <w:sz w:val="24"/>
          <w:szCs w:val="24"/>
          <w:highlight w:val="none"/>
          <w:u w:val="none" w:color="auto"/>
          <w:lang w:val="en-US" w:eastAsia="zh-CN"/>
        </w:rPr>
        <w:t>，呈透镜体状。本次钻孔</w:t>
      </w:r>
      <w:r>
        <w:rPr>
          <w:rFonts w:hint="default" w:ascii="Times New Roman" w:hAnsi="Times New Roman" w:eastAsia="宋体" w:cs="Times New Roman"/>
          <w:color w:val="auto"/>
          <w:spacing w:val="0"/>
          <w:w w:val="100"/>
          <w:position w:val="0"/>
          <w:sz w:val="24"/>
          <w:szCs w:val="24"/>
          <w:highlight w:val="none"/>
          <w:u w:val="none" w:color="auto"/>
          <w:lang w:val="en-US" w:eastAsia="zh-CN"/>
        </w:rPr>
        <w:t>CK2</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CK3</w:t>
      </w:r>
      <w:r>
        <w:rPr>
          <w:rFonts w:hint="eastAsia" w:ascii="Times New Roman" w:hAnsi="Times New Roman" w:eastAsia="宋体" w:cs="Times New Roman"/>
          <w:color w:val="auto"/>
          <w:spacing w:val="0"/>
          <w:w w:val="100"/>
          <w:position w:val="0"/>
          <w:sz w:val="24"/>
          <w:szCs w:val="24"/>
          <w:highlight w:val="none"/>
          <w:u w:val="none" w:color="auto"/>
          <w:lang w:val="en-US" w:eastAsia="zh-CN"/>
        </w:rPr>
        <w:t>淤泥质粘土夹薄层粉细砂层较厚，厚</w:t>
      </w:r>
      <w:r>
        <w:rPr>
          <w:rFonts w:hint="default" w:ascii="Times New Roman" w:hAnsi="Times New Roman" w:eastAsia="宋体" w:cs="Times New Roman"/>
          <w:color w:val="auto"/>
          <w:spacing w:val="0"/>
          <w:w w:val="100"/>
          <w:position w:val="0"/>
          <w:sz w:val="24"/>
          <w:szCs w:val="24"/>
          <w:highlight w:val="none"/>
          <w:u w:val="none" w:color="auto"/>
          <w:lang w:val="en-US" w:eastAsia="zh-CN"/>
        </w:rPr>
        <w:t>1.5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1.9m</w:t>
      </w:r>
      <w:r>
        <w:rPr>
          <w:rFonts w:hint="eastAsia" w:ascii="Times New Roman" w:hAnsi="Times New Roman" w:eastAsia="宋体" w:cs="Times New Roman"/>
          <w:color w:val="auto"/>
          <w:spacing w:val="0"/>
          <w:w w:val="100"/>
          <w:position w:val="0"/>
          <w:sz w:val="24"/>
          <w:szCs w:val="24"/>
          <w:highlight w:val="none"/>
          <w:u w:val="none" w:color="auto"/>
          <w:lang w:val="en-US" w:eastAsia="zh-CN"/>
        </w:rPr>
        <w:t>，粉细砂夹层单层厚度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2cm</w:t>
      </w:r>
      <w:r>
        <w:rPr>
          <w:rFonts w:hint="eastAsia" w:ascii="Times New Roman" w:hAnsi="Times New Roman" w:eastAsia="宋体" w:cs="Times New Roman"/>
          <w:color w:val="auto"/>
          <w:spacing w:val="0"/>
          <w:w w:val="100"/>
          <w:position w:val="0"/>
          <w:sz w:val="24"/>
          <w:szCs w:val="24"/>
          <w:highlight w:val="none"/>
          <w:u w:val="none" w:color="auto"/>
          <w:lang w:val="en-US" w:eastAsia="zh-CN"/>
        </w:rPr>
        <w:t>，夹层间距</w:t>
      </w:r>
      <w:r>
        <w:rPr>
          <w:rFonts w:hint="default" w:ascii="Times New Roman" w:hAnsi="Times New Roman" w:eastAsia="宋体" w:cs="Times New Roman"/>
          <w:color w:val="auto"/>
          <w:spacing w:val="0"/>
          <w:w w:val="100"/>
          <w:position w:val="0"/>
          <w:sz w:val="24"/>
          <w:szCs w:val="24"/>
          <w:highlight w:val="none"/>
          <w:u w:val="none" w:color="auto"/>
          <w:lang w:val="en-US" w:eastAsia="zh-CN"/>
        </w:rPr>
        <w:t>0.5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0.8m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1C0530A1">
      <w:pPr>
        <w:numPr>
          <w:ilvl w:val="0"/>
          <w:numId w:val="11"/>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第四系全新统残坡积层（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Q4edl</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2D2AE501">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棕黄色含碎石粉质粘土，碎石含量约</w:t>
      </w:r>
      <w:r>
        <w:rPr>
          <w:rFonts w:hint="default" w:ascii="Times New Roman" w:hAnsi="Times New Roman" w:eastAsia="宋体" w:cs="Times New Roman"/>
          <w:color w:val="auto"/>
          <w:spacing w:val="0"/>
          <w:w w:val="100"/>
          <w:position w:val="0"/>
          <w:sz w:val="24"/>
          <w:szCs w:val="24"/>
          <w:highlight w:val="none"/>
          <w:u w:val="none" w:color="auto"/>
          <w:lang w:val="en-US" w:eastAsia="zh-CN"/>
        </w:rPr>
        <w:t>20%</w:t>
      </w:r>
      <w:r>
        <w:rPr>
          <w:rFonts w:hint="eastAsia" w:ascii="Times New Roman" w:hAnsi="Times New Roman" w:eastAsia="宋体" w:cs="Times New Roman"/>
          <w:color w:val="auto"/>
          <w:spacing w:val="0"/>
          <w:w w:val="100"/>
          <w:position w:val="0"/>
          <w:sz w:val="24"/>
          <w:szCs w:val="24"/>
          <w:highlight w:val="none"/>
          <w:u w:val="none" w:color="auto"/>
          <w:lang w:val="en-US" w:eastAsia="zh-CN"/>
        </w:rPr>
        <w:t>。仅局部分布于主坝左岸坝肩泥质粉砂岩之上人工堆积层之下。厚度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1.5m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13D7EC96">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5</w:t>
      </w: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）第四系全新统人工堆积层（</w:t>
      </w:r>
      <w:r>
        <w:rPr>
          <w:rFonts w:hint="default" w:ascii="Times New Roman" w:hAnsi="Times New Roman" w:eastAsia="宋体" w:cs="Times New Roman"/>
          <w:color w:val="auto"/>
          <w:spacing w:val="0"/>
          <w:w w:val="100"/>
          <w:position w:val="0"/>
          <w:sz w:val="24"/>
          <w:szCs w:val="24"/>
          <w:highlight w:val="none"/>
          <w:u w:val="none" w:color="auto"/>
          <w:lang w:val="en-US" w:eastAsia="zh-CN"/>
        </w:rPr>
        <w:t>Q4s</w:t>
      </w:r>
      <w:r>
        <w:rPr>
          <w:rFonts w:hint="eastAsia" w:ascii="Times New Roman" w:hAnsi="Times New Roman" w:eastAsia="宋体" w:cs="Times New Roman"/>
          <w:color w:val="auto"/>
          <w:spacing w:val="0"/>
          <w:w w:val="100"/>
          <w:position w:val="0"/>
          <w:sz w:val="24"/>
          <w:szCs w:val="24"/>
          <w:highlight w:val="none"/>
          <w:u w:val="none" w:color="auto"/>
          <w:lang w:val="en-US" w:eastAsia="zh-CN"/>
        </w:rPr>
        <w:t>）：素填土，粘土、粉质粘土、淤泥质粘土及少量砼块，主要为大坝填土，其中砼块主要为公路路面和坝坡护坡体。厚度</w:t>
      </w:r>
      <w:r>
        <w:rPr>
          <w:rFonts w:hint="default" w:ascii="Times New Roman" w:hAnsi="Times New Roman" w:eastAsia="宋体" w:cs="Times New Roman"/>
          <w:color w:val="auto"/>
          <w:spacing w:val="0"/>
          <w:w w:val="100"/>
          <w:position w:val="0"/>
          <w:sz w:val="24"/>
          <w:szCs w:val="24"/>
          <w:highlight w:val="none"/>
          <w:u w:val="none" w:color="auto"/>
          <w:lang w:val="en-US" w:eastAsia="zh-CN"/>
        </w:rPr>
        <w:t>0.5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7.9m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31400A95">
      <w:pPr>
        <w:pStyle w:val="5"/>
        <w:bidi w:val="0"/>
        <w:rPr>
          <w:rFonts w:hint="eastAsia"/>
          <w:lang w:val="en-US" w:eastAsia="zh-CN"/>
        </w:rPr>
      </w:pPr>
      <w:r>
        <w:rPr>
          <w:rFonts w:hint="eastAsia"/>
          <w:lang w:val="en-US" w:eastAsia="zh-CN"/>
        </w:rPr>
        <w:t>地质构造</w:t>
      </w:r>
    </w:p>
    <w:p w14:paraId="29995BDA">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工程区受构造影响，岩层产状有所变化。主坝一带岩层倾向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305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335°</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31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42°</w:t>
      </w:r>
      <w:r>
        <w:rPr>
          <w:rFonts w:hint="eastAsia" w:ascii="Times New Roman" w:hAnsi="Times New Roman" w:eastAsia="宋体" w:cs="Times New Roman"/>
          <w:color w:val="auto"/>
          <w:spacing w:val="0"/>
          <w:w w:val="100"/>
          <w:position w:val="0"/>
          <w:sz w:val="24"/>
          <w:szCs w:val="24"/>
          <w:highlight w:val="none"/>
          <w:u w:val="none" w:color="auto"/>
          <w:lang w:val="en-US" w:eastAsia="zh-CN"/>
        </w:rPr>
        <w:t>。发育两组裂隙，</w:t>
      </w:r>
      <w:r>
        <w:rPr>
          <w:rFonts w:hint="default" w:ascii="Times New Roman" w:hAnsi="Times New Roman" w:eastAsia="宋体" w:cs="Times New Roman"/>
          <w:color w:val="auto"/>
          <w:spacing w:val="0"/>
          <w:w w:val="100"/>
          <w:position w:val="0"/>
          <w:sz w:val="24"/>
          <w:szCs w:val="24"/>
          <w:highlight w:val="none"/>
          <w:u w:val="none" w:color="auto"/>
          <w:lang w:val="en-US" w:eastAsia="zh-CN"/>
        </w:rPr>
        <w:t>L1</w:t>
      </w:r>
      <w:r>
        <w:rPr>
          <w:rFonts w:hint="eastAsia" w:ascii="Times New Roman" w:hAnsi="Times New Roman" w:eastAsia="宋体" w:cs="Times New Roman"/>
          <w:color w:val="auto"/>
          <w:spacing w:val="0"/>
          <w:w w:val="100"/>
          <w:position w:val="0"/>
          <w:sz w:val="24"/>
          <w:szCs w:val="24"/>
          <w:highlight w:val="none"/>
          <w:u w:val="none" w:color="auto"/>
          <w:lang w:val="en-US" w:eastAsia="zh-CN"/>
        </w:rPr>
        <w:t>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315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320°</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80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85°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L2</w:t>
      </w:r>
      <w:r>
        <w:rPr>
          <w:rFonts w:hint="eastAsia" w:ascii="Times New Roman" w:hAnsi="Times New Roman" w:eastAsia="宋体" w:cs="Times New Roman"/>
          <w:color w:val="auto"/>
          <w:spacing w:val="0"/>
          <w:w w:val="100"/>
          <w:position w:val="0"/>
          <w:sz w:val="24"/>
          <w:szCs w:val="24"/>
          <w:highlight w:val="none"/>
          <w:u w:val="none" w:color="auto"/>
          <w:lang w:val="en-US" w:eastAsia="zh-CN"/>
        </w:rPr>
        <w:t>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65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70°</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60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65°</w:t>
      </w:r>
      <w:r>
        <w:rPr>
          <w:rFonts w:hint="eastAsia" w:ascii="Times New Roman" w:hAnsi="Times New Roman" w:eastAsia="宋体" w:cs="Times New Roman"/>
          <w:color w:val="auto"/>
          <w:spacing w:val="0"/>
          <w:w w:val="100"/>
          <w:position w:val="0"/>
          <w:sz w:val="24"/>
          <w:szCs w:val="24"/>
          <w:highlight w:val="none"/>
          <w:u w:val="none" w:color="auto"/>
          <w:lang w:val="en-US" w:eastAsia="zh-CN"/>
        </w:rPr>
        <w:t>；三副坝一带岩层倾向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250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270°</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30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40°</w:t>
      </w:r>
      <w:r>
        <w:rPr>
          <w:rFonts w:hint="eastAsia" w:ascii="Times New Roman" w:hAnsi="Times New Roman" w:eastAsia="宋体" w:cs="Times New Roman"/>
          <w:color w:val="auto"/>
          <w:spacing w:val="0"/>
          <w:w w:val="100"/>
          <w:position w:val="0"/>
          <w:sz w:val="24"/>
          <w:szCs w:val="24"/>
          <w:highlight w:val="none"/>
          <w:u w:val="none" w:color="auto"/>
          <w:lang w:val="en-US" w:eastAsia="zh-CN"/>
        </w:rPr>
        <w:t>。发育两组裂隙，</w:t>
      </w:r>
      <w:r>
        <w:rPr>
          <w:rFonts w:hint="default" w:ascii="Times New Roman" w:hAnsi="Times New Roman" w:eastAsia="宋体" w:cs="Times New Roman"/>
          <w:color w:val="auto"/>
          <w:spacing w:val="0"/>
          <w:w w:val="100"/>
          <w:position w:val="0"/>
          <w:sz w:val="24"/>
          <w:szCs w:val="24"/>
          <w:highlight w:val="none"/>
          <w:u w:val="none" w:color="auto"/>
          <w:lang w:val="en-US" w:eastAsia="zh-CN"/>
        </w:rPr>
        <w:t>L1</w:t>
      </w:r>
      <w:r>
        <w:rPr>
          <w:rFonts w:hint="eastAsia" w:ascii="Times New Roman" w:hAnsi="Times New Roman" w:eastAsia="宋体" w:cs="Times New Roman"/>
          <w:color w:val="auto"/>
          <w:spacing w:val="0"/>
          <w:w w:val="100"/>
          <w:position w:val="0"/>
          <w:sz w:val="24"/>
          <w:szCs w:val="24"/>
          <w:highlight w:val="none"/>
          <w:u w:val="none" w:color="auto"/>
          <w:lang w:val="en-US" w:eastAsia="zh-CN"/>
        </w:rPr>
        <w:t>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275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285°</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85</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87°</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L2</w:t>
      </w:r>
      <w:r>
        <w:rPr>
          <w:rFonts w:hint="eastAsia" w:ascii="Times New Roman" w:hAnsi="Times New Roman" w:eastAsia="宋体" w:cs="Times New Roman"/>
          <w:color w:val="auto"/>
          <w:spacing w:val="0"/>
          <w:w w:val="100"/>
          <w:position w:val="0"/>
          <w:sz w:val="24"/>
          <w:szCs w:val="24"/>
          <w:highlight w:val="none"/>
          <w:u w:val="none" w:color="auto"/>
          <w:lang w:val="en-US" w:eastAsia="zh-CN"/>
        </w:rPr>
        <w:t>倾向</w:t>
      </w:r>
      <w:r>
        <w:rPr>
          <w:rFonts w:hint="default" w:ascii="Times New Roman" w:hAnsi="Times New Roman" w:eastAsia="宋体" w:cs="Times New Roman"/>
          <w:color w:val="auto"/>
          <w:spacing w:val="0"/>
          <w:w w:val="100"/>
          <w:position w:val="0"/>
          <w:sz w:val="24"/>
          <w:szCs w:val="24"/>
          <w:highlight w:val="none"/>
          <w:u w:val="none" w:color="auto"/>
          <w:lang w:val="en-US" w:eastAsia="zh-CN"/>
        </w:rPr>
        <w:t>330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340°</w:t>
      </w:r>
      <w:r>
        <w:rPr>
          <w:rFonts w:hint="eastAsia" w:ascii="Times New Roman" w:hAnsi="Times New Roman" w:eastAsia="宋体" w:cs="Times New Roman"/>
          <w:color w:val="auto"/>
          <w:spacing w:val="0"/>
          <w:w w:val="100"/>
          <w:position w:val="0"/>
          <w:sz w:val="24"/>
          <w:szCs w:val="24"/>
          <w:highlight w:val="none"/>
          <w:u w:val="none" w:color="auto"/>
          <w:lang w:val="en-US" w:eastAsia="zh-CN"/>
        </w:rPr>
        <w:t>，倾角</w:t>
      </w:r>
      <w:r>
        <w:rPr>
          <w:rFonts w:hint="default" w:ascii="Times New Roman" w:hAnsi="Times New Roman" w:eastAsia="宋体" w:cs="Times New Roman"/>
          <w:color w:val="auto"/>
          <w:spacing w:val="0"/>
          <w:w w:val="100"/>
          <w:position w:val="0"/>
          <w:sz w:val="24"/>
          <w:szCs w:val="24"/>
          <w:highlight w:val="none"/>
          <w:u w:val="none" w:color="auto"/>
          <w:lang w:val="en-US" w:eastAsia="zh-CN"/>
        </w:rPr>
        <w:t>80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86°</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55A8C374">
      <w:pPr>
        <w:pStyle w:val="5"/>
        <w:bidi w:val="0"/>
        <w:rPr>
          <w:rFonts w:hint="eastAsia"/>
          <w:lang w:val="en-US" w:eastAsia="zh-CN"/>
        </w:rPr>
      </w:pPr>
      <w:r>
        <w:rPr>
          <w:rFonts w:hint="default"/>
          <w:lang w:val="en-US" w:eastAsia="zh-CN"/>
        </w:rPr>
        <w:t>水文地质条件</w:t>
      </w:r>
    </w:p>
    <w:p w14:paraId="30EE9834">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坝区一带地表水丰富，沟渠、鱼塘密布，主、副坝体均处于两水夹堤状态。北汊水库为场区主要地表水，是为工程区地表水最低排泄基准面。</w:t>
      </w:r>
    </w:p>
    <w:p w14:paraId="05F0D93E">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坝址区覆盖层为第四系全新统冲湖积层淤泥质粘土、中更新统白沙井组网纹状粘土及少量人工堆积层，出露基岩为泥盆系中统跳马涧组泥质粉砂岩。区内地下水条件较为简单，其地下水类型主要为第四系孔隙水，其次为基岩裂隙水。</w:t>
      </w:r>
    </w:p>
    <w:p w14:paraId="477298A1">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）第四系孔隙水</w:t>
      </w:r>
    </w:p>
    <w:p w14:paraId="20508363">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受地表水影响，坝区地下水位埋深较浅，第四系松散地层孔隙潜水主要赋存于人工堆积层及冲湖积淤泥质粘土夹粉细砂层中，主要就近接受库水、湖汊、沟渠、鱼塘地表水补给，水量较丰富、水动态随地表水动态而变化，其径流时间短，排泄于下游低矮湖汊、沟渠，地下水位埋深一般</w:t>
      </w:r>
      <w:r>
        <w:rPr>
          <w:rFonts w:hint="default" w:ascii="Times New Roman" w:hAnsi="Times New Roman" w:eastAsia="宋体" w:cs="Times New Roman"/>
          <w:color w:val="auto"/>
          <w:spacing w:val="0"/>
          <w:w w:val="100"/>
          <w:position w:val="0"/>
          <w:sz w:val="24"/>
          <w:szCs w:val="24"/>
          <w:highlight w:val="none"/>
          <w:u w:val="none" w:color="auto"/>
          <w:lang w:val="en-US" w:eastAsia="zh-CN"/>
        </w:rPr>
        <w:t>1.0</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5.0m</w:t>
      </w:r>
      <w:r>
        <w:rPr>
          <w:rFonts w:hint="eastAsia" w:ascii="Times New Roman" w:hAnsi="Times New Roman" w:eastAsia="宋体" w:cs="Times New Roman"/>
          <w:color w:val="auto"/>
          <w:spacing w:val="0"/>
          <w:w w:val="100"/>
          <w:position w:val="0"/>
          <w:sz w:val="24"/>
          <w:szCs w:val="24"/>
          <w:highlight w:val="none"/>
          <w:u w:val="none" w:color="auto"/>
          <w:lang w:val="en-US" w:eastAsia="zh-CN"/>
        </w:rPr>
        <w:t>，丰水期局部地段距地表仅</w:t>
      </w:r>
      <w:r>
        <w:rPr>
          <w:rFonts w:hint="default" w:ascii="Times New Roman" w:hAnsi="Times New Roman" w:eastAsia="宋体" w:cs="Times New Roman"/>
          <w:color w:val="auto"/>
          <w:spacing w:val="0"/>
          <w:w w:val="100"/>
          <w:position w:val="0"/>
          <w:sz w:val="24"/>
          <w:szCs w:val="24"/>
          <w:highlight w:val="none"/>
          <w:u w:val="none" w:color="auto"/>
          <w:lang w:val="en-US" w:eastAsia="zh-CN"/>
        </w:rPr>
        <w:t>0.2</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0.5m</w:t>
      </w:r>
      <w:r>
        <w:rPr>
          <w:rFonts w:hint="eastAsia" w:ascii="Times New Roman" w:hAnsi="Times New Roman" w:eastAsia="宋体" w:cs="Times New Roman"/>
          <w:color w:val="auto"/>
          <w:spacing w:val="0"/>
          <w:w w:val="100"/>
          <w:position w:val="0"/>
          <w:sz w:val="24"/>
          <w:szCs w:val="24"/>
          <w:highlight w:val="none"/>
          <w:u w:val="none" w:color="auto"/>
          <w:lang w:val="en-US" w:eastAsia="zh-CN"/>
        </w:rPr>
        <w:t>。后者主要赋集于枯水位以下的主、副坝坝基以下全新统的粉细砂层或更新统地层中的砂卵砾石层内，含水层比较稳定，其上部有相对隔水的粘性土，受库水位及邻近切割较深的湖汊地表水补给，水量丰富，水动态较稳定，承压水头直接受库水位或湖汊水位控制，含水层顶板埋深</w:t>
      </w:r>
      <w:r>
        <w:rPr>
          <w:rFonts w:hint="default" w:ascii="Times New Roman" w:hAnsi="Times New Roman" w:eastAsia="宋体" w:cs="Times New Roman"/>
          <w:color w:val="auto"/>
          <w:spacing w:val="0"/>
          <w:w w:val="100"/>
          <w:position w:val="0"/>
          <w:sz w:val="24"/>
          <w:szCs w:val="24"/>
          <w:highlight w:val="none"/>
          <w:u w:val="none" w:color="auto"/>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16m</w:t>
      </w:r>
      <w:r>
        <w:rPr>
          <w:rFonts w:hint="eastAsia" w:ascii="Times New Roman" w:hAnsi="Times New Roman" w:eastAsia="宋体" w:cs="Times New Roman"/>
          <w:color w:val="auto"/>
          <w:spacing w:val="0"/>
          <w:w w:val="100"/>
          <w:position w:val="0"/>
          <w:sz w:val="24"/>
          <w:szCs w:val="24"/>
          <w:highlight w:val="none"/>
          <w:u w:val="none" w:color="auto"/>
          <w:lang w:val="en-US" w:eastAsia="zh-CN"/>
        </w:rPr>
        <w:t>，承压水头一般</w:t>
      </w: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10m</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27040C67">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2</w:t>
      </w:r>
      <w:r>
        <w:rPr>
          <w:rFonts w:hint="eastAsia" w:ascii="Times New Roman" w:hAnsi="Times New Roman" w:eastAsia="宋体" w:cs="Times New Roman"/>
          <w:color w:val="auto"/>
          <w:spacing w:val="0"/>
          <w:w w:val="100"/>
          <w:position w:val="0"/>
          <w:sz w:val="24"/>
          <w:szCs w:val="24"/>
          <w:highlight w:val="none"/>
          <w:u w:val="none" w:color="auto"/>
          <w:lang w:val="en-US" w:eastAsia="zh-CN"/>
        </w:rPr>
        <w:t>）基岩裂隙水</w:t>
      </w:r>
    </w:p>
    <w:p w14:paraId="5DB7CD18">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基岩裂隙水赋存于泥质粉砂岩的裂隙中，以节理和岩层层面为迳流通道，向地表和河床排泄，其地下水动态完全受天然降水控制，雨量多则水富，雨量少则水少或枯竭，水量随季节性变化明显。</w:t>
      </w:r>
    </w:p>
    <w:p w14:paraId="680D5E5C">
      <w:pPr>
        <w:pStyle w:val="3"/>
        <w:bidi w:val="0"/>
        <w:rPr>
          <w:rFonts w:hint="default" w:ascii="Times New Roman" w:hAnsi="Times New Roman" w:cs="Times New Roman"/>
          <w:u w:val="none" w:color="auto"/>
        </w:rPr>
      </w:pPr>
      <w:bookmarkStart w:id="130" w:name="_Toc18413"/>
      <w:r>
        <w:rPr>
          <w:rFonts w:hint="default" w:ascii="Times New Roman" w:hAnsi="Times New Roman" w:cs="Times New Roman"/>
          <w:u w:val="none" w:color="auto"/>
          <w:lang w:val="en-US" w:eastAsia="zh-CN"/>
        </w:rPr>
        <w:t>环境质量</w:t>
      </w:r>
      <w:r>
        <w:rPr>
          <w:rFonts w:hint="default" w:ascii="Times New Roman" w:hAnsi="Times New Roman" w:cs="Times New Roman"/>
          <w:u w:val="none" w:color="auto"/>
        </w:rPr>
        <w:t>现状调查与评价</w:t>
      </w:r>
      <w:bookmarkEnd w:id="130"/>
    </w:p>
    <w:p w14:paraId="75E1EC94">
      <w:pPr>
        <w:pStyle w:val="4"/>
        <w:bidi w:val="0"/>
        <w:rPr>
          <w:rFonts w:hint="default" w:ascii="Times New Roman" w:hAnsi="Times New Roman" w:cs="Times New Roman"/>
          <w:u w:val="none" w:color="auto"/>
        </w:rPr>
      </w:pPr>
      <w:bookmarkStart w:id="131" w:name="_Toc3337"/>
      <w:r>
        <w:rPr>
          <w:rFonts w:hint="default" w:ascii="Times New Roman" w:hAnsi="Times New Roman" w:cs="Times New Roman"/>
          <w:u w:val="none" w:color="auto"/>
        </w:rPr>
        <w:t>环境空气现状调查与评价</w:t>
      </w:r>
      <w:bookmarkEnd w:id="131"/>
    </w:p>
    <w:p w14:paraId="203BBC13">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1、达标区判定</w:t>
      </w:r>
    </w:p>
    <w:p w14:paraId="73A0C62D">
      <w:pPr>
        <w:pageBreakBefore w:val="0"/>
        <w:widowControl/>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olor w:val="auto"/>
          <w:spacing w:val="0"/>
          <w:w w:val="100"/>
          <w:kern w:val="0"/>
          <w:position w:val="0"/>
          <w:sz w:val="24"/>
          <w:u w:val="none" w:color="auto"/>
          <w:lang w:val="en-US" w:eastAsia="zh-CN"/>
        </w:rPr>
        <w:t>根据《环境影响评价技术导则 大气环境》（HJ2.2 —2018）中“ 6环境空气质量现状调查与评价”内容，首先需要项目所在区域环境质量达标情况，作为项目所在区域是否为达标区的判断依据。同时根据导则“5.5依据评价所需环境空气质量现状、气象资料等数据的可获得性、数量质量、代表性等因素，选择近3年中数据相对完整的1个日历年作为评价基准年”，本项目筛选的评价基准年为2023年，</w:t>
      </w:r>
      <w:r>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t>本次评价收集了岳阳市生态环境局公布的</w:t>
      </w:r>
      <w:r>
        <w:rPr>
          <w:rFonts w:hint="default" w:ascii="Times New Roman" w:hAnsi="Times New Roman" w:eastAsia="宋体" w:cs="Times New Roman"/>
          <w:bCs/>
          <w:color w:val="000000" w:themeColor="text1"/>
          <w:spacing w:val="0"/>
          <w:position w:val="0"/>
          <w:sz w:val="24"/>
          <w:szCs w:val="24"/>
          <w:u w:val="none" w:color="auto"/>
          <w:lang w:eastAsia="zh-CN"/>
          <w14:textFill>
            <w14:solidFill>
              <w14:schemeClr w14:val="tx1"/>
            </w14:solidFill>
          </w14:textFill>
        </w:rPr>
        <w:t>《岳阳市202</w:t>
      </w:r>
      <w:r>
        <w:rPr>
          <w:rFonts w:hint="default"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position w:val="0"/>
          <w:sz w:val="24"/>
          <w:szCs w:val="24"/>
          <w:u w:val="none" w:color="auto"/>
          <w:lang w:eastAsia="zh-CN"/>
          <w14:textFill>
            <w14:solidFill>
              <w14:schemeClr w14:val="tx1"/>
            </w14:solidFill>
          </w14:textFill>
        </w:rPr>
        <w:t>年度生态环境质量公报》</w:t>
      </w:r>
      <w:r>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t>中的监测数据</w:t>
      </w:r>
      <w:r>
        <w:rPr>
          <w:rFonts w:hint="default" w:ascii="Times New Roman" w:hAnsi="Times New Roman" w:eastAsia="宋体" w:cs="Times New Roman"/>
          <w:bCs/>
          <w:color w:val="000000" w:themeColor="text1"/>
          <w:spacing w:val="0"/>
          <w:position w:val="0"/>
          <w:sz w:val="24"/>
          <w:szCs w:val="24"/>
          <w:u w:val="none" w:color="auto"/>
          <w:lang w:eastAsia="zh-CN"/>
          <w14:textFill>
            <w14:solidFill>
              <w14:schemeClr w14:val="tx1"/>
            </w14:solidFill>
          </w14:textFill>
        </w:rPr>
        <w:t>，以判定项目所在区</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环境</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空气</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质量达标情况</w:t>
      </w:r>
      <w:r>
        <w:rPr>
          <w:rFonts w:hint="default" w:ascii="Times New Roman" w:hAnsi="Times New Roman" w:eastAsia="宋体" w:cs="Times New Roman"/>
          <w:caps w:val="0"/>
          <w:smallCaps w:val="0"/>
          <w:color w:val="auto"/>
          <w:spacing w:val="0"/>
          <w:w w:val="100"/>
          <w:kern w:val="0"/>
          <w:position w:val="0"/>
          <w:sz w:val="24"/>
          <w:szCs w:val="24"/>
          <w:u w:val="none" w:color="auto"/>
        </w:rPr>
        <w:t>。项目所在</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华容县环境空气质量现状评价见</w:t>
      </w:r>
      <w:r>
        <w:rPr>
          <w:rFonts w:hint="default" w:ascii="Times New Roman" w:hAnsi="Times New Roman" w:eastAsia="宋体" w:cs="Times New Roman"/>
          <w:caps w:val="0"/>
          <w:smallCaps w:val="0"/>
          <w:color w:val="auto"/>
          <w:spacing w:val="0"/>
          <w:w w:val="100"/>
          <w:kern w:val="0"/>
          <w:position w:val="0"/>
          <w:sz w:val="24"/>
          <w:szCs w:val="24"/>
          <w:u w:val="none" w:color="auto"/>
        </w:rPr>
        <w:t>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B7DDC60">
      <w:pPr>
        <w:pageBreakBefore w:val="0"/>
        <w:widowControl/>
        <w:kinsoku w:val="0"/>
        <w:wordWrap w:val="0"/>
        <w:overflowPunct/>
        <w:topLinePunct/>
        <w:autoSpaceDE/>
        <w:autoSpaceDN/>
        <w:bidi w:val="0"/>
        <w:spacing w:line="240" w:lineRule="auto"/>
        <w:jc w:val="center"/>
        <w:rPr>
          <w:rFonts w:hint="default" w:ascii="Times New Roman" w:hAnsi="Times New Roman" w:eastAsia="宋体" w:cs="Times New Roman"/>
          <w:b/>
          <w:caps w:val="0"/>
          <w:smallCaps w:val="0"/>
          <w:color w:val="auto"/>
          <w:spacing w:val="0"/>
          <w:w w:val="100"/>
          <w:kern w:val="0"/>
          <w:position w:val="0"/>
          <w:sz w:val="24"/>
          <w:szCs w:val="24"/>
          <w:u w:val="none" w:color="auto"/>
          <w:lang w:eastAsia="zh-CN" w:bidi="ar"/>
        </w:rPr>
      </w:pPr>
      <w:r>
        <w:rPr>
          <w:rFonts w:hint="default" w:ascii="Times New Roman" w:hAnsi="Times New Roman" w:eastAsia="宋体" w:cs="Times New Roman"/>
          <w:b/>
          <w:caps w:val="0"/>
          <w:smallCaps w:val="0"/>
          <w:color w:val="auto"/>
          <w:spacing w:val="0"/>
          <w:w w:val="100"/>
          <w:position w:val="0"/>
          <w:sz w:val="24"/>
          <w:szCs w:val="24"/>
          <w:u w:val="none" w:color="auto"/>
        </w:rPr>
        <w:t>表3</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.2-1</w:t>
      </w:r>
      <w:r>
        <w:rPr>
          <w:rFonts w:hint="default" w:ascii="Times New Roman" w:hAnsi="Times New Roman" w:eastAsia="宋体" w:cs="Times New Roman"/>
          <w:b/>
          <w:caps w:val="0"/>
          <w:smallCaps w:val="0"/>
          <w:color w:val="auto"/>
          <w:spacing w:val="0"/>
          <w:w w:val="100"/>
          <w:position w:val="0"/>
          <w:sz w:val="24"/>
          <w:szCs w:val="24"/>
          <w:u w:val="none" w:color="auto"/>
        </w:rPr>
        <w:t xml:space="preserve">  202</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3</w:t>
      </w:r>
      <w:r>
        <w:rPr>
          <w:rFonts w:hint="default" w:ascii="Times New Roman" w:hAnsi="Times New Roman" w:eastAsia="宋体" w:cs="Times New Roman"/>
          <w:b/>
          <w:caps w:val="0"/>
          <w:smallCaps w:val="0"/>
          <w:color w:val="auto"/>
          <w:spacing w:val="0"/>
          <w:w w:val="100"/>
          <w:position w:val="0"/>
          <w:sz w:val="24"/>
          <w:szCs w:val="24"/>
          <w:u w:val="none" w:color="auto"/>
        </w:rPr>
        <w:t>年</w:t>
      </w:r>
      <w:r>
        <w:rPr>
          <w:rFonts w:hint="default" w:ascii="Times New Roman" w:hAnsi="Times New Roman" w:eastAsia="宋体" w:cs="Times New Roman"/>
          <w:b/>
          <w:caps w:val="0"/>
          <w:smallCaps w:val="0"/>
          <w:color w:val="auto"/>
          <w:spacing w:val="0"/>
          <w:w w:val="100"/>
          <w:position w:val="0"/>
          <w:sz w:val="24"/>
          <w:szCs w:val="24"/>
          <w:u w:val="none" w:color="auto"/>
          <w:lang w:eastAsia="zh-CN"/>
        </w:rPr>
        <w:t>华容县</w:t>
      </w:r>
      <w:r>
        <w:rPr>
          <w:rFonts w:hint="default" w:ascii="Times New Roman" w:hAnsi="Times New Roman" w:eastAsia="宋体" w:cs="Times New Roman"/>
          <w:b/>
          <w:caps w:val="0"/>
          <w:smallCaps w:val="0"/>
          <w:color w:val="auto"/>
          <w:spacing w:val="0"/>
          <w:w w:val="100"/>
          <w:position w:val="0"/>
          <w:sz w:val="24"/>
          <w:szCs w:val="24"/>
          <w:u w:val="none" w:color="auto"/>
        </w:rPr>
        <w:t>环境空气</w:t>
      </w:r>
      <w:r>
        <w:rPr>
          <w:rFonts w:hint="default" w:ascii="Times New Roman" w:hAnsi="Times New Roman" w:eastAsia="宋体" w:cs="Times New Roman"/>
          <w:b/>
          <w:caps w:val="0"/>
          <w:smallCaps w:val="0"/>
          <w:color w:val="auto"/>
          <w:spacing w:val="0"/>
          <w:w w:val="100"/>
          <w:position w:val="0"/>
          <w:sz w:val="24"/>
          <w:szCs w:val="24"/>
          <w:u w:val="none" w:color="auto"/>
          <w:lang w:eastAsia="zh-CN"/>
        </w:rPr>
        <w:t>质量现状评价表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860"/>
        <w:gridCol w:w="1426"/>
        <w:gridCol w:w="1359"/>
        <w:gridCol w:w="956"/>
        <w:gridCol w:w="956"/>
      </w:tblGrid>
      <w:tr w14:paraId="4F503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15FAD328">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污染物</w:t>
            </w:r>
          </w:p>
        </w:tc>
        <w:tc>
          <w:tcPr>
            <w:tcW w:w="1675" w:type="pct"/>
            <w:tcBorders>
              <w:tl2br w:val="nil"/>
              <w:tr2bl w:val="nil"/>
            </w:tcBorders>
            <w:noWrap w:val="0"/>
            <w:vAlign w:val="center"/>
          </w:tcPr>
          <w:p w14:paraId="057B8267">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年评价指标</w:t>
            </w:r>
          </w:p>
        </w:tc>
        <w:tc>
          <w:tcPr>
            <w:tcW w:w="835" w:type="pct"/>
            <w:tcBorders>
              <w:tl2br w:val="nil"/>
              <w:tr2bl w:val="nil"/>
            </w:tcBorders>
            <w:noWrap w:val="0"/>
            <w:vAlign w:val="center"/>
          </w:tcPr>
          <w:p w14:paraId="272BFBFD">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现状浓度</w:t>
            </w:r>
          </w:p>
          <w:p w14:paraId="4E4EA435">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(μg/m</w:t>
            </w:r>
            <w:r>
              <w:rPr>
                <w:rFonts w:hint="default" w:ascii="Times New Roman" w:hAnsi="Times New Roman" w:eastAsia="宋体" w:cs="Times New Roman"/>
                <w:b/>
                <w:caps w:val="0"/>
                <w:smallCaps w:val="0"/>
                <w:color w:val="auto"/>
                <w:spacing w:val="0"/>
                <w:w w:val="100"/>
                <w:kern w:val="0"/>
                <w:position w:val="0"/>
                <w:szCs w:val="21"/>
                <w:u w:val="none" w:color="auto"/>
                <w:vertAlign w:val="superscript"/>
                <w:lang w:bidi="ar"/>
              </w:rPr>
              <w:t>3</w:t>
            </w:r>
            <w:r>
              <w:rPr>
                <w:rFonts w:hint="default" w:ascii="Times New Roman" w:hAnsi="Times New Roman" w:eastAsia="宋体" w:cs="Times New Roman"/>
                <w:b/>
                <w:caps w:val="0"/>
                <w:smallCaps w:val="0"/>
                <w:color w:val="auto"/>
                <w:spacing w:val="0"/>
                <w:w w:val="100"/>
                <w:kern w:val="0"/>
                <w:position w:val="0"/>
                <w:szCs w:val="21"/>
                <w:u w:val="none" w:color="auto"/>
                <w:lang w:bidi="ar"/>
              </w:rPr>
              <w:t>)</w:t>
            </w:r>
          </w:p>
        </w:tc>
        <w:tc>
          <w:tcPr>
            <w:tcW w:w="796" w:type="pct"/>
            <w:tcBorders>
              <w:tl2br w:val="nil"/>
              <w:tr2bl w:val="nil"/>
            </w:tcBorders>
            <w:noWrap w:val="0"/>
            <w:vAlign w:val="center"/>
          </w:tcPr>
          <w:p w14:paraId="13783B44">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标准值</w:t>
            </w:r>
          </w:p>
          <w:p w14:paraId="3C5E306F">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(μg/m</w:t>
            </w:r>
            <w:r>
              <w:rPr>
                <w:rFonts w:hint="default" w:ascii="Times New Roman" w:hAnsi="Times New Roman" w:eastAsia="宋体" w:cs="Times New Roman"/>
                <w:b/>
                <w:caps w:val="0"/>
                <w:smallCaps w:val="0"/>
                <w:color w:val="auto"/>
                <w:spacing w:val="0"/>
                <w:w w:val="100"/>
                <w:kern w:val="0"/>
                <w:position w:val="0"/>
                <w:szCs w:val="21"/>
                <w:u w:val="none" w:color="auto"/>
                <w:vertAlign w:val="superscript"/>
                <w:lang w:bidi="ar"/>
              </w:rPr>
              <w:t>3</w:t>
            </w:r>
            <w:r>
              <w:rPr>
                <w:rFonts w:hint="default" w:ascii="Times New Roman" w:hAnsi="Times New Roman" w:eastAsia="宋体" w:cs="Times New Roman"/>
                <w:b/>
                <w:caps w:val="0"/>
                <w:smallCaps w:val="0"/>
                <w:color w:val="auto"/>
                <w:spacing w:val="0"/>
                <w:w w:val="100"/>
                <w:kern w:val="0"/>
                <w:position w:val="0"/>
                <w:szCs w:val="21"/>
                <w:u w:val="none" w:color="auto"/>
                <w:lang w:bidi="ar"/>
              </w:rPr>
              <w:t>)</w:t>
            </w:r>
          </w:p>
        </w:tc>
        <w:tc>
          <w:tcPr>
            <w:tcW w:w="560" w:type="pct"/>
            <w:tcBorders>
              <w:tl2br w:val="nil"/>
              <w:tr2bl w:val="nil"/>
            </w:tcBorders>
            <w:noWrap w:val="0"/>
            <w:vAlign w:val="center"/>
          </w:tcPr>
          <w:p w14:paraId="678D986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b/>
                <w:caps w:val="0"/>
                <w:smallCaps w:val="0"/>
                <w:color w:val="auto"/>
                <w:spacing w:val="0"/>
                <w:w w:val="100"/>
                <w:kern w:val="0"/>
                <w:position w:val="0"/>
                <w:szCs w:val="21"/>
                <w:u w:val="none" w:color="auto"/>
                <w:lang w:val="en-US" w:eastAsia="zh-CN" w:bidi="ar"/>
              </w:rPr>
              <w:t>占标率（%）</w:t>
            </w:r>
          </w:p>
        </w:tc>
        <w:tc>
          <w:tcPr>
            <w:tcW w:w="560" w:type="pct"/>
            <w:tcBorders>
              <w:tl2br w:val="nil"/>
              <w:tr2bl w:val="nil"/>
            </w:tcBorders>
            <w:noWrap w:val="0"/>
            <w:vAlign w:val="center"/>
          </w:tcPr>
          <w:p w14:paraId="0BB37EE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达标</w:t>
            </w:r>
          </w:p>
          <w:p w14:paraId="52433552">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b/>
                <w:caps w:val="0"/>
                <w:smallCaps w:val="0"/>
                <w:color w:val="auto"/>
                <w:spacing w:val="0"/>
                <w:w w:val="100"/>
                <w:kern w:val="0"/>
                <w:position w:val="0"/>
                <w:szCs w:val="21"/>
                <w:u w:val="none" w:color="auto"/>
                <w:lang w:bidi="ar"/>
              </w:rPr>
            </w:pPr>
            <w:r>
              <w:rPr>
                <w:rFonts w:hint="default" w:ascii="Times New Roman" w:hAnsi="Times New Roman" w:eastAsia="宋体" w:cs="Times New Roman"/>
                <w:b/>
                <w:caps w:val="0"/>
                <w:smallCaps w:val="0"/>
                <w:color w:val="auto"/>
                <w:spacing w:val="0"/>
                <w:w w:val="100"/>
                <w:kern w:val="0"/>
                <w:position w:val="0"/>
                <w:szCs w:val="21"/>
                <w:u w:val="none" w:color="auto"/>
                <w:lang w:bidi="ar"/>
              </w:rPr>
              <w:t>情况</w:t>
            </w:r>
          </w:p>
        </w:tc>
      </w:tr>
      <w:tr w14:paraId="1050C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3148A62B">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SO</w:t>
            </w:r>
            <w:r>
              <w:rPr>
                <w:rFonts w:hint="default" w:ascii="Times New Roman" w:hAnsi="Times New Roman" w:eastAsia="宋体" w:cs="Times New Roman"/>
                <w:caps w:val="0"/>
                <w:smallCaps w:val="0"/>
                <w:color w:val="auto"/>
                <w:spacing w:val="0"/>
                <w:w w:val="100"/>
                <w:kern w:val="0"/>
                <w:position w:val="0"/>
                <w:szCs w:val="21"/>
                <w:u w:val="none" w:color="auto"/>
                <w:vertAlign w:val="subscript"/>
                <w:lang w:bidi="ar"/>
              </w:rPr>
              <w:t>2</w:t>
            </w:r>
          </w:p>
        </w:tc>
        <w:tc>
          <w:tcPr>
            <w:tcW w:w="1675" w:type="pct"/>
            <w:tcBorders>
              <w:tl2br w:val="nil"/>
              <w:tr2bl w:val="nil"/>
            </w:tcBorders>
            <w:noWrap w:val="0"/>
            <w:vAlign w:val="center"/>
          </w:tcPr>
          <w:p w14:paraId="067C5C3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年平均质量浓度</w:t>
            </w:r>
          </w:p>
        </w:tc>
        <w:tc>
          <w:tcPr>
            <w:tcW w:w="835" w:type="pct"/>
            <w:tcBorders>
              <w:tl2br w:val="nil"/>
              <w:tr2bl w:val="nil"/>
            </w:tcBorders>
            <w:noWrap w:val="0"/>
            <w:vAlign w:val="center"/>
          </w:tcPr>
          <w:p w14:paraId="40C83870">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8</w:t>
            </w:r>
          </w:p>
        </w:tc>
        <w:tc>
          <w:tcPr>
            <w:tcW w:w="796" w:type="pct"/>
            <w:tcBorders>
              <w:tl2br w:val="nil"/>
              <w:tr2bl w:val="nil"/>
            </w:tcBorders>
            <w:noWrap w:val="0"/>
            <w:vAlign w:val="center"/>
          </w:tcPr>
          <w:p w14:paraId="75222222">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60</w:t>
            </w:r>
          </w:p>
        </w:tc>
        <w:tc>
          <w:tcPr>
            <w:tcW w:w="560" w:type="pct"/>
            <w:tcBorders>
              <w:tl2br w:val="nil"/>
              <w:tr2bl w:val="nil"/>
            </w:tcBorders>
            <w:noWrap w:val="0"/>
            <w:vAlign w:val="center"/>
          </w:tcPr>
          <w:p w14:paraId="70E87C27">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13.33</w:t>
            </w:r>
          </w:p>
        </w:tc>
        <w:tc>
          <w:tcPr>
            <w:tcW w:w="560" w:type="pct"/>
            <w:tcBorders>
              <w:tl2br w:val="nil"/>
              <w:tr2bl w:val="nil"/>
            </w:tcBorders>
            <w:noWrap w:val="0"/>
            <w:vAlign w:val="center"/>
          </w:tcPr>
          <w:p w14:paraId="0765FB9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r w14:paraId="0DA67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09B4F4D3">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NO</w:t>
            </w:r>
            <w:r>
              <w:rPr>
                <w:rFonts w:hint="default" w:ascii="Times New Roman" w:hAnsi="Times New Roman" w:eastAsia="宋体" w:cs="Times New Roman"/>
                <w:caps w:val="0"/>
                <w:smallCaps w:val="0"/>
                <w:color w:val="auto"/>
                <w:spacing w:val="0"/>
                <w:w w:val="100"/>
                <w:kern w:val="0"/>
                <w:position w:val="0"/>
                <w:szCs w:val="21"/>
                <w:u w:val="none" w:color="auto"/>
                <w:vertAlign w:val="subscript"/>
                <w:lang w:bidi="ar"/>
              </w:rPr>
              <w:t>2</w:t>
            </w:r>
          </w:p>
        </w:tc>
        <w:tc>
          <w:tcPr>
            <w:tcW w:w="1675" w:type="pct"/>
            <w:tcBorders>
              <w:tl2br w:val="nil"/>
              <w:tr2bl w:val="nil"/>
            </w:tcBorders>
            <w:noWrap w:val="0"/>
            <w:vAlign w:val="center"/>
          </w:tcPr>
          <w:p w14:paraId="06FD0593">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年平均质量浓度</w:t>
            </w:r>
          </w:p>
        </w:tc>
        <w:tc>
          <w:tcPr>
            <w:tcW w:w="835" w:type="pct"/>
            <w:tcBorders>
              <w:tl2br w:val="nil"/>
              <w:tr2bl w:val="nil"/>
            </w:tcBorders>
            <w:noWrap w:val="0"/>
            <w:vAlign w:val="center"/>
          </w:tcPr>
          <w:p w14:paraId="4AE3F20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12</w:t>
            </w:r>
          </w:p>
        </w:tc>
        <w:tc>
          <w:tcPr>
            <w:tcW w:w="796" w:type="pct"/>
            <w:tcBorders>
              <w:tl2br w:val="nil"/>
              <w:tr2bl w:val="nil"/>
            </w:tcBorders>
            <w:noWrap w:val="0"/>
            <w:vAlign w:val="center"/>
          </w:tcPr>
          <w:p w14:paraId="5ACFD853">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40</w:t>
            </w:r>
          </w:p>
        </w:tc>
        <w:tc>
          <w:tcPr>
            <w:tcW w:w="560" w:type="pct"/>
            <w:tcBorders>
              <w:tl2br w:val="nil"/>
              <w:tr2bl w:val="nil"/>
            </w:tcBorders>
            <w:noWrap w:val="0"/>
            <w:vAlign w:val="center"/>
          </w:tcPr>
          <w:p w14:paraId="10546585">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30</w:t>
            </w:r>
          </w:p>
        </w:tc>
        <w:tc>
          <w:tcPr>
            <w:tcW w:w="560" w:type="pct"/>
            <w:tcBorders>
              <w:tl2br w:val="nil"/>
              <w:tr2bl w:val="nil"/>
            </w:tcBorders>
            <w:noWrap w:val="0"/>
            <w:vAlign w:val="center"/>
          </w:tcPr>
          <w:p w14:paraId="6C46E01D">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r w14:paraId="382DF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50AF0DD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PM</w:t>
            </w:r>
            <w:r>
              <w:rPr>
                <w:rFonts w:hint="default" w:ascii="Times New Roman" w:hAnsi="Times New Roman" w:eastAsia="宋体" w:cs="Times New Roman"/>
                <w:caps w:val="0"/>
                <w:smallCaps w:val="0"/>
                <w:color w:val="auto"/>
                <w:spacing w:val="0"/>
                <w:w w:val="100"/>
                <w:kern w:val="0"/>
                <w:position w:val="0"/>
                <w:szCs w:val="21"/>
                <w:u w:val="none" w:color="auto"/>
                <w:vertAlign w:val="subscript"/>
                <w:lang w:bidi="ar"/>
              </w:rPr>
              <w:t>10</w:t>
            </w:r>
          </w:p>
        </w:tc>
        <w:tc>
          <w:tcPr>
            <w:tcW w:w="1675" w:type="pct"/>
            <w:tcBorders>
              <w:tl2br w:val="nil"/>
              <w:tr2bl w:val="nil"/>
            </w:tcBorders>
            <w:noWrap w:val="0"/>
            <w:vAlign w:val="center"/>
          </w:tcPr>
          <w:p w14:paraId="261BF79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年平均质量浓度</w:t>
            </w:r>
          </w:p>
        </w:tc>
        <w:tc>
          <w:tcPr>
            <w:tcW w:w="835" w:type="pct"/>
            <w:tcBorders>
              <w:tl2br w:val="nil"/>
              <w:tr2bl w:val="nil"/>
            </w:tcBorders>
            <w:noWrap w:val="0"/>
            <w:vAlign w:val="center"/>
          </w:tcPr>
          <w:p w14:paraId="7686CC00">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54</w:t>
            </w:r>
          </w:p>
        </w:tc>
        <w:tc>
          <w:tcPr>
            <w:tcW w:w="796" w:type="pct"/>
            <w:tcBorders>
              <w:tl2br w:val="nil"/>
              <w:tr2bl w:val="nil"/>
            </w:tcBorders>
            <w:noWrap w:val="0"/>
            <w:vAlign w:val="center"/>
          </w:tcPr>
          <w:p w14:paraId="1A49FA2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70</w:t>
            </w:r>
          </w:p>
        </w:tc>
        <w:tc>
          <w:tcPr>
            <w:tcW w:w="560" w:type="pct"/>
            <w:tcBorders>
              <w:tl2br w:val="nil"/>
              <w:tr2bl w:val="nil"/>
            </w:tcBorders>
            <w:noWrap w:val="0"/>
            <w:vAlign w:val="center"/>
          </w:tcPr>
          <w:p w14:paraId="1C8B7C3C">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77.14</w:t>
            </w:r>
          </w:p>
        </w:tc>
        <w:tc>
          <w:tcPr>
            <w:tcW w:w="560" w:type="pct"/>
            <w:tcBorders>
              <w:tl2br w:val="nil"/>
              <w:tr2bl w:val="nil"/>
            </w:tcBorders>
            <w:noWrap w:val="0"/>
            <w:vAlign w:val="center"/>
          </w:tcPr>
          <w:p w14:paraId="51819EC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r w14:paraId="2D339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00A5315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PM</w:t>
            </w:r>
            <w:r>
              <w:rPr>
                <w:rFonts w:hint="default" w:ascii="Times New Roman" w:hAnsi="Times New Roman" w:eastAsia="宋体" w:cs="Times New Roman"/>
                <w:caps w:val="0"/>
                <w:smallCaps w:val="0"/>
                <w:color w:val="auto"/>
                <w:spacing w:val="0"/>
                <w:w w:val="100"/>
                <w:kern w:val="0"/>
                <w:position w:val="0"/>
                <w:szCs w:val="21"/>
                <w:u w:val="none" w:color="auto"/>
                <w:vertAlign w:val="subscript"/>
                <w:lang w:bidi="ar"/>
              </w:rPr>
              <w:t>2.5</w:t>
            </w:r>
          </w:p>
        </w:tc>
        <w:tc>
          <w:tcPr>
            <w:tcW w:w="1675" w:type="pct"/>
            <w:tcBorders>
              <w:tl2br w:val="nil"/>
              <w:tr2bl w:val="nil"/>
            </w:tcBorders>
            <w:noWrap w:val="0"/>
            <w:vAlign w:val="center"/>
          </w:tcPr>
          <w:p w14:paraId="21FEF3B7">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年平均质量浓度</w:t>
            </w:r>
          </w:p>
        </w:tc>
        <w:tc>
          <w:tcPr>
            <w:tcW w:w="835" w:type="pct"/>
            <w:tcBorders>
              <w:tl2br w:val="nil"/>
              <w:tr2bl w:val="nil"/>
            </w:tcBorders>
            <w:noWrap w:val="0"/>
            <w:vAlign w:val="center"/>
          </w:tcPr>
          <w:p w14:paraId="0A9B27EB">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34</w:t>
            </w:r>
          </w:p>
        </w:tc>
        <w:tc>
          <w:tcPr>
            <w:tcW w:w="796" w:type="pct"/>
            <w:tcBorders>
              <w:tl2br w:val="nil"/>
              <w:tr2bl w:val="nil"/>
            </w:tcBorders>
            <w:noWrap w:val="0"/>
            <w:vAlign w:val="center"/>
          </w:tcPr>
          <w:p w14:paraId="7EE14C0A">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35</w:t>
            </w:r>
          </w:p>
        </w:tc>
        <w:tc>
          <w:tcPr>
            <w:tcW w:w="560" w:type="pct"/>
            <w:tcBorders>
              <w:tl2br w:val="nil"/>
              <w:tr2bl w:val="nil"/>
            </w:tcBorders>
            <w:noWrap w:val="0"/>
            <w:vAlign w:val="center"/>
          </w:tcPr>
          <w:p w14:paraId="47ABC4E8">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97.14</w:t>
            </w:r>
          </w:p>
        </w:tc>
        <w:tc>
          <w:tcPr>
            <w:tcW w:w="560" w:type="pct"/>
            <w:tcBorders>
              <w:tl2br w:val="nil"/>
              <w:tr2bl w:val="nil"/>
            </w:tcBorders>
            <w:noWrap w:val="0"/>
            <w:vAlign w:val="center"/>
          </w:tcPr>
          <w:p w14:paraId="71D49D0A">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r w14:paraId="546FA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0142AC79">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O</w:t>
            </w:r>
            <w:r>
              <w:rPr>
                <w:rFonts w:hint="default" w:ascii="Times New Roman" w:hAnsi="Times New Roman" w:eastAsia="宋体" w:cs="Times New Roman"/>
                <w:caps w:val="0"/>
                <w:smallCaps w:val="0"/>
                <w:color w:val="auto"/>
                <w:spacing w:val="0"/>
                <w:w w:val="100"/>
                <w:kern w:val="0"/>
                <w:position w:val="0"/>
                <w:szCs w:val="21"/>
                <w:u w:val="none" w:color="auto"/>
                <w:vertAlign w:val="subscript"/>
                <w:lang w:bidi="ar"/>
              </w:rPr>
              <w:t>3</w:t>
            </w:r>
          </w:p>
        </w:tc>
        <w:tc>
          <w:tcPr>
            <w:tcW w:w="1675" w:type="pct"/>
            <w:tcBorders>
              <w:tl2br w:val="nil"/>
              <w:tr2bl w:val="nil"/>
            </w:tcBorders>
            <w:noWrap w:val="0"/>
            <w:vAlign w:val="center"/>
          </w:tcPr>
          <w:p w14:paraId="3768F270">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第90百分位数最大</w:t>
            </w: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8</w:t>
            </w:r>
            <w:r>
              <w:rPr>
                <w:rFonts w:hint="default" w:ascii="Times New Roman" w:hAnsi="Times New Roman" w:eastAsia="宋体" w:cs="Times New Roman"/>
                <w:caps w:val="0"/>
                <w:smallCaps w:val="0"/>
                <w:color w:val="auto"/>
                <w:spacing w:val="0"/>
                <w:w w:val="100"/>
                <w:kern w:val="0"/>
                <w:position w:val="0"/>
                <w:szCs w:val="21"/>
                <w:u w:val="none" w:color="auto"/>
                <w:lang w:bidi="ar"/>
              </w:rPr>
              <w:cr/>
            </w:r>
            <w:r>
              <w:rPr>
                <w:rFonts w:hint="default" w:ascii="Times New Roman" w:hAnsi="Times New Roman" w:eastAsia="宋体" w:cs="Times New Roman"/>
                <w:caps w:val="0"/>
                <w:smallCaps w:val="0"/>
                <w:color w:val="auto"/>
                <w:spacing w:val="0"/>
                <w:w w:val="100"/>
                <w:kern w:val="0"/>
                <w:position w:val="0"/>
                <w:szCs w:val="21"/>
                <w:u w:val="none" w:color="auto"/>
                <w:lang w:bidi="ar"/>
              </w:rPr>
              <w:t>h滑动平均值</w:t>
            </w:r>
          </w:p>
        </w:tc>
        <w:tc>
          <w:tcPr>
            <w:tcW w:w="835" w:type="pct"/>
            <w:tcBorders>
              <w:tl2br w:val="nil"/>
              <w:tr2bl w:val="nil"/>
            </w:tcBorders>
            <w:noWrap w:val="0"/>
            <w:vAlign w:val="center"/>
          </w:tcPr>
          <w:p w14:paraId="3C9528FB">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1</w:t>
            </w: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35</w:t>
            </w:r>
          </w:p>
        </w:tc>
        <w:tc>
          <w:tcPr>
            <w:tcW w:w="796" w:type="pct"/>
            <w:tcBorders>
              <w:tl2br w:val="nil"/>
              <w:tr2bl w:val="nil"/>
            </w:tcBorders>
            <w:noWrap w:val="0"/>
            <w:vAlign w:val="center"/>
          </w:tcPr>
          <w:p w14:paraId="2D64C327">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160</w:t>
            </w:r>
          </w:p>
        </w:tc>
        <w:tc>
          <w:tcPr>
            <w:tcW w:w="560" w:type="pct"/>
            <w:tcBorders>
              <w:tl2br w:val="nil"/>
              <w:tr2bl w:val="nil"/>
            </w:tcBorders>
            <w:noWrap w:val="0"/>
            <w:vAlign w:val="center"/>
          </w:tcPr>
          <w:p w14:paraId="1D0DB937">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84.37</w:t>
            </w:r>
          </w:p>
        </w:tc>
        <w:tc>
          <w:tcPr>
            <w:tcW w:w="560" w:type="pct"/>
            <w:tcBorders>
              <w:tl2br w:val="nil"/>
              <w:tr2bl w:val="nil"/>
            </w:tcBorders>
            <w:noWrap w:val="0"/>
            <w:vAlign w:val="center"/>
          </w:tcPr>
          <w:p w14:paraId="1EAFEEC1">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r w14:paraId="4CD79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l2br w:val="nil"/>
              <w:tr2bl w:val="nil"/>
            </w:tcBorders>
            <w:noWrap w:val="0"/>
            <w:vAlign w:val="center"/>
          </w:tcPr>
          <w:p w14:paraId="575C72B1">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CO</w:t>
            </w:r>
          </w:p>
        </w:tc>
        <w:tc>
          <w:tcPr>
            <w:tcW w:w="1675" w:type="pct"/>
            <w:tcBorders>
              <w:tl2br w:val="nil"/>
              <w:tr2bl w:val="nil"/>
            </w:tcBorders>
            <w:noWrap w:val="0"/>
            <w:vAlign w:val="center"/>
          </w:tcPr>
          <w:p w14:paraId="54591ACE">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第95百分位数日均值</w:t>
            </w:r>
          </w:p>
        </w:tc>
        <w:tc>
          <w:tcPr>
            <w:tcW w:w="835" w:type="pct"/>
            <w:tcBorders>
              <w:tl2br w:val="nil"/>
              <w:tr2bl w:val="nil"/>
            </w:tcBorders>
            <w:noWrap w:val="0"/>
            <w:vAlign w:val="center"/>
          </w:tcPr>
          <w:p w14:paraId="1FDD3675">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1</w:t>
            </w: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000</w:t>
            </w:r>
          </w:p>
        </w:tc>
        <w:tc>
          <w:tcPr>
            <w:tcW w:w="796" w:type="pct"/>
            <w:tcBorders>
              <w:tl2br w:val="nil"/>
              <w:tr2bl w:val="nil"/>
            </w:tcBorders>
            <w:noWrap w:val="0"/>
            <w:vAlign w:val="center"/>
          </w:tcPr>
          <w:p w14:paraId="4A722F3B">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4</w:t>
            </w: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000</w:t>
            </w:r>
          </w:p>
        </w:tc>
        <w:tc>
          <w:tcPr>
            <w:tcW w:w="560" w:type="pct"/>
            <w:tcBorders>
              <w:tl2br w:val="nil"/>
              <w:tr2bl w:val="nil"/>
            </w:tcBorders>
            <w:noWrap w:val="0"/>
            <w:vAlign w:val="center"/>
          </w:tcPr>
          <w:p w14:paraId="6ED63948">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pPr>
            <w:r>
              <w:rPr>
                <w:rFonts w:hint="default" w:ascii="Times New Roman" w:hAnsi="Times New Roman" w:eastAsia="宋体" w:cs="Times New Roman"/>
                <w:caps w:val="0"/>
                <w:smallCaps w:val="0"/>
                <w:color w:val="auto"/>
                <w:spacing w:val="0"/>
                <w:w w:val="100"/>
                <w:kern w:val="0"/>
                <w:position w:val="0"/>
                <w:szCs w:val="21"/>
                <w:u w:val="none" w:color="auto"/>
                <w:lang w:val="en-US" w:eastAsia="zh-CN" w:bidi="ar"/>
              </w:rPr>
              <w:t>25</w:t>
            </w:r>
          </w:p>
        </w:tc>
        <w:tc>
          <w:tcPr>
            <w:tcW w:w="560" w:type="pct"/>
            <w:tcBorders>
              <w:tl2br w:val="nil"/>
              <w:tr2bl w:val="nil"/>
            </w:tcBorders>
            <w:noWrap w:val="0"/>
            <w:vAlign w:val="center"/>
          </w:tcPr>
          <w:p w14:paraId="14538915">
            <w:pPr>
              <w:keepNext w:val="0"/>
              <w:keepLines w:val="0"/>
              <w:pageBreakBefore w:val="0"/>
              <w:widowControl/>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kern w:val="0"/>
                <w:position w:val="0"/>
                <w:szCs w:val="21"/>
                <w:u w:val="none" w:color="auto"/>
                <w:lang w:bidi="ar"/>
              </w:rPr>
            </w:pPr>
            <w:r>
              <w:rPr>
                <w:rFonts w:hint="default" w:ascii="Times New Roman" w:hAnsi="Times New Roman" w:eastAsia="宋体" w:cs="Times New Roman"/>
                <w:caps w:val="0"/>
                <w:smallCaps w:val="0"/>
                <w:color w:val="auto"/>
                <w:spacing w:val="0"/>
                <w:w w:val="100"/>
                <w:kern w:val="0"/>
                <w:position w:val="0"/>
                <w:szCs w:val="21"/>
                <w:u w:val="none" w:color="auto"/>
                <w:lang w:bidi="ar"/>
              </w:rPr>
              <w:t>达标</w:t>
            </w:r>
          </w:p>
        </w:tc>
      </w:tr>
    </w:tbl>
    <w:p w14:paraId="301B4C2B">
      <w:pPr>
        <w:keepNext w:val="0"/>
        <w:keepLines w:val="0"/>
        <w:pageBreakBefore w:val="0"/>
        <w:widowControl w:val="0"/>
        <w:tabs>
          <w:tab w:val="left" w:pos="231"/>
        </w:tabs>
        <w:overflowPunct/>
        <w:autoSpaceDE/>
        <w:autoSpaceDN/>
        <w:bidi w:val="0"/>
        <w:snapToGrid/>
        <w:spacing w:line="360" w:lineRule="auto"/>
        <w:ind w:left="0" w:leftChars="0" w:firstLine="518"/>
        <w:textAlignment w:val="auto"/>
        <w:rPr>
          <w:rFonts w:hint="default" w:ascii="Times New Roman" w:hAnsi="Times New Roman" w:eastAsia="宋体" w:cs="Times New Roman"/>
          <w:color w:val="auto"/>
          <w:spacing w:val="0"/>
          <w:w w:val="100"/>
          <w:kern w:val="0"/>
          <w:position w:val="0"/>
          <w:sz w:val="24"/>
          <w:u w:val="none" w:color="auto"/>
          <w:lang w:eastAsia="zh-CN"/>
        </w:rPr>
      </w:pPr>
      <w:r>
        <w:rPr>
          <w:rFonts w:hint="default" w:ascii="Times New Roman" w:hAnsi="Times New Roman" w:eastAsia="宋体" w:cs="Times New Roman"/>
          <w:color w:val="auto"/>
          <w:spacing w:val="0"/>
          <w:w w:val="100"/>
          <w:position w:val="0"/>
          <w:sz w:val="24"/>
          <w:szCs w:val="24"/>
          <w:u w:val="none" w:color="auto"/>
        </w:rPr>
        <w:t>由</w:t>
      </w:r>
      <w:r>
        <w:rPr>
          <w:rFonts w:hint="default" w:ascii="Times New Roman" w:hAnsi="Times New Roman" w:eastAsia="宋体" w:cs="Times New Roman"/>
          <w:color w:val="auto"/>
          <w:spacing w:val="0"/>
          <w:w w:val="100"/>
          <w:position w:val="0"/>
          <w:sz w:val="24"/>
          <w:szCs w:val="24"/>
          <w:u w:val="none" w:color="auto"/>
          <w:lang w:eastAsia="zh-CN"/>
        </w:rPr>
        <w:t>上表</w:t>
      </w:r>
      <w:r>
        <w:rPr>
          <w:rFonts w:hint="default" w:ascii="Times New Roman" w:hAnsi="Times New Roman" w:eastAsia="宋体" w:cs="Times New Roman"/>
          <w:color w:val="auto"/>
          <w:spacing w:val="0"/>
          <w:w w:val="100"/>
          <w:position w:val="0"/>
          <w:sz w:val="24"/>
          <w:szCs w:val="24"/>
          <w:u w:val="none" w:color="auto"/>
        </w:rPr>
        <w:t>可知</w:t>
      </w:r>
      <w:r>
        <w:rPr>
          <w:rFonts w:hint="default" w:ascii="Times New Roman" w:hAnsi="Times New Roman" w:eastAsia="宋体" w:cs="Times New Roman"/>
          <w:color w:val="auto"/>
          <w:spacing w:val="0"/>
          <w:w w:val="100"/>
          <w:kern w:val="0"/>
          <w:position w:val="0"/>
          <w:sz w:val="24"/>
          <w:u w:val="none" w:color="auto"/>
          <w:lang w:eastAsia="zh-CN"/>
        </w:rPr>
        <w:t>，</w:t>
      </w:r>
      <w:r>
        <w:rPr>
          <w:rFonts w:hint="default" w:ascii="Times New Roman" w:hAnsi="Times New Roman" w:eastAsia="宋体" w:cs="Times New Roman"/>
          <w:color w:val="auto"/>
          <w:spacing w:val="0"/>
          <w:w w:val="100"/>
          <w:kern w:val="0"/>
          <w:position w:val="0"/>
          <w:sz w:val="24"/>
          <w:u w:val="none" w:color="auto"/>
          <w:lang w:val="en-US" w:eastAsia="zh-CN"/>
        </w:rPr>
        <w:t>2023年度华容县SO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w:t>
      </w:r>
      <w:r>
        <w:rPr>
          <w:rFonts w:hint="default" w:ascii="Times New Roman" w:hAnsi="Times New Roman" w:eastAsia="宋体" w:cs="Times New Roman"/>
          <w:color w:val="auto"/>
          <w:spacing w:val="0"/>
          <w:w w:val="100"/>
          <w:kern w:val="0"/>
          <w:position w:val="0"/>
          <w:sz w:val="24"/>
          <w:u w:val="none" w:color="auto"/>
          <w:lang w:val="en-US" w:eastAsia="zh-CN"/>
        </w:rPr>
        <w:t>、NO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w:t>
      </w:r>
      <w:r>
        <w:rPr>
          <w:rFonts w:hint="default" w:ascii="Times New Roman" w:hAnsi="Times New Roman" w:eastAsia="宋体" w:cs="Times New Roman"/>
          <w:color w:val="auto"/>
          <w:spacing w:val="0"/>
          <w:w w:val="100"/>
          <w:kern w:val="0"/>
          <w:position w:val="0"/>
          <w:sz w:val="24"/>
          <w:u w:val="none" w:color="auto"/>
          <w:lang w:val="en-US" w:eastAsia="zh-CN"/>
        </w:rPr>
        <w:t>、PM</w:t>
      </w:r>
      <w:r>
        <w:rPr>
          <w:rFonts w:hint="default" w:ascii="Times New Roman" w:hAnsi="Times New Roman" w:eastAsia="宋体" w:cs="Times New Roman"/>
          <w:color w:val="auto"/>
          <w:spacing w:val="0"/>
          <w:w w:val="100"/>
          <w:kern w:val="0"/>
          <w:position w:val="0"/>
          <w:sz w:val="24"/>
          <w:u w:val="none" w:color="auto"/>
          <w:vertAlign w:val="subscript"/>
          <w:lang w:val="en-US" w:eastAsia="zh-CN"/>
        </w:rPr>
        <w:t>10</w:t>
      </w:r>
      <w:r>
        <w:rPr>
          <w:rFonts w:hint="default" w:ascii="Times New Roman" w:hAnsi="Times New Roman" w:eastAsia="宋体" w:cs="Times New Roman"/>
          <w:color w:val="auto"/>
          <w:spacing w:val="0"/>
          <w:w w:val="100"/>
          <w:kern w:val="0"/>
          <w:position w:val="0"/>
          <w:sz w:val="24"/>
          <w:u w:val="none" w:color="auto"/>
          <w:lang w:val="en-US" w:eastAsia="zh-CN"/>
        </w:rPr>
        <w:t>、PM</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2.5</w:t>
      </w:r>
      <w:r>
        <w:rPr>
          <w:rFonts w:hint="default" w:ascii="Times New Roman" w:hAnsi="Times New Roman" w:eastAsia="宋体" w:cs="Times New Roman"/>
          <w:color w:val="auto"/>
          <w:spacing w:val="0"/>
          <w:w w:val="100"/>
          <w:kern w:val="0"/>
          <w:position w:val="0"/>
          <w:sz w:val="24"/>
          <w:u w:val="none" w:color="auto"/>
          <w:lang w:val="en-US" w:eastAsia="zh-CN"/>
        </w:rPr>
        <w:t>的年均浓度，以及CO第95百分位数24小时平均浓度、O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3</w:t>
      </w:r>
      <w:r>
        <w:rPr>
          <w:rFonts w:hint="default" w:ascii="Times New Roman" w:hAnsi="Times New Roman" w:eastAsia="宋体" w:cs="Times New Roman"/>
          <w:color w:val="auto"/>
          <w:spacing w:val="0"/>
          <w:w w:val="100"/>
          <w:kern w:val="0"/>
          <w:position w:val="0"/>
          <w:sz w:val="24"/>
          <w:u w:val="none" w:color="auto"/>
          <w:lang w:val="en-US" w:eastAsia="zh-CN"/>
        </w:rPr>
        <w:t xml:space="preserve">第90百分位数最大8小时平均浓度均能满足《环境空气质量标准》（GB3095-2012）及修改单中的二级标准要求，属于环境空气质量达标区。 </w:t>
      </w:r>
    </w:p>
    <w:p w14:paraId="4F122B0F">
      <w:pPr>
        <w:pStyle w:val="101"/>
        <w:ind w:firstLine="480"/>
        <w:rPr>
          <w:rFonts w:hint="default" w:ascii="Times New Roman" w:hAnsi="Times New Roman" w:eastAsia="宋体" w:cs="Times New Roman"/>
          <w:b/>
          <w:bCs/>
          <w:color w:val="auto"/>
          <w:spacing w:val="0"/>
          <w:w w:val="100"/>
          <w:position w:val="0"/>
          <w:u w:val="none" w:color="auto"/>
          <w:lang w:eastAsia="zh-CN"/>
        </w:rPr>
      </w:pPr>
      <w:r>
        <w:rPr>
          <w:rFonts w:hint="default" w:ascii="Times New Roman" w:hAnsi="Times New Roman" w:eastAsia="宋体" w:cs="Times New Roman"/>
          <w:b/>
          <w:bCs/>
          <w:color w:val="auto"/>
          <w:spacing w:val="0"/>
          <w:w w:val="100"/>
          <w:position w:val="0"/>
          <w:u w:val="none" w:color="auto"/>
          <w:lang w:val="en-US" w:eastAsia="zh-CN"/>
        </w:rPr>
        <w:t>2</w:t>
      </w:r>
      <w:r>
        <w:rPr>
          <w:rFonts w:hint="default" w:ascii="Times New Roman" w:hAnsi="Times New Roman" w:eastAsia="宋体" w:cs="Times New Roman"/>
          <w:b/>
          <w:bCs/>
          <w:color w:val="auto"/>
          <w:spacing w:val="0"/>
          <w:w w:val="100"/>
          <w:position w:val="0"/>
          <w:u w:val="none" w:color="auto"/>
          <w:lang w:eastAsia="zh-CN"/>
        </w:rPr>
        <w:t>、其他污染物环境质量现状</w:t>
      </w:r>
    </w:p>
    <w:p w14:paraId="11D29A51">
      <w:pPr>
        <w:pStyle w:val="101"/>
        <w:ind w:firstLine="48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u w:val="none" w:color="auto"/>
        </w:rPr>
        <w:t>为了解本项目所在区域特征污染物环境质量现状，建设单位委托</w:t>
      </w:r>
      <w:r>
        <w:rPr>
          <w:rFonts w:hint="default" w:ascii="Times New Roman" w:hAnsi="Times New Roman" w:eastAsia="宋体" w:cs="Times New Roman"/>
          <w:color w:val="auto"/>
          <w:spacing w:val="0"/>
          <w:w w:val="100"/>
          <w:position w:val="0"/>
          <w:u w:val="none" w:color="auto"/>
          <w:lang w:eastAsia="zh-CN"/>
        </w:rPr>
        <w:t>湖南乾诚检测有限公司</w:t>
      </w:r>
      <w:r>
        <w:rPr>
          <w:rFonts w:hint="default" w:ascii="Times New Roman" w:hAnsi="Times New Roman" w:eastAsia="宋体" w:cs="Times New Roman"/>
          <w:color w:val="auto"/>
          <w:spacing w:val="0"/>
          <w:w w:val="100"/>
          <w:position w:val="0"/>
          <w:u w:val="none" w:color="auto"/>
        </w:rPr>
        <w:t>对项目所在地环境空气质量进行了</w:t>
      </w:r>
      <w:r>
        <w:rPr>
          <w:rFonts w:hint="default" w:ascii="Times New Roman" w:hAnsi="Times New Roman" w:eastAsia="宋体" w:cs="Times New Roman"/>
          <w:color w:val="auto"/>
          <w:spacing w:val="0"/>
          <w:w w:val="100"/>
          <w:position w:val="0"/>
          <w:u w:val="none" w:color="auto"/>
          <w:lang w:val="en-US" w:eastAsia="zh-CN"/>
        </w:rPr>
        <w:t>一期</w:t>
      </w:r>
      <w:r>
        <w:rPr>
          <w:rFonts w:hint="default" w:ascii="Times New Roman" w:hAnsi="Times New Roman" w:eastAsia="宋体" w:cs="Times New Roman"/>
          <w:color w:val="auto"/>
          <w:spacing w:val="0"/>
          <w:w w:val="100"/>
          <w:position w:val="0"/>
          <w:u w:val="none" w:color="auto"/>
        </w:rPr>
        <w:t>现状监测。</w:t>
      </w:r>
    </w:p>
    <w:p w14:paraId="0E0E94A0">
      <w:pPr>
        <w:pStyle w:val="101"/>
        <w:ind w:firstLine="48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lang w:val="en-US" w:eastAsia="zh-CN"/>
        </w:rPr>
        <w:t>1</w:t>
      </w: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rPr>
        <w:t>监测因子：</w:t>
      </w:r>
      <w:r>
        <w:rPr>
          <w:rFonts w:hint="default" w:ascii="Times New Roman" w:hAnsi="Times New Roman" w:eastAsia="宋体" w:cs="Times New Roman"/>
          <w:color w:val="auto"/>
          <w:spacing w:val="0"/>
          <w:w w:val="100"/>
          <w:position w:val="0"/>
          <w:u w:val="none" w:color="auto"/>
          <w:lang w:val="en-US" w:eastAsia="zh-CN"/>
        </w:rPr>
        <w:t>TSP</w:t>
      </w:r>
      <w:r>
        <w:rPr>
          <w:rFonts w:hint="default" w:ascii="Times New Roman" w:hAnsi="Times New Roman" w:eastAsia="宋体" w:cs="Times New Roman"/>
          <w:color w:val="auto"/>
          <w:spacing w:val="0"/>
          <w:w w:val="100"/>
          <w:position w:val="0"/>
          <w:u w:val="none" w:color="auto"/>
        </w:rPr>
        <w:t>。</w:t>
      </w:r>
    </w:p>
    <w:p w14:paraId="65158F0A">
      <w:pPr>
        <w:spacing w:line="360" w:lineRule="auto"/>
        <w:ind w:firstLine="480" w:firstLineChars="20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监测点位：</w:t>
      </w:r>
      <w:r>
        <w:rPr>
          <w:rFonts w:hint="default" w:ascii="Times New Roman" w:hAnsi="Times New Roman" w:eastAsia="宋体" w:cs="Times New Roman"/>
          <w:color w:val="auto"/>
          <w:spacing w:val="0"/>
          <w:w w:val="100"/>
          <w:kern w:val="0"/>
          <w:position w:val="0"/>
          <w:sz w:val="24"/>
          <w:szCs w:val="24"/>
          <w:u w:val="none" w:color="auto"/>
        </w:rPr>
        <w:t>项目</w:t>
      </w:r>
      <w:r>
        <w:rPr>
          <w:rFonts w:hint="eastAsia" w:ascii="Times New Roman" w:hAnsi="Times New Roman" w:eastAsia="宋体" w:cs="Times New Roman"/>
          <w:color w:val="auto"/>
          <w:spacing w:val="0"/>
          <w:w w:val="100"/>
          <w:kern w:val="0"/>
          <w:position w:val="0"/>
          <w:sz w:val="24"/>
          <w:szCs w:val="24"/>
          <w:u w:val="none" w:color="auto"/>
          <w:lang w:val="en-US" w:eastAsia="zh-CN"/>
        </w:rPr>
        <w:t>主</w:t>
      </w:r>
      <w:r>
        <w:rPr>
          <w:rFonts w:hint="default" w:ascii="Times New Roman" w:hAnsi="Times New Roman" w:eastAsia="宋体" w:cs="Times New Roman"/>
          <w:color w:val="auto"/>
          <w:spacing w:val="0"/>
          <w:w w:val="100"/>
          <w:kern w:val="0"/>
          <w:position w:val="0"/>
          <w:sz w:val="24"/>
          <w:szCs w:val="24"/>
          <w:u w:val="none" w:color="auto"/>
          <w:lang w:eastAsia="zh-CN"/>
        </w:rPr>
        <w:t>坝</w:t>
      </w:r>
      <w:r>
        <w:rPr>
          <w:rFonts w:hint="default" w:ascii="Times New Roman" w:hAnsi="Times New Roman" w:eastAsia="宋体" w:cs="Times New Roman"/>
          <w:color w:val="auto"/>
          <w:spacing w:val="0"/>
          <w:w w:val="100"/>
          <w:kern w:val="0"/>
          <w:position w:val="0"/>
          <w:sz w:val="24"/>
          <w:szCs w:val="24"/>
          <w:u w:val="none" w:color="auto"/>
          <w:lang w:val="en-US" w:eastAsia="zh-CN"/>
        </w:rPr>
        <w:t>处</w:t>
      </w:r>
      <w:r>
        <w:rPr>
          <w:rFonts w:hint="default" w:ascii="Times New Roman" w:hAnsi="Times New Roman" w:eastAsia="宋体" w:cs="Times New Roman"/>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kern w:val="0"/>
          <w:position w:val="0"/>
          <w:sz w:val="24"/>
          <w:szCs w:val="24"/>
          <w:u w:val="none" w:color="auto"/>
          <w:lang w:val="en-US" w:eastAsia="zh-CN"/>
        </w:rPr>
        <w:t>G1</w:t>
      </w:r>
      <w:r>
        <w:rPr>
          <w:rFonts w:hint="default" w:ascii="Times New Roman" w:hAnsi="Times New Roman" w:eastAsia="宋体" w:cs="Times New Roman"/>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kern w:val="0"/>
          <w:position w:val="0"/>
          <w:sz w:val="24"/>
          <w:szCs w:val="24"/>
          <w:u w:val="none" w:color="auto"/>
          <w:lang w:val="en-US" w:eastAsia="zh-CN"/>
        </w:rPr>
        <w:t>、</w:t>
      </w:r>
      <w:r>
        <w:rPr>
          <w:rFonts w:hint="default" w:ascii="Times New Roman" w:hAnsi="Times New Roman" w:eastAsia="宋体" w:cs="Times New Roman"/>
          <w:color w:val="auto"/>
          <w:spacing w:val="0"/>
          <w:w w:val="100"/>
          <w:kern w:val="0"/>
          <w:position w:val="0"/>
          <w:sz w:val="24"/>
          <w:szCs w:val="24"/>
          <w:u w:val="none" w:color="auto"/>
          <w:lang w:eastAsia="zh-CN"/>
        </w:rPr>
        <w:t>大坝</w:t>
      </w:r>
      <w:r>
        <w:rPr>
          <w:rFonts w:hint="default" w:ascii="Times New Roman" w:hAnsi="Times New Roman" w:eastAsia="宋体" w:cs="Times New Roman"/>
          <w:color w:val="auto"/>
          <w:spacing w:val="0"/>
          <w:w w:val="100"/>
          <w:kern w:val="0"/>
          <w:position w:val="0"/>
          <w:sz w:val="24"/>
          <w:szCs w:val="24"/>
          <w:u w:val="none" w:color="auto"/>
          <w:lang w:val="en-US" w:eastAsia="zh-CN"/>
        </w:rPr>
        <w:t>南侧</w:t>
      </w:r>
      <w:r>
        <w:rPr>
          <w:rFonts w:hint="eastAsia" w:ascii="Times New Roman" w:hAnsi="Times New Roman" w:eastAsia="宋体" w:cs="Times New Roman"/>
          <w:color w:val="auto"/>
          <w:spacing w:val="0"/>
          <w:w w:val="100"/>
          <w:kern w:val="0"/>
          <w:position w:val="0"/>
          <w:sz w:val="24"/>
          <w:szCs w:val="24"/>
          <w:u w:val="none" w:color="auto"/>
          <w:lang w:val="en-US" w:eastAsia="zh-CN"/>
        </w:rPr>
        <w:t>虎尾村</w:t>
      </w:r>
      <w:r>
        <w:rPr>
          <w:rFonts w:hint="default" w:ascii="Times New Roman" w:hAnsi="Times New Roman" w:eastAsia="宋体" w:cs="Times New Roman"/>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kern w:val="0"/>
          <w:position w:val="0"/>
          <w:sz w:val="24"/>
          <w:szCs w:val="24"/>
          <w:u w:val="none" w:color="auto"/>
          <w:lang w:val="en-US" w:eastAsia="zh-CN"/>
        </w:rPr>
        <w:t>G2</w:t>
      </w:r>
      <w:r>
        <w:rPr>
          <w:rFonts w:hint="default" w:ascii="Times New Roman" w:hAnsi="Times New Roman" w:eastAsia="宋体" w:cs="Times New Roman"/>
          <w:color w:val="auto"/>
          <w:spacing w:val="0"/>
          <w:w w:val="100"/>
          <w:kern w:val="0"/>
          <w:position w:val="0"/>
          <w:sz w:val="24"/>
          <w:szCs w:val="24"/>
          <w:u w:val="none" w:color="auto"/>
          <w:lang w:eastAsia="zh-CN"/>
        </w:rPr>
        <w:t>）共</w:t>
      </w:r>
      <w:r>
        <w:rPr>
          <w:rFonts w:hint="default" w:ascii="Times New Roman" w:hAnsi="Times New Roman" w:eastAsia="宋体" w:cs="Times New Roman"/>
          <w:color w:val="auto"/>
          <w:spacing w:val="0"/>
          <w:w w:val="100"/>
          <w:kern w:val="0"/>
          <w:position w:val="0"/>
          <w:sz w:val="24"/>
          <w:szCs w:val="24"/>
          <w:u w:val="none" w:color="auto"/>
          <w:lang w:val="en-US" w:eastAsia="zh-CN"/>
        </w:rPr>
        <w:t>2个点位。</w:t>
      </w:r>
    </w:p>
    <w:p w14:paraId="2B2CAE39">
      <w:pPr>
        <w:pStyle w:val="101"/>
        <w:ind w:firstLine="48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lang w:val="en-US" w:eastAsia="zh-CN"/>
        </w:rPr>
        <w:t>3</w:t>
      </w: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rPr>
        <w:t>监测时间和频次：监测时间为202</w:t>
      </w:r>
      <w:r>
        <w:rPr>
          <w:rFonts w:hint="default" w:ascii="Times New Roman" w:hAnsi="Times New Roman" w:eastAsia="宋体" w:cs="Times New Roman"/>
          <w:color w:val="auto"/>
          <w:spacing w:val="0"/>
          <w:w w:val="100"/>
          <w:position w:val="0"/>
          <w:u w:val="none" w:color="auto"/>
          <w:lang w:val="en-US" w:eastAsia="zh-CN"/>
        </w:rPr>
        <w:t>4</w:t>
      </w:r>
      <w:r>
        <w:rPr>
          <w:rFonts w:hint="default" w:ascii="Times New Roman" w:hAnsi="Times New Roman" w:eastAsia="宋体" w:cs="Times New Roman"/>
          <w:color w:val="auto"/>
          <w:spacing w:val="0"/>
          <w:w w:val="100"/>
          <w:position w:val="0"/>
          <w:u w:val="none" w:color="auto"/>
        </w:rPr>
        <w:t>年</w:t>
      </w:r>
      <w:r>
        <w:rPr>
          <w:rFonts w:hint="eastAsia" w:eastAsia="宋体" w:cs="Times New Roman"/>
          <w:color w:val="auto"/>
          <w:spacing w:val="0"/>
          <w:w w:val="100"/>
          <w:position w:val="0"/>
          <w:u w:val="none" w:color="auto"/>
          <w:lang w:val="en-US" w:eastAsia="zh-CN"/>
        </w:rPr>
        <w:t>9</w:t>
      </w:r>
      <w:r>
        <w:rPr>
          <w:rFonts w:hint="default" w:ascii="Times New Roman" w:hAnsi="Times New Roman" w:eastAsia="宋体" w:cs="Times New Roman"/>
          <w:color w:val="auto"/>
          <w:spacing w:val="0"/>
          <w:w w:val="100"/>
          <w:position w:val="0"/>
          <w:u w:val="none" w:color="auto"/>
        </w:rPr>
        <w:t>月</w:t>
      </w:r>
      <w:r>
        <w:rPr>
          <w:rFonts w:hint="eastAsia" w:eastAsia="宋体" w:cs="Times New Roman"/>
          <w:color w:val="auto"/>
          <w:spacing w:val="0"/>
          <w:w w:val="100"/>
          <w:position w:val="0"/>
          <w:u w:val="none" w:color="auto"/>
          <w:lang w:val="en-US" w:eastAsia="zh-CN"/>
        </w:rPr>
        <w:t>1</w:t>
      </w:r>
      <w:r>
        <w:rPr>
          <w:rFonts w:hint="default" w:ascii="Times New Roman" w:hAnsi="Times New Roman" w:eastAsia="宋体" w:cs="Times New Roman"/>
          <w:color w:val="auto"/>
          <w:spacing w:val="0"/>
          <w:w w:val="100"/>
          <w:position w:val="0"/>
          <w:u w:val="none" w:color="auto"/>
        </w:rPr>
        <w:t>日至</w:t>
      </w:r>
      <w:r>
        <w:rPr>
          <w:rFonts w:hint="eastAsia" w:eastAsia="宋体" w:cs="Times New Roman"/>
          <w:color w:val="auto"/>
          <w:spacing w:val="0"/>
          <w:w w:val="100"/>
          <w:position w:val="0"/>
          <w:u w:val="none" w:color="auto"/>
          <w:lang w:val="en-US" w:eastAsia="zh-CN"/>
        </w:rPr>
        <w:t>9</w:t>
      </w:r>
      <w:r>
        <w:rPr>
          <w:rFonts w:hint="default" w:ascii="Times New Roman" w:hAnsi="Times New Roman" w:eastAsia="宋体" w:cs="Times New Roman"/>
          <w:color w:val="auto"/>
          <w:spacing w:val="0"/>
          <w:w w:val="100"/>
          <w:position w:val="0"/>
          <w:u w:val="none" w:color="auto"/>
          <w:lang w:val="en-US" w:eastAsia="zh-CN"/>
        </w:rPr>
        <w:t>月</w:t>
      </w:r>
      <w:r>
        <w:rPr>
          <w:rFonts w:hint="eastAsia" w:eastAsia="宋体" w:cs="Times New Roman"/>
          <w:color w:val="auto"/>
          <w:spacing w:val="0"/>
          <w:w w:val="100"/>
          <w:position w:val="0"/>
          <w:u w:val="none" w:color="auto"/>
          <w:lang w:val="en-US" w:eastAsia="zh-CN"/>
        </w:rPr>
        <w:t>7</w:t>
      </w:r>
      <w:r>
        <w:rPr>
          <w:rFonts w:hint="default" w:ascii="Times New Roman" w:hAnsi="Times New Roman" w:eastAsia="宋体" w:cs="Times New Roman"/>
          <w:color w:val="auto"/>
          <w:spacing w:val="0"/>
          <w:w w:val="100"/>
          <w:position w:val="0"/>
          <w:u w:val="none" w:color="auto"/>
        </w:rPr>
        <w:t>日，连续监测</w:t>
      </w:r>
      <w:r>
        <w:rPr>
          <w:rFonts w:hint="default" w:ascii="Times New Roman" w:hAnsi="Times New Roman" w:eastAsia="宋体" w:cs="Times New Roman"/>
          <w:color w:val="auto"/>
          <w:spacing w:val="0"/>
          <w:w w:val="100"/>
          <w:position w:val="0"/>
          <w:u w:val="none" w:color="auto"/>
          <w:lang w:val="en-US" w:eastAsia="zh-CN"/>
        </w:rPr>
        <w:t>7</w:t>
      </w:r>
      <w:r>
        <w:rPr>
          <w:rFonts w:hint="default" w:ascii="Times New Roman" w:hAnsi="Times New Roman" w:eastAsia="宋体" w:cs="Times New Roman"/>
          <w:color w:val="auto"/>
          <w:spacing w:val="0"/>
          <w:w w:val="100"/>
          <w:position w:val="0"/>
          <w:u w:val="none" w:color="auto"/>
        </w:rPr>
        <w:t>天。</w:t>
      </w:r>
    </w:p>
    <w:p w14:paraId="1C954608">
      <w:pPr>
        <w:pStyle w:val="101"/>
        <w:ind w:firstLine="480"/>
        <w:rPr>
          <w:rFonts w:hint="default" w:ascii="Times New Roman" w:hAnsi="Times New Roman" w:cs="Times New Roman" w:eastAsiaTheme="minorEastAsia"/>
          <w:color w:val="auto"/>
          <w:spacing w:val="0"/>
          <w:w w:val="100"/>
          <w:position w:val="0"/>
          <w:u w:val="none" w:color="auto"/>
          <w:lang w:val="en-US" w:eastAsia="zh-CN"/>
        </w:rPr>
      </w:pP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lang w:val="en-US" w:eastAsia="zh-CN"/>
        </w:rPr>
        <w:t>4</w:t>
      </w: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kern w:val="0"/>
          <w:position w:val="0"/>
          <w:sz w:val="24"/>
          <w:szCs w:val="24"/>
          <w:u w:val="none" w:color="auto"/>
          <w:lang w:val="en-US" w:eastAsia="zh-CN" w:bidi="ar-SA"/>
        </w:rPr>
        <w:t>检测方法：《环境空气总悬浮物颗粒物的测定 重量法》HJ 1263-2022。</w:t>
      </w:r>
    </w:p>
    <w:p w14:paraId="6867924E">
      <w:pPr>
        <w:pStyle w:val="101"/>
        <w:ind w:firstLine="48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lang w:val="en-US" w:eastAsia="zh-CN"/>
        </w:rPr>
        <w:t>5</w:t>
      </w:r>
      <w:r>
        <w:rPr>
          <w:rFonts w:hint="default" w:ascii="Times New Roman" w:hAnsi="Times New Roman" w:eastAsia="宋体"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rPr>
        <w:t>评价标准：</w:t>
      </w:r>
      <w:r>
        <w:rPr>
          <w:rFonts w:hint="default" w:ascii="Times New Roman" w:hAnsi="Times New Roman" w:eastAsia="宋体" w:cs="Times New Roman"/>
          <w:color w:val="auto"/>
          <w:spacing w:val="0"/>
          <w:w w:val="100"/>
          <w:position w:val="0"/>
          <w:u w:val="none" w:color="auto"/>
          <w:lang w:eastAsia="zh-CN"/>
        </w:rPr>
        <w:t>执行</w:t>
      </w:r>
      <w:r>
        <w:rPr>
          <w:rFonts w:hint="default" w:ascii="Times New Roman" w:hAnsi="Times New Roman" w:eastAsia="宋体" w:cs="Times New Roman"/>
          <w:color w:val="auto"/>
          <w:spacing w:val="0"/>
          <w:w w:val="100"/>
          <w:position w:val="0"/>
          <w:sz w:val="24"/>
          <w:szCs w:val="24"/>
          <w:u w:val="none" w:color="auto"/>
          <w:lang w:val="en-US" w:eastAsia="zh-CN" w:bidi="ar-SA"/>
        </w:rPr>
        <w:t>《环境空气质量标准》(GB3095-1996）二级</w:t>
      </w:r>
      <w:r>
        <w:rPr>
          <w:rFonts w:hint="default" w:ascii="Times New Roman" w:hAnsi="Times New Roman" w:eastAsia="宋体" w:cs="Times New Roman"/>
          <w:color w:val="auto"/>
          <w:spacing w:val="0"/>
          <w:w w:val="100"/>
          <w:position w:val="0"/>
          <w:u w:val="none" w:color="auto"/>
          <w:lang w:eastAsia="zh-CN"/>
        </w:rPr>
        <w:t>标准</w:t>
      </w:r>
      <w:r>
        <w:rPr>
          <w:rFonts w:hint="default" w:ascii="Times New Roman" w:hAnsi="Times New Roman" w:eastAsia="宋体" w:cs="Times New Roman"/>
          <w:color w:val="auto"/>
          <w:spacing w:val="0"/>
          <w:w w:val="100"/>
          <w:position w:val="0"/>
          <w:u w:val="none" w:color="auto"/>
        </w:rPr>
        <w:t>。</w:t>
      </w:r>
    </w:p>
    <w:p w14:paraId="31EF0932">
      <w:pPr>
        <w:pStyle w:val="102"/>
        <w:spacing w:line="360" w:lineRule="auto"/>
        <w:ind w:left="0" w:leftChars="0" w:firstLine="480"/>
        <w:jc w:val="both"/>
        <w:rPr>
          <w:rFonts w:hint="default" w:ascii="Times New Roman" w:hAnsi="Times New Roman" w:eastAsia="宋体"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lang w:eastAsia="zh-CN"/>
        </w:rPr>
        <w:t>（</w:t>
      </w:r>
      <w:r>
        <w:rPr>
          <w:rFonts w:hint="default" w:ascii="Times New Roman" w:hAnsi="Times New Roman" w:cs="Times New Roman"/>
          <w:color w:val="auto"/>
          <w:spacing w:val="0"/>
          <w:w w:val="100"/>
          <w:position w:val="0"/>
          <w:u w:val="none" w:color="auto"/>
          <w:lang w:val="en-US" w:eastAsia="zh-CN"/>
        </w:rPr>
        <w:t>6</w:t>
      </w:r>
      <w:r>
        <w:rPr>
          <w:rFonts w:hint="default" w:ascii="Times New Roman" w:hAnsi="Times New Roman" w:cs="Times New Roman"/>
          <w:color w:val="auto"/>
          <w:spacing w:val="0"/>
          <w:w w:val="100"/>
          <w:position w:val="0"/>
          <w:u w:val="none" w:color="auto"/>
          <w:lang w:eastAsia="zh-CN"/>
        </w:rPr>
        <w:t>）</w:t>
      </w:r>
      <w:r>
        <w:rPr>
          <w:rFonts w:hint="default" w:ascii="Times New Roman" w:hAnsi="Times New Roman" w:eastAsia="宋体" w:cs="Times New Roman"/>
          <w:color w:val="auto"/>
          <w:spacing w:val="0"/>
          <w:w w:val="100"/>
          <w:position w:val="0"/>
          <w:u w:val="none" w:color="auto"/>
        </w:rPr>
        <w:t>监测结果与评价：环境空气质量监测气象参数记录见表</w:t>
      </w:r>
      <w:r>
        <w:rPr>
          <w:rFonts w:hint="default" w:ascii="Times New Roman" w:hAnsi="Times New Roman" w:eastAsia="宋体" w:cs="Times New Roman"/>
          <w:color w:val="auto"/>
          <w:spacing w:val="0"/>
          <w:w w:val="100"/>
          <w:position w:val="0"/>
          <w:u w:val="none" w:color="auto"/>
          <w:lang w:val="en-US" w:eastAsia="zh-CN"/>
        </w:rPr>
        <w:t>3.</w:t>
      </w:r>
      <w:r>
        <w:rPr>
          <w:rFonts w:hint="default" w:ascii="Times New Roman" w:hAnsi="Times New Roman" w:cs="Times New Roman"/>
          <w:color w:val="auto"/>
          <w:spacing w:val="0"/>
          <w:w w:val="100"/>
          <w:position w:val="0"/>
          <w:u w:val="none" w:color="auto"/>
          <w:lang w:val="en-US" w:eastAsia="zh-CN"/>
        </w:rPr>
        <w:t>2</w:t>
      </w:r>
      <w:r>
        <w:rPr>
          <w:rFonts w:hint="default" w:ascii="Times New Roman" w:hAnsi="Times New Roman" w:eastAsia="宋体" w:cs="Times New Roman"/>
          <w:color w:val="auto"/>
          <w:spacing w:val="0"/>
          <w:w w:val="100"/>
          <w:position w:val="0"/>
          <w:u w:val="none" w:color="auto"/>
        </w:rPr>
        <w:t>-2，</w:t>
      </w:r>
      <w:r>
        <w:rPr>
          <w:rFonts w:hint="default" w:ascii="Times New Roman" w:hAnsi="Times New Roman" w:cs="Times New Roman"/>
          <w:color w:val="auto"/>
          <w:spacing w:val="0"/>
          <w:w w:val="100"/>
          <w:position w:val="0"/>
          <w:u w:val="none" w:color="auto"/>
          <w:lang w:val="en-US" w:eastAsia="zh-CN"/>
        </w:rPr>
        <w:t>特征污染物</w:t>
      </w:r>
      <w:r>
        <w:rPr>
          <w:rFonts w:hint="default" w:ascii="Times New Roman" w:hAnsi="Times New Roman" w:eastAsia="宋体" w:cs="Times New Roman"/>
          <w:color w:val="auto"/>
          <w:spacing w:val="0"/>
          <w:w w:val="100"/>
          <w:position w:val="0"/>
          <w:u w:val="none" w:color="auto"/>
        </w:rPr>
        <w:t>环境</w:t>
      </w:r>
      <w:r>
        <w:rPr>
          <w:rFonts w:hint="default" w:ascii="Times New Roman" w:hAnsi="Times New Roman" w:cs="Times New Roman"/>
          <w:color w:val="auto"/>
          <w:spacing w:val="0"/>
          <w:w w:val="100"/>
          <w:position w:val="0"/>
          <w:u w:val="none" w:color="auto"/>
          <w:lang w:val="en-US" w:eastAsia="zh-CN"/>
        </w:rPr>
        <w:t>质量</w:t>
      </w:r>
      <w:r>
        <w:rPr>
          <w:rFonts w:hint="default" w:ascii="Times New Roman" w:hAnsi="Times New Roman" w:eastAsia="宋体" w:cs="Times New Roman"/>
          <w:color w:val="auto"/>
          <w:spacing w:val="0"/>
          <w:w w:val="100"/>
          <w:position w:val="0"/>
          <w:u w:val="none" w:color="auto"/>
        </w:rPr>
        <w:t>现状监测及评价结果见表</w:t>
      </w:r>
      <w:r>
        <w:rPr>
          <w:rFonts w:hint="default" w:ascii="Times New Roman" w:hAnsi="Times New Roman" w:eastAsia="宋体" w:cs="Times New Roman"/>
          <w:color w:val="auto"/>
          <w:spacing w:val="0"/>
          <w:w w:val="100"/>
          <w:position w:val="0"/>
          <w:u w:val="none" w:color="auto"/>
          <w:lang w:val="en-US" w:eastAsia="zh-CN"/>
        </w:rPr>
        <w:t>3.</w:t>
      </w:r>
      <w:r>
        <w:rPr>
          <w:rFonts w:hint="default" w:ascii="Times New Roman" w:hAnsi="Times New Roman" w:cs="Times New Roman"/>
          <w:color w:val="auto"/>
          <w:spacing w:val="0"/>
          <w:w w:val="100"/>
          <w:position w:val="0"/>
          <w:u w:val="none" w:color="auto"/>
          <w:lang w:val="en-US" w:eastAsia="zh-CN"/>
        </w:rPr>
        <w:t>2</w:t>
      </w:r>
      <w:r>
        <w:rPr>
          <w:rFonts w:hint="default" w:ascii="Times New Roman" w:hAnsi="Times New Roman" w:eastAsia="宋体" w:cs="Times New Roman"/>
          <w:color w:val="auto"/>
          <w:spacing w:val="0"/>
          <w:w w:val="100"/>
          <w:position w:val="0"/>
          <w:u w:val="none" w:color="auto"/>
          <w:lang w:val="en-US" w:eastAsia="zh-CN"/>
        </w:rPr>
        <w:t>-3</w:t>
      </w:r>
      <w:r>
        <w:rPr>
          <w:rFonts w:hint="default" w:ascii="Times New Roman" w:hAnsi="Times New Roman" w:eastAsia="宋体" w:cs="Times New Roman"/>
          <w:color w:val="auto"/>
          <w:spacing w:val="0"/>
          <w:w w:val="100"/>
          <w:position w:val="0"/>
          <w:u w:val="none" w:color="auto"/>
        </w:rPr>
        <w:t>。</w:t>
      </w:r>
    </w:p>
    <w:p w14:paraId="77AC025B">
      <w:pPr>
        <w:pageBreakBefore w:val="0"/>
        <w:widowControl/>
        <w:kinsoku w:val="0"/>
        <w:wordWrap w:val="0"/>
        <w:overflowPunct/>
        <w:topLinePunct/>
        <w:autoSpaceDE/>
        <w:autoSpaceDN/>
        <w:bidi w:val="0"/>
        <w:spacing w:line="240" w:lineRule="auto"/>
        <w:jc w:val="center"/>
        <w:rPr>
          <w:rFonts w:hint="default" w:ascii="Times New Roman" w:hAnsi="Times New Roman" w:eastAsia="宋体" w:cs="Times New Roman"/>
          <w:b/>
          <w:caps w:val="0"/>
          <w:smallCaps w:val="0"/>
          <w:color w:val="auto"/>
          <w:spacing w:val="0"/>
          <w:w w:val="100"/>
          <w:position w:val="0"/>
          <w:sz w:val="24"/>
          <w:szCs w:val="24"/>
          <w:u w:val="none" w:color="auto"/>
        </w:rPr>
      </w:pPr>
      <w:r>
        <w:rPr>
          <w:rFonts w:hint="default" w:ascii="Times New Roman" w:hAnsi="Times New Roman" w:eastAsia="宋体" w:cs="Times New Roman"/>
          <w:b/>
          <w:caps w:val="0"/>
          <w:smallCaps w:val="0"/>
          <w:color w:val="auto"/>
          <w:spacing w:val="0"/>
          <w:w w:val="100"/>
          <w:position w:val="0"/>
          <w:sz w:val="24"/>
          <w:szCs w:val="24"/>
          <w:u w:val="none" w:color="auto"/>
        </w:rPr>
        <w:t>表</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3.2</w:t>
      </w:r>
      <w:r>
        <w:rPr>
          <w:rFonts w:hint="default" w:ascii="Times New Roman" w:hAnsi="Times New Roman" w:eastAsia="宋体" w:cs="Times New Roman"/>
          <w:b/>
          <w:caps w:val="0"/>
          <w:smallCaps w:val="0"/>
          <w:color w:val="auto"/>
          <w:spacing w:val="0"/>
          <w:w w:val="100"/>
          <w:position w:val="0"/>
          <w:sz w:val="24"/>
          <w:szCs w:val="24"/>
          <w:u w:val="none" w:color="auto"/>
        </w:rPr>
        <w:t>-2  环境空气质量监测气象参数记录表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758"/>
        <w:gridCol w:w="893"/>
        <w:gridCol w:w="893"/>
        <w:gridCol w:w="893"/>
        <w:gridCol w:w="893"/>
        <w:gridCol w:w="893"/>
        <w:gridCol w:w="896"/>
      </w:tblGrid>
      <w:tr w14:paraId="73877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446" w:type="dxa"/>
            <w:tcBorders>
              <w:tl2br w:val="nil"/>
              <w:tr2bl w:val="nil"/>
            </w:tcBorders>
            <w:noWrap w:val="0"/>
            <w:vAlign w:val="center"/>
          </w:tcPr>
          <w:p w14:paraId="70D58C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lang w:eastAsia="zh-CN"/>
              </w:rPr>
              <w:t>采样点位</w:t>
            </w:r>
          </w:p>
        </w:tc>
        <w:tc>
          <w:tcPr>
            <w:tcW w:w="1807" w:type="dxa"/>
            <w:tcBorders>
              <w:tl2br w:val="nil"/>
              <w:tr2bl w:val="nil"/>
            </w:tcBorders>
            <w:noWrap w:val="0"/>
            <w:vAlign w:val="center"/>
          </w:tcPr>
          <w:p w14:paraId="0028E0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采样时间</w:t>
            </w:r>
          </w:p>
        </w:tc>
        <w:tc>
          <w:tcPr>
            <w:tcW w:w="914" w:type="dxa"/>
            <w:tcBorders>
              <w:tl2br w:val="nil"/>
              <w:tr2bl w:val="nil"/>
            </w:tcBorders>
            <w:noWrap w:val="0"/>
            <w:vAlign w:val="center"/>
          </w:tcPr>
          <w:p w14:paraId="4CD298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天气</w:t>
            </w:r>
          </w:p>
        </w:tc>
        <w:tc>
          <w:tcPr>
            <w:tcW w:w="914" w:type="dxa"/>
            <w:tcBorders>
              <w:tl2br w:val="nil"/>
              <w:tr2bl w:val="nil"/>
            </w:tcBorders>
            <w:noWrap w:val="0"/>
            <w:vAlign w:val="center"/>
          </w:tcPr>
          <w:p w14:paraId="50F079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风向</w:t>
            </w:r>
          </w:p>
        </w:tc>
        <w:tc>
          <w:tcPr>
            <w:tcW w:w="914" w:type="dxa"/>
            <w:tcBorders>
              <w:tl2br w:val="nil"/>
              <w:tr2bl w:val="nil"/>
            </w:tcBorders>
            <w:noWrap w:val="0"/>
            <w:vAlign w:val="center"/>
          </w:tcPr>
          <w:p w14:paraId="1E3CC3E9">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风速</w:t>
            </w:r>
          </w:p>
          <w:p w14:paraId="031D9550">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（m/s）</w:t>
            </w:r>
          </w:p>
        </w:tc>
        <w:tc>
          <w:tcPr>
            <w:tcW w:w="914" w:type="dxa"/>
            <w:tcBorders>
              <w:tl2br w:val="nil"/>
              <w:tr2bl w:val="nil"/>
            </w:tcBorders>
            <w:noWrap w:val="0"/>
            <w:vAlign w:val="center"/>
          </w:tcPr>
          <w:p w14:paraId="5F2D1DD5">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温度</w:t>
            </w:r>
          </w:p>
          <w:p w14:paraId="3315CB8A">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w:t>
            </w:r>
          </w:p>
        </w:tc>
        <w:tc>
          <w:tcPr>
            <w:tcW w:w="914" w:type="dxa"/>
            <w:tcBorders>
              <w:tl2br w:val="nil"/>
              <w:tr2bl w:val="nil"/>
            </w:tcBorders>
            <w:noWrap w:val="0"/>
            <w:vAlign w:val="center"/>
          </w:tcPr>
          <w:p w14:paraId="63B24519">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湿度</w:t>
            </w:r>
          </w:p>
          <w:p w14:paraId="6E5AE333">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w:t>
            </w:r>
            <w:r>
              <w:rPr>
                <w:rFonts w:hint="default" w:ascii="Times New Roman" w:hAnsi="Times New Roman" w:eastAsia="宋体" w:cs="Times New Roman"/>
                <w:b/>
                <w:bCs/>
                <w:color w:val="auto"/>
                <w:sz w:val="21"/>
                <w:szCs w:val="21"/>
                <w:u w:val="none" w:color="auto"/>
                <w:lang w:val="en-US" w:eastAsia="zh-CN"/>
              </w:rPr>
              <w:t>%</w:t>
            </w:r>
            <w:r>
              <w:rPr>
                <w:rFonts w:hint="default" w:ascii="Times New Roman" w:hAnsi="Times New Roman" w:eastAsia="宋体" w:cs="Times New Roman"/>
                <w:b/>
                <w:bCs/>
                <w:color w:val="auto"/>
                <w:sz w:val="21"/>
                <w:szCs w:val="21"/>
                <w:u w:val="none" w:color="auto"/>
                <w:lang w:eastAsia="zh-CN"/>
              </w:rPr>
              <w:t>）</w:t>
            </w:r>
          </w:p>
        </w:tc>
        <w:tc>
          <w:tcPr>
            <w:tcW w:w="916" w:type="dxa"/>
            <w:tcBorders>
              <w:tl2br w:val="nil"/>
              <w:tr2bl w:val="nil"/>
            </w:tcBorders>
            <w:noWrap w:val="0"/>
            <w:vAlign w:val="center"/>
          </w:tcPr>
          <w:p w14:paraId="6FA689EF">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lang w:eastAsia="zh-CN"/>
              </w:rPr>
              <w:t>大</w:t>
            </w:r>
            <w:r>
              <w:rPr>
                <w:rFonts w:hint="default" w:ascii="Times New Roman" w:hAnsi="Times New Roman" w:eastAsia="宋体" w:cs="Times New Roman"/>
                <w:b/>
                <w:bCs/>
                <w:color w:val="auto"/>
                <w:sz w:val="21"/>
                <w:szCs w:val="21"/>
                <w:u w:val="none" w:color="auto"/>
              </w:rPr>
              <w:t>气压</w:t>
            </w:r>
          </w:p>
          <w:p w14:paraId="6BCD39AE">
            <w:pPr>
              <w:pStyle w:val="11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（k</w:t>
            </w:r>
            <w:r>
              <w:rPr>
                <w:rFonts w:hint="default" w:ascii="Times New Roman" w:hAnsi="Times New Roman" w:eastAsia="宋体" w:cs="Times New Roman"/>
                <w:b/>
                <w:bCs/>
                <w:color w:val="auto"/>
                <w:sz w:val="21"/>
                <w:szCs w:val="21"/>
                <w:u w:val="none" w:color="auto"/>
                <w:lang w:val="en-US" w:eastAsia="zh-CN"/>
              </w:rPr>
              <w:t>P</w:t>
            </w:r>
            <w:r>
              <w:rPr>
                <w:rFonts w:hint="default" w:ascii="Times New Roman" w:hAnsi="Times New Roman" w:eastAsia="宋体" w:cs="Times New Roman"/>
                <w:b/>
                <w:bCs/>
                <w:color w:val="auto"/>
                <w:sz w:val="21"/>
                <w:szCs w:val="21"/>
                <w:u w:val="none" w:color="auto"/>
              </w:rPr>
              <w:t>a）</w:t>
            </w:r>
          </w:p>
        </w:tc>
      </w:tr>
      <w:tr w14:paraId="72776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restart"/>
            <w:tcBorders>
              <w:tl2br w:val="nil"/>
              <w:tr2bl w:val="nil"/>
            </w:tcBorders>
            <w:noWrap w:val="0"/>
            <w:vAlign w:val="center"/>
          </w:tcPr>
          <w:p w14:paraId="6AFAB2C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color w:val="auto"/>
                <w:sz w:val="21"/>
                <w:szCs w:val="21"/>
                <w:lang w:val="en-US" w:eastAsia="zh-CN"/>
              </w:rPr>
              <w:t>G1主坝处</w:t>
            </w:r>
          </w:p>
        </w:tc>
        <w:tc>
          <w:tcPr>
            <w:tcW w:w="1807" w:type="dxa"/>
            <w:tcBorders>
              <w:tl2br w:val="nil"/>
              <w:tr2bl w:val="nil"/>
            </w:tcBorders>
            <w:noWrap w:val="0"/>
            <w:vAlign w:val="center"/>
          </w:tcPr>
          <w:p w14:paraId="266691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2024.09.01</w:t>
            </w:r>
          </w:p>
        </w:tc>
        <w:tc>
          <w:tcPr>
            <w:tcW w:w="914" w:type="dxa"/>
            <w:tcBorders>
              <w:tl2br w:val="nil"/>
              <w:tr2bl w:val="nil"/>
            </w:tcBorders>
            <w:noWrap w:val="0"/>
            <w:vAlign w:val="center"/>
          </w:tcPr>
          <w:p w14:paraId="01ED17C9">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00028A57">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南</w:t>
            </w:r>
          </w:p>
        </w:tc>
        <w:tc>
          <w:tcPr>
            <w:tcW w:w="914" w:type="dxa"/>
            <w:tcBorders>
              <w:tl2br w:val="nil"/>
              <w:tr2bl w:val="nil"/>
            </w:tcBorders>
            <w:noWrap w:val="0"/>
            <w:vAlign w:val="center"/>
          </w:tcPr>
          <w:p w14:paraId="74FE2033">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1.8</w:t>
            </w:r>
          </w:p>
        </w:tc>
        <w:tc>
          <w:tcPr>
            <w:tcW w:w="914" w:type="dxa"/>
            <w:tcBorders>
              <w:tl2br w:val="nil"/>
              <w:tr2bl w:val="nil"/>
            </w:tcBorders>
            <w:noWrap w:val="0"/>
            <w:vAlign w:val="center"/>
          </w:tcPr>
          <w:p w14:paraId="187227B9">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31.1</w:t>
            </w:r>
          </w:p>
        </w:tc>
        <w:tc>
          <w:tcPr>
            <w:tcW w:w="914" w:type="dxa"/>
            <w:tcBorders>
              <w:tl2br w:val="nil"/>
              <w:tr2bl w:val="nil"/>
            </w:tcBorders>
            <w:noWrap w:val="0"/>
            <w:vAlign w:val="center"/>
          </w:tcPr>
          <w:p w14:paraId="303841CF">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lang w:val="en-US" w:eastAsia="zh-CN" w:bidi="ar-SA"/>
              </w:rPr>
              <w:t>57</w:t>
            </w:r>
          </w:p>
        </w:tc>
        <w:tc>
          <w:tcPr>
            <w:tcW w:w="916" w:type="dxa"/>
            <w:tcBorders>
              <w:tl2br w:val="nil"/>
              <w:tr2bl w:val="nil"/>
            </w:tcBorders>
            <w:noWrap w:val="0"/>
            <w:vAlign w:val="center"/>
          </w:tcPr>
          <w:p w14:paraId="5E651A49">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99.8</w:t>
            </w:r>
          </w:p>
        </w:tc>
      </w:tr>
      <w:tr w14:paraId="4186D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520391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p>
        </w:tc>
        <w:tc>
          <w:tcPr>
            <w:tcW w:w="1807" w:type="dxa"/>
            <w:tcBorders>
              <w:tl2br w:val="nil"/>
              <w:tr2bl w:val="nil"/>
            </w:tcBorders>
            <w:noWrap w:val="0"/>
            <w:vAlign w:val="center"/>
          </w:tcPr>
          <w:p w14:paraId="05B06E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2024.09.02</w:t>
            </w:r>
          </w:p>
        </w:tc>
        <w:tc>
          <w:tcPr>
            <w:tcW w:w="914" w:type="dxa"/>
            <w:tcBorders>
              <w:tl2br w:val="nil"/>
              <w:tr2bl w:val="nil"/>
            </w:tcBorders>
            <w:noWrap w:val="0"/>
            <w:vAlign w:val="center"/>
          </w:tcPr>
          <w:p w14:paraId="08C61DDD">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111FEC29">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西南</w:t>
            </w:r>
          </w:p>
        </w:tc>
        <w:tc>
          <w:tcPr>
            <w:tcW w:w="914" w:type="dxa"/>
            <w:tcBorders>
              <w:tl2br w:val="nil"/>
              <w:tr2bl w:val="nil"/>
            </w:tcBorders>
            <w:noWrap w:val="0"/>
            <w:vAlign w:val="center"/>
          </w:tcPr>
          <w:p w14:paraId="542F8302">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1.9</w:t>
            </w:r>
          </w:p>
        </w:tc>
        <w:tc>
          <w:tcPr>
            <w:tcW w:w="914" w:type="dxa"/>
            <w:tcBorders>
              <w:tl2br w:val="nil"/>
              <w:tr2bl w:val="nil"/>
            </w:tcBorders>
            <w:noWrap w:val="0"/>
            <w:vAlign w:val="center"/>
          </w:tcPr>
          <w:p w14:paraId="455DE383">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30.2</w:t>
            </w:r>
          </w:p>
        </w:tc>
        <w:tc>
          <w:tcPr>
            <w:tcW w:w="914" w:type="dxa"/>
            <w:tcBorders>
              <w:tl2br w:val="nil"/>
              <w:tr2bl w:val="nil"/>
            </w:tcBorders>
            <w:noWrap w:val="0"/>
            <w:vAlign w:val="center"/>
          </w:tcPr>
          <w:p w14:paraId="2583AF70">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lang w:val="en-US" w:eastAsia="zh-CN" w:bidi="ar-SA"/>
              </w:rPr>
              <w:t>58</w:t>
            </w:r>
          </w:p>
        </w:tc>
        <w:tc>
          <w:tcPr>
            <w:tcW w:w="916" w:type="dxa"/>
            <w:tcBorders>
              <w:tl2br w:val="nil"/>
              <w:tr2bl w:val="nil"/>
            </w:tcBorders>
            <w:noWrap w:val="0"/>
            <w:vAlign w:val="center"/>
          </w:tcPr>
          <w:p w14:paraId="052217C7">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99.9</w:t>
            </w:r>
          </w:p>
        </w:tc>
      </w:tr>
      <w:tr w14:paraId="3A3D3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73FA0F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rPr>
            </w:pPr>
          </w:p>
        </w:tc>
        <w:tc>
          <w:tcPr>
            <w:tcW w:w="1807" w:type="dxa"/>
            <w:tcBorders>
              <w:tl2br w:val="nil"/>
              <w:tr2bl w:val="nil"/>
            </w:tcBorders>
            <w:noWrap w:val="0"/>
            <w:vAlign w:val="center"/>
          </w:tcPr>
          <w:p w14:paraId="6926F4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2024.09.03</w:t>
            </w:r>
          </w:p>
        </w:tc>
        <w:tc>
          <w:tcPr>
            <w:tcW w:w="914" w:type="dxa"/>
            <w:tcBorders>
              <w:tl2br w:val="nil"/>
              <w:tr2bl w:val="nil"/>
            </w:tcBorders>
            <w:noWrap w:val="0"/>
            <w:vAlign w:val="center"/>
          </w:tcPr>
          <w:p w14:paraId="2AE9CABB">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7E4DC495">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南</w:t>
            </w:r>
          </w:p>
        </w:tc>
        <w:tc>
          <w:tcPr>
            <w:tcW w:w="914" w:type="dxa"/>
            <w:tcBorders>
              <w:tl2br w:val="nil"/>
              <w:tr2bl w:val="nil"/>
            </w:tcBorders>
            <w:noWrap w:val="0"/>
            <w:vAlign w:val="center"/>
          </w:tcPr>
          <w:p w14:paraId="6EFAB7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1.6</w:t>
            </w:r>
          </w:p>
        </w:tc>
        <w:tc>
          <w:tcPr>
            <w:tcW w:w="914" w:type="dxa"/>
            <w:tcBorders>
              <w:tl2br w:val="nil"/>
              <w:tr2bl w:val="nil"/>
            </w:tcBorders>
            <w:noWrap w:val="0"/>
            <w:vAlign w:val="center"/>
          </w:tcPr>
          <w:p w14:paraId="6E5CBC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32.2</w:t>
            </w:r>
          </w:p>
        </w:tc>
        <w:tc>
          <w:tcPr>
            <w:tcW w:w="914" w:type="dxa"/>
            <w:tcBorders>
              <w:tl2br w:val="nil"/>
              <w:tr2bl w:val="nil"/>
            </w:tcBorders>
            <w:noWrap w:val="0"/>
            <w:vAlign w:val="center"/>
          </w:tcPr>
          <w:p w14:paraId="269659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lang w:val="en-US" w:eastAsia="zh-CN" w:bidi="ar-SA"/>
              </w:rPr>
              <w:t>56</w:t>
            </w:r>
          </w:p>
        </w:tc>
        <w:tc>
          <w:tcPr>
            <w:tcW w:w="916" w:type="dxa"/>
            <w:tcBorders>
              <w:tl2br w:val="nil"/>
              <w:tr2bl w:val="nil"/>
            </w:tcBorders>
            <w:noWrap w:val="0"/>
            <w:vAlign w:val="center"/>
          </w:tcPr>
          <w:p w14:paraId="36CCC8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99.8</w:t>
            </w:r>
          </w:p>
        </w:tc>
      </w:tr>
      <w:tr w14:paraId="5C650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6EE63D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p>
        </w:tc>
        <w:tc>
          <w:tcPr>
            <w:tcW w:w="1807" w:type="dxa"/>
            <w:tcBorders>
              <w:tl2br w:val="nil"/>
              <w:tr2bl w:val="nil"/>
            </w:tcBorders>
            <w:noWrap w:val="0"/>
            <w:vAlign w:val="center"/>
          </w:tcPr>
          <w:p w14:paraId="0EAE2B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2024.09.04</w:t>
            </w:r>
          </w:p>
        </w:tc>
        <w:tc>
          <w:tcPr>
            <w:tcW w:w="914" w:type="dxa"/>
            <w:tcBorders>
              <w:tl2br w:val="nil"/>
              <w:tr2bl w:val="nil"/>
            </w:tcBorders>
            <w:noWrap w:val="0"/>
            <w:vAlign w:val="center"/>
          </w:tcPr>
          <w:p w14:paraId="30F5E90F">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127DF8E4">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东南</w:t>
            </w:r>
          </w:p>
        </w:tc>
        <w:tc>
          <w:tcPr>
            <w:tcW w:w="914" w:type="dxa"/>
            <w:tcBorders>
              <w:tl2br w:val="nil"/>
              <w:tr2bl w:val="nil"/>
            </w:tcBorders>
            <w:noWrap w:val="0"/>
            <w:vAlign w:val="center"/>
          </w:tcPr>
          <w:p w14:paraId="0C37CC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1.9</w:t>
            </w:r>
          </w:p>
        </w:tc>
        <w:tc>
          <w:tcPr>
            <w:tcW w:w="914" w:type="dxa"/>
            <w:tcBorders>
              <w:tl2br w:val="nil"/>
              <w:tr2bl w:val="nil"/>
            </w:tcBorders>
            <w:noWrap w:val="0"/>
            <w:vAlign w:val="center"/>
          </w:tcPr>
          <w:p w14:paraId="006209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33.2</w:t>
            </w:r>
          </w:p>
        </w:tc>
        <w:tc>
          <w:tcPr>
            <w:tcW w:w="914" w:type="dxa"/>
            <w:tcBorders>
              <w:tl2br w:val="nil"/>
              <w:tr2bl w:val="nil"/>
            </w:tcBorders>
            <w:noWrap w:val="0"/>
            <w:vAlign w:val="center"/>
          </w:tcPr>
          <w:p w14:paraId="7CC1AC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lang w:val="en-US" w:eastAsia="zh-CN" w:bidi="ar-SA"/>
              </w:rPr>
              <w:t>51</w:t>
            </w:r>
          </w:p>
        </w:tc>
        <w:tc>
          <w:tcPr>
            <w:tcW w:w="916" w:type="dxa"/>
            <w:tcBorders>
              <w:tl2br w:val="nil"/>
              <w:tr2bl w:val="nil"/>
            </w:tcBorders>
            <w:noWrap w:val="0"/>
            <w:vAlign w:val="center"/>
          </w:tcPr>
          <w:p w14:paraId="564C77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99.7</w:t>
            </w:r>
          </w:p>
        </w:tc>
      </w:tr>
      <w:tr w14:paraId="0A4D1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523878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p>
        </w:tc>
        <w:tc>
          <w:tcPr>
            <w:tcW w:w="1807" w:type="dxa"/>
            <w:tcBorders>
              <w:tl2br w:val="nil"/>
              <w:tr2bl w:val="nil"/>
            </w:tcBorders>
            <w:noWrap w:val="0"/>
            <w:vAlign w:val="center"/>
          </w:tcPr>
          <w:p w14:paraId="518F9A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2024.09.05</w:t>
            </w:r>
          </w:p>
        </w:tc>
        <w:tc>
          <w:tcPr>
            <w:tcW w:w="914" w:type="dxa"/>
            <w:tcBorders>
              <w:tl2br w:val="nil"/>
              <w:tr2bl w:val="nil"/>
            </w:tcBorders>
            <w:noWrap w:val="0"/>
            <w:vAlign w:val="center"/>
          </w:tcPr>
          <w:p w14:paraId="28F5F586">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5F61EA74">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西南</w:t>
            </w:r>
          </w:p>
        </w:tc>
        <w:tc>
          <w:tcPr>
            <w:tcW w:w="914" w:type="dxa"/>
            <w:tcBorders>
              <w:tl2br w:val="nil"/>
              <w:tr2bl w:val="nil"/>
            </w:tcBorders>
            <w:noWrap w:val="0"/>
            <w:vAlign w:val="center"/>
          </w:tcPr>
          <w:p w14:paraId="6786E0DB">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1.7</w:t>
            </w:r>
          </w:p>
        </w:tc>
        <w:tc>
          <w:tcPr>
            <w:tcW w:w="914" w:type="dxa"/>
            <w:tcBorders>
              <w:tl2br w:val="nil"/>
              <w:tr2bl w:val="nil"/>
            </w:tcBorders>
            <w:noWrap w:val="0"/>
            <w:vAlign w:val="center"/>
          </w:tcPr>
          <w:p w14:paraId="38953D97">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30.6</w:t>
            </w:r>
          </w:p>
        </w:tc>
        <w:tc>
          <w:tcPr>
            <w:tcW w:w="914" w:type="dxa"/>
            <w:tcBorders>
              <w:tl2br w:val="nil"/>
              <w:tr2bl w:val="nil"/>
            </w:tcBorders>
            <w:noWrap w:val="0"/>
            <w:vAlign w:val="center"/>
          </w:tcPr>
          <w:p w14:paraId="381B5C70">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56</w:t>
            </w:r>
          </w:p>
        </w:tc>
        <w:tc>
          <w:tcPr>
            <w:tcW w:w="916" w:type="dxa"/>
            <w:tcBorders>
              <w:tl2br w:val="nil"/>
              <w:tr2bl w:val="nil"/>
            </w:tcBorders>
            <w:noWrap w:val="0"/>
            <w:vAlign w:val="center"/>
          </w:tcPr>
          <w:p w14:paraId="23F0DFEA">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99.8</w:t>
            </w:r>
          </w:p>
        </w:tc>
      </w:tr>
      <w:tr w14:paraId="12FE1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1183C6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p>
        </w:tc>
        <w:tc>
          <w:tcPr>
            <w:tcW w:w="1807" w:type="dxa"/>
            <w:tcBorders>
              <w:tl2br w:val="nil"/>
              <w:tr2bl w:val="nil"/>
            </w:tcBorders>
            <w:noWrap w:val="0"/>
            <w:vAlign w:val="center"/>
          </w:tcPr>
          <w:p w14:paraId="2D6B12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2024.09.06</w:t>
            </w:r>
          </w:p>
        </w:tc>
        <w:tc>
          <w:tcPr>
            <w:tcW w:w="914" w:type="dxa"/>
            <w:tcBorders>
              <w:tl2br w:val="nil"/>
              <w:tr2bl w:val="nil"/>
            </w:tcBorders>
            <w:noWrap w:val="0"/>
            <w:vAlign w:val="center"/>
          </w:tcPr>
          <w:p w14:paraId="4A3EA5E7">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6430EC4C">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南</w:t>
            </w:r>
          </w:p>
        </w:tc>
        <w:tc>
          <w:tcPr>
            <w:tcW w:w="914" w:type="dxa"/>
            <w:tcBorders>
              <w:tl2br w:val="nil"/>
              <w:tr2bl w:val="nil"/>
            </w:tcBorders>
            <w:noWrap w:val="0"/>
            <w:vAlign w:val="center"/>
          </w:tcPr>
          <w:p w14:paraId="04C71071">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1.8</w:t>
            </w:r>
          </w:p>
        </w:tc>
        <w:tc>
          <w:tcPr>
            <w:tcW w:w="914" w:type="dxa"/>
            <w:tcBorders>
              <w:tl2br w:val="nil"/>
              <w:tr2bl w:val="nil"/>
            </w:tcBorders>
            <w:noWrap w:val="0"/>
            <w:vAlign w:val="center"/>
          </w:tcPr>
          <w:p w14:paraId="411E962F">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31.7</w:t>
            </w:r>
          </w:p>
        </w:tc>
        <w:tc>
          <w:tcPr>
            <w:tcW w:w="914" w:type="dxa"/>
            <w:tcBorders>
              <w:tl2br w:val="nil"/>
              <w:tr2bl w:val="nil"/>
            </w:tcBorders>
            <w:noWrap w:val="0"/>
            <w:vAlign w:val="center"/>
          </w:tcPr>
          <w:p w14:paraId="611F56B2">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57</w:t>
            </w:r>
          </w:p>
        </w:tc>
        <w:tc>
          <w:tcPr>
            <w:tcW w:w="916" w:type="dxa"/>
            <w:tcBorders>
              <w:tl2br w:val="nil"/>
              <w:tr2bl w:val="nil"/>
            </w:tcBorders>
            <w:noWrap w:val="0"/>
            <w:vAlign w:val="center"/>
          </w:tcPr>
          <w:p w14:paraId="1EF834BC">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99.7</w:t>
            </w:r>
          </w:p>
        </w:tc>
      </w:tr>
      <w:tr w14:paraId="268E6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46" w:type="dxa"/>
            <w:vMerge w:val="continue"/>
            <w:tcBorders>
              <w:tl2br w:val="nil"/>
              <w:tr2bl w:val="nil"/>
            </w:tcBorders>
            <w:noWrap w:val="0"/>
            <w:vAlign w:val="center"/>
          </w:tcPr>
          <w:p w14:paraId="47B632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rPr>
            </w:pPr>
          </w:p>
        </w:tc>
        <w:tc>
          <w:tcPr>
            <w:tcW w:w="1807" w:type="dxa"/>
            <w:tcBorders>
              <w:tl2br w:val="nil"/>
              <w:tr2bl w:val="nil"/>
            </w:tcBorders>
            <w:noWrap w:val="0"/>
            <w:vAlign w:val="center"/>
          </w:tcPr>
          <w:p w14:paraId="284DA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2024.09.07</w:t>
            </w:r>
          </w:p>
        </w:tc>
        <w:tc>
          <w:tcPr>
            <w:tcW w:w="914" w:type="dxa"/>
            <w:tcBorders>
              <w:tl2br w:val="nil"/>
              <w:tr2bl w:val="nil"/>
            </w:tcBorders>
            <w:noWrap w:val="0"/>
            <w:vAlign w:val="center"/>
          </w:tcPr>
          <w:p w14:paraId="78C5D117">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晴</w:t>
            </w:r>
          </w:p>
        </w:tc>
        <w:tc>
          <w:tcPr>
            <w:tcW w:w="914" w:type="dxa"/>
            <w:tcBorders>
              <w:tl2br w:val="nil"/>
              <w:tr2bl w:val="nil"/>
            </w:tcBorders>
            <w:noWrap w:val="0"/>
            <w:vAlign w:val="center"/>
          </w:tcPr>
          <w:p w14:paraId="1A28AC8D">
            <w:pPr>
              <w:keepNext w:val="0"/>
              <w:keepLines w:val="0"/>
              <w:suppressLineNumbers w:val="0"/>
              <w:adjustRightInd w:val="0"/>
              <w:snapToGrid w:val="0"/>
              <w:spacing w:before="31" w:beforeLines="10" w:beforeAutospacing="0" w:after="31" w:afterLines="10" w:afterAutospacing="0"/>
              <w:ind w:left="0" w:leftChars="0" w:right="0" w:firstLine="0" w:firstLineChars="0"/>
              <w:jc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南</w:t>
            </w:r>
          </w:p>
        </w:tc>
        <w:tc>
          <w:tcPr>
            <w:tcW w:w="914" w:type="dxa"/>
            <w:tcBorders>
              <w:tl2br w:val="nil"/>
              <w:tr2bl w:val="nil"/>
            </w:tcBorders>
            <w:noWrap w:val="0"/>
            <w:vAlign w:val="center"/>
          </w:tcPr>
          <w:p w14:paraId="33C20B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1.7</w:t>
            </w:r>
          </w:p>
        </w:tc>
        <w:tc>
          <w:tcPr>
            <w:tcW w:w="914" w:type="dxa"/>
            <w:tcBorders>
              <w:tl2br w:val="nil"/>
              <w:tr2bl w:val="nil"/>
            </w:tcBorders>
            <w:noWrap w:val="0"/>
            <w:vAlign w:val="center"/>
          </w:tcPr>
          <w:p w14:paraId="1DA72C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32.0</w:t>
            </w:r>
          </w:p>
        </w:tc>
        <w:tc>
          <w:tcPr>
            <w:tcW w:w="914" w:type="dxa"/>
            <w:tcBorders>
              <w:tl2br w:val="nil"/>
              <w:tr2bl w:val="nil"/>
            </w:tcBorders>
            <w:noWrap w:val="0"/>
            <w:vAlign w:val="center"/>
          </w:tcPr>
          <w:p w14:paraId="23299E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59</w:t>
            </w:r>
          </w:p>
        </w:tc>
        <w:tc>
          <w:tcPr>
            <w:tcW w:w="916" w:type="dxa"/>
            <w:tcBorders>
              <w:tl2br w:val="nil"/>
              <w:tr2bl w:val="nil"/>
            </w:tcBorders>
            <w:noWrap w:val="0"/>
            <w:vAlign w:val="center"/>
          </w:tcPr>
          <w:p w14:paraId="10208C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FF"/>
                <w:sz w:val="21"/>
                <w:szCs w:val="21"/>
                <w:u w:val="none" w:color="auto"/>
                <w:lang w:val="en-US" w:eastAsia="zh-CN"/>
              </w:rPr>
            </w:pPr>
            <w:r>
              <w:rPr>
                <w:rFonts w:hint="default" w:ascii="Times New Roman" w:hAnsi="Times New Roman" w:eastAsia="宋体" w:cs="Times New Roman"/>
                <w:b w:val="0"/>
                <w:bCs w:val="0"/>
                <w:color w:val="auto"/>
                <w:sz w:val="21"/>
                <w:szCs w:val="21"/>
                <w:lang w:val="en-US" w:eastAsia="zh-CN"/>
              </w:rPr>
              <w:t>99.8</w:t>
            </w:r>
          </w:p>
        </w:tc>
      </w:tr>
    </w:tbl>
    <w:p w14:paraId="44140E43">
      <w:pPr>
        <w:keepNext w:val="0"/>
        <w:keepLines w:val="0"/>
        <w:pageBreakBefore w:val="0"/>
        <w:widowControl/>
        <w:kinsoku w:val="0"/>
        <w:wordWrap w:val="0"/>
        <w:overflowPunct/>
        <w:topLinePunct/>
        <w:autoSpaceDE/>
        <w:autoSpaceDN/>
        <w:bidi w:val="0"/>
        <w:adjustRightInd/>
        <w:snapToGrid/>
        <w:spacing w:before="0" w:beforeLines="50" w:line="360" w:lineRule="auto"/>
        <w:jc w:val="center"/>
        <w:textAlignment w:val="auto"/>
        <w:rPr>
          <w:rFonts w:hint="default" w:ascii="Times New Roman" w:hAnsi="Times New Roman" w:eastAsia="宋体" w:cs="Times New Roman"/>
          <w:b/>
          <w:caps w:val="0"/>
          <w:smallCaps w:val="0"/>
          <w:color w:val="auto"/>
          <w:spacing w:val="0"/>
          <w:w w:val="100"/>
          <w:position w:val="0"/>
          <w:sz w:val="24"/>
          <w:szCs w:val="24"/>
          <w:u w:val="none" w:color="auto"/>
          <w:lang w:val="en-US" w:eastAsia="zh-CN"/>
        </w:rPr>
      </w:pPr>
      <w:r>
        <w:rPr>
          <w:rFonts w:hint="default" w:ascii="Times New Roman" w:hAnsi="Times New Roman" w:eastAsia="宋体" w:cs="Times New Roman"/>
          <w:b/>
          <w:caps w:val="0"/>
          <w:smallCaps w:val="0"/>
          <w:color w:val="auto"/>
          <w:spacing w:val="0"/>
          <w:w w:val="100"/>
          <w:position w:val="0"/>
          <w:sz w:val="24"/>
          <w:szCs w:val="24"/>
          <w:u w:val="none" w:color="auto"/>
        </w:rPr>
        <w:t>表</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3.2</w:t>
      </w:r>
      <w:r>
        <w:rPr>
          <w:rFonts w:hint="default" w:ascii="Times New Roman" w:hAnsi="Times New Roman" w:eastAsia="宋体" w:cs="Times New Roman"/>
          <w:b/>
          <w:caps w:val="0"/>
          <w:smallCaps w:val="0"/>
          <w:color w:val="auto"/>
          <w:spacing w:val="0"/>
          <w:w w:val="100"/>
          <w:position w:val="0"/>
          <w:sz w:val="24"/>
          <w:szCs w:val="24"/>
          <w:u w:val="none" w:color="auto"/>
        </w:rPr>
        <w:t>-</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3</w:t>
      </w:r>
      <w:r>
        <w:rPr>
          <w:rFonts w:hint="default" w:ascii="Times New Roman" w:hAnsi="Times New Roman" w:eastAsia="宋体" w:cs="Times New Roman"/>
          <w:b/>
          <w:caps w:val="0"/>
          <w:smallCaps w:val="0"/>
          <w:color w:val="auto"/>
          <w:spacing w:val="0"/>
          <w:w w:val="100"/>
          <w:position w:val="0"/>
          <w:sz w:val="24"/>
          <w:szCs w:val="24"/>
          <w:u w:val="none" w:color="auto"/>
        </w:rPr>
        <w:t xml:space="preserve">  </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特征污染物环境质量</w:t>
      </w:r>
      <w:r>
        <w:rPr>
          <w:rFonts w:hint="default" w:ascii="Times New Roman" w:hAnsi="Times New Roman" w:eastAsia="宋体" w:cs="Times New Roman"/>
          <w:b/>
          <w:caps w:val="0"/>
          <w:smallCaps w:val="0"/>
          <w:color w:val="auto"/>
          <w:spacing w:val="0"/>
          <w:w w:val="100"/>
          <w:position w:val="0"/>
          <w:sz w:val="24"/>
          <w:szCs w:val="24"/>
          <w:u w:val="none" w:color="auto"/>
        </w:rPr>
        <w:t>现状监测及评价结果</w:t>
      </w: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843"/>
        <w:gridCol w:w="2225"/>
        <w:gridCol w:w="2789"/>
      </w:tblGrid>
      <w:tr w14:paraId="6A583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669" w:type="dxa"/>
            <w:vMerge w:val="restart"/>
            <w:tcBorders>
              <w:tl2br w:val="nil"/>
              <w:tr2bl w:val="nil"/>
            </w:tcBorders>
            <w:vAlign w:val="center"/>
          </w:tcPr>
          <w:p w14:paraId="3D0A5049">
            <w:pPr>
              <w:keepNext w:val="0"/>
              <w:keepLines w:val="0"/>
              <w:pageBreakBefore w:val="0"/>
              <w:widowControl w:val="0"/>
              <w:suppressLineNumbers w:val="0"/>
              <w:kinsoku/>
              <w:wordWrap/>
              <w:overflowPunct/>
              <w:topLinePunct w:val="0"/>
              <w:autoSpaceDE/>
              <w:autoSpaceDN/>
              <w:bidi w:val="0"/>
              <w:adjustRightInd w:val="0"/>
              <w:snapToGrid w:val="0"/>
              <w:spacing w:before="34" w:beforeLines="10" w:beforeAutospacing="0" w:after="34" w:afterLines="1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1841" w:type="dxa"/>
            <w:vMerge w:val="restart"/>
            <w:tcBorders>
              <w:tl2br w:val="nil"/>
              <w:tr2bl w:val="nil"/>
            </w:tcBorders>
            <w:vAlign w:val="center"/>
          </w:tcPr>
          <w:p w14:paraId="17F8E818">
            <w:pPr>
              <w:keepNext w:val="0"/>
              <w:keepLines w:val="0"/>
              <w:pageBreakBefore w:val="0"/>
              <w:widowControl w:val="0"/>
              <w:suppressLineNumbers w:val="0"/>
              <w:kinsoku/>
              <w:wordWrap/>
              <w:overflowPunct/>
              <w:topLinePunct w:val="0"/>
              <w:autoSpaceDE/>
              <w:autoSpaceDN/>
              <w:bidi w:val="0"/>
              <w:adjustRightInd w:val="0"/>
              <w:snapToGrid w:val="0"/>
              <w:spacing w:before="34" w:beforeLines="10" w:beforeAutospacing="0" w:after="34" w:afterLines="1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w:t>
            </w:r>
            <w:r>
              <w:rPr>
                <w:rFonts w:hint="default" w:ascii="Times New Roman" w:hAnsi="Times New Roman" w:eastAsia="宋体" w:cs="Times New Roman"/>
                <w:b/>
                <w:bCs/>
                <w:color w:val="auto"/>
                <w:sz w:val="21"/>
                <w:szCs w:val="21"/>
                <w:u w:val="none" w:color="auto"/>
                <w:lang w:eastAsia="zh-CN"/>
              </w:rPr>
              <w:t>时间</w:t>
            </w:r>
          </w:p>
        </w:tc>
        <w:tc>
          <w:tcPr>
            <w:tcW w:w="5010" w:type="dxa"/>
            <w:gridSpan w:val="2"/>
            <w:tcBorders>
              <w:tl2br w:val="nil"/>
              <w:tr2bl w:val="nil"/>
            </w:tcBorders>
            <w:vAlign w:val="center"/>
          </w:tcPr>
          <w:p w14:paraId="3E58A7EA">
            <w:pPr>
              <w:keepNext w:val="0"/>
              <w:keepLines w:val="0"/>
              <w:pageBreakBefore w:val="0"/>
              <w:widowControl w:val="0"/>
              <w:suppressLineNumbers w:val="0"/>
              <w:kinsoku/>
              <w:wordWrap/>
              <w:overflowPunct/>
              <w:topLinePunct w:val="0"/>
              <w:autoSpaceDE/>
              <w:autoSpaceDN/>
              <w:bidi w:val="0"/>
              <w:adjustRightInd w:val="0"/>
              <w:snapToGrid w:val="0"/>
              <w:spacing w:before="34" w:beforeLines="10" w:beforeAutospacing="0" w:after="34" w:afterLines="1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采样点位和</w:t>
            </w:r>
            <w:r>
              <w:rPr>
                <w:rFonts w:hint="default" w:ascii="Times New Roman" w:hAnsi="Times New Roman" w:eastAsia="宋体" w:cs="Times New Roman"/>
                <w:b/>
                <w:bCs/>
                <w:color w:val="auto"/>
                <w:sz w:val="21"/>
                <w:szCs w:val="21"/>
                <w:u w:val="none" w:color="auto"/>
                <w:lang w:eastAsia="zh-CN"/>
              </w:rPr>
              <w:t>检测结果（mg/m</w:t>
            </w:r>
            <w:r>
              <w:rPr>
                <w:rFonts w:hint="default" w:ascii="Times New Roman" w:hAnsi="Times New Roman" w:eastAsia="宋体" w:cs="Times New Roman"/>
                <w:b/>
                <w:bCs/>
                <w:color w:val="auto"/>
                <w:sz w:val="21"/>
                <w:szCs w:val="21"/>
                <w:u w:val="none" w:color="auto"/>
                <w:vertAlign w:val="superscript"/>
                <w:lang w:eastAsia="zh-CN"/>
              </w:rPr>
              <w:t>3</w:t>
            </w:r>
            <w:r>
              <w:rPr>
                <w:rFonts w:hint="default" w:ascii="Times New Roman" w:hAnsi="Times New Roman" w:eastAsia="宋体" w:cs="Times New Roman"/>
                <w:b/>
                <w:bCs/>
                <w:color w:val="auto"/>
                <w:sz w:val="21"/>
                <w:szCs w:val="21"/>
                <w:u w:val="none" w:color="auto"/>
                <w:lang w:eastAsia="zh-CN"/>
              </w:rPr>
              <w:t>）</w:t>
            </w:r>
          </w:p>
        </w:tc>
      </w:tr>
      <w:tr w14:paraId="7CBB2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669" w:type="dxa"/>
            <w:vMerge w:val="continue"/>
            <w:tcBorders>
              <w:tl2br w:val="nil"/>
              <w:tr2bl w:val="nil"/>
            </w:tcBorders>
            <w:vAlign w:val="center"/>
          </w:tcPr>
          <w:p w14:paraId="37D5B459">
            <w:pPr>
              <w:keepNext w:val="0"/>
              <w:keepLines w:val="0"/>
              <w:pageBreakBefore w:val="0"/>
              <w:widowControl w:val="0"/>
              <w:suppressLineNumbers w:val="0"/>
              <w:kinsoku/>
              <w:wordWrap/>
              <w:overflowPunct/>
              <w:topLinePunct w:val="0"/>
              <w:autoSpaceDE/>
              <w:autoSpaceDN/>
              <w:bidi w:val="0"/>
              <w:adjustRightInd w:val="0"/>
              <w:snapToGrid w:val="0"/>
              <w:spacing w:before="34" w:beforeLines="10" w:beforeAutospacing="0" w:after="34" w:afterLines="1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u w:val="none" w:color="auto"/>
              </w:rPr>
            </w:pPr>
          </w:p>
        </w:tc>
        <w:tc>
          <w:tcPr>
            <w:tcW w:w="1841" w:type="dxa"/>
            <w:vMerge w:val="continue"/>
            <w:tcBorders>
              <w:tl2br w:val="nil"/>
              <w:tr2bl w:val="nil"/>
            </w:tcBorders>
            <w:vAlign w:val="center"/>
          </w:tcPr>
          <w:p w14:paraId="7CD6E960">
            <w:pPr>
              <w:keepNext w:val="0"/>
              <w:keepLines w:val="0"/>
              <w:pageBreakBefore w:val="0"/>
              <w:widowControl w:val="0"/>
              <w:suppressLineNumbers w:val="0"/>
              <w:kinsoku/>
              <w:wordWrap/>
              <w:overflowPunct/>
              <w:topLinePunct w:val="0"/>
              <w:autoSpaceDE/>
              <w:autoSpaceDN/>
              <w:bidi w:val="0"/>
              <w:adjustRightInd w:val="0"/>
              <w:snapToGrid w:val="0"/>
              <w:spacing w:before="34" w:beforeLines="10" w:beforeAutospacing="0" w:after="34" w:afterLines="10" w:afterAutospacing="0" w:line="240" w:lineRule="auto"/>
              <w:ind w:left="-105" w:leftChars="-50" w:right="-105" w:rightChars="-50" w:firstLine="0" w:firstLineChars="0"/>
              <w:jc w:val="center"/>
              <w:textAlignment w:val="auto"/>
              <w:outlineLvl w:val="9"/>
              <w:rPr>
                <w:rFonts w:hint="default" w:ascii="Times New Roman" w:hAnsi="Times New Roman" w:cs="Times New Roman"/>
                <w:color w:val="auto"/>
                <w:u w:val="none" w:color="auto"/>
              </w:rPr>
            </w:pPr>
          </w:p>
        </w:tc>
        <w:tc>
          <w:tcPr>
            <w:tcW w:w="2223" w:type="dxa"/>
            <w:tcBorders>
              <w:tl2br w:val="nil"/>
              <w:tr2bl w:val="nil"/>
            </w:tcBorders>
            <w:vAlign w:val="center"/>
          </w:tcPr>
          <w:p w14:paraId="76A44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color w:val="auto"/>
                <w:sz w:val="21"/>
                <w:szCs w:val="21"/>
                <w:lang w:val="en-US" w:eastAsia="zh-CN"/>
              </w:rPr>
              <w:t>G1主坝处</w:t>
            </w:r>
          </w:p>
        </w:tc>
        <w:tc>
          <w:tcPr>
            <w:tcW w:w="2787" w:type="dxa"/>
            <w:tcBorders>
              <w:tl2br w:val="nil"/>
              <w:tr2bl w:val="nil"/>
            </w:tcBorders>
            <w:vAlign w:val="center"/>
          </w:tcPr>
          <w:p w14:paraId="0CAC56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color w:val="auto"/>
                <w:sz w:val="21"/>
                <w:szCs w:val="21"/>
                <w:lang w:val="en-US" w:eastAsia="zh-CN"/>
              </w:rPr>
              <w:t>G2虎尾村</w:t>
            </w:r>
          </w:p>
        </w:tc>
      </w:tr>
      <w:tr w14:paraId="01A66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restart"/>
            <w:tcBorders>
              <w:tl2br w:val="nil"/>
              <w:tr2bl w:val="nil"/>
            </w:tcBorders>
            <w:shd w:val="clear" w:color="auto" w:fill="auto"/>
            <w:vAlign w:val="center"/>
          </w:tcPr>
          <w:p w14:paraId="7AD52842">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TSP</w:t>
            </w:r>
          </w:p>
        </w:tc>
        <w:tc>
          <w:tcPr>
            <w:tcW w:w="1841" w:type="dxa"/>
            <w:tcBorders>
              <w:tl2br w:val="nil"/>
              <w:tr2bl w:val="nil"/>
            </w:tcBorders>
            <w:shd w:val="clear" w:color="auto" w:fill="auto"/>
            <w:vAlign w:val="center"/>
          </w:tcPr>
          <w:p w14:paraId="6B6556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2024.05.08</w:t>
            </w:r>
          </w:p>
        </w:tc>
        <w:tc>
          <w:tcPr>
            <w:tcW w:w="2223" w:type="dxa"/>
            <w:tcBorders>
              <w:tl2br w:val="nil"/>
              <w:tr2bl w:val="nil"/>
            </w:tcBorders>
            <w:shd w:val="clear" w:color="auto" w:fill="auto"/>
            <w:vAlign w:val="center"/>
          </w:tcPr>
          <w:p w14:paraId="294FF1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0.104</w:t>
            </w:r>
          </w:p>
        </w:tc>
        <w:tc>
          <w:tcPr>
            <w:tcW w:w="2787" w:type="dxa"/>
            <w:tcBorders>
              <w:tl2br w:val="nil"/>
              <w:tr2bl w:val="nil"/>
            </w:tcBorders>
            <w:shd w:val="clear" w:color="auto" w:fill="auto"/>
            <w:vAlign w:val="center"/>
          </w:tcPr>
          <w:p w14:paraId="79D405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0.097</w:t>
            </w:r>
          </w:p>
        </w:tc>
      </w:tr>
      <w:tr w14:paraId="1853C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21D5311B">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73A50B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2024.05.09</w:t>
            </w:r>
          </w:p>
        </w:tc>
        <w:tc>
          <w:tcPr>
            <w:tcW w:w="2223" w:type="dxa"/>
            <w:tcBorders>
              <w:tl2br w:val="nil"/>
              <w:tr2bl w:val="nil"/>
            </w:tcBorders>
            <w:shd w:val="clear" w:color="auto" w:fill="auto"/>
            <w:vAlign w:val="center"/>
          </w:tcPr>
          <w:p w14:paraId="5DD16E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0.097</w:t>
            </w:r>
          </w:p>
        </w:tc>
        <w:tc>
          <w:tcPr>
            <w:tcW w:w="2787" w:type="dxa"/>
            <w:tcBorders>
              <w:tl2br w:val="nil"/>
              <w:tr2bl w:val="nil"/>
            </w:tcBorders>
            <w:shd w:val="clear" w:color="auto" w:fill="auto"/>
            <w:vAlign w:val="center"/>
          </w:tcPr>
          <w:p w14:paraId="77DA27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0.105</w:t>
            </w:r>
          </w:p>
        </w:tc>
      </w:tr>
      <w:tr w14:paraId="6DE10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66CDF839">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68049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2024.05.10</w:t>
            </w:r>
          </w:p>
        </w:tc>
        <w:tc>
          <w:tcPr>
            <w:tcW w:w="2223" w:type="dxa"/>
            <w:tcBorders>
              <w:tl2br w:val="nil"/>
              <w:tr2bl w:val="nil"/>
            </w:tcBorders>
            <w:shd w:val="clear" w:color="auto" w:fill="auto"/>
            <w:vAlign w:val="center"/>
          </w:tcPr>
          <w:p w14:paraId="571B58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0.102</w:t>
            </w:r>
          </w:p>
        </w:tc>
        <w:tc>
          <w:tcPr>
            <w:tcW w:w="2787" w:type="dxa"/>
            <w:tcBorders>
              <w:tl2br w:val="nil"/>
              <w:tr2bl w:val="nil"/>
            </w:tcBorders>
            <w:shd w:val="clear" w:color="auto" w:fill="auto"/>
            <w:vAlign w:val="center"/>
          </w:tcPr>
          <w:p w14:paraId="05D9DE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0.107</w:t>
            </w:r>
          </w:p>
        </w:tc>
      </w:tr>
      <w:tr w14:paraId="4B61B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1171C1C1">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62E1C4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2024.05.11</w:t>
            </w:r>
          </w:p>
        </w:tc>
        <w:tc>
          <w:tcPr>
            <w:tcW w:w="2223" w:type="dxa"/>
            <w:tcBorders>
              <w:tl2br w:val="nil"/>
              <w:tr2bl w:val="nil"/>
            </w:tcBorders>
            <w:shd w:val="clear" w:color="auto" w:fill="auto"/>
            <w:vAlign w:val="center"/>
          </w:tcPr>
          <w:p w14:paraId="0306D8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0.102</w:t>
            </w:r>
          </w:p>
        </w:tc>
        <w:tc>
          <w:tcPr>
            <w:tcW w:w="2787" w:type="dxa"/>
            <w:tcBorders>
              <w:tl2br w:val="nil"/>
              <w:tr2bl w:val="nil"/>
            </w:tcBorders>
            <w:shd w:val="clear" w:color="auto" w:fill="auto"/>
            <w:vAlign w:val="center"/>
          </w:tcPr>
          <w:p w14:paraId="53408C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0.100</w:t>
            </w:r>
          </w:p>
        </w:tc>
      </w:tr>
      <w:tr w14:paraId="2DBF3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43B6B495">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4F48FA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2024.05.12</w:t>
            </w:r>
          </w:p>
        </w:tc>
        <w:tc>
          <w:tcPr>
            <w:tcW w:w="2223" w:type="dxa"/>
            <w:tcBorders>
              <w:tl2br w:val="nil"/>
              <w:tr2bl w:val="nil"/>
            </w:tcBorders>
            <w:shd w:val="clear" w:color="auto" w:fill="auto"/>
            <w:vAlign w:val="center"/>
          </w:tcPr>
          <w:p w14:paraId="613324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0.103</w:t>
            </w:r>
          </w:p>
        </w:tc>
        <w:tc>
          <w:tcPr>
            <w:tcW w:w="2787" w:type="dxa"/>
            <w:tcBorders>
              <w:tl2br w:val="nil"/>
              <w:tr2bl w:val="nil"/>
            </w:tcBorders>
            <w:shd w:val="clear" w:color="auto" w:fill="auto"/>
            <w:vAlign w:val="center"/>
          </w:tcPr>
          <w:p w14:paraId="7A50A3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0.095</w:t>
            </w:r>
          </w:p>
        </w:tc>
      </w:tr>
      <w:tr w14:paraId="033EC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200BFAF7">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1A24FB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2024.05.13</w:t>
            </w:r>
          </w:p>
        </w:tc>
        <w:tc>
          <w:tcPr>
            <w:tcW w:w="2223" w:type="dxa"/>
            <w:tcBorders>
              <w:tl2br w:val="nil"/>
              <w:tr2bl w:val="nil"/>
            </w:tcBorders>
            <w:shd w:val="clear" w:color="auto" w:fill="auto"/>
            <w:vAlign w:val="center"/>
          </w:tcPr>
          <w:p w14:paraId="5DE85D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0.105</w:t>
            </w:r>
          </w:p>
        </w:tc>
        <w:tc>
          <w:tcPr>
            <w:tcW w:w="2787" w:type="dxa"/>
            <w:tcBorders>
              <w:tl2br w:val="nil"/>
              <w:tr2bl w:val="nil"/>
            </w:tcBorders>
            <w:shd w:val="clear" w:color="auto" w:fill="auto"/>
            <w:vAlign w:val="center"/>
          </w:tcPr>
          <w:p w14:paraId="226796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0.105</w:t>
            </w:r>
          </w:p>
        </w:tc>
      </w:tr>
      <w:tr w14:paraId="0CD1D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tcBorders>
              <w:tl2br w:val="nil"/>
              <w:tr2bl w:val="nil"/>
            </w:tcBorders>
            <w:shd w:val="clear" w:color="auto" w:fill="auto"/>
            <w:vAlign w:val="center"/>
          </w:tcPr>
          <w:p w14:paraId="54AFF386">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1841" w:type="dxa"/>
            <w:tcBorders>
              <w:tl2br w:val="nil"/>
              <w:tr2bl w:val="nil"/>
            </w:tcBorders>
            <w:shd w:val="clear" w:color="auto" w:fill="auto"/>
            <w:vAlign w:val="center"/>
          </w:tcPr>
          <w:p w14:paraId="0BBEB2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2024.05.14</w:t>
            </w:r>
          </w:p>
        </w:tc>
        <w:tc>
          <w:tcPr>
            <w:tcW w:w="2223" w:type="dxa"/>
            <w:tcBorders>
              <w:tl2br w:val="nil"/>
              <w:tr2bl w:val="nil"/>
            </w:tcBorders>
            <w:shd w:val="clear" w:color="auto" w:fill="auto"/>
            <w:vAlign w:val="center"/>
          </w:tcPr>
          <w:p w14:paraId="58EE72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0.101</w:t>
            </w:r>
          </w:p>
        </w:tc>
        <w:tc>
          <w:tcPr>
            <w:tcW w:w="2787" w:type="dxa"/>
            <w:tcBorders>
              <w:tl2br w:val="nil"/>
              <w:tr2bl w:val="nil"/>
            </w:tcBorders>
            <w:shd w:val="clear" w:color="auto" w:fill="auto"/>
            <w:vAlign w:val="center"/>
          </w:tcPr>
          <w:p w14:paraId="30A70B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0.113</w:t>
            </w:r>
          </w:p>
        </w:tc>
      </w:tr>
      <w:tr w14:paraId="0B058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0" w:type="dxa"/>
            <w:gridSpan w:val="2"/>
            <w:tcBorders>
              <w:tl2br w:val="nil"/>
              <w:tr2bl w:val="nil"/>
            </w:tcBorders>
            <w:shd w:val="clear" w:color="auto" w:fill="auto"/>
            <w:vAlign w:val="center"/>
          </w:tcPr>
          <w:p w14:paraId="4A0F2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标准值（24小时均值）</w:t>
            </w:r>
          </w:p>
        </w:tc>
        <w:tc>
          <w:tcPr>
            <w:tcW w:w="2223" w:type="dxa"/>
            <w:tcBorders>
              <w:tl2br w:val="nil"/>
              <w:tr2bl w:val="nil"/>
            </w:tcBorders>
            <w:shd w:val="clear" w:color="auto" w:fill="auto"/>
            <w:vAlign w:val="center"/>
          </w:tcPr>
          <w:p w14:paraId="4B0546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0.3</w:t>
            </w:r>
          </w:p>
        </w:tc>
        <w:tc>
          <w:tcPr>
            <w:tcW w:w="2787" w:type="dxa"/>
            <w:tcBorders>
              <w:tl2br w:val="nil"/>
              <w:tr2bl w:val="nil"/>
            </w:tcBorders>
            <w:shd w:val="clear" w:color="auto" w:fill="auto"/>
            <w:vAlign w:val="center"/>
          </w:tcPr>
          <w:p w14:paraId="387D63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0.3</w:t>
            </w:r>
          </w:p>
        </w:tc>
      </w:tr>
      <w:tr w14:paraId="59B04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0" w:type="dxa"/>
            <w:gridSpan w:val="2"/>
            <w:tcBorders>
              <w:tl2br w:val="nil"/>
              <w:tr2bl w:val="nil"/>
            </w:tcBorders>
            <w:shd w:val="clear" w:color="auto" w:fill="auto"/>
            <w:vAlign w:val="center"/>
          </w:tcPr>
          <w:p w14:paraId="333D02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最大浓度占标率（%）</w:t>
            </w:r>
          </w:p>
        </w:tc>
        <w:tc>
          <w:tcPr>
            <w:tcW w:w="2223" w:type="dxa"/>
            <w:tcBorders>
              <w:tl2br w:val="nil"/>
              <w:tr2bl w:val="nil"/>
            </w:tcBorders>
            <w:shd w:val="clear" w:color="auto" w:fill="auto"/>
            <w:vAlign w:val="center"/>
          </w:tcPr>
          <w:p w14:paraId="2115CE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3</w:t>
            </w:r>
            <w:r>
              <w:rPr>
                <w:rFonts w:hint="eastAsia" w:ascii="Times New Roman" w:hAnsi="Times New Roman" w:eastAsia="宋体" w:cs="Times New Roman"/>
                <w:color w:val="auto"/>
                <w:kern w:val="2"/>
                <w:sz w:val="21"/>
                <w:szCs w:val="21"/>
                <w:u w:val="none" w:color="auto"/>
                <w:lang w:val="en-US" w:eastAsia="zh-CN" w:bidi="ar-SA"/>
              </w:rPr>
              <w:t>5.00</w:t>
            </w:r>
          </w:p>
        </w:tc>
        <w:tc>
          <w:tcPr>
            <w:tcW w:w="2787" w:type="dxa"/>
            <w:tcBorders>
              <w:tl2br w:val="nil"/>
              <w:tr2bl w:val="nil"/>
            </w:tcBorders>
            <w:shd w:val="clear" w:color="auto" w:fill="auto"/>
            <w:vAlign w:val="center"/>
          </w:tcPr>
          <w:p w14:paraId="35401E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3</w:t>
            </w:r>
            <w:r>
              <w:rPr>
                <w:rFonts w:hint="eastAsia" w:ascii="Times New Roman" w:hAnsi="Times New Roman" w:eastAsia="宋体" w:cs="Times New Roman"/>
                <w:color w:val="auto"/>
                <w:kern w:val="2"/>
                <w:sz w:val="21"/>
                <w:szCs w:val="21"/>
                <w:u w:val="none" w:color="auto"/>
                <w:lang w:val="en-US" w:eastAsia="zh-CN" w:bidi="ar-SA"/>
              </w:rPr>
              <w:t>7.67</w:t>
            </w:r>
          </w:p>
        </w:tc>
      </w:tr>
      <w:tr w14:paraId="7B53E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0" w:type="dxa"/>
            <w:gridSpan w:val="2"/>
            <w:tcBorders>
              <w:tl2br w:val="nil"/>
              <w:tr2bl w:val="nil"/>
            </w:tcBorders>
            <w:shd w:val="clear" w:color="auto" w:fill="auto"/>
            <w:vAlign w:val="center"/>
          </w:tcPr>
          <w:p w14:paraId="15D338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超标率（%）</w:t>
            </w:r>
          </w:p>
        </w:tc>
        <w:tc>
          <w:tcPr>
            <w:tcW w:w="2223" w:type="dxa"/>
            <w:tcBorders>
              <w:tl2br w:val="nil"/>
              <w:tr2bl w:val="nil"/>
            </w:tcBorders>
            <w:shd w:val="clear" w:color="auto" w:fill="auto"/>
            <w:vAlign w:val="center"/>
          </w:tcPr>
          <w:p w14:paraId="4769AA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w:t>
            </w:r>
          </w:p>
        </w:tc>
        <w:tc>
          <w:tcPr>
            <w:tcW w:w="2787" w:type="dxa"/>
            <w:tcBorders>
              <w:tl2br w:val="nil"/>
              <w:tr2bl w:val="nil"/>
            </w:tcBorders>
            <w:shd w:val="clear" w:color="auto" w:fill="auto"/>
            <w:vAlign w:val="center"/>
          </w:tcPr>
          <w:p w14:paraId="2D1F8C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w:t>
            </w:r>
          </w:p>
        </w:tc>
      </w:tr>
      <w:tr w14:paraId="7460B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0" w:type="dxa"/>
            <w:gridSpan w:val="2"/>
            <w:tcBorders>
              <w:tl2br w:val="nil"/>
              <w:tr2bl w:val="nil"/>
            </w:tcBorders>
            <w:shd w:val="clear" w:color="auto" w:fill="auto"/>
            <w:vAlign w:val="center"/>
          </w:tcPr>
          <w:p w14:paraId="49CD42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达标情况</w:t>
            </w:r>
          </w:p>
        </w:tc>
        <w:tc>
          <w:tcPr>
            <w:tcW w:w="2223" w:type="dxa"/>
            <w:tcBorders>
              <w:tl2br w:val="nil"/>
              <w:tr2bl w:val="nil"/>
            </w:tcBorders>
            <w:shd w:val="clear" w:color="auto" w:fill="auto"/>
            <w:vAlign w:val="center"/>
          </w:tcPr>
          <w:p w14:paraId="0F9741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达标</w:t>
            </w:r>
          </w:p>
        </w:tc>
        <w:tc>
          <w:tcPr>
            <w:tcW w:w="2787" w:type="dxa"/>
            <w:tcBorders>
              <w:tl2br w:val="nil"/>
              <w:tr2bl w:val="nil"/>
            </w:tcBorders>
            <w:shd w:val="clear" w:color="auto" w:fill="auto"/>
            <w:vAlign w:val="center"/>
          </w:tcPr>
          <w:p w14:paraId="50D3CF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达标</w:t>
            </w:r>
          </w:p>
        </w:tc>
      </w:tr>
    </w:tbl>
    <w:p w14:paraId="6894776A">
      <w:pPr>
        <w:pageBreakBefore w:val="0"/>
        <w:widowControl/>
        <w:kinsoku w:val="0"/>
        <w:wordWrap w:val="0"/>
        <w:overflowPunct/>
        <w:topLinePunct/>
        <w:autoSpaceDE/>
        <w:autoSpaceDN/>
        <w:bidi w:val="0"/>
        <w:spacing w:line="240" w:lineRule="auto"/>
        <w:jc w:val="center"/>
        <w:rPr>
          <w:rFonts w:hint="default" w:ascii="Times New Roman" w:hAnsi="Times New Roman" w:eastAsia="宋体" w:cs="Times New Roman"/>
          <w:b/>
          <w:caps w:val="0"/>
          <w:smallCaps w:val="0"/>
          <w:color w:val="auto"/>
          <w:spacing w:val="0"/>
          <w:w w:val="100"/>
          <w:position w:val="0"/>
          <w:sz w:val="24"/>
          <w:szCs w:val="24"/>
          <w:u w:val="none" w:color="auto"/>
          <w:lang w:val="en-US" w:eastAsia="zh-CN"/>
        </w:rPr>
      </w:pPr>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 xml:space="preserve"> </w:t>
      </w:r>
    </w:p>
    <w:p w14:paraId="7EE7AB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pacing w:val="0"/>
          <w:w w:val="100"/>
          <w:kern w:val="0"/>
          <w:position w:val="0"/>
          <w:sz w:val="24"/>
          <w:u w:val="none" w:color="auto"/>
        </w:rPr>
      </w:pPr>
      <w:r>
        <w:rPr>
          <w:rFonts w:hint="default" w:ascii="Times New Roman" w:hAnsi="Times New Roman" w:eastAsia="宋体" w:cs="Times New Roman"/>
          <w:color w:val="auto"/>
          <w:spacing w:val="0"/>
          <w:w w:val="100"/>
          <w:position w:val="0"/>
          <w:sz w:val="24"/>
          <w:u w:val="none" w:color="auto"/>
          <w:lang w:val="en-US" w:eastAsia="zh-CN"/>
        </w:rPr>
        <w:t>由以上</w:t>
      </w:r>
      <w:r>
        <w:rPr>
          <w:rFonts w:hint="default" w:ascii="Times New Roman" w:hAnsi="Times New Roman" w:eastAsia="宋体" w:cs="Times New Roman"/>
          <w:color w:val="auto"/>
          <w:spacing w:val="0"/>
          <w:w w:val="100"/>
          <w:position w:val="0"/>
          <w:sz w:val="24"/>
          <w:u w:val="none" w:color="auto"/>
        </w:rPr>
        <w:t>监测结果</w:t>
      </w:r>
      <w:r>
        <w:rPr>
          <w:rFonts w:hint="default" w:ascii="Times New Roman" w:hAnsi="Times New Roman" w:eastAsia="宋体" w:cs="Times New Roman"/>
          <w:color w:val="auto"/>
          <w:spacing w:val="0"/>
          <w:w w:val="100"/>
          <w:position w:val="0"/>
          <w:sz w:val="24"/>
          <w:u w:val="none" w:color="auto"/>
          <w:lang w:val="en-US" w:eastAsia="zh-CN"/>
        </w:rPr>
        <w:t>可知，</w:t>
      </w:r>
      <w:r>
        <w:rPr>
          <w:rFonts w:hint="default" w:ascii="Times New Roman" w:hAnsi="Times New Roman" w:eastAsia="宋体" w:cs="Times New Roman"/>
          <w:color w:val="auto"/>
          <w:spacing w:val="0"/>
          <w:w w:val="100"/>
          <w:position w:val="0"/>
          <w:sz w:val="24"/>
          <w:u w:val="none" w:color="auto"/>
        </w:rPr>
        <w:t>项目所在区域</w:t>
      </w:r>
      <w:r>
        <w:rPr>
          <w:rFonts w:hint="default" w:ascii="Times New Roman" w:hAnsi="Times New Roman" w:eastAsia="宋体" w:cs="Times New Roman"/>
          <w:color w:val="auto"/>
          <w:spacing w:val="0"/>
          <w:w w:val="100"/>
          <w:kern w:val="0"/>
          <w:position w:val="0"/>
          <w:sz w:val="24"/>
          <w:u w:val="none" w:color="auto"/>
        </w:rPr>
        <w:t>TSP满足《环境空气质量标准》（GB3095-2012）中二级标准要求。</w:t>
      </w:r>
    </w:p>
    <w:p w14:paraId="64A6D692">
      <w:pPr>
        <w:pStyle w:val="4"/>
        <w:bidi w:val="0"/>
        <w:rPr>
          <w:rFonts w:hint="default" w:ascii="Times New Roman" w:hAnsi="Times New Roman" w:cs="Times New Roman"/>
          <w:color w:val="auto"/>
          <w:u w:val="none" w:color="auto"/>
        </w:rPr>
      </w:pPr>
      <w:bookmarkStart w:id="132" w:name="_Toc29057"/>
      <w:r>
        <w:rPr>
          <w:rFonts w:hint="default" w:ascii="Times New Roman" w:hAnsi="Times New Roman" w:cs="Times New Roman"/>
          <w:color w:val="auto"/>
          <w:u w:val="none" w:color="auto"/>
        </w:rPr>
        <w:t>地表水环境现状调查与评价</w:t>
      </w:r>
      <w:bookmarkEnd w:id="132"/>
    </w:p>
    <w:p w14:paraId="063FFB2C">
      <w:pPr>
        <w:pStyle w:val="101"/>
        <w:ind w:firstLine="480"/>
        <w:rPr>
          <w:rFonts w:hint="default" w:ascii="Times New Roman" w:hAnsi="Times New Roman" w:eastAsia="宋体" w:cs="Times New Roman"/>
          <w:color w:val="auto"/>
          <w:spacing w:val="0"/>
          <w:w w:val="100"/>
          <w:position w:val="0"/>
          <w:u w:val="none" w:color="auto"/>
          <w:lang w:val="en-US" w:eastAsia="zh-CN"/>
        </w:rPr>
      </w:pPr>
      <w:r>
        <w:rPr>
          <w:rFonts w:hint="default" w:ascii="Times New Roman" w:hAnsi="Times New Roman" w:eastAsia="宋体" w:cs="Times New Roman"/>
          <w:color w:val="auto"/>
          <w:spacing w:val="0"/>
          <w:w w:val="100"/>
          <w:position w:val="0"/>
          <w:u w:val="none" w:color="auto"/>
        </w:rPr>
        <w:t>为了解</w:t>
      </w:r>
      <w:r>
        <w:rPr>
          <w:rFonts w:hint="eastAsia" w:eastAsia="宋体" w:cs="Times New Roman"/>
          <w:color w:val="auto"/>
          <w:spacing w:val="0"/>
          <w:w w:val="100"/>
          <w:position w:val="0"/>
          <w:u w:val="none" w:color="auto"/>
          <w:lang w:eastAsia="zh-CN"/>
        </w:rPr>
        <w:t>北汊水库</w:t>
      </w:r>
      <w:r>
        <w:rPr>
          <w:rFonts w:hint="default" w:ascii="Times New Roman" w:hAnsi="Times New Roman" w:eastAsia="宋体" w:cs="Times New Roman"/>
          <w:color w:val="auto"/>
          <w:spacing w:val="0"/>
          <w:w w:val="100"/>
          <w:position w:val="0"/>
          <w:u w:val="none" w:color="auto"/>
          <w:lang w:eastAsia="zh-CN"/>
        </w:rPr>
        <w:t>水</w:t>
      </w:r>
      <w:r>
        <w:rPr>
          <w:rFonts w:hint="default" w:ascii="Times New Roman" w:hAnsi="Times New Roman" w:eastAsia="宋体" w:cs="Times New Roman"/>
          <w:color w:val="auto"/>
          <w:spacing w:val="0"/>
          <w:w w:val="100"/>
          <w:position w:val="0"/>
          <w:u w:val="none" w:color="auto"/>
        </w:rPr>
        <w:t>环境质量现状，建设单位委托</w:t>
      </w:r>
      <w:r>
        <w:rPr>
          <w:rFonts w:hint="default" w:ascii="Times New Roman" w:hAnsi="Times New Roman" w:eastAsia="宋体" w:cs="Times New Roman"/>
          <w:color w:val="auto"/>
          <w:spacing w:val="0"/>
          <w:w w:val="100"/>
          <w:position w:val="0"/>
          <w:u w:val="none" w:color="auto"/>
          <w:lang w:eastAsia="zh-CN"/>
        </w:rPr>
        <w:t>湖南乾诚检测有限公司于</w:t>
      </w:r>
      <w:r>
        <w:rPr>
          <w:rFonts w:hint="default" w:ascii="Times New Roman" w:hAnsi="Times New Roman" w:eastAsia="宋体" w:cs="Times New Roman"/>
          <w:color w:val="auto"/>
          <w:spacing w:val="0"/>
          <w:w w:val="100"/>
          <w:position w:val="0"/>
          <w:u w:val="none" w:color="auto"/>
          <w:lang w:val="en-US" w:eastAsia="zh-CN"/>
        </w:rPr>
        <w:t>2024年</w:t>
      </w:r>
      <w:r>
        <w:rPr>
          <w:rFonts w:hint="eastAsia" w:eastAsia="宋体" w:cs="Times New Roman"/>
          <w:color w:val="auto"/>
          <w:spacing w:val="0"/>
          <w:w w:val="100"/>
          <w:position w:val="0"/>
          <w:u w:val="none" w:color="auto"/>
          <w:lang w:val="en-US" w:eastAsia="zh-CN"/>
        </w:rPr>
        <w:t>9</w:t>
      </w:r>
      <w:r>
        <w:rPr>
          <w:rFonts w:hint="default" w:ascii="Times New Roman" w:hAnsi="Times New Roman" w:eastAsia="宋体" w:cs="Times New Roman"/>
          <w:color w:val="auto"/>
          <w:spacing w:val="0"/>
          <w:w w:val="100"/>
          <w:position w:val="0"/>
          <w:u w:val="none" w:color="auto"/>
          <w:lang w:val="en-US" w:eastAsia="zh-CN"/>
        </w:rPr>
        <w:t>月</w:t>
      </w:r>
      <w:r>
        <w:rPr>
          <w:rFonts w:hint="eastAsia" w:eastAsia="宋体" w:cs="Times New Roman"/>
          <w:color w:val="auto"/>
          <w:spacing w:val="0"/>
          <w:w w:val="100"/>
          <w:position w:val="0"/>
          <w:u w:val="none" w:color="auto"/>
          <w:lang w:val="en-US" w:eastAsia="zh-CN"/>
        </w:rPr>
        <w:t>1</w:t>
      </w:r>
      <w:r>
        <w:rPr>
          <w:rFonts w:hint="default" w:ascii="Times New Roman" w:hAnsi="Times New Roman" w:eastAsia="宋体" w:cs="Times New Roman"/>
          <w:color w:val="auto"/>
          <w:spacing w:val="0"/>
          <w:w w:val="100"/>
          <w:position w:val="0"/>
          <w:u w:val="none" w:color="auto"/>
          <w:lang w:val="en-US" w:eastAsia="zh-CN"/>
        </w:rPr>
        <w:t>日-</w:t>
      </w:r>
      <w:r>
        <w:rPr>
          <w:rFonts w:hint="eastAsia" w:eastAsia="宋体" w:cs="Times New Roman"/>
          <w:color w:val="auto"/>
          <w:spacing w:val="0"/>
          <w:w w:val="100"/>
          <w:position w:val="0"/>
          <w:u w:val="none" w:color="auto"/>
          <w:lang w:val="en-US" w:eastAsia="zh-CN"/>
        </w:rPr>
        <w:t>9</w:t>
      </w:r>
      <w:r>
        <w:rPr>
          <w:rFonts w:hint="default" w:ascii="Times New Roman" w:hAnsi="Times New Roman" w:eastAsia="宋体" w:cs="Times New Roman"/>
          <w:color w:val="auto"/>
          <w:spacing w:val="0"/>
          <w:w w:val="100"/>
          <w:position w:val="0"/>
          <w:u w:val="none" w:color="auto"/>
          <w:lang w:val="en-US" w:eastAsia="zh-CN"/>
        </w:rPr>
        <w:t>月</w:t>
      </w:r>
      <w:r>
        <w:rPr>
          <w:rFonts w:hint="eastAsia" w:eastAsia="宋体" w:cs="Times New Roman"/>
          <w:color w:val="auto"/>
          <w:spacing w:val="0"/>
          <w:w w:val="100"/>
          <w:position w:val="0"/>
          <w:u w:val="none" w:color="auto"/>
          <w:lang w:val="en-US" w:eastAsia="zh-CN"/>
        </w:rPr>
        <w:t>3</w:t>
      </w:r>
      <w:r>
        <w:rPr>
          <w:rFonts w:hint="default" w:ascii="Times New Roman" w:hAnsi="Times New Roman" w:eastAsia="宋体" w:cs="Times New Roman"/>
          <w:color w:val="auto"/>
          <w:spacing w:val="0"/>
          <w:w w:val="100"/>
          <w:position w:val="0"/>
          <w:u w:val="none" w:color="auto"/>
          <w:lang w:val="en-US" w:eastAsia="zh-CN"/>
        </w:rPr>
        <w:t>日</w:t>
      </w:r>
      <w:r>
        <w:rPr>
          <w:rFonts w:hint="default" w:ascii="Times New Roman" w:hAnsi="Times New Roman" w:eastAsia="宋体" w:cs="Times New Roman"/>
          <w:color w:val="auto"/>
          <w:spacing w:val="0"/>
          <w:w w:val="100"/>
          <w:position w:val="0"/>
          <w:u w:val="none" w:color="auto"/>
        </w:rPr>
        <w:t>对</w:t>
      </w:r>
      <w:r>
        <w:rPr>
          <w:rFonts w:hint="eastAsia" w:eastAsia="宋体" w:cs="Times New Roman"/>
          <w:color w:val="auto"/>
          <w:spacing w:val="0"/>
          <w:w w:val="100"/>
          <w:position w:val="0"/>
          <w:u w:val="none" w:color="auto"/>
          <w:lang w:eastAsia="zh-CN"/>
        </w:rPr>
        <w:t>北汊水库</w:t>
      </w:r>
      <w:r>
        <w:rPr>
          <w:rFonts w:hint="default" w:ascii="Times New Roman" w:hAnsi="Times New Roman" w:eastAsia="宋体" w:cs="Times New Roman"/>
          <w:color w:val="auto"/>
          <w:spacing w:val="0"/>
          <w:w w:val="100"/>
          <w:position w:val="0"/>
          <w:u w:val="none" w:color="auto"/>
          <w:lang w:eastAsia="zh-CN"/>
        </w:rPr>
        <w:t>水质</w:t>
      </w:r>
      <w:r>
        <w:rPr>
          <w:rFonts w:hint="default" w:ascii="Times New Roman" w:hAnsi="Times New Roman" w:eastAsia="宋体" w:cs="Times New Roman"/>
          <w:color w:val="auto"/>
          <w:spacing w:val="0"/>
          <w:w w:val="100"/>
          <w:position w:val="0"/>
          <w:u w:val="none" w:color="auto"/>
        </w:rPr>
        <w:t>进行了</w:t>
      </w:r>
      <w:r>
        <w:rPr>
          <w:rFonts w:hint="default" w:ascii="Times New Roman" w:hAnsi="Times New Roman" w:eastAsia="宋体" w:cs="Times New Roman"/>
          <w:color w:val="auto"/>
          <w:spacing w:val="0"/>
          <w:w w:val="100"/>
          <w:position w:val="0"/>
          <w:u w:val="none" w:color="auto"/>
          <w:lang w:val="en-US" w:eastAsia="zh-CN"/>
        </w:rPr>
        <w:t>一期</w:t>
      </w:r>
      <w:r>
        <w:rPr>
          <w:rFonts w:hint="default" w:ascii="Times New Roman" w:hAnsi="Times New Roman" w:eastAsia="宋体" w:cs="Times New Roman"/>
          <w:color w:val="auto"/>
          <w:spacing w:val="0"/>
          <w:w w:val="100"/>
          <w:position w:val="0"/>
          <w:u w:val="none" w:color="auto"/>
        </w:rPr>
        <w:t>现状监测。</w:t>
      </w:r>
    </w:p>
    <w:p w14:paraId="76A0609D">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1、监测点位</w:t>
      </w:r>
    </w:p>
    <w:p w14:paraId="16356D14">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olor w:val="auto"/>
          <w:spacing w:val="0"/>
          <w:w w:val="100"/>
          <w:kern w:val="0"/>
          <w:position w:val="0"/>
          <w:sz w:val="24"/>
          <w:szCs w:val="20"/>
          <w:u w:val="none" w:color="auto"/>
          <w:lang w:val="en-US" w:eastAsia="zh-CN" w:bidi="ar-SA"/>
        </w:rPr>
      </w:pPr>
      <w:r>
        <w:rPr>
          <w:rFonts w:hint="default" w:ascii="Times New Roman" w:hAnsi="Times New Roman" w:eastAsia="宋体" w:cs="Times New Roman"/>
          <w:color w:val="auto"/>
          <w:spacing w:val="0"/>
          <w:w w:val="100"/>
          <w:kern w:val="0"/>
          <w:position w:val="0"/>
          <w:sz w:val="24"/>
          <w:szCs w:val="20"/>
          <w:u w:val="none" w:color="auto"/>
          <w:lang w:val="en-US" w:eastAsia="zh-CN" w:bidi="ar-SA"/>
        </w:rPr>
        <w:t>W1：</w:t>
      </w:r>
      <w:r>
        <w:rPr>
          <w:rFonts w:hint="eastAsia" w:ascii="Times New Roman" w:hAnsi="Times New Roman" w:eastAsia="宋体" w:cs="Times New Roman"/>
          <w:color w:val="auto"/>
          <w:spacing w:val="0"/>
          <w:w w:val="100"/>
          <w:kern w:val="0"/>
          <w:position w:val="0"/>
          <w:sz w:val="24"/>
          <w:szCs w:val="20"/>
          <w:u w:val="none" w:color="auto"/>
          <w:lang w:val="en-US" w:eastAsia="zh-CN" w:bidi="ar-SA"/>
        </w:rPr>
        <w:t>北汊</w:t>
      </w:r>
      <w:r>
        <w:rPr>
          <w:rFonts w:hint="default" w:ascii="Times New Roman" w:hAnsi="Times New Roman" w:eastAsia="宋体" w:cs="Times New Roman"/>
          <w:color w:val="auto"/>
          <w:spacing w:val="0"/>
          <w:w w:val="100"/>
          <w:kern w:val="0"/>
          <w:position w:val="0"/>
          <w:sz w:val="24"/>
          <w:szCs w:val="20"/>
          <w:u w:val="none" w:color="auto"/>
          <w:lang w:val="en-US" w:eastAsia="zh-CN" w:bidi="ar-SA"/>
        </w:rPr>
        <w:t>水库</w:t>
      </w:r>
      <w:r>
        <w:rPr>
          <w:rFonts w:hint="eastAsia" w:ascii="Times New Roman" w:hAnsi="Times New Roman" w:eastAsia="宋体" w:cs="Times New Roman"/>
          <w:color w:val="auto"/>
          <w:spacing w:val="0"/>
          <w:w w:val="100"/>
          <w:kern w:val="0"/>
          <w:position w:val="0"/>
          <w:sz w:val="24"/>
          <w:szCs w:val="20"/>
          <w:u w:val="none" w:color="auto"/>
          <w:lang w:val="en-US" w:eastAsia="zh-CN" w:bidi="ar-SA"/>
        </w:rPr>
        <w:t>中心</w:t>
      </w:r>
    </w:p>
    <w:p w14:paraId="2A5AF208">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2、监测因子</w:t>
      </w:r>
    </w:p>
    <w:p w14:paraId="11D585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left"/>
        <w:textAlignment w:val="auto"/>
        <w:outlineLvl w:val="0"/>
        <w:rPr>
          <w:rFonts w:hint="eastAsia" w:ascii="Times New Roman" w:hAnsi="Times New Roman" w:eastAsia="宋体" w:cs="Times New Roman"/>
          <w:color w:val="auto"/>
          <w:spacing w:val="0"/>
          <w:w w:val="100"/>
          <w:kern w:val="0"/>
          <w:position w:val="0"/>
          <w:sz w:val="24"/>
          <w:szCs w:val="20"/>
          <w:u w:val="none" w:color="auto"/>
          <w:lang w:val="en-US" w:eastAsia="zh-CN" w:bidi="ar-SA"/>
        </w:rPr>
      </w:pPr>
      <w:bookmarkStart w:id="133" w:name="_Toc29409"/>
      <w:r>
        <w:rPr>
          <w:rFonts w:hint="eastAsia" w:ascii="Times New Roman" w:hAnsi="Times New Roman" w:eastAsia="宋体" w:cs="Times New Roman"/>
          <w:color w:val="auto"/>
          <w:spacing w:val="0"/>
          <w:w w:val="100"/>
          <w:kern w:val="0"/>
          <w:position w:val="0"/>
          <w:sz w:val="24"/>
          <w:szCs w:val="20"/>
          <w:u w:val="none" w:color="auto"/>
          <w:lang w:val="en-US" w:eastAsia="zh-CN" w:bidi="ar-SA"/>
        </w:rPr>
        <w:t>温、水位、pH值、溶解氧、高锰酸盐指数、化学需氧量、五日生化需氧量、氨氮、总磷(以P计)、总氮、铬(六价)、石油类、叶绿素a、</w:t>
      </w:r>
      <w:r>
        <w:rPr>
          <w:rFonts w:hint="default" w:ascii="Times New Roman" w:hAnsi="Times New Roman" w:eastAsia="宋体" w:cs="Times New Roman"/>
          <w:color w:val="auto"/>
          <w:spacing w:val="0"/>
          <w:w w:val="100"/>
          <w:kern w:val="0"/>
          <w:position w:val="0"/>
          <w:sz w:val="24"/>
          <w:szCs w:val="20"/>
          <w:u w:val="none" w:color="auto"/>
          <w:lang w:val="en-US" w:eastAsia="zh-CN" w:bidi="ar-SA"/>
        </w:rPr>
        <w:t>悬浮物</w:t>
      </w:r>
      <w:r>
        <w:rPr>
          <w:rFonts w:hint="eastAsia" w:ascii="Times New Roman" w:hAnsi="Times New Roman" w:eastAsia="宋体" w:cs="Times New Roman"/>
          <w:color w:val="auto"/>
          <w:spacing w:val="0"/>
          <w:w w:val="100"/>
          <w:kern w:val="0"/>
          <w:position w:val="0"/>
          <w:sz w:val="24"/>
          <w:szCs w:val="20"/>
          <w:u w:val="none" w:color="auto"/>
          <w:lang w:val="en-US" w:eastAsia="zh-CN" w:bidi="ar-SA"/>
        </w:rPr>
        <w:t>、</w:t>
      </w:r>
      <w:r>
        <w:rPr>
          <w:rFonts w:hint="default" w:ascii="Times New Roman" w:hAnsi="Times New Roman" w:eastAsia="宋体" w:cs="Times New Roman"/>
          <w:color w:val="auto"/>
          <w:spacing w:val="0"/>
          <w:w w:val="100"/>
          <w:kern w:val="0"/>
          <w:position w:val="0"/>
          <w:sz w:val="24"/>
          <w:szCs w:val="20"/>
          <w:u w:val="none" w:color="auto"/>
          <w:lang w:val="en-US" w:eastAsia="zh-CN" w:bidi="ar-SA"/>
        </w:rPr>
        <w:t>透明度</w:t>
      </w:r>
      <w:bookmarkEnd w:id="133"/>
    </w:p>
    <w:p w14:paraId="0C4D350E">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3、监测时间和频率</w:t>
      </w:r>
    </w:p>
    <w:p w14:paraId="28B60AB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监测时间为202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w:t>
      </w:r>
      <w:r>
        <w:rPr>
          <w:rFonts w:hint="default" w:ascii="Times New Roman" w:hAnsi="Times New Roman" w:eastAsia="宋体" w:cs="Times New Roman"/>
          <w:caps w:val="0"/>
          <w:smallCaps w:val="0"/>
          <w:color w:val="auto"/>
          <w:spacing w:val="0"/>
          <w:w w:val="100"/>
          <w:kern w:val="0"/>
          <w:position w:val="0"/>
          <w:sz w:val="24"/>
          <w:szCs w:val="24"/>
          <w:u w:val="none" w:color="auto"/>
        </w:rPr>
        <w:t>，连续采样监测3天，每天采样1次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3B65AC97">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4、 监测分析方法</w:t>
      </w:r>
    </w:p>
    <w:p w14:paraId="23BA1DC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监测分析方法见表3.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6753F0DF">
      <w:pPr>
        <w:pageBreakBefore w:val="0"/>
        <w:kinsoku w:val="0"/>
        <w:wordWrap w:val="0"/>
        <w:overflowPunct/>
        <w:topLinePunct/>
        <w:autoSpaceDE/>
        <w:autoSpaceDN/>
        <w:bidi w:val="0"/>
        <w:adjustRightInd w:val="0"/>
        <w:snapToGrid w:val="0"/>
        <w:spacing w:before="156" w:beforeLines="50" w:line="240" w:lineRule="auto"/>
        <w:ind w:firstLine="0" w:firstLineChars="0"/>
        <w:jc w:val="center"/>
        <w:rPr>
          <w:rFonts w:hint="eastAsia" w:ascii="Times New Roman" w:hAnsi="Times New Roman" w:eastAsia="宋体" w:cs="Times New Roman"/>
          <w:b/>
          <w:bCs/>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bCs/>
          <w:caps w:val="0"/>
          <w:smallCaps w:val="0"/>
          <w:color w:val="auto"/>
          <w:spacing w:val="0"/>
          <w:w w:val="100"/>
          <w:position w:val="0"/>
          <w:sz w:val="21"/>
          <w:szCs w:val="21"/>
          <w:u w:val="none" w:color="auto"/>
        </w:rPr>
        <w:t>表3</w:t>
      </w:r>
      <w:r>
        <w:rPr>
          <w:rFonts w:hint="default" w:ascii="Times New Roman" w:hAnsi="Times New Roman" w:eastAsia="宋体" w:cs="Times New Roman"/>
          <w:b/>
          <w:bCs/>
          <w:caps w:val="0"/>
          <w:smallCaps w:val="0"/>
          <w:color w:val="auto"/>
          <w:spacing w:val="0"/>
          <w:w w:val="100"/>
          <w:position w:val="0"/>
          <w:sz w:val="21"/>
          <w:szCs w:val="21"/>
          <w:u w:val="none" w:color="auto"/>
          <w:lang w:val="en-US" w:eastAsia="zh-CN"/>
        </w:rPr>
        <w:t>.2-4</w:t>
      </w:r>
      <w:r>
        <w:rPr>
          <w:rFonts w:hint="default" w:ascii="Times New Roman" w:hAnsi="Times New Roman" w:eastAsia="宋体" w:cs="Times New Roman"/>
          <w:b/>
          <w:bCs/>
          <w:caps w:val="0"/>
          <w:smallCaps w:val="0"/>
          <w:color w:val="auto"/>
          <w:spacing w:val="0"/>
          <w:w w:val="100"/>
          <w:position w:val="0"/>
          <w:sz w:val="21"/>
          <w:szCs w:val="21"/>
          <w:u w:val="none" w:color="auto"/>
        </w:rPr>
        <w:t xml:space="preserve">  地表水分析方法及依据</w:t>
      </w:r>
      <w:r>
        <w:rPr>
          <w:rFonts w:hint="eastAsia" w:ascii="Times New Roman" w:hAnsi="Times New Roman" w:eastAsia="宋体" w:cs="Times New Roman"/>
          <w:b/>
          <w:bCs/>
          <w:caps w:val="0"/>
          <w:smallCaps w:val="0"/>
          <w:color w:val="auto"/>
          <w:spacing w:val="0"/>
          <w:w w:val="100"/>
          <w:position w:val="0"/>
          <w:sz w:val="21"/>
          <w:szCs w:val="21"/>
          <w:u w:val="none" w:color="auto"/>
          <w:lang w:val="en-US" w:eastAsia="zh-CN"/>
        </w:rPr>
        <w:t xml:space="preserve"> </w:t>
      </w:r>
    </w:p>
    <w:tbl>
      <w:tblPr>
        <w:tblStyle w:val="39"/>
        <w:tblW w:w="50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1"/>
        <w:gridCol w:w="1256"/>
        <w:gridCol w:w="3433"/>
        <w:gridCol w:w="1973"/>
        <w:gridCol w:w="1236"/>
      </w:tblGrid>
      <w:tr w14:paraId="306A9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1751" w:type="dxa"/>
            <w:gridSpan w:val="2"/>
            <w:tcBorders>
              <w:tl2br w:val="nil"/>
              <w:tr2bl w:val="nil"/>
            </w:tcBorders>
            <w:vAlign w:val="center"/>
          </w:tcPr>
          <w:p w14:paraId="3D95ED8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3421" w:type="dxa"/>
            <w:tcBorders>
              <w:tl2br w:val="nil"/>
              <w:tr2bl w:val="nil"/>
            </w:tcBorders>
            <w:vAlign w:val="center"/>
          </w:tcPr>
          <w:p w14:paraId="0E4B1D6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检测方法</w:t>
            </w:r>
          </w:p>
        </w:tc>
        <w:tc>
          <w:tcPr>
            <w:tcW w:w="1966" w:type="dxa"/>
            <w:tcBorders>
              <w:tl2br w:val="nil"/>
              <w:tr2bl w:val="nil"/>
            </w:tcBorders>
            <w:vAlign w:val="center"/>
          </w:tcPr>
          <w:p w14:paraId="195F608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检测仪器</w:t>
            </w:r>
          </w:p>
        </w:tc>
        <w:tc>
          <w:tcPr>
            <w:tcW w:w="1232" w:type="dxa"/>
            <w:tcBorders>
              <w:tl2br w:val="nil"/>
              <w:tr2bl w:val="nil"/>
            </w:tcBorders>
            <w:vAlign w:val="center"/>
          </w:tcPr>
          <w:p w14:paraId="2707000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方法检出限</w:t>
            </w:r>
          </w:p>
        </w:tc>
      </w:tr>
      <w:tr w14:paraId="185E1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restart"/>
            <w:tcBorders>
              <w:tl2br w:val="nil"/>
              <w:tr2bl w:val="nil"/>
            </w:tcBorders>
            <w:textDirection w:val="tbLrV"/>
            <w:vAlign w:val="center"/>
          </w:tcPr>
          <w:p w14:paraId="3BB1AD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地表水</w:t>
            </w:r>
          </w:p>
          <w:p w14:paraId="67868043">
            <w:pPr>
              <w:keepNext w:val="0"/>
              <w:keepLines w:val="0"/>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ACFA6D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pH</w:t>
            </w:r>
            <w:r>
              <w:rPr>
                <w:rFonts w:hint="eastAsia" w:ascii="Times New Roman" w:hAnsi="Times New Roman" w:eastAsia="宋体" w:cs="Times New Roman"/>
                <w:color w:val="auto"/>
                <w:sz w:val="21"/>
                <w:szCs w:val="21"/>
                <w:u w:val="none" w:color="auto"/>
                <w:lang w:val="en-US" w:eastAsia="zh-CN"/>
              </w:rPr>
              <w:t>值</w:t>
            </w:r>
          </w:p>
        </w:tc>
        <w:tc>
          <w:tcPr>
            <w:tcW w:w="3421" w:type="dxa"/>
            <w:tcBorders>
              <w:tl2br w:val="nil"/>
              <w:tr2bl w:val="nil"/>
            </w:tcBorders>
            <w:vAlign w:val="center"/>
          </w:tcPr>
          <w:p w14:paraId="391D574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pH值的测定 电极法》</w:t>
            </w:r>
          </w:p>
          <w:p w14:paraId="24C38260">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HJ 1147-2020</w:t>
            </w:r>
          </w:p>
        </w:tc>
        <w:tc>
          <w:tcPr>
            <w:tcW w:w="1966" w:type="dxa"/>
            <w:tcBorders>
              <w:tl2br w:val="nil"/>
              <w:tr2bl w:val="nil"/>
            </w:tcBorders>
            <w:vAlign w:val="center"/>
          </w:tcPr>
          <w:p w14:paraId="4356B65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SX836</w:t>
            </w:r>
            <w:r>
              <w:rPr>
                <w:rFonts w:hint="eastAsia" w:ascii="Times New Roman" w:hAnsi="Times New Roman" w:eastAsia="宋体" w:cs="Times New Roman"/>
                <w:color w:val="auto"/>
                <w:sz w:val="21"/>
                <w:szCs w:val="21"/>
                <w:u w:val="none" w:color="auto"/>
                <w:lang w:val="en-US" w:eastAsia="zh-CN"/>
              </w:rPr>
              <w:t>型</w:t>
            </w:r>
          </w:p>
          <w:p w14:paraId="18E93E7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PH/mV/电导率/溶解氧测量仪</w:t>
            </w:r>
          </w:p>
        </w:tc>
        <w:tc>
          <w:tcPr>
            <w:tcW w:w="1232" w:type="dxa"/>
            <w:tcBorders>
              <w:tl2br w:val="nil"/>
              <w:tr2bl w:val="nil"/>
            </w:tcBorders>
            <w:vAlign w:val="center"/>
          </w:tcPr>
          <w:p w14:paraId="4F2671AC">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14:paraId="545EA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C373F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850802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水温</w:t>
            </w:r>
          </w:p>
        </w:tc>
        <w:tc>
          <w:tcPr>
            <w:tcW w:w="3421" w:type="dxa"/>
            <w:tcBorders>
              <w:tl2br w:val="nil"/>
              <w:tr2bl w:val="nil"/>
            </w:tcBorders>
            <w:vAlign w:val="center"/>
          </w:tcPr>
          <w:p w14:paraId="5F418DB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 xml:space="preserve"> 《水质 水温的测定 温度计或颠倒温度计测定法》GB 13195-1991</w:t>
            </w:r>
          </w:p>
        </w:tc>
        <w:tc>
          <w:tcPr>
            <w:tcW w:w="1966" w:type="dxa"/>
            <w:tcBorders>
              <w:tl2br w:val="nil"/>
              <w:tr2bl w:val="nil"/>
            </w:tcBorders>
            <w:vAlign w:val="center"/>
          </w:tcPr>
          <w:p w14:paraId="35BFC96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-10～50℃温度计</w:t>
            </w:r>
          </w:p>
        </w:tc>
        <w:tc>
          <w:tcPr>
            <w:tcW w:w="1232" w:type="dxa"/>
            <w:tcBorders>
              <w:tl2br w:val="nil"/>
              <w:tr2bl w:val="nil"/>
            </w:tcBorders>
            <w:vAlign w:val="center"/>
          </w:tcPr>
          <w:p w14:paraId="7A98DB84">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r>
      <w:tr w14:paraId="5C333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65DEF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21949F8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悬浮物</w:t>
            </w:r>
          </w:p>
        </w:tc>
        <w:tc>
          <w:tcPr>
            <w:tcW w:w="3421" w:type="dxa"/>
            <w:tcBorders>
              <w:tl2br w:val="nil"/>
              <w:tr2bl w:val="nil"/>
            </w:tcBorders>
            <w:vAlign w:val="center"/>
          </w:tcPr>
          <w:p w14:paraId="6F46D56F">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悬浮物的测定 重量法》</w:t>
            </w:r>
          </w:p>
          <w:p w14:paraId="1724091C">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GB 11901-1989</w:t>
            </w:r>
          </w:p>
        </w:tc>
        <w:tc>
          <w:tcPr>
            <w:tcW w:w="1966" w:type="dxa"/>
            <w:tcBorders>
              <w:tl2br w:val="nil"/>
              <w:tr2bl w:val="nil"/>
            </w:tcBorders>
            <w:vAlign w:val="center"/>
          </w:tcPr>
          <w:p w14:paraId="714ADEB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PR224ZH/E</w:t>
            </w:r>
          </w:p>
          <w:p w14:paraId="39585EF1">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 xml:space="preserve"> 万分之一天平</w:t>
            </w:r>
          </w:p>
        </w:tc>
        <w:tc>
          <w:tcPr>
            <w:tcW w:w="1232" w:type="dxa"/>
            <w:tcBorders>
              <w:tl2br w:val="nil"/>
              <w:tr2bl w:val="nil"/>
            </w:tcBorders>
            <w:vAlign w:val="center"/>
          </w:tcPr>
          <w:p w14:paraId="48221C99">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4mg/L</w:t>
            </w:r>
          </w:p>
        </w:tc>
      </w:tr>
      <w:tr w14:paraId="65D7E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3AF4E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A0F15B0">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化学需氧量</w:t>
            </w:r>
          </w:p>
        </w:tc>
        <w:tc>
          <w:tcPr>
            <w:tcW w:w="3421" w:type="dxa"/>
            <w:tcBorders>
              <w:tl2br w:val="nil"/>
              <w:tr2bl w:val="nil"/>
            </w:tcBorders>
            <w:vAlign w:val="center"/>
          </w:tcPr>
          <w:p w14:paraId="6C95D7EC">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化学需氧量的测定 重铬酸盐法》</w:t>
            </w:r>
            <w:r>
              <w:rPr>
                <w:rFonts w:hint="eastAsia" w:ascii="Times New Roman" w:hAnsi="Times New Roman" w:eastAsia="宋体" w:cs="Times New Roman"/>
                <w:color w:val="auto"/>
                <w:sz w:val="21"/>
                <w:szCs w:val="21"/>
                <w:u w:val="none" w:color="auto"/>
                <w:lang w:val="en-US" w:eastAsia="zh-CN"/>
              </w:rPr>
              <w:t>HJ 828-2017</w:t>
            </w:r>
          </w:p>
        </w:tc>
        <w:tc>
          <w:tcPr>
            <w:tcW w:w="1966" w:type="dxa"/>
            <w:tcBorders>
              <w:tl2br w:val="nil"/>
              <w:tr2bl w:val="nil"/>
            </w:tcBorders>
            <w:vAlign w:val="center"/>
          </w:tcPr>
          <w:p w14:paraId="190DE9D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SCOD-100</w:t>
            </w:r>
          </w:p>
          <w:p w14:paraId="468BC5A2">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标准 COD 消解器</w:t>
            </w:r>
          </w:p>
        </w:tc>
        <w:tc>
          <w:tcPr>
            <w:tcW w:w="1232" w:type="dxa"/>
            <w:tcBorders>
              <w:tl2br w:val="nil"/>
              <w:tr2bl w:val="nil"/>
            </w:tcBorders>
            <w:vAlign w:val="center"/>
          </w:tcPr>
          <w:p w14:paraId="43FC8DF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lang w:val="en-US" w:eastAsia="zh-CN"/>
              </w:rPr>
              <w:t>mg/L</w:t>
            </w:r>
          </w:p>
        </w:tc>
      </w:tr>
      <w:tr w14:paraId="725ED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7DE08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3F15B09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五日生化</w:t>
            </w:r>
          </w:p>
          <w:p w14:paraId="15D7D44C">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需氧量</w:t>
            </w:r>
          </w:p>
        </w:tc>
        <w:tc>
          <w:tcPr>
            <w:tcW w:w="3421" w:type="dxa"/>
            <w:tcBorders>
              <w:tl2br w:val="nil"/>
              <w:tr2bl w:val="nil"/>
            </w:tcBorders>
            <w:vAlign w:val="center"/>
          </w:tcPr>
          <w:p w14:paraId="552ACD7D">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五日生化需氧量</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BOD5</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的测定稀释与接种法》HJ 505-2009</w:t>
            </w:r>
          </w:p>
        </w:tc>
        <w:tc>
          <w:tcPr>
            <w:tcW w:w="1966" w:type="dxa"/>
            <w:tcBorders>
              <w:tl2br w:val="nil"/>
              <w:tr2bl w:val="nil"/>
            </w:tcBorders>
            <w:vAlign w:val="center"/>
          </w:tcPr>
          <w:p w14:paraId="69CB886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滴定管</w:t>
            </w:r>
          </w:p>
        </w:tc>
        <w:tc>
          <w:tcPr>
            <w:tcW w:w="1232" w:type="dxa"/>
            <w:tcBorders>
              <w:tl2br w:val="nil"/>
              <w:tr2bl w:val="nil"/>
            </w:tcBorders>
            <w:vAlign w:val="center"/>
          </w:tcPr>
          <w:p w14:paraId="1548B343">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0.5mg/L</w:t>
            </w:r>
          </w:p>
        </w:tc>
      </w:tr>
      <w:tr w14:paraId="22C4C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541CE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BB9790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溶解氧</w:t>
            </w:r>
          </w:p>
        </w:tc>
        <w:tc>
          <w:tcPr>
            <w:tcW w:w="3421" w:type="dxa"/>
            <w:tcBorders>
              <w:tl2br w:val="nil"/>
              <w:tr2bl w:val="nil"/>
            </w:tcBorders>
            <w:vAlign w:val="center"/>
          </w:tcPr>
          <w:p w14:paraId="3086D1DC">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 xml:space="preserve"> </w:t>
            </w:r>
            <w:r>
              <w:rPr>
                <w:rFonts w:hint="eastAsia" w:ascii="Times New Roman" w:hAnsi="Times New Roman" w:eastAsia="宋体" w:cs="Times New Roman"/>
                <w:color w:val="auto"/>
                <w:sz w:val="21"/>
                <w:szCs w:val="21"/>
                <w:u w:val="none" w:color="auto"/>
                <w:lang w:val="en-US" w:eastAsia="zh-CN"/>
              </w:rPr>
              <w:t>《便携式溶解氧测定仪技术要求及检测方法》HJ 925-2017</w:t>
            </w:r>
          </w:p>
        </w:tc>
        <w:tc>
          <w:tcPr>
            <w:tcW w:w="1966" w:type="dxa"/>
            <w:tcBorders>
              <w:tl2br w:val="nil"/>
              <w:tr2bl w:val="nil"/>
            </w:tcBorders>
            <w:vAlign w:val="center"/>
          </w:tcPr>
          <w:p w14:paraId="40A45B02">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JPB-607A</w:t>
            </w:r>
            <w:r>
              <w:rPr>
                <w:rFonts w:hint="eastAsia" w:ascii="Times New Roman" w:hAnsi="Times New Roman" w:eastAsia="宋体" w:cs="Times New Roman"/>
                <w:color w:val="auto"/>
                <w:sz w:val="21"/>
                <w:szCs w:val="21"/>
                <w:u w:val="none" w:color="auto"/>
                <w:lang w:val="en-US" w:eastAsia="zh-CN"/>
              </w:rPr>
              <w:t>溶解氧仪</w:t>
            </w:r>
          </w:p>
        </w:tc>
        <w:tc>
          <w:tcPr>
            <w:tcW w:w="1232" w:type="dxa"/>
            <w:tcBorders>
              <w:tl2br w:val="nil"/>
              <w:tr2bl w:val="nil"/>
            </w:tcBorders>
            <w:vAlign w:val="center"/>
          </w:tcPr>
          <w:p w14:paraId="324CB3A1">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14:paraId="7E2D4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28C73D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5CD385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氨氮</w:t>
            </w:r>
          </w:p>
        </w:tc>
        <w:tc>
          <w:tcPr>
            <w:tcW w:w="3421" w:type="dxa"/>
            <w:tcBorders>
              <w:tl2br w:val="nil"/>
              <w:tr2bl w:val="nil"/>
            </w:tcBorders>
            <w:vAlign w:val="center"/>
          </w:tcPr>
          <w:p w14:paraId="4EB91376">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w:t>
            </w:r>
            <w:r>
              <w:rPr>
                <w:rFonts w:hint="eastAsia"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氨氮的测定</w:t>
            </w:r>
            <w:r>
              <w:rPr>
                <w:rFonts w:hint="eastAsia"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纳氏试剂分光光度</w:t>
            </w:r>
            <w:r>
              <w:rPr>
                <w:rFonts w:hint="eastAsia" w:ascii="Times New Roman" w:hAnsi="Times New Roman" w:eastAsia="宋体" w:cs="Times New Roman"/>
                <w:color w:val="auto"/>
                <w:sz w:val="21"/>
                <w:szCs w:val="21"/>
                <w:u w:val="none" w:color="auto"/>
                <w:lang w:val="en-US" w:eastAsia="zh-CN"/>
              </w:rPr>
              <w:t>法</w:t>
            </w:r>
            <w:r>
              <w:rPr>
                <w:rFonts w:hint="default" w:ascii="Times New Roman" w:hAnsi="Times New Roman" w:eastAsia="宋体" w:cs="Times New Roman"/>
                <w:color w:val="auto"/>
                <w:sz w:val="21"/>
                <w:szCs w:val="21"/>
                <w:u w:val="none" w:color="auto"/>
                <w:lang w:val="en-US" w:eastAsia="zh-CN"/>
              </w:rPr>
              <w:t>》HJ 535-2009</w:t>
            </w:r>
          </w:p>
        </w:tc>
        <w:tc>
          <w:tcPr>
            <w:tcW w:w="1966" w:type="dxa"/>
            <w:tcBorders>
              <w:tl2br w:val="nil"/>
              <w:tr2bl w:val="nil"/>
            </w:tcBorders>
            <w:vAlign w:val="center"/>
          </w:tcPr>
          <w:p w14:paraId="448883BD">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SP-722</w:t>
            </w:r>
          </w:p>
          <w:p w14:paraId="33B177A0">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可见分光光度计</w:t>
            </w:r>
          </w:p>
        </w:tc>
        <w:tc>
          <w:tcPr>
            <w:tcW w:w="1232" w:type="dxa"/>
            <w:tcBorders>
              <w:tl2br w:val="nil"/>
              <w:tr2bl w:val="nil"/>
            </w:tcBorders>
            <w:vAlign w:val="center"/>
          </w:tcPr>
          <w:p w14:paraId="1819AE36">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0.025mg/L</w:t>
            </w:r>
          </w:p>
        </w:tc>
      </w:tr>
      <w:tr w14:paraId="18BA2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4A1F05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2A9C6D26">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总氮</w:t>
            </w:r>
          </w:p>
        </w:tc>
        <w:tc>
          <w:tcPr>
            <w:tcW w:w="3421" w:type="dxa"/>
            <w:tcBorders>
              <w:tl2br w:val="nil"/>
              <w:tr2bl w:val="nil"/>
            </w:tcBorders>
            <w:vAlign w:val="center"/>
          </w:tcPr>
          <w:p w14:paraId="43A86501">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总氮的测定 碱性过硫酸钾消解紫外分光光度法》HJ 636-2012</w:t>
            </w:r>
          </w:p>
        </w:tc>
        <w:tc>
          <w:tcPr>
            <w:tcW w:w="1966" w:type="dxa"/>
            <w:tcBorders>
              <w:tl2br w:val="nil"/>
              <w:tr2bl w:val="nil"/>
            </w:tcBorders>
            <w:vAlign w:val="center"/>
          </w:tcPr>
          <w:p w14:paraId="34713761">
            <w:pPr>
              <w:keepNext w:val="0"/>
              <w:keepLines w:val="0"/>
              <w:suppressLineNumbers w:val="0"/>
              <w:spacing w:before="0" w:beforeAutospacing="0" w:after="0" w:afterAutospacing="0" w:line="260" w:lineRule="exact"/>
              <w:ind w:left="0" w:right="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SP-752</w:t>
            </w:r>
          </w:p>
          <w:p w14:paraId="087789FF">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紫外可见分光光度计</w:t>
            </w:r>
          </w:p>
        </w:tc>
        <w:tc>
          <w:tcPr>
            <w:tcW w:w="1232" w:type="dxa"/>
            <w:tcBorders>
              <w:tl2br w:val="nil"/>
              <w:tr2bl w:val="nil"/>
            </w:tcBorders>
            <w:vAlign w:val="center"/>
          </w:tcPr>
          <w:p w14:paraId="030A287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0.05mg/L</w:t>
            </w:r>
          </w:p>
        </w:tc>
      </w:tr>
      <w:tr w14:paraId="2918C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1A71A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A5E6872">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总磷</w:t>
            </w:r>
          </w:p>
        </w:tc>
        <w:tc>
          <w:tcPr>
            <w:tcW w:w="3421" w:type="dxa"/>
            <w:tcBorders>
              <w:tl2br w:val="nil"/>
              <w:tr2bl w:val="nil"/>
            </w:tcBorders>
            <w:vAlign w:val="center"/>
          </w:tcPr>
          <w:p w14:paraId="686A2D5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总磷的测定 钼酸铵分光光度法》GB/T 11893-1989</w:t>
            </w:r>
          </w:p>
        </w:tc>
        <w:tc>
          <w:tcPr>
            <w:tcW w:w="1966" w:type="dxa"/>
            <w:tcBorders>
              <w:tl2br w:val="nil"/>
              <w:tr2bl w:val="nil"/>
            </w:tcBorders>
            <w:vAlign w:val="center"/>
          </w:tcPr>
          <w:p w14:paraId="1591D17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SP-722</w:t>
            </w:r>
          </w:p>
          <w:p w14:paraId="37A14FCD">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可见分光光度计</w:t>
            </w:r>
          </w:p>
        </w:tc>
        <w:tc>
          <w:tcPr>
            <w:tcW w:w="1232" w:type="dxa"/>
            <w:tcBorders>
              <w:tl2br w:val="nil"/>
              <w:tr2bl w:val="nil"/>
            </w:tcBorders>
            <w:vAlign w:val="center"/>
          </w:tcPr>
          <w:p w14:paraId="7F7EB48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0.01mg/L</w:t>
            </w:r>
          </w:p>
        </w:tc>
      </w:tr>
      <w:tr w14:paraId="3A345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125F4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18E7E1D">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六价铬</w:t>
            </w:r>
          </w:p>
        </w:tc>
        <w:tc>
          <w:tcPr>
            <w:tcW w:w="3421" w:type="dxa"/>
            <w:tcBorders>
              <w:tl2br w:val="nil"/>
              <w:tr2bl w:val="nil"/>
            </w:tcBorders>
            <w:vAlign w:val="center"/>
          </w:tcPr>
          <w:p w14:paraId="155DBC9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六价铬的测定 二苯碳酰二肼分光光度法》GB 7467-1987</w:t>
            </w:r>
          </w:p>
        </w:tc>
        <w:tc>
          <w:tcPr>
            <w:tcW w:w="1966" w:type="dxa"/>
            <w:tcBorders>
              <w:tl2br w:val="nil"/>
              <w:tr2bl w:val="nil"/>
            </w:tcBorders>
            <w:vAlign w:val="center"/>
          </w:tcPr>
          <w:p w14:paraId="3DD9B43A">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SP-722</w:t>
            </w:r>
          </w:p>
          <w:p w14:paraId="063EF563">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可见分光光度计</w:t>
            </w:r>
          </w:p>
        </w:tc>
        <w:tc>
          <w:tcPr>
            <w:tcW w:w="1232" w:type="dxa"/>
            <w:tcBorders>
              <w:tl2br w:val="nil"/>
              <w:tr2bl w:val="nil"/>
            </w:tcBorders>
            <w:vAlign w:val="center"/>
          </w:tcPr>
          <w:p w14:paraId="0C9F858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0.004mg/L</w:t>
            </w:r>
          </w:p>
        </w:tc>
      </w:tr>
      <w:tr w14:paraId="3F6C1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1B724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142BA3A1">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石油类</w:t>
            </w:r>
          </w:p>
        </w:tc>
        <w:tc>
          <w:tcPr>
            <w:tcW w:w="3421" w:type="dxa"/>
            <w:tcBorders>
              <w:tl2br w:val="nil"/>
              <w:tr2bl w:val="nil"/>
            </w:tcBorders>
            <w:vAlign w:val="center"/>
          </w:tcPr>
          <w:p w14:paraId="68943056">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石油类的测定 紫外分光光度法》（试行）HJ 970-2018</w:t>
            </w:r>
          </w:p>
        </w:tc>
        <w:tc>
          <w:tcPr>
            <w:tcW w:w="1966" w:type="dxa"/>
            <w:tcBorders>
              <w:tl2br w:val="nil"/>
              <w:tr2bl w:val="nil"/>
            </w:tcBorders>
            <w:vAlign w:val="center"/>
          </w:tcPr>
          <w:p w14:paraId="730013A4">
            <w:pPr>
              <w:keepNext w:val="0"/>
              <w:keepLines w:val="0"/>
              <w:suppressLineNumbers w:val="0"/>
              <w:spacing w:before="0" w:beforeAutospacing="0" w:after="0" w:afterAutospacing="0" w:line="260" w:lineRule="exact"/>
              <w:ind w:left="0" w:right="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SP-752</w:t>
            </w:r>
          </w:p>
          <w:p w14:paraId="294518A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紫外可见分光光度计</w:t>
            </w:r>
          </w:p>
        </w:tc>
        <w:tc>
          <w:tcPr>
            <w:tcW w:w="1232" w:type="dxa"/>
            <w:tcBorders>
              <w:tl2br w:val="nil"/>
              <w:tr2bl w:val="nil"/>
            </w:tcBorders>
            <w:vAlign w:val="center"/>
          </w:tcPr>
          <w:p w14:paraId="519DDAC8">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0.01mg/L</w:t>
            </w:r>
          </w:p>
        </w:tc>
      </w:tr>
      <w:tr w14:paraId="31DAE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6B05A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CDFF2A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透明度</w:t>
            </w:r>
          </w:p>
        </w:tc>
        <w:tc>
          <w:tcPr>
            <w:tcW w:w="3421" w:type="dxa"/>
            <w:tcBorders>
              <w:tl2br w:val="nil"/>
              <w:tr2bl w:val="nil"/>
            </w:tcBorders>
            <w:vAlign w:val="center"/>
          </w:tcPr>
          <w:p w14:paraId="63480549">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《透明度的测定</w:t>
            </w:r>
            <w:r>
              <w:rPr>
                <w:rFonts w:hint="default" w:ascii="Times New Roman" w:hAnsi="Times New Roman" w:eastAsia="宋体" w:cs="Times New Roman"/>
                <w:color w:val="auto"/>
                <w:sz w:val="21"/>
                <w:szCs w:val="21"/>
                <w:u w:val="none" w:color="auto"/>
                <w:lang w:val="en-US" w:eastAsia="zh-CN"/>
              </w:rPr>
              <w:t xml:space="preserve"> (透明度计法、圆盘法)》 SL 87-1994</w:t>
            </w:r>
          </w:p>
        </w:tc>
        <w:tc>
          <w:tcPr>
            <w:tcW w:w="1966" w:type="dxa"/>
            <w:tcBorders>
              <w:tl2br w:val="nil"/>
              <w:tr2bl w:val="nil"/>
            </w:tcBorders>
            <w:vAlign w:val="center"/>
          </w:tcPr>
          <w:p w14:paraId="083DDA31">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塞氏圆盘</w:t>
            </w:r>
          </w:p>
        </w:tc>
        <w:tc>
          <w:tcPr>
            <w:tcW w:w="1232" w:type="dxa"/>
            <w:tcBorders>
              <w:tl2br w:val="nil"/>
              <w:tr2bl w:val="nil"/>
            </w:tcBorders>
            <w:vAlign w:val="center"/>
          </w:tcPr>
          <w:p w14:paraId="648597D9">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14:paraId="743F4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75F4E5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DDA4764">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叶绿素</w:t>
            </w:r>
            <w:r>
              <w:rPr>
                <w:rFonts w:hint="eastAsia" w:ascii="Times New Roman" w:hAnsi="Times New Roman" w:eastAsia="宋体" w:cs="Times New Roman"/>
                <w:color w:val="auto"/>
                <w:sz w:val="21"/>
                <w:szCs w:val="21"/>
                <w:u w:val="none" w:color="auto"/>
                <w:lang w:val="en-US" w:eastAsia="zh-CN"/>
              </w:rPr>
              <w:t>a</w:t>
            </w:r>
          </w:p>
        </w:tc>
        <w:tc>
          <w:tcPr>
            <w:tcW w:w="3421" w:type="dxa"/>
            <w:tcBorders>
              <w:tl2br w:val="nil"/>
              <w:tr2bl w:val="nil"/>
            </w:tcBorders>
            <w:vAlign w:val="center"/>
          </w:tcPr>
          <w:p w14:paraId="4386144B">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水质</w:t>
            </w:r>
            <w:r>
              <w:rPr>
                <w:rFonts w:hint="eastAsia"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叶绿素的测定</w:t>
            </w:r>
            <w:r>
              <w:rPr>
                <w:rFonts w:hint="eastAsia"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lang w:val="en-US" w:eastAsia="zh-CN"/>
              </w:rPr>
              <w:t>分光光度法</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SL 88-2012</w:t>
            </w:r>
          </w:p>
        </w:tc>
        <w:tc>
          <w:tcPr>
            <w:tcW w:w="1966" w:type="dxa"/>
            <w:tcBorders>
              <w:tl2br w:val="nil"/>
              <w:tr2bl w:val="nil"/>
            </w:tcBorders>
            <w:vAlign w:val="center"/>
          </w:tcPr>
          <w:p w14:paraId="3A196EBF">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SP-722</w:t>
            </w:r>
          </w:p>
          <w:p w14:paraId="0422D43F">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可见分光光度计</w:t>
            </w:r>
          </w:p>
        </w:tc>
        <w:tc>
          <w:tcPr>
            <w:tcW w:w="1232" w:type="dxa"/>
            <w:tcBorders>
              <w:tl2br w:val="nil"/>
              <w:tr2bl w:val="nil"/>
            </w:tcBorders>
            <w:vAlign w:val="center"/>
          </w:tcPr>
          <w:p w14:paraId="031955CE">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0.11</w:t>
            </w:r>
            <w:r>
              <w:rPr>
                <w:rFonts w:hint="default" w:ascii="Times New Roman" w:hAnsi="Times New Roman" w:eastAsia="宋体" w:cs="Times New Roman"/>
                <w:color w:val="auto"/>
                <w:sz w:val="21"/>
                <w:szCs w:val="21"/>
                <w:u w:val="none" w:color="auto"/>
                <w:lang w:val="en-US" w:eastAsia="zh-CN"/>
              </w:rPr>
              <w:t>μg/L</w:t>
            </w:r>
          </w:p>
        </w:tc>
      </w:tr>
      <w:tr w14:paraId="5BC54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47537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DEE97E6">
            <w:pPr>
              <w:keepNext w:val="0"/>
              <w:keepLines w:val="0"/>
              <w:suppressLineNumbers w:val="0"/>
              <w:spacing w:before="0" w:beforeAutospacing="0" w:after="0" w:afterAutospacing="0" w:line="260" w:lineRule="exact"/>
              <w:ind w:left="0" w:right="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高锰酸盐</w:t>
            </w:r>
          </w:p>
          <w:p w14:paraId="51C1C674">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指数</w:t>
            </w:r>
          </w:p>
        </w:tc>
        <w:tc>
          <w:tcPr>
            <w:tcW w:w="3421" w:type="dxa"/>
            <w:tcBorders>
              <w:tl2br w:val="nil"/>
              <w:tr2bl w:val="nil"/>
            </w:tcBorders>
            <w:vAlign w:val="center"/>
          </w:tcPr>
          <w:p w14:paraId="0F9D59A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《水质 高锰酸盐指数的测定》</w:t>
            </w:r>
          </w:p>
          <w:p w14:paraId="5AD1E83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GB 11892-1989</w:t>
            </w:r>
          </w:p>
        </w:tc>
        <w:tc>
          <w:tcPr>
            <w:tcW w:w="1966" w:type="dxa"/>
            <w:tcBorders>
              <w:tl2br w:val="nil"/>
              <w:tr2bl w:val="nil"/>
            </w:tcBorders>
            <w:vAlign w:val="center"/>
          </w:tcPr>
          <w:p w14:paraId="1B3D1AB5">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滴定管</w:t>
            </w:r>
          </w:p>
        </w:tc>
        <w:tc>
          <w:tcPr>
            <w:tcW w:w="1232" w:type="dxa"/>
            <w:tcBorders>
              <w:tl2br w:val="nil"/>
              <w:tr2bl w:val="nil"/>
            </w:tcBorders>
            <w:vAlign w:val="center"/>
          </w:tcPr>
          <w:p w14:paraId="6FDAD5C0">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0.5mg/L</w:t>
            </w:r>
          </w:p>
        </w:tc>
      </w:tr>
    </w:tbl>
    <w:p w14:paraId="595B1CEC">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5、评价标准</w:t>
      </w:r>
    </w:p>
    <w:p w14:paraId="41BF57EB">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执行《地表水环境质量标准》（GB3838-2002）III类标准。</w:t>
      </w:r>
    </w:p>
    <w:p w14:paraId="73EE1C11">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6、评价方法</w:t>
      </w:r>
    </w:p>
    <w:p w14:paraId="07476906">
      <w:pPr>
        <w:keepNext w:val="0"/>
        <w:keepLines w:val="0"/>
        <w:pageBreakBefore w:val="0"/>
        <w:widowControl w:val="0"/>
        <w:kinsoku w:val="0"/>
        <w:wordWrap w:val="0"/>
        <w:overflowPunct/>
        <w:topLinePunct/>
        <w:autoSpaceDE/>
        <w:autoSpaceDN/>
        <w:bidi w:val="0"/>
        <w:adjustRightInd w:val="0"/>
        <w:snapToGrid/>
        <w:spacing w:line="360" w:lineRule="auto"/>
        <w:ind w:left="0" w:leftChars="0" w:firstLine="48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采用《环境影响评价技术导则 地表水环境》（HJ2.3-2018）所推荐的单项水质参数评价法进行评价。计算公式如下：</w:t>
      </w:r>
    </w:p>
    <w:p w14:paraId="42B96DBB">
      <w:pPr>
        <w:pStyle w:val="38"/>
        <w:keepNext w:val="0"/>
        <w:keepLines w:val="0"/>
        <w:pageBreakBefore w:val="0"/>
        <w:widowControl w:val="0"/>
        <w:tabs>
          <w:tab w:val="left" w:pos="-213"/>
        </w:tabs>
        <w:kinsoku w:val="0"/>
        <w:wordWrap w:val="0"/>
        <w:overflowPunct/>
        <w:topLinePunct/>
        <w:autoSpaceDE/>
        <w:autoSpaceDN/>
        <w:bidi w:val="0"/>
        <w:adjustRightInd w:val="0"/>
        <w:snapToGrid/>
        <w:spacing w:after="0" w:line="360" w:lineRule="auto"/>
        <w:ind w:left="0" w:leftChars="0" w:firstLine="48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①一般水质因子（随着浓度增加而水质变差的水质因子）的指数计算公式：</w:t>
      </w:r>
    </w:p>
    <w:p w14:paraId="36C78987">
      <w:pPr>
        <w:pageBreakBefore w:val="0"/>
        <w:kinsoku w:val="0"/>
        <w:wordWrap w:val="0"/>
        <w:overflowPunct/>
        <w:topLinePunct/>
        <w:autoSpaceDE/>
        <w:autoSpaceDN/>
        <w:bidi w:val="0"/>
        <w:spacing w:line="360" w:lineRule="auto"/>
        <w:ind w:firstLine="0" w:firstLineChars="0"/>
        <w:jc w:val="center"/>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S</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i</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＝C</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i</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/C</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si</w:t>
      </w:r>
    </w:p>
    <w:p w14:paraId="3190F9AD">
      <w:pPr>
        <w:pageBreakBefore w:val="0"/>
        <w:kinsoku w:val="0"/>
        <w:wordWrap w:val="0"/>
        <w:overflowPunct/>
        <w:topLinePunct/>
        <w:autoSpaceDE/>
        <w:autoSpaceDN/>
        <w:bidi w:val="0"/>
        <w:spacing w:line="360" w:lineRule="auto"/>
        <w:ind w:firstLine="48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式中：S</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i</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——评价因子i的水质指数，大于1表明该水质因子超标；</w:t>
      </w:r>
    </w:p>
    <w:p w14:paraId="4F104EB6">
      <w:pPr>
        <w:pageBreakBefore w:val="0"/>
        <w:kinsoku w:val="0"/>
        <w:wordWrap w:val="0"/>
        <w:overflowPunct/>
        <w:topLinePunct/>
        <w:autoSpaceDE/>
        <w:autoSpaceDN/>
        <w:bidi w:val="0"/>
        <w:spacing w:line="360" w:lineRule="auto"/>
        <w:ind w:firstLine="1200" w:firstLineChars="5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C</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i</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——评价因子i在j点的实测统计代表值，mg/L；</w:t>
      </w:r>
    </w:p>
    <w:p w14:paraId="6313D4B4">
      <w:pPr>
        <w:pStyle w:val="38"/>
        <w:pageBreakBefore w:val="0"/>
        <w:tabs>
          <w:tab w:val="left" w:pos="-213"/>
        </w:tabs>
        <w:kinsoku w:val="0"/>
        <w:wordWrap w:val="0"/>
        <w:overflowPunct/>
        <w:topLinePunct/>
        <w:autoSpaceDE/>
        <w:autoSpaceDN/>
        <w:bidi w:val="0"/>
        <w:spacing w:line="360" w:lineRule="auto"/>
        <w:ind w:left="0" w:leftChars="0" w:firstLine="1200" w:firstLineChars="5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C</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si</w:t>
      </w:r>
      <w:r>
        <w:rPr>
          <w:rFonts w:hint="default" w:ascii="Times New Roman" w:hAnsi="Times New Roman" w:eastAsia="宋体" w:cs="Times New Roman"/>
          <w:caps w:val="0"/>
          <w:smallCaps w:val="0"/>
          <w:color w:val="auto"/>
          <w:spacing w:val="0"/>
          <w:w w:val="100"/>
          <w:position w:val="0"/>
          <w:sz w:val="24"/>
          <w:szCs w:val="24"/>
          <w:u w:val="none" w:color="auto"/>
        </w:rPr>
        <w:t>——评价因子i的水质评价标准限值，mg/L。</w:t>
      </w:r>
    </w:p>
    <w:p w14:paraId="63A52A6C">
      <w:pPr>
        <w:pageBreakBefore w:val="0"/>
        <w:kinsoku w:val="0"/>
        <w:wordWrap w:val="0"/>
        <w:overflowPunct/>
        <w:topLinePunct/>
        <w:autoSpaceDE/>
        <w:autoSpaceDN/>
        <w:bidi w:val="0"/>
        <w:spacing w:line="360" w:lineRule="auto"/>
        <w:ind w:firstLine="48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②pH值的指数计算公式：</w:t>
      </w:r>
    </w:p>
    <w:p w14:paraId="4CCC584F">
      <w:pPr>
        <w:pageBreakBefore w:val="0"/>
        <w:kinsoku w:val="0"/>
        <w:wordWrap w:val="0"/>
        <w:overflowPunct/>
        <w:topLinePunct/>
        <w:autoSpaceDE/>
        <w:autoSpaceDN/>
        <w:bidi w:val="0"/>
        <w:spacing w:line="360" w:lineRule="auto"/>
        <w:ind w:firstLine="480"/>
        <w:jc w:val="center"/>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object>
          <v:shape id="_x0000_i1032" o:spt="75" type="#_x0000_t75" style="height:33.9pt;width:85.3pt;" o:ole="t" filled="f" o:preferrelative="t" stroked="f" coordsize="21600,21600">
            <v:path/>
            <v:fill on="f" focussize="0,0"/>
            <v:stroke on="f" joinstyle="miter"/>
            <v:imagedata r:id="rId43" o:title=""/>
            <o:lock v:ext="edit" aspectratio="t"/>
            <w10:wrap type="none"/>
            <w10:anchorlock/>
          </v:shape>
          <o:OLEObject Type="Embed" ProgID="Equations" ShapeID="_x0000_i1032" DrawAspect="Content" ObjectID="_1468075732" r:id="rId42">
            <o:LockedField>false</o:LockedField>
          </o:OLEObject>
        </w:object>
      </w:r>
      <w:r>
        <w:rPr>
          <w:rFonts w:hint="default" w:ascii="Times New Roman" w:hAnsi="Times New Roman" w:eastAsia="宋体" w:cs="Times New Roman"/>
          <w:caps w:val="0"/>
          <w:smallCaps w:val="0"/>
          <w:color w:val="auto"/>
          <w:spacing w:val="0"/>
          <w:w w:val="100"/>
          <w:position w:val="0"/>
          <w:sz w:val="24"/>
          <w:szCs w:val="24"/>
          <w:u w:val="none" w:color="auto"/>
        </w:rPr>
        <w:t xml:space="preserve">              pH≤7.0</w:t>
      </w:r>
    </w:p>
    <w:p w14:paraId="01FA05B5">
      <w:pPr>
        <w:pageBreakBefore w:val="0"/>
        <w:kinsoku w:val="0"/>
        <w:wordWrap w:val="0"/>
        <w:overflowPunct/>
        <w:topLinePunct/>
        <w:autoSpaceDE/>
        <w:autoSpaceDN/>
        <w:bidi w:val="0"/>
        <w:snapToGrid w:val="0"/>
        <w:spacing w:line="360" w:lineRule="auto"/>
        <w:ind w:firstLine="480"/>
        <w:jc w:val="center"/>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object>
          <v:shape id="_x0000_i1033" o:spt="75" type="#_x0000_t75" style="height:33.9pt;width:86.5pt;" o:ole="t" filled="f" o:preferrelative="t" stroked="f" coordsize="21600,21600">
            <v:path/>
            <v:fill on="f" focussize="0,0"/>
            <v:stroke on="f" joinstyle="miter"/>
            <v:imagedata r:id="rId45" o:title=""/>
            <o:lock v:ext="edit" aspectratio="t"/>
            <w10:wrap type="none"/>
            <w10:anchorlock/>
          </v:shape>
          <o:OLEObject Type="Embed" ProgID="Equations" ShapeID="_x0000_i1033" DrawAspect="Content" ObjectID="_1468075733" r:id="rId44">
            <o:LockedField>false</o:LockedField>
          </o:OLEObject>
        </w:object>
      </w:r>
      <w:r>
        <w:rPr>
          <w:rFonts w:hint="default" w:ascii="Times New Roman" w:hAnsi="Times New Roman" w:eastAsia="宋体" w:cs="Times New Roman"/>
          <w:caps w:val="0"/>
          <w:smallCaps w:val="0"/>
          <w:color w:val="auto"/>
          <w:spacing w:val="0"/>
          <w:w w:val="100"/>
          <w:position w:val="0"/>
          <w:sz w:val="24"/>
          <w:szCs w:val="24"/>
          <w:u w:val="none" w:color="auto"/>
        </w:rPr>
        <w:t xml:space="preserve">              pH&gt;7.0</w:t>
      </w:r>
    </w:p>
    <w:p w14:paraId="1F816A30">
      <w:pPr>
        <w:pageBreakBefore w:val="0"/>
        <w:kinsoku w:val="0"/>
        <w:wordWrap w:val="0"/>
        <w:overflowPunct/>
        <w:topLinePunct/>
        <w:autoSpaceDE/>
        <w:autoSpaceDN/>
        <w:bidi w:val="0"/>
        <w:spacing w:line="360" w:lineRule="auto"/>
        <w:ind w:firstLine="48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式中：S</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pH</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——pH值的指数，大于1表明该水质因子超标；</w:t>
      </w:r>
    </w:p>
    <w:p w14:paraId="773C7516">
      <w:pPr>
        <w:pageBreakBefore w:val="0"/>
        <w:kinsoku w:val="0"/>
        <w:wordWrap w:val="0"/>
        <w:overflowPunct/>
        <w:topLinePunct/>
        <w:autoSpaceDE/>
        <w:autoSpaceDN/>
        <w:bidi w:val="0"/>
        <w:spacing w:line="360" w:lineRule="auto"/>
        <w:ind w:firstLine="1200" w:firstLineChars="5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pH</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——pH值实测统计代表值；</w:t>
      </w:r>
    </w:p>
    <w:p w14:paraId="751DE4D8">
      <w:pPr>
        <w:pageBreakBefore w:val="0"/>
        <w:kinsoku w:val="0"/>
        <w:wordWrap w:val="0"/>
        <w:overflowPunct/>
        <w:topLinePunct/>
        <w:autoSpaceDE/>
        <w:autoSpaceDN/>
        <w:bidi w:val="0"/>
        <w:spacing w:line="360" w:lineRule="auto"/>
        <w:ind w:firstLine="1200" w:firstLineChars="5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pH</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sd</w:t>
      </w:r>
      <w:r>
        <w:rPr>
          <w:rFonts w:hint="default" w:ascii="Times New Roman" w:hAnsi="Times New Roman" w:eastAsia="宋体" w:cs="Times New Roman"/>
          <w:caps w:val="0"/>
          <w:smallCaps w:val="0"/>
          <w:color w:val="auto"/>
          <w:spacing w:val="0"/>
          <w:w w:val="100"/>
          <w:position w:val="0"/>
          <w:sz w:val="24"/>
          <w:szCs w:val="24"/>
          <w:u w:val="none" w:color="auto"/>
        </w:rPr>
        <w:t>——评价标准中pH的下限值；</w:t>
      </w:r>
    </w:p>
    <w:p w14:paraId="35892021">
      <w:pPr>
        <w:pageBreakBefore w:val="0"/>
        <w:widowControl w:val="0"/>
        <w:kinsoku w:val="0"/>
        <w:wordWrap w:val="0"/>
        <w:overflowPunct/>
        <w:topLinePunct/>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pH</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su</w:t>
      </w:r>
      <w:r>
        <w:rPr>
          <w:rFonts w:hint="default" w:ascii="Times New Roman" w:hAnsi="Times New Roman" w:eastAsia="宋体" w:cs="Times New Roman"/>
          <w:caps w:val="0"/>
          <w:smallCaps w:val="0"/>
          <w:color w:val="auto"/>
          <w:spacing w:val="0"/>
          <w:w w:val="100"/>
          <w:position w:val="0"/>
          <w:sz w:val="24"/>
          <w:szCs w:val="24"/>
          <w:u w:val="none" w:color="auto"/>
        </w:rPr>
        <w:t>——评价标准中pH的上限值。</w:t>
      </w:r>
    </w:p>
    <w:p w14:paraId="25FF3D3D">
      <w:pPr>
        <w:pStyle w:val="6"/>
        <w:pageBreakBefore w:val="0"/>
        <w:kinsoku w:val="0"/>
        <w:wordWrap w:val="0"/>
        <w:overflowPunct/>
        <w:topLinePunct/>
        <w:autoSpaceDE/>
        <w:autoSpaceDN/>
        <w:bidi w:val="0"/>
        <w:ind w:firstLine="720" w:firstLineChars="3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fldChar w:fldCharType="begin"/>
      </w:r>
      <w:r>
        <w:rPr>
          <w:rFonts w:hint="default" w:ascii="Times New Roman" w:hAnsi="Times New Roman" w:eastAsia="宋体" w:cs="Times New Roman"/>
          <w:caps w:val="0"/>
          <w:smallCaps w:val="0"/>
          <w:color w:val="auto"/>
          <w:spacing w:val="0"/>
          <w:w w:val="100"/>
          <w:position w:val="0"/>
          <w:sz w:val="24"/>
          <w:szCs w:val="24"/>
          <w:u w:val="none" w:color="auto"/>
        </w:rPr>
        <w:instrText xml:space="preserve"> = 3 \* GB3 \* MERGEFORMAT </w:instrText>
      </w:r>
      <w:r>
        <w:rPr>
          <w:rFonts w:hint="default" w:ascii="Times New Roman" w:hAnsi="Times New Roman" w:eastAsia="宋体" w:cs="Times New Roman"/>
          <w:caps w:val="0"/>
          <w:smallCaps w:val="0"/>
          <w:color w:val="auto"/>
          <w:spacing w:val="0"/>
          <w:w w:val="100"/>
          <w:position w:val="0"/>
          <w:sz w:val="24"/>
          <w:szCs w:val="24"/>
          <w:u w:val="none" w:color="auto"/>
        </w:rPr>
        <w:fldChar w:fldCharType="separate"/>
      </w:r>
      <w:r>
        <w:rPr>
          <w:rFonts w:hint="default" w:ascii="Times New Roman" w:hAnsi="Times New Roman" w:eastAsia="宋体" w:cs="Times New Roman"/>
          <w:caps w:val="0"/>
          <w:smallCaps w:val="0"/>
          <w:color w:val="auto"/>
          <w:spacing w:val="0"/>
          <w:w w:val="100"/>
          <w:position w:val="0"/>
          <w:u w:val="none" w:color="auto"/>
        </w:rPr>
        <w:t>③</w:t>
      </w:r>
      <w:r>
        <w:rPr>
          <w:rFonts w:hint="default" w:ascii="Times New Roman" w:hAnsi="Times New Roman" w:eastAsia="宋体" w:cs="Times New Roman"/>
          <w:caps w:val="0"/>
          <w:smallCaps w:val="0"/>
          <w:color w:val="auto"/>
          <w:spacing w:val="0"/>
          <w:w w:val="100"/>
          <w:position w:val="0"/>
          <w:sz w:val="24"/>
          <w:szCs w:val="24"/>
          <w:u w:val="none" w:color="auto"/>
        </w:rPr>
        <w:fldChar w:fldCharType="end"/>
      </w:r>
      <w:r>
        <w:rPr>
          <w:rFonts w:hint="default" w:ascii="Times New Roman" w:hAnsi="Times New Roman" w:eastAsia="宋体" w:cs="Times New Roman"/>
          <w:caps w:val="0"/>
          <w:smallCaps w:val="0"/>
          <w:color w:val="auto"/>
          <w:spacing w:val="0"/>
          <w:w w:val="100"/>
          <w:position w:val="0"/>
          <w:sz w:val="24"/>
          <w:szCs w:val="24"/>
          <w:u w:val="none" w:color="auto"/>
        </w:rPr>
        <w:t>溶解氧（DO）的标准指数计算公式：</w:t>
      </w:r>
    </w:p>
    <w:p w14:paraId="4293FD52">
      <w:pPr>
        <w:pageBreakBefore w:val="0"/>
        <w:kinsoku w:val="0"/>
        <w:wordWrap w:val="0"/>
        <w:overflowPunct/>
        <w:topLinePunct/>
        <w:autoSpaceDE/>
        <w:autoSpaceDN/>
        <w:bidi w:val="0"/>
        <w:spacing w:line="360" w:lineRule="auto"/>
        <w:ind w:firstLine="480"/>
        <w:jc w:val="center"/>
        <w:rPr>
          <w:rFonts w:hint="default" w:ascii="Times New Roman" w:hAnsi="Times New Roman" w:eastAsia="宋体" w:cs="Times New Roman"/>
          <w:caps w:val="0"/>
          <w:smallCaps w:val="0"/>
          <w:color w:val="auto"/>
          <w:spacing w:val="0"/>
          <w:w w:val="10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position w:val="0"/>
          <w:sz w:val="24"/>
          <w:szCs w:val="24"/>
          <w:u w:val="none" w:color="auto"/>
        </w:rPr>
        <w:object>
          <v:shape id="_x0000_i1034" o:spt="75" type="#_x0000_t75" style="height:20.6pt;width:86.25pt;" o:ole="t" filled="f" o:preferrelative="t" stroked="f" coordsize="21600,21600">
            <v:path/>
            <v:fill on="f" focussize="0,0"/>
            <v:stroke on="f"/>
            <v:imagedata r:id="rId47" o:title=""/>
            <o:lock v:ext="edit" aspectratio="t"/>
            <w10:wrap type="none"/>
            <w10:anchorlock/>
          </v:shape>
          <o:OLEObject Type="Embed" ProgID="Equations" ShapeID="_x0000_i1034" DrawAspect="Content" ObjectID="_1468075734" r:id="rId46">
            <o:LockedField>false</o:LockedField>
          </o:OLEObject>
        </w:object>
      </w:r>
      <w:r>
        <w:rPr>
          <w:rFonts w:hint="default" w:ascii="Times New Roman" w:hAnsi="Times New Roman" w:eastAsia="宋体" w:cs="Times New Roman"/>
          <w:caps w:val="0"/>
          <w:smallCaps w:val="0"/>
          <w:color w:val="auto"/>
          <w:spacing w:val="0"/>
          <w:w w:val="100"/>
          <w:position w:val="0"/>
          <w:sz w:val="24"/>
          <w:szCs w:val="24"/>
          <w:u w:val="none" w:color="auto"/>
        </w:rPr>
        <w:t xml:space="preserve">             </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val="en-US" w:eastAsia="zh-CN"/>
        </w:rPr>
        <w:t>j</w:t>
      </w: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val="en-US" w:eastAsia="zh-CN"/>
        </w:rPr>
        <w:t>f</w:t>
      </w:r>
    </w:p>
    <w:p w14:paraId="1BFE18D3">
      <w:pPr>
        <w:pageBreakBefore w:val="0"/>
        <w:kinsoku w:val="0"/>
        <w:wordWrap w:val="0"/>
        <w:overflowPunct/>
        <w:topLinePunct/>
        <w:autoSpaceDE/>
        <w:autoSpaceDN/>
        <w:bidi w:val="0"/>
        <w:snapToGrid w:val="0"/>
        <w:spacing w:line="360" w:lineRule="auto"/>
        <w:ind w:firstLine="480"/>
        <w:jc w:val="center"/>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object>
          <v:shape id="_x0000_i1035" o:spt="75" type="#_x0000_t75" style="height:40.1pt;width:98.2pt;" o:ole="t" filled="f" o:preferrelative="t" stroked="f" coordsize="21600,21600">
            <v:path/>
            <v:fill on="f" focussize="0,0"/>
            <v:stroke on="f"/>
            <v:imagedata r:id="rId49" o:title=""/>
            <o:lock v:ext="edit" aspectratio="t"/>
            <w10:wrap type="none"/>
            <w10:anchorlock/>
          </v:shape>
          <o:OLEObject Type="Embed" ProgID="Equations" ShapeID="_x0000_i1035" DrawAspect="Content" ObjectID="_1468075735" r:id="rId48">
            <o:LockedField>false</o:LockedField>
          </o:OLEObject>
        </w:object>
      </w:r>
      <w:r>
        <w:rPr>
          <w:rFonts w:hint="default" w:ascii="Times New Roman" w:hAnsi="Times New Roman" w:eastAsia="宋体" w:cs="Times New Roman"/>
          <w:caps w:val="0"/>
          <w:smallCaps w:val="0"/>
          <w:color w:val="auto"/>
          <w:spacing w:val="0"/>
          <w:w w:val="100"/>
          <w:position w:val="0"/>
          <w:sz w:val="24"/>
          <w:szCs w:val="24"/>
          <w:u w:val="none" w:color="auto"/>
        </w:rPr>
        <w:t xml:space="preserve">           </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val="en-US" w:eastAsia="zh-CN"/>
        </w:rPr>
        <w:t>j</w:t>
      </w:r>
      <w:r>
        <w:rPr>
          <w:rFonts w:hint="default" w:ascii="Times New Roman" w:hAnsi="Times New Roman" w:eastAsia="宋体" w:cs="Times New Roman"/>
          <w:caps w:val="0"/>
          <w:smallCaps w:val="0"/>
          <w:color w:val="auto"/>
          <w:spacing w:val="0"/>
          <w:w w:val="100"/>
          <w:position w:val="0"/>
          <w:sz w:val="24"/>
          <w:szCs w:val="24"/>
          <w:u w:val="none" w:color="auto"/>
        </w:rPr>
        <w:t>&gt;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val="en-US" w:eastAsia="zh-CN"/>
        </w:rPr>
        <w:t>f</w:t>
      </w:r>
    </w:p>
    <w:p w14:paraId="33193D88">
      <w:pPr>
        <w:pStyle w:val="6"/>
        <w:pageBreakBefore w:val="0"/>
        <w:widowControl w:val="0"/>
        <w:kinsoku w:val="0"/>
        <w:wordWrap w:val="0"/>
        <w:overflowPunct/>
        <w:topLinePunct/>
        <w:autoSpaceDE/>
        <w:autoSpaceDN/>
        <w:bidi w:val="0"/>
        <w:adjustRightInd w:val="0"/>
        <w:snapToGrid w:val="0"/>
        <w:spacing w:before="0" w:after="0" w:line="360" w:lineRule="auto"/>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式中：S</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DO，j</w:t>
      </w:r>
      <w:r>
        <w:rPr>
          <w:rFonts w:hint="default" w:ascii="Times New Roman" w:hAnsi="Times New Roman" w:eastAsia="宋体" w:cs="Times New Roman"/>
          <w:caps w:val="0"/>
          <w:smallCaps w:val="0"/>
          <w:color w:val="auto"/>
          <w:spacing w:val="0"/>
          <w:w w:val="100"/>
          <w:position w:val="0"/>
          <w:sz w:val="24"/>
          <w:szCs w:val="24"/>
          <w:u w:val="none" w:color="auto"/>
        </w:rPr>
        <w:t>——溶解氧的标准指数，大于1表明该水质因子超标；</w:t>
      </w:r>
    </w:p>
    <w:p w14:paraId="6067137C">
      <w:pPr>
        <w:pageBreakBefore w:val="0"/>
        <w:widowControl w:val="0"/>
        <w:kinsoku w:val="0"/>
        <w:wordWrap w:val="0"/>
        <w:overflowPunct/>
        <w:topLinePunct/>
        <w:autoSpaceDE/>
        <w:autoSpaceDN/>
        <w:bidi w:val="0"/>
        <w:adjustRightInd w:val="0"/>
        <w:snapToGrid w:val="0"/>
        <w:spacing w:line="360" w:lineRule="auto"/>
        <w:ind w:firstLine="960" w:firstLineChars="4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j</w:t>
      </w:r>
      <w:r>
        <w:rPr>
          <w:rFonts w:hint="default" w:ascii="Times New Roman" w:hAnsi="Times New Roman" w:eastAsia="宋体" w:cs="Times New Roman"/>
          <w:caps w:val="0"/>
          <w:smallCaps w:val="0"/>
          <w:color w:val="auto"/>
          <w:spacing w:val="0"/>
          <w:w w:val="100"/>
          <w:position w:val="0"/>
          <w:sz w:val="24"/>
          <w:szCs w:val="24"/>
          <w:u w:val="none" w:color="auto"/>
        </w:rPr>
        <w:t>——溶解氧在j点的实测统计代表值，mg/L；</w:t>
      </w:r>
    </w:p>
    <w:p w14:paraId="3EE24B69">
      <w:pPr>
        <w:pageBreakBefore w:val="0"/>
        <w:widowControl w:val="0"/>
        <w:kinsoku w:val="0"/>
        <w:wordWrap w:val="0"/>
        <w:overflowPunct/>
        <w:topLinePunct/>
        <w:autoSpaceDE/>
        <w:autoSpaceDN/>
        <w:bidi w:val="0"/>
        <w:adjustRightInd w:val="0"/>
        <w:snapToGrid w:val="0"/>
        <w:spacing w:line="360" w:lineRule="auto"/>
        <w:ind w:firstLine="960" w:firstLineChars="4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rPr>
        <w:t>s</w:t>
      </w:r>
      <w:r>
        <w:rPr>
          <w:rFonts w:hint="default" w:ascii="Times New Roman" w:hAnsi="Times New Roman" w:eastAsia="宋体" w:cs="Times New Roman"/>
          <w:caps w:val="0"/>
          <w:smallCaps w:val="0"/>
          <w:color w:val="auto"/>
          <w:spacing w:val="0"/>
          <w:w w:val="100"/>
          <w:position w:val="0"/>
          <w:sz w:val="24"/>
          <w:szCs w:val="24"/>
          <w:u w:val="none" w:color="auto"/>
        </w:rPr>
        <w:t>——溶解氧的水质评价标准限值，mg/L</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p>
    <w:p w14:paraId="41D726E8">
      <w:pPr>
        <w:pageBreakBefore w:val="0"/>
        <w:widowControl w:val="0"/>
        <w:kinsoku w:val="0"/>
        <w:wordWrap w:val="0"/>
        <w:overflowPunct/>
        <w:topLinePunct/>
        <w:autoSpaceDE/>
        <w:autoSpaceDN/>
        <w:bidi w:val="0"/>
        <w:adjustRightInd w:val="0"/>
        <w:snapToGrid w:val="0"/>
        <w:spacing w:line="360" w:lineRule="auto"/>
        <w:ind w:firstLine="960" w:firstLineChars="4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f</w:t>
      </w:r>
      <w:r>
        <w:rPr>
          <w:rFonts w:hint="default" w:ascii="Times New Roman" w:hAnsi="Times New Roman" w:eastAsia="宋体" w:cs="Times New Roman"/>
          <w:caps w:val="0"/>
          <w:smallCaps w:val="0"/>
          <w:color w:val="auto"/>
          <w:spacing w:val="0"/>
          <w:w w:val="100"/>
          <w:position w:val="0"/>
          <w:sz w:val="24"/>
          <w:szCs w:val="24"/>
          <w:u w:val="none" w:color="auto"/>
          <w:lang w:eastAsia="zh-CN"/>
        </w:rPr>
        <w:t>——饱和溶解氧浓度，mg/L，对于河流，DO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eastAsia="zh-CN"/>
        </w:rPr>
        <w:t>f</w:t>
      </w:r>
      <w:r>
        <w:rPr>
          <w:rFonts w:hint="default" w:ascii="Times New Roman" w:hAnsi="Times New Roman" w:eastAsia="宋体" w:cs="Times New Roman"/>
          <w:caps w:val="0"/>
          <w:smallCaps w:val="0"/>
          <w:color w:val="auto"/>
          <w:spacing w:val="0"/>
          <w:w w:val="100"/>
          <w:position w:val="0"/>
          <w:sz w:val="24"/>
          <w:szCs w:val="24"/>
          <w:u w:val="none" w:color="auto"/>
          <w:lang w:eastAsia="zh-CN"/>
        </w:rPr>
        <w:t xml:space="preserve">=468/（31.6+T）；对于盐度比较高的湖泊、水库及入海河口、近岸海域，DO =（491-2.65S）/（33.5+T）； </w:t>
      </w:r>
    </w:p>
    <w:p w14:paraId="5E6FC6D9">
      <w:pPr>
        <w:pageBreakBefore w:val="0"/>
        <w:widowControl w:val="0"/>
        <w:kinsoku w:val="0"/>
        <w:wordWrap w:val="0"/>
        <w:overflowPunct/>
        <w:topLinePunct/>
        <w:autoSpaceDE/>
        <w:autoSpaceDN/>
        <w:bidi w:val="0"/>
        <w:adjustRightInd w:val="0"/>
        <w:snapToGrid w:val="0"/>
        <w:spacing w:line="360" w:lineRule="auto"/>
        <w:ind w:firstLine="960" w:firstLineChars="4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 xml:space="preserve">S——实用盐度符合，量纲为1；   </w:t>
      </w:r>
    </w:p>
    <w:p w14:paraId="5964ED85">
      <w:pPr>
        <w:pageBreakBefore w:val="0"/>
        <w:widowControl w:val="0"/>
        <w:kinsoku w:val="0"/>
        <w:wordWrap w:val="0"/>
        <w:overflowPunct/>
        <w:topLinePunct/>
        <w:autoSpaceDE/>
        <w:autoSpaceDN/>
        <w:bidi w:val="0"/>
        <w:adjustRightInd w:val="0"/>
        <w:snapToGrid w:val="0"/>
        <w:spacing w:line="360" w:lineRule="auto"/>
        <w:ind w:firstLine="960" w:firstLineChars="4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T——水温，℃。</w:t>
      </w:r>
    </w:p>
    <w:p w14:paraId="1113AFBC">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7、 监测及评价结果</w:t>
      </w:r>
    </w:p>
    <w:p w14:paraId="54C61F2F">
      <w:pPr>
        <w:pageBreakBefore w:val="0"/>
        <w:widowControl w:val="0"/>
        <w:kinsoku w:val="0"/>
        <w:wordWrap w:val="0"/>
        <w:overflowPunct/>
        <w:topLine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地表水</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水文参数见表3.2-5，地表水</w:t>
      </w:r>
      <w:r>
        <w:rPr>
          <w:rFonts w:hint="default" w:ascii="Times New Roman" w:hAnsi="Times New Roman" w:eastAsia="宋体" w:cs="Times New Roman"/>
          <w:caps w:val="0"/>
          <w:smallCaps w:val="0"/>
          <w:color w:val="auto"/>
          <w:spacing w:val="0"/>
          <w:w w:val="100"/>
          <w:position w:val="0"/>
          <w:sz w:val="24"/>
          <w:szCs w:val="24"/>
          <w:u w:val="none" w:color="auto"/>
          <w:lang w:eastAsia="zh-CN"/>
        </w:rPr>
        <w:t>环境</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质量</w:t>
      </w:r>
      <w:r>
        <w:rPr>
          <w:rFonts w:hint="default" w:ascii="Times New Roman" w:hAnsi="Times New Roman" w:eastAsia="宋体" w:cs="Times New Roman"/>
          <w:caps w:val="0"/>
          <w:smallCaps w:val="0"/>
          <w:color w:val="auto"/>
          <w:spacing w:val="0"/>
          <w:w w:val="100"/>
          <w:position w:val="0"/>
          <w:sz w:val="24"/>
          <w:szCs w:val="24"/>
          <w:u w:val="none" w:color="auto"/>
          <w:lang w:eastAsia="zh-CN"/>
        </w:rPr>
        <w:t>现状监测结果与评价结果见表3</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6和表3.2-7</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p>
    <w:p w14:paraId="2E4ABC61">
      <w:pPr>
        <w:pStyle w:val="79"/>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caps w:val="0"/>
          <w:smallCaps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caps w:val="0"/>
          <w:smallCaps w:val="0"/>
          <w:color w:val="auto"/>
          <w:spacing w:val="0"/>
          <w:w w:val="100"/>
          <w:kern w:val="2"/>
          <w:position w:val="0"/>
          <w:sz w:val="21"/>
          <w:szCs w:val="21"/>
          <w:u w:val="none" w:color="auto"/>
          <w:lang w:val="en-US" w:eastAsia="zh-CN" w:bidi="ar-SA"/>
        </w:rPr>
        <w:t>表3.2-5   地表水水文参数</w:t>
      </w:r>
    </w:p>
    <w:tbl>
      <w:tblPr>
        <w:tblStyle w:val="40"/>
        <w:tblW w:w="50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55"/>
        <w:gridCol w:w="4052"/>
        <w:gridCol w:w="1200"/>
        <w:gridCol w:w="1892"/>
      </w:tblGrid>
      <w:tr w14:paraId="26E32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51" w:type="dxa"/>
            <w:tcBorders>
              <w:tl2br w:val="nil"/>
              <w:tr2bl w:val="nil"/>
            </w:tcBorders>
            <w:noWrap w:val="0"/>
            <w:vAlign w:val="center"/>
          </w:tcPr>
          <w:p w14:paraId="1A1A320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采样时间</w:t>
            </w:r>
          </w:p>
        </w:tc>
        <w:tc>
          <w:tcPr>
            <w:tcW w:w="4038" w:type="dxa"/>
            <w:tcBorders>
              <w:tl2br w:val="nil"/>
              <w:tr2bl w:val="nil"/>
            </w:tcBorders>
            <w:noWrap w:val="0"/>
            <w:vAlign w:val="center"/>
          </w:tcPr>
          <w:p w14:paraId="044CE0B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采样点位</w:t>
            </w:r>
          </w:p>
        </w:tc>
        <w:tc>
          <w:tcPr>
            <w:tcW w:w="1196" w:type="dxa"/>
            <w:tcBorders>
              <w:tl2br w:val="nil"/>
              <w:tr2bl w:val="nil"/>
            </w:tcBorders>
            <w:noWrap w:val="0"/>
            <w:vAlign w:val="center"/>
          </w:tcPr>
          <w:p w14:paraId="414A2F7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1885" w:type="dxa"/>
            <w:tcBorders>
              <w:tl2br w:val="nil"/>
              <w:tr2bl w:val="nil"/>
            </w:tcBorders>
            <w:noWrap w:val="0"/>
            <w:vAlign w:val="center"/>
          </w:tcPr>
          <w:p w14:paraId="4574976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检测结果（m）</w:t>
            </w:r>
          </w:p>
        </w:tc>
      </w:tr>
      <w:tr w14:paraId="4808E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1" w:type="dxa"/>
            <w:tcBorders>
              <w:tl2br w:val="nil"/>
              <w:tr2bl w:val="nil"/>
            </w:tcBorders>
            <w:noWrap w:val="0"/>
            <w:vAlign w:val="center"/>
          </w:tcPr>
          <w:p w14:paraId="7EE781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snapToGrid/>
                <w:color w:val="auto"/>
                <w:kern w:val="2"/>
                <w:sz w:val="21"/>
                <w:szCs w:val="21"/>
                <w:u w:val="none" w:color="auto"/>
                <w:lang w:val="en-US" w:eastAsia="zh-CN" w:bidi="ar-SA"/>
              </w:rPr>
              <w:t>2024.0</w:t>
            </w:r>
            <w:r>
              <w:rPr>
                <w:rFonts w:hint="eastAsia" w:ascii="Times New Roman" w:hAnsi="Times New Roman" w:eastAsia="宋体" w:cs="Times New Roman"/>
                <w:snapToGrid/>
                <w:color w:val="auto"/>
                <w:kern w:val="2"/>
                <w:sz w:val="21"/>
                <w:szCs w:val="21"/>
                <w:u w:val="none" w:color="auto"/>
                <w:lang w:val="en-US" w:eastAsia="zh-CN" w:bidi="ar-SA"/>
              </w:rPr>
              <w:t>9</w:t>
            </w:r>
            <w:r>
              <w:rPr>
                <w:rFonts w:hint="default" w:ascii="Times New Roman" w:hAnsi="Times New Roman" w:eastAsia="宋体" w:cs="Times New Roman"/>
                <w:snapToGrid/>
                <w:color w:val="auto"/>
                <w:kern w:val="2"/>
                <w:sz w:val="21"/>
                <w:szCs w:val="21"/>
                <w:u w:val="none" w:color="auto"/>
                <w:lang w:val="en-US" w:eastAsia="zh-CN" w:bidi="ar-SA"/>
              </w:rPr>
              <w:t>.0</w:t>
            </w:r>
            <w:r>
              <w:rPr>
                <w:rFonts w:hint="eastAsia" w:ascii="Times New Roman" w:hAnsi="Times New Roman" w:eastAsia="宋体" w:cs="Times New Roman"/>
                <w:snapToGrid/>
                <w:color w:val="auto"/>
                <w:kern w:val="2"/>
                <w:sz w:val="21"/>
                <w:szCs w:val="21"/>
                <w:u w:val="none" w:color="auto"/>
                <w:lang w:val="en-US" w:eastAsia="zh-CN" w:bidi="ar-SA"/>
              </w:rPr>
              <w:t>1</w:t>
            </w:r>
          </w:p>
        </w:tc>
        <w:tc>
          <w:tcPr>
            <w:tcW w:w="4038" w:type="dxa"/>
            <w:tcBorders>
              <w:tl2br w:val="nil"/>
              <w:tr2bl w:val="nil"/>
            </w:tcBorders>
            <w:noWrap w:val="0"/>
            <w:vAlign w:val="center"/>
          </w:tcPr>
          <w:p w14:paraId="36B2A3F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W1水库</w:t>
            </w:r>
            <w:r>
              <w:rPr>
                <w:rFonts w:hint="eastAsia" w:ascii="Times New Roman" w:hAnsi="Times New Roman" w:eastAsia="宋体" w:cs="Times New Roman"/>
                <w:snapToGrid/>
                <w:color w:val="auto"/>
                <w:kern w:val="2"/>
                <w:sz w:val="21"/>
                <w:szCs w:val="21"/>
                <w:u w:val="none" w:color="auto"/>
                <w:lang w:val="en-US" w:eastAsia="zh-CN" w:bidi="ar-SA"/>
              </w:rPr>
              <w:t>中心</w:t>
            </w:r>
            <w:r>
              <w:rPr>
                <w:rFonts w:hint="default" w:ascii="Times New Roman" w:hAnsi="Times New Roman" w:eastAsia="宋体" w:cs="Times New Roman"/>
                <w:snapToGrid/>
                <w:color w:val="auto"/>
                <w:kern w:val="2"/>
                <w:sz w:val="21"/>
                <w:szCs w:val="21"/>
                <w:u w:val="none" w:color="auto"/>
                <w:lang w:val="en-US" w:eastAsia="zh-CN" w:bidi="ar-SA"/>
              </w:rPr>
              <w:t xml:space="preserve"> </w:t>
            </w:r>
          </w:p>
        </w:tc>
        <w:tc>
          <w:tcPr>
            <w:tcW w:w="1196" w:type="dxa"/>
            <w:tcBorders>
              <w:tl2br w:val="nil"/>
              <w:tr2bl w:val="nil"/>
            </w:tcBorders>
            <w:noWrap w:val="0"/>
            <w:vAlign w:val="center"/>
          </w:tcPr>
          <w:p w14:paraId="2736A83B">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水位</w:t>
            </w:r>
          </w:p>
        </w:tc>
        <w:tc>
          <w:tcPr>
            <w:tcW w:w="1885" w:type="dxa"/>
            <w:tcBorders>
              <w:tl2br w:val="nil"/>
              <w:tr2bl w:val="nil"/>
            </w:tcBorders>
            <w:noWrap w:val="0"/>
            <w:vAlign w:val="center"/>
          </w:tcPr>
          <w:p w14:paraId="22A8D68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28.4</w:t>
            </w:r>
          </w:p>
        </w:tc>
      </w:tr>
      <w:tr w14:paraId="35E52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1" w:type="dxa"/>
            <w:tcBorders>
              <w:tl2br w:val="nil"/>
              <w:tr2bl w:val="nil"/>
            </w:tcBorders>
            <w:shd w:val="clear" w:color="auto" w:fill="auto"/>
            <w:noWrap w:val="0"/>
            <w:vAlign w:val="center"/>
          </w:tcPr>
          <w:p w14:paraId="2ADB9C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2024.0</w:t>
            </w:r>
            <w:r>
              <w:rPr>
                <w:rFonts w:hint="eastAsia" w:ascii="Times New Roman" w:hAnsi="Times New Roman" w:eastAsia="宋体" w:cs="Times New Roman"/>
                <w:snapToGrid/>
                <w:color w:val="auto"/>
                <w:kern w:val="2"/>
                <w:sz w:val="21"/>
                <w:szCs w:val="21"/>
                <w:u w:val="none" w:color="auto"/>
                <w:lang w:val="en-US" w:eastAsia="zh-CN" w:bidi="ar-SA"/>
              </w:rPr>
              <w:t>9</w:t>
            </w:r>
            <w:r>
              <w:rPr>
                <w:rFonts w:hint="default" w:ascii="Times New Roman" w:hAnsi="Times New Roman" w:eastAsia="宋体" w:cs="Times New Roman"/>
                <w:snapToGrid/>
                <w:color w:val="auto"/>
                <w:kern w:val="2"/>
                <w:sz w:val="21"/>
                <w:szCs w:val="21"/>
                <w:u w:val="none" w:color="auto"/>
                <w:lang w:val="en-US" w:eastAsia="zh-CN" w:bidi="ar-SA"/>
              </w:rPr>
              <w:t>.0</w:t>
            </w:r>
            <w:r>
              <w:rPr>
                <w:rFonts w:hint="eastAsia" w:ascii="Times New Roman" w:hAnsi="Times New Roman" w:eastAsia="宋体" w:cs="Times New Roman"/>
                <w:snapToGrid/>
                <w:color w:val="auto"/>
                <w:kern w:val="2"/>
                <w:sz w:val="21"/>
                <w:szCs w:val="21"/>
                <w:u w:val="none" w:color="auto"/>
                <w:lang w:val="en-US" w:eastAsia="zh-CN" w:bidi="ar-SA"/>
              </w:rPr>
              <w:t>2</w:t>
            </w:r>
          </w:p>
        </w:tc>
        <w:tc>
          <w:tcPr>
            <w:tcW w:w="4038" w:type="dxa"/>
            <w:tcBorders>
              <w:tl2br w:val="nil"/>
              <w:tr2bl w:val="nil"/>
            </w:tcBorders>
            <w:shd w:val="clear" w:color="auto" w:fill="auto"/>
            <w:noWrap w:val="0"/>
            <w:vAlign w:val="center"/>
          </w:tcPr>
          <w:p w14:paraId="6FA4A7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W1水库</w:t>
            </w:r>
            <w:r>
              <w:rPr>
                <w:rFonts w:hint="eastAsia" w:ascii="Times New Roman" w:hAnsi="Times New Roman" w:eastAsia="宋体" w:cs="Times New Roman"/>
                <w:snapToGrid/>
                <w:color w:val="auto"/>
                <w:kern w:val="2"/>
                <w:sz w:val="21"/>
                <w:szCs w:val="21"/>
                <w:u w:val="none" w:color="auto"/>
                <w:lang w:val="en-US" w:eastAsia="zh-CN" w:bidi="ar-SA"/>
              </w:rPr>
              <w:t>中心</w:t>
            </w:r>
            <w:r>
              <w:rPr>
                <w:rFonts w:hint="default" w:ascii="Times New Roman" w:hAnsi="Times New Roman" w:eastAsia="宋体" w:cs="Times New Roman"/>
                <w:snapToGrid/>
                <w:color w:val="auto"/>
                <w:kern w:val="2"/>
                <w:sz w:val="21"/>
                <w:szCs w:val="21"/>
                <w:u w:val="none" w:color="auto"/>
                <w:lang w:val="en-US" w:eastAsia="zh-CN" w:bidi="ar-SA"/>
              </w:rPr>
              <w:t xml:space="preserve"> </w:t>
            </w:r>
          </w:p>
        </w:tc>
        <w:tc>
          <w:tcPr>
            <w:tcW w:w="1196" w:type="dxa"/>
            <w:tcBorders>
              <w:tl2br w:val="nil"/>
              <w:tr2bl w:val="nil"/>
            </w:tcBorders>
            <w:shd w:val="clear" w:color="auto" w:fill="auto"/>
            <w:noWrap w:val="0"/>
            <w:vAlign w:val="center"/>
          </w:tcPr>
          <w:p w14:paraId="1BB7A0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水位</w:t>
            </w:r>
          </w:p>
        </w:tc>
        <w:tc>
          <w:tcPr>
            <w:tcW w:w="1885" w:type="dxa"/>
            <w:tcBorders>
              <w:tl2br w:val="nil"/>
              <w:tr2bl w:val="nil"/>
            </w:tcBorders>
            <w:shd w:val="clear" w:color="auto" w:fill="auto"/>
            <w:noWrap w:val="0"/>
            <w:vAlign w:val="center"/>
          </w:tcPr>
          <w:p w14:paraId="05046FFF">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27.5</w:t>
            </w:r>
          </w:p>
        </w:tc>
      </w:tr>
      <w:tr w14:paraId="5914E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1" w:type="dxa"/>
            <w:tcBorders>
              <w:tl2br w:val="nil"/>
              <w:tr2bl w:val="nil"/>
            </w:tcBorders>
            <w:shd w:val="clear" w:color="auto" w:fill="auto"/>
            <w:noWrap w:val="0"/>
            <w:vAlign w:val="center"/>
          </w:tcPr>
          <w:p w14:paraId="67DEFB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2024.0</w:t>
            </w:r>
            <w:r>
              <w:rPr>
                <w:rFonts w:hint="eastAsia" w:ascii="Times New Roman" w:hAnsi="Times New Roman" w:eastAsia="宋体" w:cs="Times New Roman"/>
                <w:snapToGrid/>
                <w:color w:val="auto"/>
                <w:kern w:val="2"/>
                <w:sz w:val="21"/>
                <w:szCs w:val="21"/>
                <w:u w:val="none" w:color="auto"/>
                <w:lang w:val="en-US" w:eastAsia="zh-CN" w:bidi="ar-SA"/>
              </w:rPr>
              <w:t>9</w:t>
            </w:r>
            <w:r>
              <w:rPr>
                <w:rFonts w:hint="default" w:ascii="Times New Roman" w:hAnsi="Times New Roman" w:eastAsia="宋体" w:cs="Times New Roman"/>
                <w:snapToGrid/>
                <w:color w:val="auto"/>
                <w:kern w:val="2"/>
                <w:sz w:val="21"/>
                <w:szCs w:val="21"/>
                <w:u w:val="none" w:color="auto"/>
                <w:lang w:val="en-US" w:eastAsia="zh-CN" w:bidi="ar-SA"/>
              </w:rPr>
              <w:t>.0</w:t>
            </w:r>
            <w:r>
              <w:rPr>
                <w:rFonts w:hint="eastAsia" w:ascii="Times New Roman" w:hAnsi="Times New Roman" w:eastAsia="宋体" w:cs="Times New Roman"/>
                <w:snapToGrid/>
                <w:color w:val="auto"/>
                <w:kern w:val="2"/>
                <w:sz w:val="21"/>
                <w:szCs w:val="21"/>
                <w:u w:val="none" w:color="auto"/>
                <w:lang w:val="en-US" w:eastAsia="zh-CN" w:bidi="ar-SA"/>
              </w:rPr>
              <w:t>3</w:t>
            </w:r>
          </w:p>
        </w:tc>
        <w:tc>
          <w:tcPr>
            <w:tcW w:w="4038" w:type="dxa"/>
            <w:tcBorders>
              <w:tl2br w:val="nil"/>
              <w:tr2bl w:val="nil"/>
            </w:tcBorders>
            <w:shd w:val="clear" w:color="auto" w:fill="auto"/>
            <w:noWrap w:val="0"/>
            <w:vAlign w:val="center"/>
          </w:tcPr>
          <w:p w14:paraId="774276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W1水库</w:t>
            </w:r>
            <w:r>
              <w:rPr>
                <w:rFonts w:hint="eastAsia" w:ascii="Times New Roman" w:hAnsi="Times New Roman" w:eastAsia="宋体" w:cs="Times New Roman"/>
                <w:snapToGrid/>
                <w:color w:val="auto"/>
                <w:kern w:val="2"/>
                <w:sz w:val="21"/>
                <w:szCs w:val="21"/>
                <w:u w:val="none" w:color="auto"/>
                <w:lang w:val="en-US" w:eastAsia="zh-CN" w:bidi="ar-SA"/>
              </w:rPr>
              <w:t>中心</w:t>
            </w:r>
            <w:r>
              <w:rPr>
                <w:rFonts w:hint="default" w:ascii="Times New Roman" w:hAnsi="Times New Roman" w:eastAsia="宋体" w:cs="Times New Roman"/>
                <w:snapToGrid/>
                <w:color w:val="auto"/>
                <w:kern w:val="2"/>
                <w:sz w:val="21"/>
                <w:szCs w:val="21"/>
                <w:u w:val="none" w:color="auto"/>
                <w:lang w:val="en-US" w:eastAsia="zh-CN" w:bidi="ar-SA"/>
              </w:rPr>
              <w:t xml:space="preserve"> </w:t>
            </w:r>
          </w:p>
        </w:tc>
        <w:tc>
          <w:tcPr>
            <w:tcW w:w="1196" w:type="dxa"/>
            <w:tcBorders>
              <w:tl2br w:val="nil"/>
              <w:tr2bl w:val="nil"/>
            </w:tcBorders>
            <w:shd w:val="clear" w:color="auto" w:fill="auto"/>
            <w:noWrap w:val="0"/>
            <w:vAlign w:val="center"/>
          </w:tcPr>
          <w:p w14:paraId="25BBB9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水位</w:t>
            </w:r>
          </w:p>
        </w:tc>
        <w:tc>
          <w:tcPr>
            <w:tcW w:w="1885" w:type="dxa"/>
            <w:tcBorders>
              <w:tl2br w:val="nil"/>
              <w:tr2bl w:val="nil"/>
            </w:tcBorders>
            <w:shd w:val="clear" w:color="auto" w:fill="auto"/>
            <w:noWrap w:val="0"/>
            <w:vAlign w:val="center"/>
          </w:tcPr>
          <w:p w14:paraId="44C4D51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28.2</w:t>
            </w:r>
          </w:p>
        </w:tc>
      </w:tr>
    </w:tbl>
    <w:p w14:paraId="5C844025">
      <w:pPr>
        <w:keepNext w:val="0"/>
        <w:keepLines w:val="0"/>
        <w:pageBreakBefore w:val="0"/>
        <w:widowControl w:val="0"/>
        <w:kinsoku w:val="0"/>
        <w:wordWrap w:val="0"/>
        <w:overflowPunct/>
        <w:topLinePunct/>
        <w:autoSpaceDE/>
        <w:autoSpaceDN/>
        <w:bidi w:val="0"/>
        <w:adjustRightInd/>
        <w:snapToGrid/>
        <w:spacing w:before="0" w:beforeLines="50"/>
        <w:jc w:val="center"/>
        <w:textAlignment w:val="auto"/>
        <w:rPr>
          <w:rFonts w:hint="default" w:ascii="Times New Roman" w:hAnsi="Times New Roman" w:eastAsia="宋体" w:cs="Times New Roman"/>
          <w:b/>
          <w:caps w:val="0"/>
          <w:smallCaps w:val="0"/>
          <w:color w:val="auto"/>
          <w:spacing w:val="0"/>
          <w:w w:val="100"/>
          <w:position w:val="0"/>
          <w:szCs w:val="21"/>
          <w:u w:val="none" w:color="auto"/>
          <w:lang w:val="en-US" w:eastAsia="zh-CN"/>
        </w:rPr>
      </w:pPr>
    </w:p>
    <w:p w14:paraId="31F4A18F">
      <w:pPr>
        <w:keepNext w:val="0"/>
        <w:keepLines w:val="0"/>
        <w:pageBreakBefore w:val="0"/>
        <w:widowControl w:val="0"/>
        <w:kinsoku w:val="0"/>
        <w:wordWrap w:val="0"/>
        <w:overflowPunct/>
        <w:topLinePunct/>
        <w:autoSpaceDE/>
        <w:autoSpaceDN/>
        <w:bidi w:val="0"/>
        <w:adjustRightInd/>
        <w:snapToGrid/>
        <w:spacing w:before="0" w:beforeLines="50"/>
        <w:jc w:val="center"/>
        <w:textAlignment w:val="auto"/>
        <w:rPr>
          <w:rFonts w:hint="default" w:ascii="Times New Roman" w:hAnsi="Times New Roman" w:eastAsia="宋体" w:cs="Times New Roman"/>
          <w:b/>
          <w:caps w:val="0"/>
          <w:smallCaps w:val="0"/>
          <w:color w:val="auto"/>
          <w:spacing w:val="0"/>
          <w:w w:val="100"/>
          <w:position w:val="0"/>
          <w:szCs w:val="21"/>
          <w:u w:val="none" w:color="auto"/>
        </w:rPr>
      </w:pPr>
      <w:r>
        <w:rPr>
          <w:rFonts w:hint="default" w:ascii="Times New Roman" w:hAnsi="Times New Roman" w:eastAsia="宋体" w:cs="Times New Roman"/>
          <w:b/>
          <w:caps w:val="0"/>
          <w:smallCaps w:val="0"/>
          <w:color w:val="auto"/>
          <w:spacing w:val="0"/>
          <w:w w:val="100"/>
          <w:position w:val="0"/>
          <w:szCs w:val="21"/>
          <w:u w:val="none" w:color="auto"/>
          <w:lang w:val="en-US" w:eastAsia="zh-CN"/>
        </w:rPr>
        <w:t>表3.2-6  地表</w:t>
      </w:r>
      <w:r>
        <w:rPr>
          <w:rFonts w:hint="default" w:ascii="Times New Roman" w:hAnsi="Times New Roman" w:eastAsia="宋体" w:cs="Times New Roman"/>
          <w:b/>
          <w:caps w:val="0"/>
          <w:smallCaps w:val="0"/>
          <w:color w:val="auto"/>
          <w:spacing w:val="0"/>
          <w:w w:val="100"/>
          <w:position w:val="0"/>
          <w:szCs w:val="21"/>
          <w:u w:val="none" w:color="auto"/>
        </w:rPr>
        <w:t>水环境质量监测结果表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341"/>
        <w:gridCol w:w="1193"/>
        <w:gridCol w:w="1169"/>
        <w:gridCol w:w="1173"/>
        <w:gridCol w:w="957"/>
        <w:gridCol w:w="935"/>
        <w:gridCol w:w="1034"/>
      </w:tblGrid>
      <w:tr w14:paraId="74E33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restart"/>
            <w:tcBorders>
              <w:tl2br w:val="nil"/>
              <w:tr2bl w:val="nil"/>
            </w:tcBorders>
            <w:noWrap w:val="0"/>
            <w:vAlign w:val="center"/>
          </w:tcPr>
          <w:p w14:paraId="4A6D4B10">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监测</w:t>
            </w:r>
          </w:p>
          <w:p w14:paraId="151CF310">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点位</w:t>
            </w:r>
          </w:p>
        </w:tc>
        <w:tc>
          <w:tcPr>
            <w:tcW w:w="1341" w:type="dxa"/>
            <w:vMerge w:val="restart"/>
            <w:tcBorders>
              <w:tl2br w:val="nil"/>
              <w:tr2bl w:val="nil"/>
            </w:tcBorders>
            <w:noWrap w:val="0"/>
            <w:vAlign w:val="center"/>
          </w:tcPr>
          <w:p w14:paraId="5ABD8A7B">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检测因子</w:t>
            </w:r>
          </w:p>
        </w:tc>
        <w:tc>
          <w:tcPr>
            <w:tcW w:w="3535" w:type="dxa"/>
            <w:gridSpan w:val="3"/>
            <w:tcBorders>
              <w:tl2br w:val="nil"/>
              <w:tr2bl w:val="nil"/>
            </w:tcBorders>
            <w:noWrap w:val="0"/>
            <w:vAlign w:val="center"/>
          </w:tcPr>
          <w:p w14:paraId="79361997">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采样时间及检测结果（单位：</w:t>
            </w:r>
            <w:r>
              <w:rPr>
                <w:rFonts w:hint="default" w:ascii="Times New Roman" w:hAnsi="Times New Roman" w:eastAsia="宋体" w:cs="Times New Roman"/>
                <w:b/>
                <w:bCs/>
                <w:color w:val="auto"/>
                <w:spacing w:val="0"/>
                <w:w w:val="100"/>
                <w:position w:val="0"/>
                <w:sz w:val="21"/>
                <w:szCs w:val="21"/>
                <w:u w:val="none" w:color="auto"/>
                <w:lang w:eastAsia="zh-CN"/>
              </w:rPr>
              <w:t>mg/L，pH无量纲，粪大肠菌群：个</w:t>
            </w:r>
            <w:r>
              <w:rPr>
                <w:rFonts w:hint="default" w:ascii="Times New Roman" w:hAnsi="Times New Roman" w:eastAsia="宋体" w:cs="Times New Roman"/>
                <w:b/>
                <w:bCs/>
                <w:color w:val="auto"/>
                <w:spacing w:val="0"/>
                <w:w w:val="100"/>
                <w:position w:val="0"/>
                <w:sz w:val="21"/>
                <w:szCs w:val="21"/>
                <w:u w:val="none" w:color="auto"/>
                <w:lang w:val="en-US" w:eastAsia="zh-CN"/>
              </w:rPr>
              <w:t>/L，透明度：</w:t>
            </w:r>
            <w:r>
              <w:rPr>
                <w:rFonts w:hint="eastAsia" w:ascii="Times New Roman" w:hAnsi="Times New Roman" w:eastAsia="宋体" w:cs="Times New Roman"/>
                <w:b/>
                <w:bCs/>
                <w:color w:val="auto"/>
                <w:spacing w:val="0"/>
                <w:w w:val="100"/>
                <w:position w:val="0"/>
                <w:sz w:val="21"/>
                <w:szCs w:val="21"/>
                <w:u w:val="none" w:color="auto"/>
                <w:lang w:val="en-US" w:eastAsia="zh-CN"/>
              </w:rPr>
              <w:t>厘</w:t>
            </w:r>
            <w:r>
              <w:rPr>
                <w:rFonts w:hint="default" w:ascii="Times New Roman" w:hAnsi="Times New Roman" w:eastAsia="宋体" w:cs="Times New Roman"/>
                <w:b/>
                <w:bCs/>
                <w:color w:val="auto"/>
                <w:spacing w:val="0"/>
                <w:w w:val="100"/>
                <w:position w:val="0"/>
                <w:sz w:val="21"/>
                <w:szCs w:val="21"/>
                <w:u w:val="none" w:color="auto"/>
                <w:lang w:val="en-US" w:eastAsia="zh-CN"/>
              </w:rPr>
              <w:t>米，水温：</w:t>
            </w:r>
            <w:r>
              <w:rPr>
                <w:rFonts w:hint="default" w:ascii="Times New Roman" w:hAnsi="Times New Roman" w:cs="Times New Roman" w:eastAsiaTheme="majorEastAsia"/>
                <w:color w:val="auto"/>
                <w:sz w:val="21"/>
                <w:szCs w:val="21"/>
                <w:u w:val="none" w:color="auto"/>
                <w:lang w:val="en-US" w:eastAsia="zh-CN"/>
              </w:rPr>
              <w:t>℃</w:t>
            </w:r>
            <w:r>
              <w:rPr>
                <w:rFonts w:hint="default" w:ascii="Times New Roman" w:hAnsi="Times New Roman" w:eastAsia="宋体" w:cs="Times New Roman"/>
                <w:b/>
                <w:bCs/>
                <w:color w:val="auto"/>
                <w:spacing w:val="0"/>
                <w:w w:val="100"/>
                <w:position w:val="0"/>
                <w:sz w:val="21"/>
                <w:szCs w:val="21"/>
                <w:u w:val="none" w:color="auto"/>
                <w:lang w:val="en-US" w:eastAsia="zh-CN" w:bidi="ar-SA"/>
              </w:rPr>
              <w:t>）</w:t>
            </w:r>
          </w:p>
        </w:tc>
        <w:tc>
          <w:tcPr>
            <w:tcW w:w="957" w:type="dxa"/>
            <w:vMerge w:val="restart"/>
            <w:tcBorders>
              <w:tl2br w:val="nil"/>
              <w:tr2bl w:val="nil"/>
            </w:tcBorders>
            <w:noWrap w:val="0"/>
            <w:vAlign w:val="center"/>
          </w:tcPr>
          <w:p w14:paraId="54C6CA6E">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III类标准限值</w:t>
            </w:r>
          </w:p>
        </w:tc>
        <w:tc>
          <w:tcPr>
            <w:tcW w:w="935" w:type="dxa"/>
            <w:vMerge w:val="restart"/>
            <w:tcBorders>
              <w:tl2br w:val="nil"/>
              <w:tr2bl w:val="nil"/>
            </w:tcBorders>
            <w:noWrap w:val="0"/>
            <w:vAlign w:val="center"/>
          </w:tcPr>
          <w:p w14:paraId="43390543">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最大标准指数</w:t>
            </w:r>
          </w:p>
        </w:tc>
        <w:tc>
          <w:tcPr>
            <w:tcW w:w="1034" w:type="dxa"/>
            <w:vMerge w:val="restart"/>
            <w:tcBorders>
              <w:tl2br w:val="nil"/>
              <w:tr2bl w:val="nil"/>
            </w:tcBorders>
            <w:noWrap w:val="0"/>
            <w:vAlign w:val="center"/>
          </w:tcPr>
          <w:p w14:paraId="32EE787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达标</w:t>
            </w:r>
          </w:p>
          <w:p w14:paraId="57F2597C">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情况</w:t>
            </w:r>
          </w:p>
        </w:tc>
      </w:tr>
      <w:tr w14:paraId="47340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0E16E53D">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vMerge w:val="continue"/>
            <w:tcBorders>
              <w:tl2br w:val="nil"/>
              <w:tr2bl w:val="nil"/>
            </w:tcBorders>
            <w:noWrap w:val="0"/>
            <w:vAlign w:val="center"/>
          </w:tcPr>
          <w:p w14:paraId="1AE77552">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0000FF"/>
                <w:spacing w:val="0"/>
                <w:w w:val="100"/>
                <w:position w:val="0"/>
                <w:sz w:val="21"/>
                <w:szCs w:val="21"/>
                <w:u w:val="none" w:color="auto"/>
                <w:lang w:val="en-US" w:eastAsia="zh-CN" w:bidi="ar-SA"/>
              </w:rPr>
            </w:pPr>
          </w:p>
        </w:tc>
        <w:tc>
          <w:tcPr>
            <w:tcW w:w="1193" w:type="dxa"/>
            <w:tcBorders>
              <w:tl2br w:val="nil"/>
              <w:tr2bl w:val="nil"/>
            </w:tcBorders>
            <w:noWrap w:val="0"/>
            <w:vAlign w:val="center"/>
          </w:tcPr>
          <w:p w14:paraId="333FD9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FF"/>
                <w:spacing w:val="0"/>
                <w:w w:val="100"/>
                <w:position w:val="0"/>
                <w:sz w:val="21"/>
                <w:szCs w:val="21"/>
                <w:u w:val="none" w:color="auto"/>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2024.09.01</w:t>
            </w:r>
          </w:p>
        </w:tc>
        <w:tc>
          <w:tcPr>
            <w:tcW w:w="1169" w:type="dxa"/>
            <w:tcBorders>
              <w:tl2br w:val="nil"/>
              <w:tr2bl w:val="nil"/>
            </w:tcBorders>
            <w:noWrap w:val="0"/>
            <w:vAlign w:val="center"/>
          </w:tcPr>
          <w:p w14:paraId="4702A6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FF"/>
                <w:spacing w:val="0"/>
                <w:w w:val="100"/>
                <w:position w:val="0"/>
                <w:sz w:val="21"/>
                <w:szCs w:val="21"/>
                <w:u w:val="none" w:color="auto"/>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2024.09.02</w:t>
            </w:r>
          </w:p>
        </w:tc>
        <w:tc>
          <w:tcPr>
            <w:tcW w:w="1173" w:type="dxa"/>
            <w:tcBorders>
              <w:tl2br w:val="nil"/>
              <w:tr2bl w:val="nil"/>
            </w:tcBorders>
            <w:noWrap w:val="0"/>
            <w:vAlign w:val="center"/>
          </w:tcPr>
          <w:p w14:paraId="542652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FF"/>
                <w:spacing w:val="0"/>
                <w:w w:val="100"/>
                <w:position w:val="0"/>
                <w:sz w:val="21"/>
                <w:szCs w:val="21"/>
                <w:u w:val="none" w:color="auto"/>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2024.09.03</w:t>
            </w:r>
          </w:p>
        </w:tc>
        <w:tc>
          <w:tcPr>
            <w:tcW w:w="957" w:type="dxa"/>
            <w:vMerge w:val="continue"/>
            <w:tcBorders>
              <w:tl2br w:val="nil"/>
              <w:tr2bl w:val="nil"/>
            </w:tcBorders>
            <w:noWrap w:val="0"/>
            <w:vAlign w:val="center"/>
          </w:tcPr>
          <w:p w14:paraId="1BED582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935" w:type="dxa"/>
            <w:vMerge w:val="continue"/>
            <w:tcBorders>
              <w:tl2br w:val="nil"/>
              <w:tr2bl w:val="nil"/>
            </w:tcBorders>
            <w:noWrap w:val="0"/>
            <w:vAlign w:val="center"/>
          </w:tcPr>
          <w:p w14:paraId="1317B1F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034" w:type="dxa"/>
            <w:vMerge w:val="continue"/>
            <w:tcBorders>
              <w:tl2br w:val="nil"/>
              <w:tr2bl w:val="nil"/>
            </w:tcBorders>
            <w:noWrap w:val="0"/>
            <w:vAlign w:val="center"/>
          </w:tcPr>
          <w:p w14:paraId="18D0723A">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r>
      <w:tr w14:paraId="5DFCE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restart"/>
            <w:tcBorders>
              <w:tl2br w:val="nil"/>
              <w:tr2bl w:val="nil"/>
            </w:tcBorders>
            <w:noWrap w:val="0"/>
            <w:vAlign w:val="center"/>
          </w:tcPr>
          <w:p w14:paraId="0F7579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W1水库</w:t>
            </w:r>
            <w:r>
              <w:rPr>
                <w:rFonts w:hint="eastAsia" w:ascii="Times New Roman" w:hAnsi="Times New Roman" w:eastAsia="宋体" w:cs="Times New Roman"/>
                <w:color w:val="auto"/>
                <w:spacing w:val="0"/>
                <w:w w:val="100"/>
                <w:position w:val="0"/>
                <w:sz w:val="21"/>
                <w:szCs w:val="21"/>
                <w:u w:val="none" w:color="auto"/>
                <w:lang w:val="en-US" w:eastAsia="zh-CN"/>
              </w:rPr>
              <w:t>中心</w:t>
            </w:r>
          </w:p>
        </w:tc>
        <w:tc>
          <w:tcPr>
            <w:tcW w:w="1341" w:type="dxa"/>
            <w:tcBorders>
              <w:tl2br w:val="nil"/>
              <w:tr2bl w:val="nil"/>
            </w:tcBorders>
            <w:noWrap w:val="0"/>
            <w:vAlign w:val="center"/>
          </w:tcPr>
          <w:p w14:paraId="7B3EAD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pH</w:t>
            </w:r>
            <w:r>
              <w:rPr>
                <w:rFonts w:hint="eastAsia" w:ascii="宋体" w:hAnsi="宋体" w:eastAsia="宋体" w:cs="宋体"/>
                <w:i w:val="0"/>
                <w:iCs w:val="0"/>
                <w:color w:val="000000"/>
                <w:kern w:val="0"/>
                <w:sz w:val="21"/>
                <w:szCs w:val="21"/>
                <w:u w:val="none"/>
                <w:lang w:val="en-US" w:eastAsia="zh-CN" w:bidi="ar"/>
              </w:rPr>
              <w:t>值</w:t>
            </w:r>
          </w:p>
        </w:tc>
        <w:tc>
          <w:tcPr>
            <w:tcW w:w="1193" w:type="dxa"/>
            <w:tcBorders>
              <w:tl2br w:val="nil"/>
              <w:tr2bl w:val="nil"/>
            </w:tcBorders>
            <w:noWrap w:val="0"/>
            <w:vAlign w:val="center"/>
          </w:tcPr>
          <w:p w14:paraId="4B823E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169" w:type="dxa"/>
            <w:tcBorders>
              <w:tl2br w:val="nil"/>
              <w:tr2bl w:val="nil"/>
            </w:tcBorders>
            <w:noWrap w:val="0"/>
            <w:vAlign w:val="center"/>
          </w:tcPr>
          <w:p w14:paraId="035429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173" w:type="dxa"/>
            <w:tcBorders>
              <w:tl2br w:val="nil"/>
              <w:tr2bl w:val="nil"/>
            </w:tcBorders>
            <w:noWrap w:val="0"/>
            <w:vAlign w:val="center"/>
          </w:tcPr>
          <w:p w14:paraId="10A8C9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957" w:type="dxa"/>
            <w:tcBorders>
              <w:tl2br w:val="nil"/>
              <w:tr2bl w:val="nil"/>
            </w:tcBorders>
            <w:noWrap w:val="0"/>
            <w:vAlign w:val="center"/>
          </w:tcPr>
          <w:p w14:paraId="5795FD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935" w:type="dxa"/>
            <w:tcBorders>
              <w:tl2br w:val="nil"/>
              <w:tr2bl w:val="nil"/>
            </w:tcBorders>
            <w:noWrap w:val="0"/>
            <w:vAlign w:val="center"/>
          </w:tcPr>
          <w:p w14:paraId="6273E6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0.150 </w:t>
            </w:r>
          </w:p>
        </w:tc>
        <w:tc>
          <w:tcPr>
            <w:tcW w:w="1034" w:type="dxa"/>
            <w:tcBorders>
              <w:tl2br w:val="nil"/>
              <w:tr2bl w:val="nil"/>
            </w:tcBorders>
            <w:noWrap w:val="0"/>
            <w:vAlign w:val="center"/>
          </w:tcPr>
          <w:p w14:paraId="2883C3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9206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53F0CDCC">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3FF29D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水温</w:t>
            </w:r>
          </w:p>
        </w:tc>
        <w:tc>
          <w:tcPr>
            <w:tcW w:w="1193" w:type="dxa"/>
            <w:tcBorders>
              <w:tl2br w:val="nil"/>
              <w:tr2bl w:val="nil"/>
            </w:tcBorders>
            <w:noWrap w:val="0"/>
            <w:vAlign w:val="center"/>
          </w:tcPr>
          <w:p w14:paraId="7E2D51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1169" w:type="dxa"/>
            <w:tcBorders>
              <w:tl2br w:val="nil"/>
              <w:tr2bl w:val="nil"/>
            </w:tcBorders>
            <w:noWrap w:val="0"/>
            <w:vAlign w:val="center"/>
          </w:tcPr>
          <w:p w14:paraId="1DBCA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1173" w:type="dxa"/>
            <w:tcBorders>
              <w:tl2br w:val="nil"/>
              <w:tr2bl w:val="nil"/>
            </w:tcBorders>
            <w:noWrap w:val="0"/>
            <w:vAlign w:val="center"/>
          </w:tcPr>
          <w:p w14:paraId="27FEBE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26.1</w:t>
            </w:r>
          </w:p>
        </w:tc>
        <w:tc>
          <w:tcPr>
            <w:tcW w:w="957" w:type="dxa"/>
            <w:tcBorders>
              <w:tl2br w:val="nil"/>
              <w:tr2bl w:val="nil"/>
            </w:tcBorders>
            <w:noWrap w:val="0"/>
            <w:vAlign w:val="center"/>
          </w:tcPr>
          <w:p w14:paraId="2EFD4C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5" w:type="dxa"/>
            <w:tcBorders>
              <w:tl2br w:val="nil"/>
              <w:tr2bl w:val="nil"/>
            </w:tcBorders>
            <w:noWrap w:val="0"/>
            <w:vAlign w:val="center"/>
          </w:tcPr>
          <w:p w14:paraId="628034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34" w:type="dxa"/>
            <w:tcBorders>
              <w:tl2br w:val="nil"/>
              <w:tr2bl w:val="nil"/>
            </w:tcBorders>
            <w:noWrap w:val="0"/>
            <w:vAlign w:val="center"/>
          </w:tcPr>
          <w:p w14:paraId="576B8B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18D0A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6CB135CF">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057BCC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溶解氧</w:t>
            </w:r>
          </w:p>
        </w:tc>
        <w:tc>
          <w:tcPr>
            <w:tcW w:w="1193" w:type="dxa"/>
            <w:tcBorders>
              <w:tl2br w:val="nil"/>
              <w:tr2bl w:val="nil"/>
            </w:tcBorders>
            <w:noWrap w:val="0"/>
            <w:vAlign w:val="center"/>
          </w:tcPr>
          <w:p w14:paraId="545DDA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7.95</w:t>
            </w:r>
          </w:p>
        </w:tc>
        <w:tc>
          <w:tcPr>
            <w:tcW w:w="1169" w:type="dxa"/>
            <w:tcBorders>
              <w:tl2br w:val="nil"/>
              <w:tr2bl w:val="nil"/>
            </w:tcBorders>
            <w:noWrap w:val="0"/>
            <w:vAlign w:val="center"/>
          </w:tcPr>
          <w:p w14:paraId="33E699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7.96</w:t>
            </w:r>
          </w:p>
        </w:tc>
        <w:tc>
          <w:tcPr>
            <w:tcW w:w="1173" w:type="dxa"/>
            <w:tcBorders>
              <w:tl2br w:val="nil"/>
              <w:tr2bl w:val="nil"/>
            </w:tcBorders>
            <w:noWrap w:val="0"/>
            <w:vAlign w:val="center"/>
          </w:tcPr>
          <w:p w14:paraId="73006D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957" w:type="dxa"/>
            <w:tcBorders>
              <w:tl2br w:val="nil"/>
              <w:tr2bl w:val="nil"/>
            </w:tcBorders>
            <w:noWrap w:val="0"/>
            <w:vAlign w:val="center"/>
          </w:tcPr>
          <w:p w14:paraId="669312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35" w:type="dxa"/>
            <w:tcBorders>
              <w:tl2br w:val="nil"/>
              <w:tr2bl w:val="nil"/>
            </w:tcBorders>
            <w:noWrap w:val="0"/>
            <w:vAlign w:val="center"/>
          </w:tcPr>
          <w:p w14:paraId="7D220B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0.629 </w:t>
            </w:r>
          </w:p>
        </w:tc>
        <w:tc>
          <w:tcPr>
            <w:tcW w:w="1034" w:type="dxa"/>
            <w:tcBorders>
              <w:tl2br w:val="nil"/>
              <w:tr2bl w:val="nil"/>
            </w:tcBorders>
            <w:noWrap w:val="0"/>
            <w:vAlign w:val="center"/>
          </w:tcPr>
          <w:p w14:paraId="5BC5D8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B6C8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3F1DE551">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11CEB3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透明度</w:t>
            </w:r>
          </w:p>
        </w:tc>
        <w:tc>
          <w:tcPr>
            <w:tcW w:w="1193" w:type="dxa"/>
            <w:tcBorders>
              <w:tl2br w:val="nil"/>
              <w:tr2bl w:val="nil"/>
            </w:tcBorders>
            <w:noWrap w:val="0"/>
            <w:vAlign w:val="center"/>
          </w:tcPr>
          <w:p w14:paraId="558DEB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78</w:t>
            </w:r>
          </w:p>
        </w:tc>
        <w:tc>
          <w:tcPr>
            <w:tcW w:w="1169" w:type="dxa"/>
            <w:tcBorders>
              <w:tl2br w:val="nil"/>
              <w:tr2bl w:val="nil"/>
            </w:tcBorders>
            <w:noWrap w:val="0"/>
            <w:vAlign w:val="center"/>
          </w:tcPr>
          <w:p w14:paraId="4E645E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79</w:t>
            </w:r>
          </w:p>
        </w:tc>
        <w:tc>
          <w:tcPr>
            <w:tcW w:w="1173" w:type="dxa"/>
            <w:tcBorders>
              <w:tl2br w:val="nil"/>
              <w:tr2bl w:val="nil"/>
            </w:tcBorders>
            <w:noWrap w:val="0"/>
            <w:vAlign w:val="center"/>
          </w:tcPr>
          <w:p w14:paraId="0DFD4E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76</w:t>
            </w:r>
          </w:p>
        </w:tc>
        <w:tc>
          <w:tcPr>
            <w:tcW w:w="957" w:type="dxa"/>
            <w:tcBorders>
              <w:tl2br w:val="nil"/>
              <w:tr2bl w:val="nil"/>
            </w:tcBorders>
            <w:noWrap w:val="0"/>
            <w:vAlign w:val="center"/>
          </w:tcPr>
          <w:p w14:paraId="206779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5" w:type="dxa"/>
            <w:tcBorders>
              <w:tl2br w:val="nil"/>
              <w:tr2bl w:val="nil"/>
            </w:tcBorders>
            <w:noWrap w:val="0"/>
            <w:vAlign w:val="center"/>
          </w:tcPr>
          <w:p w14:paraId="485CCB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34" w:type="dxa"/>
            <w:tcBorders>
              <w:tl2br w:val="nil"/>
              <w:tr2bl w:val="nil"/>
            </w:tcBorders>
            <w:noWrap w:val="0"/>
            <w:vAlign w:val="center"/>
          </w:tcPr>
          <w:p w14:paraId="70FEEE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0F962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31CE98F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458686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化学需氧量</w:t>
            </w:r>
          </w:p>
        </w:tc>
        <w:tc>
          <w:tcPr>
            <w:tcW w:w="1193" w:type="dxa"/>
            <w:tcBorders>
              <w:tl2br w:val="nil"/>
              <w:tr2bl w:val="nil"/>
            </w:tcBorders>
            <w:noWrap w:val="0"/>
            <w:vAlign w:val="center"/>
          </w:tcPr>
          <w:p w14:paraId="278C5D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169" w:type="dxa"/>
            <w:tcBorders>
              <w:tl2br w:val="nil"/>
              <w:tr2bl w:val="nil"/>
            </w:tcBorders>
            <w:noWrap w:val="0"/>
            <w:vAlign w:val="center"/>
          </w:tcPr>
          <w:p w14:paraId="5B3319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173" w:type="dxa"/>
            <w:tcBorders>
              <w:tl2br w:val="nil"/>
              <w:tr2bl w:val="nil"/>
            </w:tcBorders>
            <w:noWrap w:val="0"/>
            <w:vAlign w:val="center"/>
          </w:tcPr>
          <w:p w14:paraId="0CE714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57" w:type="dxa"/>
            <w:tcBorders>
              <w:tl2br w:val="nil"/>
              <w:tr2bl w:val="nil"/>
            </w:tcBorders>
            <w:noWrap w:val="0"/>
            <w:vAlign w:val="center"/>
          </w:tcPr>
          <w:p w14:paraId="448B3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35" w:type="dxa"/>
            <w:tcBorders>
              <w:tl2br w:val="nil"/>
              <w:tr2bl w:val="nil"/>
            </w:tcBorders>
            <w:noWrap w:val="0"/>
            <w:vAlign w:val="center"/>
          </w:tcPr>
          <w:p w14:paraId="5F9A69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0.400 </w:t>
            </w:r>
          </w:p>
        </w:tc>
        <w:tc>
          <w:tcPr>
            <w:tcW w:w="1034" w:type="dxa"/>
            <w:tcBorders>
              <w:tl2br w:val="nil"/>
              <w:tr2bl w:val="nil"/>
            </w:tcBorders>
            <w:noWrap w:val="0"/>
            <w:vAlign w:val="center"/>
          </w:tcPr>
          <w:p w14:paraId="6AD95F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1FBF4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60F6A1C0">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4040E1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氨氮</w:t>
            </w:r>
          </w:p>
        </w:tc>
        <w:tc>
          <w:tcPr>
            <w:tcW w:w="1193" w:type="dxa"/>
            <w:tcBorders>
              <w:tl2br w:val="nil"/>
              <w:tr2bl w:val="nil"/>
            </w:tcBorders>
            <w:noWrap w:val="0"/>
            <w:vAlign w:val="center"/>
          </w:tcPr>
          <w:p w14:paraId="001043D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0.04</w:t>
            </w:r>
          </w:p>
        </w:tc>
        <w:tc>
          <w:tcPr>
            <w:tcW w:w="1169" w:type="dxa"/>
            <w:tcBorders>
              <w:tl2br w:val="nil"/>
              <w:tr2bl w:val="nil"/>
            </w:tcBorders>
            <w:noWrap w:val="0"/>
            <w:vAlign w:val="center"/>
          </w:tcPr>
          <w:p w14:paraId="149A992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0.05</w:t>
            </w:r>
          </w:p>
        </w:tc>
        <w:tc>
          <w:tcPr>
            <w:tcW w:w="1173" w:type="dxa"/>
            <w:tcBorders>
              <w:tl2br w:val="nil"/>
              <w:tr2bl w:val="nil"/>
            </w:tcBorders>
            <w:noWrap w:val="0"/>
            <w:vAlign w:val="center"/>
          </w:tcPr>
          <w:p w14:paraId="34E2632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b w:val="0"/>
                <w:bCs w:val="0"/>
                <w:color w:val="auto"/>
                <w:sz w:val="21"/>
                <w:szCs w:val="21"/>
                <w:lang w:val="en-US" w:eastAsia="zh-CN"/>
              </w:rPr>
              <w:t>0.05</w:t>
            </w:r>
          </w:p>
        </w:tc>
        <w:tc>
          <w:tcPr>
            <w:tcW w:w="957" w:type="dxa"/>
            <w:tcBorders>
              <w:tl2br w:val="nil"/>
              <w:tr2bl w:val="nil"/>
            </w:tcBorders>
            <w:noWrap w:val="0"/>
            <w:vAlign w:val="center"/>
          </w:tcPr>
          <w:p w14:paraId="3772EC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35" w:type="dxa"/>
            <w:tcBorders>
              <w:tl2br w:val="nil"/>
              <w:tr2bl w:val="nil"/>
            </w:tcBorders>
            <w:noWrap w:val="0"/>
            <w:vAlign w:val="center"/>
          </w:tcPr>
          <w:p w14:paraId="1E8E18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 xml:space="preserve">5 </w:t>
            </w:r>
          </w:p>
        </w:tc>
        <w:tc>
          <w:tcPr>
            <w:tcW w:w="1034" w:type="dxa"/>
            <w:tcBorders>
              <w:tl2br w:val="nil"/>
              <w:tr2bl w:val="nil"/>
            </w:tcBorders>
            <w:noWrap w:val="0"/>
            <w:vAlign w:val="center"/>
          </w:tcPr>
          <w:p w14:paraId="105B87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63558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6600E65A">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697C6C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总磷</w:t>
            </w:r>
          </w:p>
        </w:tc>
        <w:tc>
          <w:tcPr>
            <w:tcW w:w="1193" w:type="dxa"/>
            <w:tcBorders>
              <w:tl2br w:val="nil"/>
              <w:tr2bl w:val="nil"/>
            </w:tcBorders>
            <w:noWrap w:val="0"/>
            <w:vAlign w:val="center"/>
          </w:tcPr>
          <w:p w14:paraId="030352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1169" w:type="dxa"/>
            <w:tcBorders>
              <w:tl2br w:val="nil"/>
              <w:tr2bl w:val="nil"/>
            </w:tcBorders>
            <w:noWrap w:val="0"/>
            <w:vAlign w:val="center"/>
          </w:tcPr>
          <w:p w14:paraId="12012B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173" w:type="dxa"/>
            <w:tcBorders>
              <w:tl2br w:val="nil"/>
              <w:tr2bl w:val="nil"/>
            </w:tcBorders>
            <w:noWrap w:val="0"/>
            <w:vAlign w:val="center"/>
          </w:tcPr>
          <w:p w14:paraId="460AD3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957" w:type="dxa"/>
            <w:tcBorders>
              <w:tl2br w:val="nil"/>
              <w:tr2bl w:val="nil"/>
            </w:tcBorders>
            <w:noWrap w:val="0"/>
            <w:vAlign w:val="center"/>
          </w:tcPr>
          <w:p w14:paraId="29BAEF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935" w:type="dxa"/>
            <w:tcBorders>
              <w:tl2br w:val="nil"/>
              <w:tr2bl w:val="nil"/>
            </w:tcBorders>
            <w:noWrap w:val="0"/>
            <w:vAlign w:val="center"/>
          </w:tcPr>
          <w:p w14:paraId="48223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1.800 </w:t>
            </w:r>
          </w:p>
        </w:tc>
        <w:tc>
          <w:tcPr>
            <w:tcW w:w="1034" w:type="dxa"/>
            <w:tcBorders>
              <w:tl2br w:val="nil"/>
              <w:tr2bl w:val="nil"/>
            </w:tcBorders>
            <w:noWrap w:val="0"/>
            <w:vAlign w:val="center"/>
          </w:tcPr>
          <w:p w14:paraId="04C9FF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超</w:t>
            </w:r>
            <w:r>
              <w:rPr>
                <w:rFonts w:hint="default" w:ascii="Times New Roman" w:hAnsi="Times New Roman" w:eastAsia="宋体" w:cs="Times New Roman"/>
                <w:i w:val="0"/>
                <w:iCs w:val="0"/>
                <w:color w:val="auto"/>
                <w:kern w:val="0"/>
                <w:sz w:val="21"/>
                <w:szCs w:val="21"/>
                <w:u w:val="none" w:color="auto"/>
                <w:lang w:val="en-US" w:eastAsia="zh-CN" w:bidi="ar"/>
              </w:rPr>
              <w:t>标</w:t>
            </w:r>
          </w:p>
          <w:p w14:paraId="741E9B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color="auto"/>
                <w:lang w:val="en-US" w:eastAsia="zh-CN" w:bidi="ar"/>
              </w:rPr>
              <w:t>(0.8倍)</w:t>
            </w:r>
          </w:p>
        </w:tc>
      </w:tr>
      <w:tr w14:paraId="622AA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2B74E244">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4B1235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总氮</w:t>
            </w:r>
          </w:p>
        </w:tc>
        <w:tc>
          <w:tcPr>
            <w:tcW w:w="1193" w:type="dxa"/>
            <w:tcBorders>
              <w:tl2br w:val="nil"/>
              <w:tr2bl w:val="nil"/>
            </w:tcBorders>
            <w:noWrap w:val="0"/>
            <w:vAlign w:val="center"/>
          </w:tcPr>
          <w:p w14:paraId="082DDD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4.32</w:t>
            </w:r>
          </w:p>
        </w:tc>
        <w:tc>
          <w:tcPr>
            <w:tcW w:w="1169" w:type="dxa"/>
            <w:tcBorders>
              <w:tl2br w:val="nil"/>
              <w:tr2bl w:val="nil"/>
            </w:tcBorders>
            <w:noWrap w:val="0"/>
            <w:vAlign w:val="center"/>
          </w:tcPr>
          <w:p w14:paraId="5E6B1D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w:t>
            </w:r>
          </w:p>
        </w:tc>
        <w:tc>
          <w:tcPr>
            <w:tcW w:w="1173" w:type="dxa"/>
            <w:tcBorders>
              <w:tl2br w:val="nil"/>
              <w:tr2bl w:val="nil"/>
            </w:tcBorders>
            <w:noWrap w:val="0"/>
            <w:vAlign w:val="center"/>
          </w:tcPr>
          <w:p w14:paraId="65C507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4.36</w:t>
            </w:r>
          </w:p>
        </w:tc>
        <w:tc>
          <w:tcPr>
            <w:tcW w:w="957" w:type="dxa"/>
            <w:tcBorders>
              <w:tl2br w:val="nil"/>
              <w:tr2bl w:val="nil"/>
            </w:tcBorders>
            <w:noWrap w:val="0"/>
            <w:vAlign w:val="center"/>
          </w:tcPr>
          <w:p w14:paraId="0016D0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35" w:type="dxa"/>
            <w:tcBorders>
              <w:tl2br w:val="nil"/>
              <w:tr2bl w:val="nil"/>
            </w:tcBorders>
            <w:noWrap w:val="0"/>
            <w:vAlign w:val="center"/>
          </w:tcPr>
          <w:p w14:paraId="5C1042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4.360 </w:t>
            </w:r>
          </w:p>
        </w:tc>
        <w:tc>
          <w:tcPr>
            <w:tcW w:w="1034" w:type="dxa"/>
            <w:tcBorders>
              <w:tl2br w:val="nil"/>
              <w:tr2bl w:val="nil"/>
            </w:tcBorders>
            <w:noWrap w:val="0"/>
            <w:vAlign w:val="center"/>
          </w:tcPr>
          <w:p w14:paraId="28360A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color="auto"/>
                <w:lang w:val="en-US" w:eastAsia="zh-CN" w:bidi="ar"/>
              </w:rPr>
              <w:t>超</w:t>
            </w:r>
            <w:r>
              <w:rPr>
                <w:rFonts w:hint="default" w:ascii="Times New Roman" w:hAnsi="Times New Roman" w:eastAsia="宋体" w:cs="Times New Roman"/>
                <w:i w:val="0"/>
                <w:iCs w:val="0"/>
                <w:color w:val="auto"/>
                <w:kern w:val="0"/>
                <w:sz w:val="21"/>
                <w:szCs w:val="21"/>
                <w:u w:val="none" w:color="auto"/>
                <w:lang w:val="en-US" w:eastAsia="zh-CN" w:bidi="ar"/>
              </w:rPr>
              <w:t>标</w:t>
            </w:r>
            <w:r>
              <w:rPr>
                <w:rFonts w:hint="eastAsia" w:ascii="Times New Roman" w:hAnsi="Times New Roman" w:eastAsia="宋体" w:cs="Times New Roman"/>
                <w:i w:val="0"/>
                <w:iCs w:val="0"/>
                <w:color w:val="auto"/>
                <w:kern w:val="0"/>
                <w:sz w:val="21"/>
                <w:szCs w:val="21"/>
                <w:u w:val="none" w:color="auto"/>
                <w:lang w:val="en-US" w:eastAsia="zh-CN" w:bidi="ar"/>
              </w:rPr>
              <w:t>(3.36倍)</w:t>
            </w:r>
          </w:p>
        </w:tc>
      </w:tr>
      <w:tr w14:paraId="78089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33A21F35">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009ADC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五日生化需氧量</w:t>
            </w:r>
          </w:p>
        </w:tc>
        <w:tc>
          <w:tcPr>
            <w:tcW w:w="1193" w:type="dxa"/>
            <w:tcBorders>
              <w:tl2br w:val="nil"/>
              <w:tr2bl w:val="nil"/>
            </w:tcBorders>
            <w:noWrap w:val="0"/>
            <w:vAlign w:val="center"/>
          </w:tcPr>
          <w:p w14:paraId="3AB212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169" w:type="dxa"/>
            <w:tcBorders>
              <w:tl2br w:val="nil"/>
              <w:tr2bl w:val="nil"/>
            </w:tcBorders>
            <w:noWrap w:val="0"/>
            <w:vAlign w:val="center"/>
          </w:tcPr>
          <w:p w14:paraId="386607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173" w:type="dxa"/>
            <w:tcBorders>
              <w:tl2br w:val="nil"/>
              <w:tr2bl w:val="nil"/>
            </w:tcBorders>
            <w:noWrap w:val="0"/>
            <w:vAlign w:val="center"/>
          </w:tcPr>
          <w:p w14:paraId="447DCA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957" w:type="dxa"/>
            <w:tcBorders>
              <w:tl2br w:val="nil"/>
              <w:tr2bl w:val="nil"/>
            </w:tcBorders>
            <w:noWrap w:val="0"/>
            <w:vAlign w:val="center"/>
          </w:tcPr>
          <w:p w14:paraId="1D3B2C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35" w:type="dxa"/>
            <w:tcBorders>
              <w:tl2br w:val="nil"/>
              <w:tr2bl w:val="nil"/>
            </w:tcBorders>
            <w:noWrap w:val="0"/>
            <w:vAlign w:val="center"/>
          </w:tcPr>
          <w:p w14:paraId="0E04FE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0.475 </w:t>
            </w:r>
          </w:p>
        </w:tc>
        <w:tc>
          <w:tcPr>
            <w:tcW w:w="1034" w:type="dxa"/>
            <w:tcBorders>
              <w:tl2br w:val="nil"/>
              <w:tr2bl w:val="nil"/>
            </w:tcBorders>
            <w:noWrap w:val="0"/>
            <w:vAlign w:val="center"/>
          </w:tcPr>
          <w:p w14:paraId="6A68ED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5B01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319E068B">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777A64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六价铬</w:t>
            </w:r>
          </w:p>
        </w:tc>
        <w:tc>
          <w:tcPr>
            <w:tcW w:w="1193" w:type="dxa"/>
            <w:tcBorders>
              <w:tl2br w:val="nil"/>
              <w:tr2bl w:val="nil"/>
            </w:tcBorders>
            <w:noWrap w:val="0"/>
            <w:vAlign w:val="center"/>
          </w:tcPr>
          <w:p w14:paraId="6D160E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169" w:type="dxa"/>
            <w:tcBorders>
              <w:tl2br w:val="nil"/>
              <w:tr2bl w:val="nil"/>
            </w:tcBorders>
            <w:noWrap w:val="0"/>
            <w:vAlign w:val="center"/>
          </w:tcPr>
          <w:p w14:paraId="7EDCBD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173" w:type="dxa"/>
            <w:tcBorders>
              <w:tl2br w:val="nil"/>
              <w:tr2bl w:val="nil"/>
            </w:tcBorders>
            <w:noWrap w:val="0"/>
            <w:vAlign w:val="center"/>
          </w:tcPr>
          <w:p w14:paraId="10324E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957" w:type="dxa"/>
            <w:tcBorders>
              <w:tl2br w:val="nil"/>
              <w:tr2bl w:val="nil"/>
            </w:tcBorders>
            <w:noWrap w:val="0"/>
            <w:vAlign w:val="center"/>
          </w:tcPr>
          <w:p w14:paraId="51DE0D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935" w:type="dxa"/>
            <w:tcBorders>
              <w:tl2br w:val="nil"/>
              <w:tr2bl w:val="nil"/>
            </w:tcBorders>
            <w:noWrap w:val="0"/>
            <w:vAlign w:val="center"/>
          </w:tcPr>
          <w:p w14:paraId="42A8EE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0.080 </w:t>
            </w:r>
          </w:p>
        </w:tc>
        <w:tc>
          <w:tcPr>
            <w:tcW w:w="1034" w:type="dxa"/>
            <w:tcBorders>
              <w:tl2br w:val="nil"/>
              <w:tr2bl w:val="nil"/>
            </w:tcBorders>
            <w:noWrap w:val="0"/>
            <w:vAlign w:val="center"/>
          </w:tcPr>
          <w:p w14:paraId="56F454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78064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15C1153B">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55A16A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石油类</w:t>
            </w:r>
          </w:p>
        </w:tc>
        <w:tc>
          <w:tcPr>
            <w:tcW w:w="1193" w:type="dxa"/>
            <w:tcBorders>
              <w:tl2br w:val="nil"/>
              <w:tr2bl w:val="nil"/>
            </w:tcBorders>
            <w:noWrap w:val="0"/>
            <w:vAlign w:val="center"/>
          </w:tcPr>
          <w:p w14:paraId="1B5D8D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1169" w:type="dxa"/>
            <w:tcBorders>
              <w:tl2br w:val="nil"/>
              <w:tr2bl w:val="nil"/>
            </w:tcBorders>
            <w:noWrap w:val="0"/>
            <w:vAlign w:val="center"/>
          </w:tcPr>
          <w:p w14:paraId="693BB0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1173" w:type="dxa"/>
            <w:tcBorders>
              <w:tl2br w:val="nil"/>
              <w:tr2bl w:val="nil"/>
            </w:tcBorders>
            <w:noWrap w:val="0"/>
            <w:vAlign w:val="center"/>
          </w:tcPr>
          <w:p w14:paraId="5B97EB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957" w:type="dxa"/>
            <w:tcBorders>
              <w:tl2br w:val="nil"/>
              <w:tr2bl w:val="nil"/>
            </w:tcBorders>
            <w:noWrap w:val="0"/>
            <w:vAlign w:val="center"/>
          </w:tcPr>
          <w:p w14:paraId="5DFE54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935" w:type="dxa"/>
            <w:tcBorders>
              <w:tl2br w:val="nil"/>
              <w:tr2bl w:val="nil"/>
            </w:tcBorders>
            <w:noWrap w:val="0"/>
            <w:vAlign w:val="center"/>
          </w:tcPr>
          <w:p w14:paraId="2B6AA8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0.200 </w:t>
            </w:r>
          </w:p>
        </w:tc>
        <w:tc>
          <w:tcPr>
            <w:tcW w:w="1034" w:type="dxa"/>
            <w:tcBorders>
              <w:tl2br w:val="nil"/>
              <w:tr2bl w:val="nil"/>
            </w:tcBorders>
            <w:noWrap w:val="0"/>
            <w:vAlign w:val="center"/>
          </w:tcPr>
          <w:p w14:paraId="4EB0CA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2F967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2AFFA13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582E4B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悬浮物</w:t>
            </w:r>
          </w:p>
        </w:tc>
        <w:tc>
          <w:tcPr>
            <w:tcW w:w="1193" w:type="dxa"/>
            <w:tcBorders>
              <w:tl2br w:val="nil"/>
              <w:tr2bl w:val="nil"/>
            </w:tcBorders>
            <w:noWrap w:val="0"/>
            <w:vAlign w:val="center"/>
          </w:tcPr>
          <w:p w14:paraId="401A98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69" w:type="dxa"/>
            <w:tcBorders>
              <w:tl2br w:val="nil"/>
              <w:tr2bl w:val="nil"/>
            </w:tcBorders>
            <w:noWrap w:val="0"/>
            <w:vAlign w:val="center"/>
          </w:tcPr>
          <w:p w14:paraId="332912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73" w:type="dxa"/>
            <w:tcBorders>
              <w:tl2br w:val="nil"/>
              <w:tr2bl w:val="nil"/>
            </w:tcBorders>
            <w:noWrap w:val="0"/>
            <w:vAlign w:val="center"/>
          </w:tcPr>
          <w:p w14:paraId="1DF2CF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57" w:type="dxa"/>
            <w:tcBorders>
              <w:tl2br w:val="nil"/>
              <w:tr2bl w:val="nil"/>
            </w:tcBorders>
            <w:noWrap w:val="0"/>
            <w:vAlign w:val="center"/>
          </w:tcPr>
          <w:p w14:paraId="7603B3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5" w:type="dxa"/>
            <w:tcBorders>
              <w:tl2br w:val="nil"/>
              <w:tr2bl w:val="nil"/>
            </w:tcBorders>
            <w:noWrap w:val="0"/>
            <w:vAlign w:val="center"/>
          </w:tcPr>
          <w:p w14:paraId="484A66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34" w:type="dxa"/>
            <w:tcBorders>
              <w:tl2br w:val="nil"/>
              <w:tr2bl w:val="nil"/>
            </w:tcBorders>
            <w:noWrap w:val="0"/>
            <w:vAlign w:val="center"/>
          </w:tcPr>
          <w:p w14:paraId="21DE0D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0DD24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334C123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3465BA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叶绿素</w:t>
            </w:r>
            <w:r>
              <w:rPr>
                <w:rFonts w:hint="default" w:ascii="Times New Roman" w:hAnsi="Times New Roman" w:eastAsia="宋体" w:cs="Times New Roman"/>
                <w:i w:val="0"/>
                <w:iCs w:val="0"/>
                <w:color w:val="000000"/>
                <w:kern w:val="0"/>
                <w:sz w:val="21"/>
                <w:szCs w:val="21"/>
                <w:u w:val="none"/>
                <w:lang w:val="en-US" w:eastAsia="zh-CN" w:bidi="ar"/>
              </w:rPr>
              <w:t>a</w:t>
            </w:r>
          </w:p>
        </w:tc>
        <w:tc>
          <w:tcPr>
            <w:tcW w:w="1193" w:type="dxa"/>
            <w:tcBorders>
              <w:tl2br w:val="nil"/>
              <w:tr2bl w:val="nil"/>
            </w:tcBorders>
            <w:noWrap w:val="0"/>
            <w:vAlign w:val="center"/>
          </w:tcPr>
          <w:p w14:paraId="641A0D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1169" w:type="dxa"/>
            <w:tcBorders>
              <w:tl2br w:val="nil"/>
              <w:tr2bl w:val="nil"/>
            </w:tcBorders>
            <w:noWrap w:val="0"/>
            <w:vAlign w:val="center"/>
          </w:tcPr>
          <w:p w14:paraId="1F4D0F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1173" w:type="dxa"/>
            <w:tcBorders>
              <w:tl2br w:val="nil"/>
              <w:tr2bl w:val="nil"/>
            </w:tcBorders>
            <w:noWrap w:val="0"/>
            <w:vAlign w:val="center"/>
          </w:tcPr>
          <w:p w14:paraId="03F8A6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w:t>
            </w:r>
          </w:p>
        </w:tc>
        <w:tc>
          <w:tcPr>
            <w:tcW w:w="957" w:type="dxa"/>
            <w:tcBorders>
              <w:tl2br w:val="nil"/>
              <w:tr2bl w:val="nil"/>
            </w:tcBorders>
            <w:noWrap w:val="0"/>
            <w:vAlign w:val="center"/>
          </w:tcPr>
          <w:p w14:paraId="2FB569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35" w:type="dxa"/>
            <w:tcBorders>
              <w:tl2br w:val="nil"/>
              <w:tr2bl w:val="nil"/>
            </w:tcBorders>
            <w:noWrap w:val="0"/>
            <w:vAlign w:val="center"/>
          </w:tcPr>
          <w:p w14:paraId="5EA6B3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34" w:type="dxa"/>
            <w:tcBorders>
              <w:tl2br w:val="nil"/>
              <w:tr2bl w:val="nil"/>
            </w:tcBorders>
            <w:noWrap w:val="0"/>
            <w:vAlign w:val="center"/>
          </w:tcPr>
          <w:p w14:paraId="7A70D2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2B8A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6" w:type="dxa"/>
            <w:vMerge w:val="continue"/>
            <w:tcBorders>
              <w:tl2br w:val="nil"/>
              <w:tr2bl w:val="nil"/>
            </w:tcBorders>
            <w:noWrap w:val="0"/>
            <w:vAlign w:val="center"/>
          </w:tcPr>
          <w:p w14:paraId="0522AD2A">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p>
        </w:tc>
        <w:tc>
          <w:tcPr>
            <w:tcW w:w="1341" w:type="dxa"/>
            <w:tcBorders>
              <w:tl2br w:val="nil"/>
              <w:tr2bl w:val="nil"/>
            </w:tcBorders>
            <w:noWrap w:val="0"/>
            <w:vAlign w:val="center"/>
          </w:tcPr>
          <w:p w14:paraId="0AED99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高锰酸盐指数</w:t>
            </w:r>
          </w:p>
        </w:tc>
        <w:tc>
          <w:tcPr>
            <w:tcW w:w="1193" w:type="dxa"/>
            <w:tcBorders>
              <w:tl2br w:val="nil"/>
              <w:tr2bl w:val="nil"/>
            </w:tcBorders>
            <w:noWrap w:val="0"/>
            <w:vAlign w:val="center"/>
          </w:tcPr>
          <w:p w14:paraId="6E4B15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169" w:type="dxa"/>
            <w:tcBorders>
              <w:tl2br w:val="nil"/>
              <w:tr2bl w:val="nil"/>
            </w:tcBorders>
            <w:noWrap w:val="0"/>
            <w:vAlign w:val="center"/>
          </w:tcPr>
          <w:p w14:paraId="5DB894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173" w:type="dxa"/>
            <w:tcBorders>
              <w:tl2br w:val="nil"/>
              <w:tr2bl w:val="nil"/>
            </w:tcBorders>
            <w:noWrap w:val="0"/>
            <w:vAlign w:val="center"/>
          </w:tcPr>
          <w:p w14:paraId="2F080C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957" w:type="dxa"/>
            <w:tcBorders>
              <w:tl2br w:val="nil"/>
              <w:tr2bl w:val="nil"/>
            </w:tcBorders>
            <w:noWrap w:val="0"/>
            <w:vAlign w:val="center"/>
          </w:tcPr>
          <w:p w14:paraId="36974D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35" w:type="dxa"/>
            <w:tcBorders>
              <w:tl2br w:val="nil"/>
              <w:tr2bl w:val="nil"/>
            </w:tcBorders>
            <w:noWrap w:val="0"/>
            <w:vAlign w:val="center"/>
          </w:tcPr>
          <w:p w14:paraId="29749F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pacing w:val="0"/>
                <w:w w:val="10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0.383 </w:t>
            </w:r>
          </w:p>
        </w:tc>
        <w:tc>
          <w:tcPr>
            <w:tcW w:w="1034" w:type="dxa"/>
            <w:tcBorders>
              <w:tl2br w:val="nil"/>
              <w:tr2bl w:val="nil"/>
            </w:tcBorders>
            <w:noWrap w:val="0"/>
            <w:vAlign w:val="center"/>
          </w:tcPr>
          <w:p w14:paraId="1D850A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bl>
    <w:p w14:paraId="4E9C0E8B">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根据上表可知，W1各监测</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因子中总氮、总磷超过</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《地表水环境质量标准》（GB3838-2002）Ⅲ类标准</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，其他各因子均满足III类标准要求</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超标原因可能是水库周边灌区农田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氮肥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磷肥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流失，通过地表径流汇入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北汊水库；同时北汊水库具有养殖功能，养殖废水也会导致总氮、总磷超标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0B9D00EB">
      <w:pPr>
        <w:keepNext w:val="0"/>
        <w:keepLines w:val="0"/>
        <w:pageBreakBefore w:val="0"/>
        <w:widowControl w:val="0"/>
        <w:numPr>
          <w:ilvl w:val="0"/>
          <w:numId w:val="12"/>
        </w:numPr>
        <w:kinsoku/>
        <w:wordWrap w:val="0"/>
        <w:overflowPunct/>
        <w:topLinePunct/>
        <w:autoSpaceDE/>
        <w:autoSpaceDN/>
        <w:bidi w:val="0"/>
        <w:adjustRightInd w:val="0"/>
        <w:snapToGrid/>
        <w:spacing w:line="360" w:lineRule="auto"/>
        <w:ind w:left="600" w:leftChars="0" w:firstLine="0" w:firstLineChars="0"/>
        <w:textAlignment w:val="auto"/>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底泥</w:t>
      </w:r>
    </w:p>
    <w:p w14:paraId="27417CC7">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0"/>
          <w:u w:val="none" w:color="auto"/>
          <w:lang w:val="en-US" w:eastAsia="zh-CN" w:bidi="ar-SA"/>
        </w:rPr>
      </w:pPr>
      <w:r>
        <w:rPr>
          <w:rFonts w:hint="default" w:ascii="Times New Roman" w:hAnsi="Times New Roman" w:eastAsia="宋体" w:cs="Times New Roman"/>
          <w:color w:val="auto"/>
          <w:spacing w:val="0"/>
          <w:w w:val="100"/>
          <w:kern w:val="0"/>
          <w:position w:val="0"/>
          <w:sz w:val="24"/>
          <w:szCs w:val="20"/>
          <w:u w:val="none" w:color="auto"/>
          <w:lang w:val="en-US" w:eastAsia="zh-CN" w:bidi="ar-SA"/>
        </w:rPr>
        <w:t>建设单位委托湖南乾诚检测有限公司于2024年</w:t>
      </w:r>
      <w:r>
        <w:rPr>
          <w:rFonts w:hint="eastAsia" w:ascii="Times New Roman" w:hAnsi="Times New Roman" w:eastAsia="宋体" w:cs="Times New Roman"/>
          <w:color w:val="auto"/>
          <w:spacing w:val="0"/>
          <w:w w:val="100"/>
          <w:kern w:val="0"/>
          <w:position w:val="0"/>
          <w:sz w:val="24"/>
          <w:szCs w:val="20"/>
          <w:u w:val="none" w:color="auto"/>
          <w:lang w:val="en-US" w:eastAsia="zh-CN" w:bidi="ar-SA"/>
        </w:rPr>
        <w:t>9</w:t>
      </w:r>
      <w:r>
        <w:rPr>
          <w:rFonts w:hint="default" w:ascii="Times New Roman" w:hAnsi="Times New Roman" w:eastAsia="宋体" w:cs="Times New Roman"/>
          <w:color w:val="auto"/>
          <w:spacing w:val="0"/>
          <w:w w:val="100"/>
          <w:kern w:val="0"/>
          <w:position w:val="0"/>
          <w:sz w:val="24"/>
          <w:szCs w:val="20"/>
          <w:u w:val="none" w:color="auto"/>
          <w:lang w:val="en-US" w:eastAsia="zh-CN" w:bidi="ar-SA"/>
        </w:rPr>
        <w:t>月</w:t>
      </w:r>
      <w:r>
        <w:rPr>
          <w:rFonts w:hint="eastAsia" w:ascii="Times New Roman" w:hAnsi="Times New Roman" w:eastAsia="宋体" w:cs="Times New Roman"/>
          <w:color w:val="auto"/>
          <w:spacing w:val="0"/>
          <w:w w:val="100"/>
          <w:kern w:val="0"/>
          <w:position w:val="0"/>
          <w:sz w:val="24"/>
          <w:szCs w:val="20"/>
          <w:u w:val="none" w:color="auto"/>
          <w:lang w:val="en-US" w:eastAsia="zh-CN" w:bidi="ar-SA"/>
        </w:rPr>
        <w:t>1</w:t>
      </w:r>
      <w:r>
        <w:rPr>
          <w:rFonts w:hint="default" w:ascii="Times New Roman" w:hAnsi="Times New Roman" w:eastAsia="宋体" w:cs="Times New Roman"/>
          <w:color w:val="auto"/>
          <w:spacing w:val="0"/>
          <w:w w:val="100"/>
          <w:kern w:val="0"/>
          <w:position w:val="0"/>
          <w:sz w:val="24"/>
          <w:szCs w:val="20"/>
          <w:u w:val="none" w:color="auto"/>
          <w:lang w:val="en-US" w:eastAsia="zh-CN" w:bidi="ar-SA"/>
        </w:rPr>
        <w:t>日对项目</w:t>
      </w:r>
      <w:r>
        <w:rPr>
          <w:rFonts w:hint="eastAsia" w:ascii="Times New Roman" w:hAnsi="Times New Roman" w:eastAsia="宋体" w:cs="Times New Roman"/>
          <w:color w:val="auto"/>
          <w:spacing w:val="0"/>
          <w:w w:val="100"/>
          <w:kern w:val="0"/>
          <w:position w:val="0"/>
          <w:sz w:val="24"/>
          <w:szCs w:val="20"/>
          <w:u w:val="none" w:color="auto"/>
          <w:lang w:val="en-US" w:eastAsia="zh-CN" w:bidi="ar-SA"/>
        </w:rPr>
        <w:t>水库底泥</w:t>
      </w:r>
      <w:r>
        <w:rPr>
          <w:rFonts w:hint="default" w:ascii="Times New Roman" w:hAnsi="Times New Roman" w:eastAsia="宋体" w:cs="Times New Roman"/>
          <w:color w:val="auto"/>
          <w:spacing w:val="0"/>
          <w:w w:val="100"/>
          <w:kern w:val="0"/>
          <w:position w:val="0"/>
          <w:sz w:val="24"/>
          <w:szCs w:val="20"/>
          <w:u w:val="none" w:color="auto"/>
          <w:lang w:val="en-US" w:eastAsia="zh-CN" w:bidi="ar-SA"/>
        </w:rPr>
        <w:t>进行了一期现状监测。</w:t>
      </w:r>
    </w:p>
    <w:p w14:paraId="2398CD7E">
      <w:pPr>
        <w:keepNext w:val="0"/>
        <w:keepLines w:val="0"/>
        <w:pageBreakBefore w:val="0"/>
        <w:widowControl w:val="0"/>
        <w:numPr>
          <w:ilvl w:val="0"/>
          <w:numId w:val="13"/>
        </w:numPr>
        <w:kinsoku/>
        <w:wordWrap w:val="0"/>
        <w:overflowPunct/>
        <w:topLinePunct/>
        <w:autoSpaceDE/>
        <w:autoSpaceDN/>
        <w:bidi w:val="0"/>
        <w:adjustRightInd w:val="0"/>
        <w:snapToGrid/>
        <w:spacing w:line="360" w:lineRule="auto"/>
        <w:ind w:firstLine="482" w:firstLineChars="200"/>
        <w:textAlignment w:val="auto"/>
        <w:rPr>
          <w:rFonts w:hint="eastAsia" w:ascii="Times New Roman" w:hAnsi="Times New Roman" w:eastAsia="宋体" w:cs="Times New Roman"/>
          <w:b/>
          <w:bCs/>
          <w:color w:val="auto"/>
          <w:spacing w:val="0"/>
          <w:w w:val="100"/>
          <w:kern w:val="0"/>
          <w:position w:val="0"/>
          <w:sz w:val="24"/>
          <w:szCs w:val="20"/>
          <w:u w:val="none" w:color="auto"/>
          <w:lang w:val="en-US" w:eastAsia="zh-CN" w:bidi="ar-SA"/>
        </w:rPr>
      </w:pPr>
      <w:r>
        <w:rPr>
          <w:rFonts w:hint="eastAsia" w:ascii="Times New Roman" w:hAnsi="Times New Roman" w:eastAsia="宋体" w:cs="Times New Roman"/>
          <w:b/>
          <w:bCs/>
          <w:color w:val="auto"/>
          <w:spacing w:val="0"/>
          <w:w w:val="100"/>
          <w:kern w:val="0"/>
          <w:position w:val="0"/>
          <w:sz w:val="24"/>
          <w:szCs w:val="20"/>
          <w:u w:val="none" w:color="auto"/>
          <w:lang w:val="en-US" w:eastAsia="zh-CN" w:bidi="ar-SA"/>
        </w:rPr>
        <w:t>监测点位</w:t>
      </w:r>
    </w:p>
    <w:p w14:paraId="261E4867">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D4:泄洪闸附近</w:t>
      </w:r>
    </w:p>
    <w:p w14:paraId="1EAE86DA">
      <w:pPr>
        <w:keepNext w:val="0"/>
        <w:keepLines w:val="0"/>
        <w:pageBreakBefore w:val="0"/>
        <w:widowControl w:val="0"/>
        <w:numPr>
          <w:ilvl w:val="0"/>
          <w:numId w:val="13"/>
        </w:numPr>
        <w:kinsoku/>
        <w:wordWrap w:val="0"/>
        <w:overflowPunct/>
        <w:topLinePunct/>
        <w:autoSpaceDE/>
        <w:autoSpaceDN/>
        <w:bidi w:val="0"/>
        <w:adjustRightInd w:val="0"/>
        <w:snapToGrid/>
        <w:spacing w:line="360" w:lineRule="auto"/>
        <w:ind w:firstLine="482" w:firstLineChars="200"/>
        <w:textAlignment w:val="auto"/>
        <w:rPr>
          <w:rFonts w:hint="eastAsia" w:ascii="Times New Roman" w:hAnsi="Times New Roman" w:eastAsia="宋体" w:cs="Times New Roman"/>
          <w:b/>
          <w:bCs/>
          <w:color w:val="auto"/>
          <w:spacing w:val="0"/>
          <w:w w:val="100"/>
          <w:kern w:val="0"/>
          <w:position w:val="0"/>
          <w:sz w:val="24"/>
          <w:szCs w:val="20"/>
          <w:u w:val="none" w:color="auto"/>
          <w:lang w:val="en-US" w:eastAsia="zh-CN" w:bidi="ar-SA"/>
        </w:rPr>
      </w:pPr>
      <w:r>
        <w:rPr>
          <w:rFonts w:hint="eastAsia" w:ascii="Times New Roman" w:hAnsi="Times New Roman" w:eastAsia="宋体" w:cs="Times New Roman"/>
          <w:b/>
          <w:bCs/>
          <w:color w:val="auto"/>
          <w:spacing w:val="0"/>
          <w:w w:val="100"/>
          <w:kern w:val="0"/>
          <w:position w:val="0"/>
          <w:sz w:val="24"/>
          <w:szCs w:val="20"/>
          <w:u w:val="none" w:color="auto"/>
          <w:lang w:val="en-US" w:eastAsia="zh-CN" w:bidi="ar-SA"/>
        </w:rPr>
        <w:t>监测因子</w:t>
      </w:r>
    </w:p>
    <w:p w14:paraId="5C9348F5">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pH、 镉、汞、砷、铅、铬、铜、锌、镍、含盐量（SSC）</w:t>
      </w:r>
    </w:p>
    <w:p w14:paraId="6F40ECE3">
      <w:pPr>
        <w:keepNext w:val="0"/>
        <w:keepLines w:val="0"/>
        <w:pageBreakBefore w:val="0"/>
        <w:widowControl w:val="0"/>
        <w:numPr>
          <w:ilvl w:val="0"/>
          <w:numId w:val="13"/>
        </w:numPr>
        <w:kinsoku/>
        <w:wordWrap w:val="0"/>
        <w:overflowPunct/>
        <w:topLinePunct/>
        <w:autoSpaceDE/>
        <w:autoSpaceDN/>
        <w:bidi w:val="0"/>
        <w:adjustRightInd w:val="0"/>
        <w:snapToGrid/>
        <w:spacing w:line="360" w:lineRule="auto"/>
        <w:ind w:left="0" w:leftChars="0" w:firstLine="482" w:firstLineChars="200"/>
        <w:textAlignment w:val="auto"/>
        <w:rPr>
          <w:rFonts w:hint="eastAsia" w:ascii="Times New Roman" w:hAnsi="Times New Roman" w:eastAsia="宋体" w:cs="Times New Roman"/>
          <w:b/>
          <w:bCs/>
          <w:color w:val="auto"/>
          <w:spacing w:val="0"/>
          <w:w w:val="100"/>
          <w:kern w:val="0"/>
          <w:position w:val="0"/>
          <w:sz w:val="24"/>
          <w:szCs w:val="20"/>
          <w:u w:val="none" w:color="auto"/>
          <w:lang w:val="en-US" w:eastAsia="zh-CN" w:bidi="ar-SA"/>
        </w:rPr>
      </w:pPr>
      <w:r>
        <w:rPr>
          <w:rFonts w:hint="eastAsia" w:ascii="Times New Roman" w:hAnsi="Times New Roman" w:eastAsia="宋体" w:cs="Times New Roman"/>
          <w:b/>
          <w:bCs/>
          <w:color w:val="auto"/>
          <w:spacing w:val="0"/>
          <w:w w:val="100"/>
          <w:kern w:val="0"/>
          <w:position w:val="0"/>
          <w:sz w:val="24"/>
          <w:szCs w:val="20"/>
          <w:u w:val="none" w:color="auto"/>
          <w:lang w:val="en-US" w:eastAsia="zh-CN" w:bidi="ar-SA"/>
        </w:rPr>
        <w:t>监测时间和频次</w:t>
      </w:r>
    </w:p>
    <w:p w14:paraId="4B813A73">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leftChars="200"/>
        <w:textAlignment w:val="auto"/>
        <w:rPr>
          <w:rFonts w:hint="eastAsia"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监测时间为202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日，采样1次</w:t>
      </w:r>
    </w:p>
    <w:p w14:paraId="1E634F0E">
      <w:pPr>
        <w:keepNext w:val="0"/>
        <w:keepLines w:val="0"/>
        <w:pageBreakBefore w:val="0"/>
        <w:widowControl w:val="0"/>
        <w:numPr>
          <w:ilvl w:val="0"/>
          <w:numId w:val="13"/>
        </w:numPr>
        <w:kinsoku w:val="0"/>
        <w:wordWrap w:val="0"/>
        <w:overflowPunct/>
        <w:topLinePunct/>
        <w:autoSpaceDE/>
        <w:autoSpaceDN/>
        <w:bidi w:val="0"/>
        <w:adjustRightInd/>
        <w:snapToGrid/>
        <w:spacing w:before="0" w:beforeLines="50" w:line="360" w:lineRule="auto"/>
        <w:ind w:left="0" w:leftChars="0" w:firstLine="482" w:firstLineChars="200"/>
        <w:jc w:val="both"/>
        <w:textAlignment w:val="auto"/>
        <w:rPr>
          <w:rFonts w:hint="eastAsia" w:ascii="Times New Roman" w:hAnsi="Times New Roman" w:eastAsia="宋体" w:cs="Times New Roman"/>
          <w:b/>
          <w:bCs/>
          <w:color w:val="auto"/>
          <w:spacing w:val="0"/>
          <w:w w:val="100"/>
          <w:kern w:val="0"/>
          <w:position w:val="0"/>
          <w:sz w:val="24"/>
          <w:szCs w:val="20"/>
          <w:u w:val="none" w:color="auto"/>
          <w:lang w:val="en-US" w:eastAsia="zh-CN" w:bidi="ar-SA"/>
        </w:rPr>
      </w:pPr>
      <w:r>
        <w:rPr>
          <w:rFonts w:hint="eastAsia" w:ascii="Times New Roman" w:hAnsi="Times New Roman" w:eastAsia="宋体" w:cs="Times New Roman"/>
          <w:b/>
          <w:bCs/>
          <w:color w:val="auto"/>
          <w:spacing w:val="0"/>
          <w:w w:val="100"/>
          <w:kern w:val="0"/>
          <w:position w:val="0"/>
          <w:sz w:val="24"/>
          <w:szCs w:val="20"/>
          <w:u w:val="none" w:color="auto"/>
          <w:lang w:val="en-US" w:eastAsia="zh-CN" w:bidi="ar-SA"/>
        </w:rPr>
        <w:t>评价标准</w:t>
      </w:r>
    </w:p>
    <w:p w14:paraId="44E3B353">
      <w:pPr>
        <w:keepNext w:val="0"/>
        <w:keepLines w:val="0"/>
        <w:pageBreakBefore w:val="0"/>
        <w:widowControl w:val="0"/>
        <w:numPr>
          <w:ilvl w:val="0"/>
          <w:numId w:val="0"/>
        </w:numPr>
        <w:kinsoku w:val="0"/>
        <w:wordWrap w:val="0"/>
        <w:overflowPunct/>
        <w:topLinePunct/>
        <w:autoSpaceDE/>
        <w:autoSpaceDN/>
        <w:bidi w:val="0"/>
        <w:adjustRightInd/>
        <w:snapToGrid/>
        <w:spacing w:before="0" w:beforeLines="50" w:line="360" w:lineRule="auto"/>
        <w:ind w:firstLine="480" w:firstLineChars="200"/>
        <w:jc w:val="both"/>
        <w:textAlignment w:val="auto"/>
        <w:rPr>
          <w:rFonts w:hint="eastAsia"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根据《土地利用现状分类》(GB/T21010-2017)，河流湖泊水面属于未利用地，不属于农用地或建设用地，本评价中底泥不进行对标，只给出监测结果。</w:t>
      </w:r>
    </w:p>
    <w:p w14:paraId="7B2E32B8">
      <w:pPr>
        <w:keepNext w:val="0"/>
        <w:keepLines w:val="0"/>
        <w:pageBreakBefore w:val="0"/>
        <w:widowControl w:val="0"/>
        <w:numPr>
          <w:ilvl w:val="0"/>
          <w:numId w:val="13"/>
        </w:numPr>
        <w:kinsoku w:val="0"/>
        <w:wordWrap w:val="0"/>
        <w:overflowPunct/>
        <w:topLinePunct/>
        <w:autoSpaceDE/>
        <w:autoSpaceDN/>
        <w:bidi w:val="0"/>
        <w:adjustRightInd/>
        <w:snapToGrid/>
        <w:spacing w:before="0" w:beforeLines="50" w:line="360" w:lineRule="auto"/>
        <w:ind w:left="0" w:leftChars="0" w:firstLine="482" w:firstLineChars="200"/>
        <w:jc w:val="both"/>
        <w:textAlignment w:val="auto"/>
        <w:rPr>
          <w:rFonts w:hint="eastAsia"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b/>
          <w:bCs/>
          <w:color w:val="auto"/>
          <w:spacing w:val="0"/>
          <w:w w:val="100"/>
          <w:kern w:val="0"/>
          <w:position w:val="0"/>
          <w:sz w:val="24"/>
          <w:szCs w:val="20"/>
          <w:u w:val="none" w:color="auto"/>
          <w:lang w:val="en-US" w:eastAsia="zh-CN" w:bidi="ar-SA"/>
        </w:rPr>
        <w:t xml:space="preserve">监测结果 </w:t>
      </w:r>
      <w:r>
        <w:rPr>
          <w:rFonts w:hint="eastAsia" w:ascii="Times New Roman" w:hAnsi="Times New Roman" w:eastAsia="宋体" w:cs="Times New Roman"/>
          <w:color w:val="auto"/>
          <w:spacing w:val="0"/>
          <w:w w:val="100"/>
          <w:kern w:val="0"/>
          <w:position w:val="0"/>
          <w:sz w:val="24"/>
          <w:szCs w:val="20"/>
          <w:u w:val="none" w:color="auto"/>
          <w:lang w:val="en-US" w:eastAsia="zh-CN" w:bidi="ar-SA"/>
        </w:rPr>
        <w:t xml:space="preserve"> </w:t>
      </w:r>
    </w:p>
    <w:p w14:paraId="3B36FE42">
      <w:pPr>
        <w:keepNext w:val="0"/>
        <w:keepLines w:val="0"/>
        <w:pageBreakBefore w:val="0"/>
        <w:widowControl w:val="0"/>
        <w:numPr>
          <w:ilvl w:val="0"/>
          <w:numId w:val="0"/>
        </w:numPr>
        <w:kinsoku w:val="0"/>
        <w:wordWrap w:val="0"/>
        <w:overflowPunct/>
        <w:topLinePunct/>
        <w:autoSpaceDE/>
        <w:autoSpaceDN/>
        <w:bidi w:val="0"/>
        <w:adjustRightInd/>
        <w:snapToGrid/>
        <w:spacing w:before="0" w:beforeLines="50" w:line="360" w:lineRule="auto"/>
        <w:ind w:leftChars="200"/>
        <w:jc w:val="both"/>
        <w:textAlignment w:val="auto"/>
        <w:rPr>
          <w:rFonts w:hint="default"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 xml:space="preserve">本项目底泥监测结果如下： </w:t>
      </w:r>
    </w:p>
    <w:p w14:paraId="380A3068">
      <w:pPr>
        <w:keepNext w:val="0"/>
        <w:keepLines w:val="0"/>
        <w:pageBreakBefore w:val="0"/>
        <w:widowControl w:val="0"/>
        <w:kinsoku w:val="0"/>
        <w:wordWrap w:val="0"/>
        <w:overflowPunct/>
        <w:topLinePunct/>
        <w:autoSpaceDE/>
        <w:autoSpaceDN/>
        <w:bidi w:val="0"/>
        <w:adjustRightInd/>
        <w:snapToGrid/>
        <w:spacing w:before="0" w:line="360" w:lineRule="auto"/>
        <w:jc w:val="center"/>
        <w:textAlignment w:val="auto"/>
        <w:rPr>
          <w:rFonts w:hint="default" w:ascii="Times New Roman" w:hAnsi="Times New Roman" w:eastAsia="宋体" w:cs="Times New Roman"/>
          <w:color w:val="auto"/>
          <w:spacing w:val="0"/>
          <w:w w:val="100"/>
          <w:kern w:val="0"/>
          <w:position w:val="0"/>
          <w:sz w:val="24"/>
          <w:szCs w:val="20"/>
          <w:u w:val="none" w:color="auto"/>
          <w:lang w:val="en-US" w:eastAsia="zh-CN" w:bidi="ar-SA"/>
        </w:rPr>
      </w:pPr>
      <w:r>
        <w:rPr>
          <w:rFonts w:hint="eastAsia" w:ascii="Times New Roman" w:hAnsi="Times New Roman" w:eastAsia="宋体" w:cs="Times New Roman"/>
          <w:color w:val="auto"/>
          <w:spacing w:val="0"/>
          <w:w w:val="100"/>
          <w:kern w:val="0"/>
          <w:position w:val="0"/>
          <w:sz w:val="24"/>
          <w:szCs w:val="20"/>
          <w:u w:val="none" w:color="auto"/>
          <w:lang w:val="en-US" w:eastAsia="zh-CN" w:bidi="ar-SA"/>
        </w:rPr>
        <w:t xml:space="preserve">  </w:t>
      </w:r>
      <w:r>
        <w:rPr>
          <w:rFonts w:hint="default" w:ascii="Times New Roman" w:hAnsi="Times New Roman" w:eastAsia="宋体" w:cs="Times New Roman"/>
          <w:b/>
          <w:caps w:val="0"/>
          <w:smallCaps w:val="0"/>
          <w:color w:val="auto"/>
          <w:spacing w:val="0"/>
          <w:w w:val="100"/>
          <w:position w:val="0"/>
          <w:szCs w:val="21"/>
          <w:u w:val="none" w:color="auto"/>
          <w:lang w:val="en-US" w:eastAsia="zh-CN"/>
        </w:rPr>
        <w:t>表3.2-</w:t>
      </w:r>
      <w:r>
        <w:rPr>
          <w:rFonts w:hint="eastAsia" w:ascii="Times New Roman" w:hAnsi="Times New Roman" w:eastAsia="宋体" w:cs="Times New Roman"/>
          <w:b/>
          <w:caps w:val="0"/>
          <w:smallCaps w:val="0"/>
          <w:color w:val="auto"/>
          <w:spacing w:val="0"/>
          <w:w w:val="100"/>
          <w:position w:val="0"/>
          <w:szCs w:val="21"/>
          <w:u w:val="none" w:color="auto"/>
          <w:lang w:val="en-US" w:eastAsia="zh-CN"/>
        </w:rPr>
        <w:t>7</w:t>
      </w:r>
      <w:r>
        <w:rPr>
          <w:rFonts w:hint="default" w:ascii="Times New Roman" w:hAnsi="Times New Roman" w:eastAsia="宋体" w:cs="Times New Roman"/>
          <w:b/>
          <w:caps w:val="0"/>
          <w:smallCaps w:val="0"/>
          <w:color w:val="auto"/>
          <w:spacing w:val="0"/>
          <w:w w:val="100"/>
          <w:position w:val="0"/>
          <w:szCs w:val="21"/>
          <w:u w:val="none" w:color="auto"/>
          <w:lang w:val="en-US" w:eastAsia="zh-CN"/>
        </w:rPr>
        <w:t xml:space="preserve">  </w:t>
      </w:r>
      <w:r>
        <w:rPr>
          <w:rFonts w:hint="eastAsia" w:ascii="Times New Roman" w:hAnsi="Times New Roman" w:eastAsia="宋体" w:cs="Times New Roman"/>
          <w:b/>
          <w:caps w:val="0"/>
          <w:smallCaps w:val="0"/>
          <w:color w:val="auto"/>
          <w:spacing w:val="0"/>
          <w:w w:val="100"/>
          <w:position w:val="0"/>
          <w:szCs w:val="21"/>
          <w:u w:val="none" w:color="auto"/>
          <w:lang w:val="en-US" w:eastAsia="zh-CN"/>
        </w:rPr>
        <w:t>底泥质量现状</w:t>
      </w:r>
      <w:r>
        <w:rPr>
          <w:rFonts w:hint="default" w:ascii="Times New Roman" w:hAnsi="Times New Roman" w:eastAsia="宋体" w:cs="Times New Roman"/>
          <w:b/>
          <w:caps w:val="0"/>
          <w:smallCaps w:val="0"/>
          <w:color w:val="auto"/>
          <w:spacing w:val="0"/>
          <w:w w:val="100"/>
          <w:position w:val="0"/>
          <w:szCs w:val="21"/>
          <w:u w:val="none" w:color="auto"/>
          <w:lang w:val="en-US" w:eastAsia="zh-CN"/>
        </w:rPr>
        <w:t>监测</w:t>
      </w:r>
      <w:r>
        <w:rPr>
          <w:rFonts w:hint="eastAsia" w:ascii="Times New Roman" w:hAnsi="Times New Roman" w:eastAsia="宋体" w:cs="Times New Roman"/>
          <w:b/>
          <w:caps w:val="0"/>
          <w:smallCaps w:val="0"/>
          <w:color w:val="auto"/>
          <w:spacing w:val="0"/>
          <w:w w:val="100"/>
          <w:position w:val="0"/>
          <w:szCs w:val="21"/>
          <w:u w:val="none" w:color="auto"/>
          <w:lang w:val="en-US" w:eastAsia="zh-CN"/>
        </w:rPr>
        <w:t>结果表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21"/>
        <w:gridCol w:w="1619"/>
        <w:gridCol w:w="1080"/>
        <w:gridCol w:w="933"/>
        <w:gridCol w:w="3388"/>
      </w:tblGrid>
      <w:tr w14:paraId="075A9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92" w:type="pct"/>
            <w:tcBorders>
              <w:tl2br w:val="nil"/>
              <w:tr2bl w:val="nil"/>
            </w:tcBorders>
            <w:noWrap w:val="0"/>
            <w:vAlign w:val="center"/>
          </w:tcPr>
          <w:p w14:paraId="4F5C5982">
            <w:pPr>
              <w:keepNext w:val="0"/>
              <w:keepLines w:val="0"/>
              <w:suppressLineNumbers w:val="0"/>
              <w:spacing w:before="0" w:beforeAutospacing="0" w:after="0" w:afterAutospacing="0"/>
              <w:ind w:left="0" w:right="0"/>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采样时间</w:t>
            </w:r>
          </w:p>
        </w:tc>
        <w:tc>
          <w:tcPr>
            <w:tcW w:w="970" w:type="pct"/>
            <w:tcBorders>
              <w:tl2br w:val="nil"/>
              <w:tr2bl w:val="nil"/>
            </w:tcBorders>
            <w:noWrap w:val="0"/>
            <w:vAlign w:val="center"/>
          </w:tcPr>
          <w:p w14:paraId="4E131C74">
            <w:pPr>
              <w:keepNext w:val="0"/>
              <w:keepLines w:val="0"/>
              <w:suppressLineNumbers w:val="0"/>
              <w:spacing w:before="0" w:beforeAutospacing="0" w:after="0" w:afterAutospacing="0"/>
              <w:ind w:left="0" w:right="0"/>
              <w:jc w:val="center"/>
              <w:rPr>
                <w:rFonts w:hint="eastAsia" w:ascii="Times New Roman" w:hAnsi="Times New Roman" w:cs="Times New Roman"/>
                <w:b/>
                <w:bCs/>
                <w:sz w:val="21"/>
                <w:szCs w:val="21"/>
                <w:lang w:val="en-US" w:eastAsia="zh-CN"/>
              </w:rPr>
            </w:pPr>
            <w:r>
              <w:rPr>
                <w:rFonts w:hint="eastAsia" w:cs="Times New Roman"/>
                <w:b/>
                <w:bCs/>
                <w:sz w:val="21"/>
                <w:szCs w:val="21"/>
                <w:lang w:val="en-US" w:eastAsia="zh-CN"/>
              </w:rPr>
              <w:t>采样点位</w:t>
            </w:r>
          </w:p>
        </w:tc>
        <w:tc>
          <w:tcPr>
            <w:tcW w:w="647" w:type="pct"/>
            <w:tcBorders>
              <w:tl2br w:val="nil"/>
              <w:tr2bl w:val="nil"/>
            </w:tcBorders>
            <w:noWrap w:val="0"/>
            <w:vAlign w:val="center"/>
          </w:tcPr>
          <w:p w14:paraId="5BE7D109">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检测项目</w:t>
            </w:r>
          </w:p>
        </w:tc>
        <w:tc>
          <w:tcPr>
            <w:tcW w:w="559" w:type="pct"/>
            <w:tcBorders>
              <w:tl2br w:val="nil"/>
              <w:tr2bl w:val="nil"/>
            </w:tcBorders>
            <w:shd w:val="clear" w:color="auto" w:fill="auto"/>
            <w:noWrap w:val="0"/>
            <w:vAlign w:val="center"/>
          </w:tcPr>
          <w:p w14:paraId="56B6B7DC">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lang w:val="en-US" w:eastAsia="zh-CN" w:bidi="ar-SA"/>
              </w:rPr>
            </w:pPr>
            <w:r>
              <w:rPr>
                <w:rFonts w:hint="eastAsia" w:cs="Times New Roman"/>
                <w:b/>
                <w:bCs/>
                <w:sz w:val="21"/>
                <w:szCs w:val="21"/>
                <w:lang w:val="en-US" w:eastAsia="zh-CN"/>
              </w:rPr>
              <w:t>单位</w:t>
            </w:r>
          </w:p>
        </w:tc>
        <w:tc>
          <w:tcPr>
            <w:tcW w:w="2030" w:type="pct"/>
            <w:tcBorders>
              <w:tl2br w:val="nil"/>
              <w:tr2bl w:val="nil"/>
            </w:tcBorders>
            <w:noWrap w:val="0"/>
            <w:vAlign w:val="center"/>
          </w:tcPr>
          <w:p w14:paraId="2645BAC0">
            <w:pPr>
              <w:keepNext w:val="0"/>
              <w:keepLines w:val="0"/>
              <w:suppressLineNumbers w:val="0"/>
              <w:spacing w:before="0" w:beforeAutospacing="0" w:after="0" w:afterAutospacing="0"/>
              <w:ind w:left="0" w:right="0"/>
              <w:jc w:val="center"/>
              <w:rPr>
                <w:rFonts w:hint="eastAsia" w:cs="Times New Roman"/>
                <w:b/>
                <w:bCs/>
                <w:sz w:val="21"/>
                <w:szCs w:val="21"/>
                <w:lang w:val="en-US" w:eastAsia="zh-CN"/>
              </w:rPr>
            </w:pPr>
            <w:r>
              <w:rPr>
                <w:rFonts w:hint="eastAsia" w:ascii="Times New Roman" w:hAnsi="Times New Roman" w:cs="Times New Roman"/>
                <w:b/>
                <w:bCs/>
                <w:sz w:val="21"/>
                <w:szCs w:val="21"/>
                <w:lang w:val="en-US" w:eastAsia="zh-CN"/>
              </w:rPr>
              <w:t>检测结果</w:t>
            </w:r>
          </w:p>
        </w:tc>
      </w:tr>
      <w:tr w14:paraId="23E92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restart"/>
            <w:tcBorders>
              <w:tl2br w:val="nil"/>
              <w:tr2bl w:val="nil"/>
            </w:tcBorders>
            <w:noWrap w:val="0"/>
            <w:vAlign w:val="center"/>
          </w:tcPr>
          <w:p w14:paraId="569FE120">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000000"/>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2024.09.01</w:t>
            </w:r>
          </w:p>
        </w:tc>
        <w:tc>
          <w:tcPr>
            <w:tcW w:w="970" w:type="pct"/>
            <w:vMerge w:val="restart"/>
            <w:tcBorders>
              <w:tl2br w:val="nil"/>
              <w:tr2bl w:val="nil"/>
            </w:tcBorders>
            <w:shd w:val="clear" w:color="auto" w:fill="auto"/>
            <w:noWrap w:val="0"/>
            <w:vAlign w:val="center"/>
          </w:tcPr>
          <w:p w14:paraId="43236E58">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泄洪闸附近底泥</w:t>
            </w:r>
          </w:p>
        </w:tc>
        <w:tc>
          <w:tcPr>
            <w:tcW w:w="647" w:type="pct"/>
            <w:tcBorders>
              <w:tl2br w:val="nil"/>
              <w:tr2bl w:val="nil"/>
            </w:tcBorders>
            <w:shd w:val="clear" w:color="auto" w:fill="auto"/>
            <w:noWrap w:val="0"/>
            <w:vAlign w:val="center"/>
          </w:tcPr>
          <w:p w14:paraId="0E361F9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pH</w:t>
            </w:r>
          </w:p>
        </w:tc>
        <w:tc>
          <w:tcPr>
            <w:tcW w:w="559" w:type="pct"/>
            <w:tcBorders>
              <w:tl2br w:val="nil"/>
              <w:tr2bl w:val="nil"/>
            </w:tcBorders>
            <w:shd w:val="clear" w:color="auto" w:fill="auto"/>
            <w:noWrap w:val="0"/>
            <w:vAlign w:val="center"/>
          </w:tcPr>
          <w:p w14:paraId="5B1BBF3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无量纲</w:t>
            </w:r>
          </w:p>
        </w:tc>
        <w:tc>
          <w:tcPr>
            <w:tcW w:w="3531" w:type="dxa"/>
            <w:tcBorders>
              <w:tl2br w:val="nil"/>
              <w:tr2bl w:val="nil"/>
            </w:tcBorders>
            <w:noWrap w:val="0"/>
            <w:vAlign w:val="center"/>
          </w:tcPr>
          <w:p w14:paraId="1CD7B05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7.24</w:t>
            </w:r>
          </w:p>
        </w:tc>
      </w:tr>
      <w:tr w14:paraId="0C82C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noWrap w:val="0"/>
            <w:vAlign w:val="center"/>
          </w:tcPr>
          <w:p w14:paraId="6A40CF8B">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p>
        </w:tc>
        <w:tc>
          <w:tcPr>
            <w:tcW w:w="970" w:type="pct"/>
            <w:vMerge w:val="continue"/>
            <w:tcBorders>
              <w:tl2br w:val="nil"/>
              <w:tr2bl w:val="nil"/>
            </w:tcBorders>
            <w:shd w:val="clear" w:color="auto" w:fill="auto"/>
            <w:noWrap w:val="0"/>
            <w:vAlign w:val="center"/>
          </w:tcPr>
          <w:p w14:paraId="294F3B6B">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noWrap w:val="0"/>
            <w:vAlign w:val="center"/>
          </w:tcPr>
          <w:p w14:paraId="0A6C002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镉</w:t>
            </w:r>
          </w:p>
        </w:tc>
        <w:tc>
          <w:tcPr>
            <w:tcW w:w="559" w:type="pct"/>
            <w:tcBorders>
              <w:tl2br w:val="nil"/>
              <w:tr2bl w:val="nil"/>
            </w:tcBorders>
            <w:shd w:val="clear" w:color="auto" w:fill="auto"/>
            <w:noWrap w:val="0"/>
            <w:vAlign w:val="center"/>
          </w:tcPr>
          <w:p w14:paraId="65F4452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noWrap w:val="0"/>
            <w:vAlign w:val="center"/>
          </w:tcPr>
          <w:p w14:paraId="23DD683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0.04 </w:t>
            </w:r>
          </w:p>
        </w:tc>
      </w:tr>
      <w:tr w14:paraId="1A158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noWrap w:val="0"/>
            <w:vAlign w:val="center"/>
          </w:tcPr>
          <w:p w14:paraId="21555DCB">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p>
        </w:tc>
        <w:tc>
          <w:tcPr>
            <w:tcW w:w="970" w:type="pct"/>
            <w:vMerge w:val="continue"/>
            <w:tcBorders>
              <w:tl2br w:val="nil"/>
              <w:tr2bl w:val="nil"/>
            </w:tcBorders>
            <w:shd w:val="clear" w:color="auto" w:fill="auto"/>
            <w:noWrap w:val="0"/>
            <w:vAlign w:val="center"/>
          </w:tcPr>
          <w:p w14:paraId="6414DFCB">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noWrap w:val="0"/>
            <w:vAlign w:val="center"/>
          </w:tcPr>
          <w:p w14:paraId="006C573D">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汞</w:t>
            </w:r>
          </w:p>
        </w:tc>
        <w:tc>
          <w:tcPr>
            <w:tcW w:w="559" w:type="pct"/>
            <w:tcBorders>
              <w:tl2br w:val="nil"/>
              <w:tr2bl w:val="nil"/>
            </w:tcBorders>
            <w:shd w:val="clear" w:color="auto" w:fill="auto"/>
            <w:noWrap w:val="0"/>
            <w:vAlign w:val="center"/>
          </w:tcPr>
          <w:p w14:paraId="737B16E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noWrap w:val="0"/>
            <w:vAlign w:val="center"/>
          </w:tcPr>
          <w:p w14:paraId="137D8FE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0.332</w:t>
            </w:r>
          </w:p>
        </w:tc>
      </w:tr>
      <w:tr w14:paraId="49723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noWrap w:val="0"/>
            <w:vAlign w:val="center"/>
          </w:tcPr>
          <w:p w14:paraId="71C0783D">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p>
        </w:tc>
        <w:tc>
          <w:tcPr>
            <w:tcW w:w="970" w:type="pct"/>
            <w:vMerge w:val="continue"/>
            <w:tcBorders>
              <w:tl2br w:val="nil"/>
              <w:tr2bl w:val="nil"/>
            </w:tcBorders>
            <w:shd w:val="clear" w:color="auto" w:fill="auto"/>
            <w:noWrap w:val="0"/>
            <w:vAlign w:val="center"/>
          </w:tcPr>
          <w:p w14:paraId="128E74C8">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noWrap w:val="0"/>
            <w:vAlign w:val="center"/>
          </w:tcPr>
          <w:p w14:paraId="48ACD23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砷</w:t>
            </w:r>
          </w:p>
        </w:tc>
        <w:tc>
          <w:tcPr>
            <w:tcW w:w="559" w:type="pct"/>
            <w:tcBorders>
              <w:tl2br w:val="nil"/>
              <w:tr2bl w:val="nil"/>
            </w:tcBorders>
            <w:shd w:val="clear" w:color="auto" w:fill="auto"/>
            <w:noWrap w:val="0"/>
            <w:vAlign w:val="center"/>
          </w:tcPr>
          <w:p w14:paraId="4170ED3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noWrap w:val="0"/>
            <w:vAlign w:val="center"/>
          </w:tcPr>
          <w:p w14:paraId="383B6B7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20.8</w:t>
            </w:r>
          </w:p>
        </w:tc>
      </w:tr>
      <w:tr w14:paraId="092B0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noWrap w:val="0"/>
            <w:vAlign w:val="center"/>
          </w:tcPr>
          <w:p w14:paraId="6180BAB0">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p>
        </w:tc>
        <w:tc>
          <w:tcPr>
            <w:tcW w:w="970" w:type="pct"/>
            <w:vMerge w:val="continue"/>
            <w:tcBorders>
              <w:tl2br w:val="nil"/>
              <w:tr2bl w:val="nil"/>
            </w:tcBorders>
            <w:shd w:val="clear" w:color="auto" w:fill="auto"/>
            <w:noWrap w:val="0"/>
            <w:vAlign w:val="center"/>
          </w:tcPr>
          <w:p w14:paraId="01CB8366">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noWrap w:val="0"/>
            <w:vAlign w:val="center"/>
          </w:tcPr>
          <w:p w14:paraId="6F1A985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铅</w:t>
            </w:r>
          </w:p>
        </w:tc>
        <w:tc>
          <w:tcPr>
            <w:tcW w:w="559" w:type="pct"/>
            <w:tcBorders>
              <w:tl2br w:val="nil"/>
              <w:tr2bl w:val="nil"/>
            </w:tcBorders>
            <w:shd w:val="clear" w:color="auto" w:fill="auto"/>
            <w:noWrap w:val="0"/>
            <w:vAlign w:val="center"/>
          </w:tcPr>
          <w:p w14:paraId="471D29B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noWrap w:val="0"/>
            <w:vAlign w:val="center"/>
          </w:tcPr>
          <w:p w14:paraId="64AF451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47</w:t>
            </w:r>
          </w:p>
        </w:tc>
      </w:tr>
      <w:tr w14:paraId="4F7F9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noWrap w:val="0"/>
            <w:vAlign w:val="center"/>
          </w:tcPr>
          <w:p w14:paraId="490B0DD3">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p>
        </w:tc>
        <w:tc>
          <w:tcPr>
            <w:tcW w:w="970" w:type="pct"/>
            <w:vMerge w:val="continue"/>
            <w:tcBorders>
              <w:tl2br w:val="nil"/>
              <w:tr2bl w:val="nil"/>
            </w:tcBorders>
            <w:shd w:val="clear" w:color="auto" w:fill="auto"/>
            <w:noWrap w:val="0"/>
            <w:vAlign w:val="center"/>
          </w:tcPr>
          <w:p w14:paraId="404C4A4A">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noWrap w:val="0"/>
            <w:vAlign w:val="center"/>
          </w:tcPr>
          <w:p w14:paraId="5425641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铬</w:t>
            </w:r>
          </w:p>
        </w:tc>
        <w:tc>
          <w:tcPr>
            <w:tcW w:w="559" w:type="pct"/>
            <w:tcBorders>
              <w:tl2br w:val="nil"/>
              <w:tr2bl w:val="nil"/>
            </w:tcBorders>
            <w:shd w:val="clear" w:color="auto" w:fill="auto"/>
            <w:noWrap w:val="0"/>
            <w:vAlign w:val="center"/>
          </w:tcPr>
          <w:p w14:paraId="66D1440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noWrap w:val="0"/>
            <w:vAlign w:val="center"/>
          </w:tcPr>
          <w:p w14:paraId="1B1C558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r>
      <w:tr w14:paraId="46749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vAlign w:val="center"/>
          </w:tcPr>
          <w:p w14:paraId="0E5DA3D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FF0000"/>
                <w:kern w:val="2"/>
                <w:sz w:val="21"/>
                <w:szCs w:val="21"/>
                <w:lang w:val="en-US" w:eastAsia="zh-CN" w:bidi="ar-SA"/>
              </w:rPr>
            </w:pPr>
          </w:p>
        </w:tc>
        <w:tc>
          <w:tcPr>
            <w:tcW w:w="970" w:type="pct"/>
            <w:vMerge w:val="continue"/>
            <w:tcBorders>
              <w:tl2br w:val="nil"/>
              <w:tr2bl w:val="nil"/>
            </w:tcBorders>
            <w:shd w:val="clear" w:color="auto" w:fill="auto"/>
            <w:vAlign w:val="center"/>
          </w:tcPr>
          <w:p w14:paraId="3F63E185">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vAlign w:val="center"/>
          </w:tcPr>
          <w:p w14:paraId="29ABF47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铜</w:t>
            </w:r>
          </w:p>
        </w:tc>
        <w:tc>
          <w:tcPr>
            <w:tcW w:w="559" w:type="pct"/>
            <w:tcBorders>
              <w:tl2br w:val="nil"/>
              <w:tr2bl w:val="nil"/>
            </w:tcBorders>
            <w:shd w:val="clear" w:color="auto" w:fill="auto"/>
            <w:vAlign w:val="center"/>
          </w:tcPr>
          <w:p w14:paraId="222D472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vAlign w:val="center"/>
          </w:tcPr>
          <w:p w14:paraId="4F2B7F65">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39</w:t>
            </w:r>
          </w:p>
        </w:tc>
      </w:tr>
      <w:tr w14:paraId="75664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vAlign w:val="center"/>
          </w:tcPr>
          <w:p w14:paraId="1A1009A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FF0000"/>
                <w:kern w:val="2"/>
                <w:sz w:val="21"/>
                <w:szCs w:val="21"/>
                <w:lang w:val="en-US" w:eastAsia="zh-CN" w:bidi="ar-SA"/>
              </w:rPr>
            </w:pPr>
          </w:p>
        </w:tc>
        <w:tc>
          <w:tcPr>
            <w:tcW w:w="970" w:type="pct"/>
            <w:vMerge w:val="continue"/>
            <w:tcBorders>
              <w:tl2br w:val="nil"/>
              <w:tr2bl w:val="nil"/>
            </w:tcBorders>
            <w:shd w:val="clear" w:color="auto" w:fill="auto"/>
            <w:vAlign w:val="center"/>
          </w:tcPr>
          <w:p w14:paraId="352BE832">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vAlign w:val="center"/>
          </w:tcPr>
          <w:p w14:paraId="2030662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锌</w:t>
            </w:r>
          </w:p>
        </w:tc>
        <w:tc>
          <w:tcPr>
            <w:tcW w:w="559" w:type="pct"/>
            <w:tcBorders>
              <w:tl2br w:val="nil"/>
              <w:tr2bl w:val="nil"/>
            </w:tcBorders>
            <w:shd w:val="clear" w:color="auto" w:fill="auto"/>
            <w:vAlign w:val="center"/>
          </w:tcPr>
          <w:p w14:paraId="17A3BEB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vAlign w:val="center"/>
          </w:tcPr>
          <w:p w14:paraId="155ED51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191</w:t>
            </w:r>
          </w:p>
        </w:tc>
      </w:tr>
      <w:tr w14:paraId="1F634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tcPr>
          <w:p w14:paraId="6468EEF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FF0000"/>
                <w:kern w:val="2"/>
                <w:sz w:val="21"/>
                <w:szCs w:val="21"/>
                <w:lang w:val="en-US" w:eastAsia="zh-CN" w:bidi="ar-SA"/>
              </w:rPr>
            </w:pPr>
          </w:p>
        </w:tc>
        <w:tc>
          <w:tcPr>
            <w:tcW w:w="970" w:type="pct"/>
            <w:vMerge w:val="continue"/>
            <w:tcBorders>
              <w:tl2br w:val="nil"/>
              <w:tr2bl w:val="nil"/>
            </w:tcBorders>
            <w:vAlign w:val="center"/>
          </w:tcPr>
          <w:p w14:paraId="4550BE68">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vAlign w:val="center"/>
          </w:tcPr>
          <w:p w14:paraId="59E508B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镍</w:t>
            </w:r>
          </w:p>
        </w:tc>
        <w:tc>
          <w:tcPr>
            <w:tcW w:w="559" w:type="pct"/>
            <w:tcBorders>
              <w:tl2br w:val="nil"/>
              <w:tr2bl w:val="nil"/>
            </w:tcBorders>
            <w:vAlign w:val="center"/>
          </w:tcPr>
          <w:p w14:paraId="29AB736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vAlign w:val="center"/>
          </w:tcPr>
          <w:p w14:paraId="0708F44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38</w:t>
            </w:r>
          </w:p>
        </w:tc>
      </w:tr>
      <w:tr w14:paraId="69526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2" w:type="pct"/>
            <w:vMerge w:val="continue"/>
            <w:tcBorders>
              <w:tl2br w:val="nil"/>
              <w:tr2bl w:val="nil"/>
            </w:tcBorders>
          </w:tcPr>
          <w:p w14:paraId="1B4EDB1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FF0000"/>
                <w:kern w:val="2"/>
                <w:sz w:val="21"/>
                <w:szCs w:val="21"/>
                <w:lang w:val="en-US" w:eastAsia="zh-CN" w:bidi="ar-SA"/>
              </w:rPr>
            </w:pPr>
          </w:p>
        </w:tc>
        <w:tc>
          <w:tcPr>
            <w:tcW w:w="970" w:type="pct"/>
            <w:vMerge w:val="continue"/>
            <w:tcBorders>
              <w:tl2br w:val="nil"/>
              <w:tr2bl w:val="nil"/>
            </w:tcBorders>
            <w:vAlign w:val="center"/>
          </w:tcPr>
          <w:p w14:paraId="00A267B9">
            <w:pPr>
              <w:keepNext w:val="0"/>
              <w:keepLines w:val="0"/>
              <w:suppressLineNumbers w:val="0"/>
              <w:spacing w:before="0" w:beforeAutospacing="0" w:after="0" w:afterAutospacing="0"/>
              <w:ind w:left="0" w:right="113" w:rightChars="0"/>
              <w:jc w:val="center"/>
              <w:rPr>
                <w:rFonts w:hint="default" w:ascii="Times New Roman" w:hAnsi="Times New Roman" w:eastAsia="宋体" w:cs="Times New Roman"/>
                <w:color w:val="000000"/>
                <w:kern w:val="2"/>
                <w:sz w:val="21"/>
                <w:szCs w:val="21"/>
                <w:lang w:val="en-US" w:eastAsia="zh-CN" w:bidi="ar-SA"/>
              </w:rPr>
            </w:pPr>
          </w:p>
        </w:tc>
        <w:tc>
          <w:tcPr>
            <w:tcW w:w="647" w:type="pct"/>
            <w:tcBorders>
              <w:tl2br w:val="nil"/>
              <w:tr2bl w:val="nil"/>
            </w:tcBorders>
            <w:shd w:val="clear" w:color="auto" w:fill="auto"/>
            <w:vAlign w:val="center"/>
          </w:tcPr>
          <w:p w14:paraId="1D9317A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含盐量</w:t>
            </w:r>
          </w:p>
        </w:tc>
        <w:tc>
          <w:tcPr>
            <w:tcW w:w="559" w:type="pct"/>
            <w:tcBorders>
              <w:tl2br w:val="nil"/>
              <w:tr2bl w:val="nil"/>
            </w:tcBorders>
            <w:vAlign w:val="center"/>
          </w:tcPr>
          <w:p w14:paraId="632E73A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mg/kg</w:t>
            </w:r>
          </w:p>
        </w:tc>
        <w:tc>
          <w:tcPr>
            <w:tcW w:w="3531" w:type="dxa"/>
            <w:tcBorders>
              <w:tl2br w:val="nil"/>
              <w:tr2bl w:val="nil"/>
            </w:tcBorders>
            <w:vAlign w:val="center"/>
          </w:tcPr>
          <w:p w14:paraId="5928F1F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1.11</w:t>
            </w:r>
          </w:p>
        </w:tc>
      </w:tr>
    </w:tbl>
    <w:p w14:paraId="0EAC4F98">
      <w:pPr>
        <w:pStyle w:val="4"/>
        <w:bidi w:val="0"/>
        <w:rPr>
          <w:rFonts w:hint="default" w:ascii="Times New Roman" w:hAnsi="Times New Roman" w:cs="Times New Roman"/>
          <w:color w:val="auto"/>
          <w:u w:val="none" w:color="auto"/>
        </w:rPr>
      </w:pPr>
      <w:bookmarkStart w:id="134" w:name="_Toc17365"/>
      <w:r>
        <w:rPr>
          <w:rFonts w:hint="default" w:ascii="Times New Roman" w:hAnsi="Times New Roman" w:cs="Times New Roman"/>
          <w:color w:val="auto"/>
          <w:u w:val="none" w:color="auto"/>
        </w:rPr>
        <w:t>地下水环境现状调查与评价</w:t>
      </w:r>
      <w:bookmarkEnd w:id="134"/>
    </w:p>
    <w:p w14:paraId="7F81026D">
      <w:pPr>
        <w:pStyle w:val="101"/>
        <w:ind w:firstLine="480"/>
        <w:rPr>
          <w:rFonts w:hint="default" w:ascii="Times New Roman" w:hAnsi="Times New Roman" w:eastAsia="宋体" w:cs="Times New Roman"/>
          <w:color w:val="auto"/>
          <w:spacing w:val="0"/>
          <w:w w:val="100"/>
          <w:position w:val="0"/>
          <w:u w:val="none" w:color="auto"/>
        </w:rPr>
      </w:pPr>
      <w:r>
        <w:rPr>
          <w:rFonts w:hint="default" w:ascii="Times New Roman" w:hAnsi="Times New Roman" w:eastAsia="宋体" w:cs="Times New Roman"/>
          <w:color w:val="auto"/>
          <w:spacing w:val="0"/>
          <w:w w:val="100"/>
          <w:position w:val="0"/>
          <w:u w:val="none" w:color="auto"/>
        </w:rPr>
        <w:t>为了解</w:t>
      </w:r>
      <w:r>
        <w:rPr>
          <w:rFonts w:hint="default" w:ascii="Times New Roman" w:hAnsi="Times New Roman" w:eastAsia="宋体" w:cs="Times New Roman"/>
          <w:color w:val="auto"/>
          <w:spacing w:val="0"/>
          <w:w w:val="100"/>
          <w:position w:val="0"/>
          <w:u w:val="none" w:color="auto"/>
          <w:lang w:eastAsia="zh-CN"/>
        </w:rPr>
        <w:t>项目区域地下水</w:t>
      </w:r>
      <w:r>
        <w:rPr>
          <w:rFonts w:hint="default" w:ascii="Times New Roman" w:hAnsi="Times New Roman" w:eastAsia="宋体" w:cs="Times New Roman"/>
          <w:color w:val="auto"/>
          <w:spacing w:val="0"/>
          <w:w w:val="100"/>
          <w:position w:val="0"/>
          <w:u w:val="none" w:color="auto"/>
        </w:rPr>
        <w:t>环境质量现状，建设单位委托</w:t>
      </w:r>
      <w:r>
        <w:rPr>
          <w:rFonts w:hint="default" w:ascii="Times New Roman" w:hAnsi="Times New Roman" w:eastAsia="宋体" w:cs="Times New Roman"/>
          <w:color w:val="auto"/>
          <w:spacing w:val="0"/>
          <w:w w:val="100"/>
          <w:position w:val="0"/>
          <w:u w:val="none" w:color="auto"/>
          <w:lang w:eastAsia="zh-CN"/>
        </w:rPr>
        <w:t>湖南乾诚检测有限公司</w:t>
      </w:r>
      <w:r>
        <w:rPr>
          <w:rFonts w:hint="default" w:ascii="Times New Roman" w:hAnsi="Times New Roman" w:eastAsia="宋体" w:cs="Times New Roman"/>
          <w:color w:val="auto"/>
          <w:spacing w:val="0"/>
          <w:w w:val="100"/>
          <w:position w:val="0"/>
          <w:u w:val="none" w:color="auto"/>
          <w:lang w:val="en-US" w:eastAsia="zh-CN"/>
        </w:rPr>
        <w:t>于2024年</w:t>
      </w:r>
      <w:r>
        <w:rPr>
          <w:rFonts w:hint="eastAsia" w:eastAsia="宋体" w:cs="Times New Roman"/>
          <w:color w:val="auto"/>
          <w:spacing w:val="0"/>
          <w:w w:val="100"/>
          <w:position w:val="0"/>
          <w:u w:val="none" w:color="auto"/>
          <w:lang w:val="en-US" w:eastAsia="zh-CN"/>
        </w:rPr>
        <w:t>9</w:t>
      </w:r>
      <w:r>
        <w:rPr>
          <w:rFonts w:hint="default" w:ascii="Times New Roman" w:hAnsi="Times New Roman" w:eastAsia="宋体" w:cs="Times New Roman"/>
          <w:color w:val="auto"/>
          <w:spacing w:val="0"/>
          <w:w w:val="100"/>
          <w:position w:val="0"/>
          <w:u w:val="none" w:color="auto"/>
          <w:lang w:val="en-US" w:eastAsia="zh-CN"/>
        </w:rPr>
        <w:t>月</w:t>
      </w:r>
      <w:r>
        <w:rPr>
          <w:rFonts w:hint="eastAsia" w:eastAsia="宋体" w:cs="Times New Roman"/>
          <w:color w:val="auto"/>
          <w:spacing w:val="0"/>
          <w:w w:val="100"/>
          <w:position w:val="0"/>
          <w:u w:val="none" w:color="auto"/>
          <w:lang w:val="en-US" w:eastAsia="zh-CN"/>
        </w:rPr>
        <w:t>1</w:t>
      </w:r>
      <w:r>
        <w:rPr>
          <w:rFonts w:hint="default" w:ascii="Times New Roman" w:hAnsi="Times New Roman" w:eastAsia="宋体" w:cs="Times New Roman"/>
          <w:color w:val="auto"/>
          <w:spacing w:val="0"/>
          <w:w w:val="100"/>
          <w:position w:val="0"/>
          <w:u w:val="none" w:color="auto"/>
          <w:lang w:val="en-US" w:eastAsia="zh-CN"/>
        </w:rPr>
        <w:t>日</w:t>
      </w:r>
      <w:r>
        <w:rPr>
          <w:rFonts w:hint="default" w:ascii="Times New Roman" w:hAnsi="Times New Roman" w:eastAsia="宋体" w:cs="Times New Roman"/>
          <w:color w:val="auto"/>
          <w:spacing w:val="0"/>
          <w:w w:val="100"/>
          <w:position w:val="0"/>
          <w:u w:val="none" w:color="auto"/>
        </w:rPr>
        <w:t>对</w:t>
      </w:r>
      <w:r>
        <w:rPr>
          <w:rFonts w:hint="default" w:ascii="Times New Roman" w:hAnsi="Times New Roman" w:eastAsia="宋体" w:cs="Times New Roman"/>
          <w:color w:val="auto"/>
          <w:spacing w:val="0"/>
          <w:w w:val="100"/>
          <w:position w:val="0"/>
          <w:u w:val="none" w:color="auto"/>
          <w:lang w:eastAsia="zh-CN"/>
        </w:rPr>
        <w:t>项目周边地下水质</w:t>
      </w:r>
      <w:r>
        <w:rPr>
          <w:rFonts w:hint="default" w:ascii="Times New Roman" w:hAnsi="Times New Roman" w:eastAsia="宋体" w:cs="Times New Roman"/>
          <w:color w:val="auto"/>
          <w:spacing w:val="0"/>
          <w:w w:val="100"/>
          <w:position w:val="0"/>
          <w:u w:val="none" w:color="auto"/>
        </w:rPr>
        <w:t>进行了</w:t>
      </w:r>
      <w:r>
        <w:rPr>
          <w:rFonts w:hint="default" w:ascii="Times New Roman" w:hAnsi="Times New Roman" w:eastAsia="宋体" w:cs="Times New Roman"/>
          <w:color w:val="auto"/>
          <w:spacing w:val="0"/>
          <w:w w:val="100"/>
          <w:position w:val="0"/>
          <w:u w:val="none" w:color="auto"/>
          <w:lang w:val="en-US" w:eastAsia="zh-CN"/>
        </w:rPr>
        <w:t>一期</w:t>
      </w:r>
      <w:r>
        <w:rPr>
          <w:rFonts w:hint="default" w:ascii="Times New Roman" w:hAnsi="Times New Roman" w:eastAsia="宋体" w:cs="Times New Roman"/>
          <w:color w:val="auto"/>
          <w:spacing w:val="0"/>
          <w:w w:val="100"/>
          <w:position w:val="0"/>
          <w:u w:val="none" w:color="auto"/>
        </w:rPr>
        <w:t>现状监测。</w:t>
      </w:r>
    </w:p>
    <w:p w14:paraId="570033B0">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1、监测点位</w:t>
      </w:r>
    </w:p>
    <w:p w14:paraId="0E6C959A">
      <w:pPr>
        <w:keepNext w:val="0"/>
        <w:keepLines w:val="0"/>
        <w:pageBreakBefore w:val="0"/>
        <w:widowControl w:val="0"/>
        <w:kinsoku w:val="0"/>
        <w:wordWrap w:val="0"/>
        <w:overflowPunct/>
        <w:topLinePunct/>
        <w:autoSpaceDE/>
        <w:autoSpaceDN/>
        <w:bidi w:val="0"/>
        <w:adjustRightInd/>
        <w:snapToGrid/>
        <w:spacing w:before="0" w:line="360" w:lineRule="auto"/>
        <w:jc w:val="center"/>
        <w:textAlignment w:val="auto"/>
        <w:rPr>
          <w:rFonts w:hint="default" w:ascii="Times New Roman" w:hAnsi="Times New Roman" w:eastAsia="宋体" w:cs="Times New Roman"/>
          <w:b/>
          <w:caps w:val="0"/>
          <w:smallCaps w:val="0"/>
          <w:color w:val="auto"/>
          <w:spacing w:val="0"/>
          <w:w w:val="100"/>
          <w:position w:val="0"/>
          <w:szCs w:val="21"/>
          <w:u w:val="none" w:color="auto"/>
          <w:lang w:val="en-US" w:eastAsia="zh-CN"/>
        </w:rPr>
      </w:pPr>
      <w:r>
        <w:rPr>
          <w:rFonts w:hint="default" w:ascii="Times New Roman" w:hAnsi="Times New Roman" w:eastAsia="宋体" w:cs="Times New Roman"/>
          <w:b/>
          <w:caps w:val="0"/>
          <w:smallCaps w:val="0"/>
          <w:color w:val="auto"/>
          <w:spacing w:val="0"/>
          <w:w w:val="100"/>
          <w:position w:val="0"/>
          <w:szCs w:val="21"/>
          <w:u w:val="none" w:color="auto"/>
          <w:lang w:val="en-US" w:eastAsia="zh-CN"/>
        </w:rPr>
        <w:t>表3.2-8  地下水监测布点</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5894"/>
      </w:tblGrid>
      <w:tr w14:paraId="03A2B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2DCC3EF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auto"/>
                <w:spacing w:val="0"/>
                <w:w w:val="100"/>
                <w:position w:val="0"/>
                <w:szCs w:val="21"/>
                <w:u w:val="none" w:color="auto"/>
              </w:rPr>
            </w:pPr>
            <w:r>
              <w:rPr>
                <w:rFonts w:hint="default" w:ascii="Times New Roman" w:hAnsi="Times New Roman" w:eastAsia="宋体" w:cs="Times New Roman"/>
                <w:b/>
                <w:bCs/>
                <w:color w:val="auto"/>
                <w:spacing w:val="0"/>
                <w:w w:val="100"/>
                <w:position w:val="0"/>
                <w:szCs w:val="21"/>
                <w:u w:val="none" w:color="auto"/>
              </w:rPr>
              <w:t>序号</w:t>
            </w:r>
          </w:p>
        </w:tc>
        <w:tc>
          <w:tcPr>
            <w:tcW w:w="6276" w:type="dxa"/>
            <w:tcBorders>
              <w:tl2br w:val="nil"/>
              <w:tr2bl w:val="nil"/>
            </w:tcBorders>
            <w:noWrap w:val="0"/>
            <w:vAlign w:val="center"/>
          </w:tcPr>
          <w:p w14:paraId="103C0C6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auto"/>
                <w:spacing w:val="0"/>
                <w:w w:val="100"/>
                <w:position w:val="0"/>
                <w:szCs w:val="21"/>
                <w:u w:val="none" w:color="auto"/>
              </w:rPr>
            </w:pPr>
            <w:r>
              <w:rPr>
                <w:rFonts w:hint="default" w:ascii="Times New Roman" w:hAnsi="Times New Roman" w:eastAsia="宋体" w:cs="Times New Roman"/>
                <w:b/>
                <w:bCs/>
                <w:color w:val="auto"/>
                <w:spacing w:val="0"/>
                <w:w w:val="100"/>
                <w:position w:val="0"/>
                <w:szCs w:val="21"/>
                <w:u w:val="none" w:color="auto"/>
              </w:rPr>
              <w:t>监测点位置</w:t>
            </w:r>
          </w:p>
        </w:tc>
      </w:tr>
      <w:tr w14:paraId="38816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4C8B6A5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rPr>
            </w:pPr>
            <w:r>
              <w:rPr>
                <w:rFonts w:hint="default" w:ascii="Times New Roman" w:hAnsi="Times New Roman" w:eastAsia="宋体" w:cs="Times New Roman"/>
                <w:color w:val="auto"/>
                <w:spacing w:val="0"/>
                <w:w w:val="100"/>
                <w:position w:val="0"/>
                <w:szCs w:val="21"/>
                <w:u w:val="none" w:color="auto"/>
                <w:lang w:val="en-US" w:eastAsia="zh-CN"/>
              </w:rPr>
              <w:t>D</w:t>
            </w:r>
            <w:r>
              <w:rPr>
                <w:rFonts w:hint="default" w:ascii="Times New Roman" w:hAnsi="Times New Roman" w:eastAsia="宋体" w:cs="Times New Roman"/>
                <w:color w:val="auto"/>
                <w:spacing w:val="0"/>
                <w:w w:val="100"/>
                <w:position w:val="0"/>
                <w:szCs w:val="21"/>
                <w:u w:val="none" w:color="auto"/>
              </w:rPr>
              <w:t>1</w:t>
            </w:r>
          </w:p>
        </w:tc>
        <w:tc>
          <w:tcPr>
            <w:tcW w:w="6276" w:type="dxa"/>
            <w:tcBorders>
              <w:tl2br w:val="nil"/>
              <w:tr2bl w:val="nil"/>
            </w:tcBorders>
            <w:noWrap w:val="0"/>
            <w:vAlign w:val="center"/>
          </w:tcPr>
          <w:p w14:paraId="64B3950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龙狮窖</w:t>
            </w:r>
          </w:p>
        </w:tc>
      </w:tr>
      <w:tr w14:paraId="20D6C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736D7CD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rPr>
            </w:pPr>
            <w:r>
              <w:rPr>
                <w:rFonts w:hint="default" w:ascii="Times New Roman" w:hAnsi="Times New Roman" w:eastAsia="宋体" w:cs="Times New Roman"/>
                <w:color w:val="auto"/>
                <w:spacing w:val="0"/>
                <w:w w:val="100"/>
                <w:position w:val="0"/>
                <w:szCs w:val="21"/>
                <w:u w:val="none" w:color="auto"/>
                <w:lang w:val="en-US" w:eastAsia="zh-CN"/>
              </w:rPr>
              <w:t>D</w:t>
            </w:r>
            <w:r>
              <w:rPr>
                <w:rFonts w:hint="default" w:ascii="Times New Roman" w:hAnsi="Times New Roman" w:eastAsia="宋体" w:cs="Times New Roman"/>
                <w:color w:val="auto"/>
                <w:spacing w:val="0"/>
                <w:w w:val="100"/>
                <w:position w:val="0"/>
                <w:szCs w:val="21"/>
                <w:u w:val="none" w:color="auto"/>
              </w:rPr>
              <w:t>2</w:t>
            </w:r>
          </w:p>
        </w:tc>
        <w:tc>
          <w:tcPr>
            <w:tcW w:w="6276" w:type="dxa"/>
            <w:tcBorders>
              <w:tl2br w:val="nil"/>
              <w:tr2bl w:val="nil"/>
            </w:tcBorders>
            <w:noWrap w:val="0"/>
            <w:vAlign w:val="center"/>
          </w:tcPr>
          <w:p w14:paraId="5BA140B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刘家湾</w:t>
            </w:r>
          </w:p>
        </w:tc>
      </w:tr>
      <w:tr w14:paraId="25379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06CC960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default" w:ascii="Times New Roman" w:hAnsi="Times New Roman" w:eastAsia="宋体" w:cs="Times New Roman"/>
                <w:color w:val="auto"/>
                <w:spacing w:val="0"/>
                <w:w w:val="100"/>
                <w:position w:val="0"/>
                <w:szCs w:val="21"/>
                <w:u w:val="none" w:color="auto"/>
                <w:lang w:val="en-US" w:eastAsia="zh-CN"/>
              </w:rPr>
              <w:t>D3</w:t>
            </w:r>
          </w:p>
        </w:tc>
        <w:tc>
          <w:tcPr>
            <w:tcW w:w="6276" w:type="dxa"/>
            <w:tcBorders>
              <w:tl2br w:val="nil"/>
              <w:tr2bl w:val="nil"/>
            </w:tcBorders>
            <w:noWrap w:val="0"/>
            <w:vAlign w:val="center"/>
          </w:tcPr>
          <w:p w14:paraId="33E1DB0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小螺海</w:t>
            </w:r>
          </w:p>
        </w:tc>
      </w:tr>
      <w:tr w14:paraId="142B7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54D71E4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default" w:ascii="Times New Roman" w:hAnsi="Times New Roman" w:eastAsia="宋体" w:cs="Times New Roman"/>
                <w:color w:val="auto"/>
                <w:spacing w:val="0"/>
                <w:w w:val="100"/>
                <w:position w:val="0"/>
                <w:szCs w:val="21"/>
                <w:u w:val="none" w:color="auto"/>
                <w:lang w:val="en-US" w:eastAsia="zh-CN"/>
              </w:rPr>
              <w:t>D4</w:t>
            </w:r>
          </w:p>
        </w:tc>
        <w:tc>
          <w:tcPr>
            <w:tcW w:w="6276" w:type="dxa"/>
            <w:tcBorders>
              <w:tl2br w:val="nil"/>
              <w:tr2bl w:val="nil"/>
            </w:tcBorders>
            <w:noWrap w:val="0"/>
            <w:vAlign w:val="center"/>
          </w:tcPr>
          <w:p w14:paraId="29336B2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艾家屋场</w:t>
            </w:r>
          </w:p>
        </w:tc>
      </w:tr>
      <w:tr w14:paraId="5F030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63F39B9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default" w:ascii="Times New Roman" w:hAnsi="Times New Roman" w:eastAsia="宋体" w:cs="Times New Roman"/>
                <w:color w:val="auto"/>
                <w:spacing w:val="0"/>
                <w:w w:val="100"/>
                <w:position w:val="0"/>
                <w:szCs w:val="21"/>
                <w:u w:val="none" w:color="auto"/>
                <w:lang w:val="en-US" w:eastAsia="zh-CN"/>
              </w:rPr>
              <w:t>D5</w:t>
            </w:r>
          </w:p>
        </w:tc>
        <w:tc>
          <w:tcPr>
            <w:tcW w:w="6276" w:type="dxa"/>
            <w:tcBorders>
              <w:tl2br w:val="nil"/>
              <w:tr2bl w:val="nil"/>
            </w:tcBorders>
            <w:noWrap w:val="0"/>
            <w:vAlign w:val="center"/>
          </w:tcPr>
          <w:p w14:paraId="6D94F43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西菱湖</w:t>
            </w:r>
          </w:p>
        </w:tc>
      </w:tr>
      <w:tr w14:paraId="53B23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6" w:type="dxa"/>
            <w:tcBorders>
              <w:tl2br w:val="nil"/>
              <w:tr2bl w:val="nil"/>
            </w:tcBorders>
            <w:noWrap w:val="0"/>
            <w:vAlign w:val="center"/>
          </w:tcPr>
          <w:p w14:paraId="7A5812F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default" w:ascii="Times New Roman" w:hAnsi="Times New Roman" w:eastAsia="宋体" w:cs="Times New Roman"/>
                <w:color w:val="auto"/>
                <w:spacing w:val="0"/>
                <w:w w:val="100"/>
                <w:position w:val="0"/>
                <w:szCs w:val="21"/>
                <w:u w:val="none" w:color="auto"/>
                <w:lang w:val="en-US" w:eastAsia="zh-CN"/>
              </w:rPr>
              <w:t>D6</w:t>
            </w:r>
          </w:p>
        </w:tc>
        <w:tc>
          <w:tcPr>
            <w:tcW w:w="6276" w:type="dxa"/>
            <w:tcBorders>
              <w:tl2br w:val="nil"/>
              <w:tr2bl w:val="nil"/>
            </w:tcBorders>
            <w:noWrap w:val="0"/>
            <w:vAlign w:val="top"/>
          </w:tcPr>
          <w:p w14:paraId="0AEC163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pacing w:val="0"/>
                <w:w w:val="100"/>
                <w:position w:val="0"/>
                <w:szCs w:val="21"/>
                <w:u w:val="none" w:color="auto"/>
                <w:lang w:val="en-US" w:eastAsia="zh-CN"/>
              </w:rPr>
            </w:pPr>
            <w:r>
              <w:rPr>
                <w:rFonts w:hint="eastAsia" w:ascii="Times New Roman" w:hAnsi="Times New Roman" w:eastAsia="宋体" w:cs="Times New Roman"/>
                <w:color w:val="auto"/>
                <w:spacing w:val="0"/>
                <w:w w:val="100"/>
                <w:position w:val="0"/>
                <w:szCs w:val="21"/>
                <w:u w:val="none" w:color="auto"/>
                <w:lang w:val="en-US" w:eastAsia="zh-CN"/>
              </w:rPr>
              <w:t>杉木冲</w:t>
            </w:r>
          </w:p>
        </w:tc>
      </w:tr>
    </w:tbl>
    <w:p w14:paraId="7727B627">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2、监测因子</w:t>
      </w:r>
    </w:p>
    <w:p w14:paraId="731D4078">
      <w:pPr>
        <w:spacing w:line="360" w:lineRule="auto"/>
        <w:ind w:firstLine="480" w:firstLineChars="200"/>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D</w:t>
      </w:r>
      <w:r>
        <w:rPr>
          <w:rFonts w:hint="default" w:ascii="Times New Roman" w:hAnsi="Times New Roman" w:eastAsia="宋体" w:cs="Times New Roman"/>
          <w:color w:val="auto"/>
          <w:spacing w:val="0"/>
          <w:w w:val="100"/>
          <w:kern w:val="0"/>
          <w:position w:val="0"/>
          <w:sz w:val="24"/>
          <w:szCs w:val="24"/>
          <w:u w:val="none" w:color="auto"/>
          <w:lang w:val="en-US" w:eastAsia="zh-CN"/>
        </w:rPr>
        <w:t>1-</w:t>
      </w:r>
      <w:r>
        <w:rPr>
          <w:rFonts w:hint="eastAsia" w:ascii="Times New Roman" w:hAnsi="Times New Roman" w:eastAsia="宋体" w:cs="Times New Roman"/>
          <w:color w:val="auto"/>
          <w:spacing w:val="0"/>
          <w:w w:val="100"/>
          <w:kern w:val="0"/>
          <w:position w:val="0"/>
          <w:sz w:val="24"/>
          <w:szCs w:val="24"/>
          <w:u w:val="none" w:color="auto"/>
          <w:lang w:val="en-US" w:eastAsia="zh-CN"/>
        </w:rPr>
        <w:t>D</w:t>
      </w:r>
      <w:r>
        <w:rPr>
          <w:rFonts w:hint="default" w:ascii="Times New Roman" w:hAnsi="Times New Roman" w:eastAsia="宋体" w:cs="Times New Roman"/>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K</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、Na</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、Ca</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、Mg</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、CO</w:t>
      </w:r>
      <w:r>
        <w:rPr>
          <w:rFonts w:hint="eastAsia" w:ascii="Times New Roman" w:hAnsi="Times New Roman" w:eastAsia="宋体" w:cs="Times New Roman"/>
          <w:caps w:val="0"/>
          <w:smallCaps w:val="0"/>
          <w:color w:val="auto"/>
          <w:spacing w:val="0"/>
          <w:w w:val="100"/>
          <w:kern w:val="0"/>
          <w:position w:val="0"/>
          <w:sz w:val="24"/>
          <w:szCs w:val="24"/>
          <w:u w:val="none" w:color="auto"/>
          <w:vertAlign w:val="subscript"/>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、HCO</w:t>
      </w:r>
      <w:r>
        <w:rPr>
          <w:rFonts w:hint="eastAsia" w:ascii="Times New Roman" w:hAnsi="Times New Roman" w:eastAsia="宋体" w:cs="Times New Roman"/>
          <w:caps w:val="0"/>
          <w:smallCaps w:val="0"/>
          <w:color w:val="auto"/>
          <w:spacing w:val="0"/>
          <w:w w:val="100"/>
          <w:kern w:val="0"/>
          <w:position w:val="0"/>
          <w:sz w:val="24"/>
          <w:szCs w:val="24"/>
          <w:u w:val="none" w:color="auto"/>
          <w:vertAlign w:val="subscript"/>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、Cl</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、SO</w:t>
      </w:r>
      <w:r>
        <w:rPr>
          <w:rFonts w:hint="eastAsia" w:ascii="Times New Roman" w:hAnsi="Times New Roman" w:eastAsia="宋体" w:cs="Times New Roman"/>
          <w:caps w:val="0"/>
          <w:smallCaps w:val="0"/>
          <w:color w:val="auto"/>
          <w:spacing w:val="0"/>
          <w:w w:val="100"/>
          <w:kern w:val="0"/>
          <w:position w:val="0"/>
          <w:sz w:val="24"/>
          <w:szCs w:val="24"/>
          <w:u w:val="none" w:color="auto"/>
          <w:vertAlign w:val="subscript"/>
          <w:lang w:val="en-US" w:eastAsia="zh-CN"/>
        </w:rPr>
        <w:t>4</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pH、</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氨氮、硝酸盐、亚硝酸盐、挥发性酚类、氰化物、砷、汞、铬（六价）、总硬度、铅、氟化物、镉、铁、锰、溶解性总固体、耗氧量、硫酸盐、氯化物、总大肠菌群、细菌总数、水位。</w:t>
      </w:r>
    </w:p>
    <w:p w14:paraId="1D4CAAB5">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3、监测时间和频率</w:t>
      </w:r>
    </w:p>
    <w:p w14:paraId="5B324D3C">
      <w:pPr>
        <w:keepNext w:val="0"/>
        <w:keepLines w:val="0"/>
        <w:pageBreakBefore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监测时间为202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日，每天采样1次。</w:t>
      </w:r>
    </w:p>
    <w:p w14:paraId="29BF5CFA">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35" w:name="_Toc349391619"/>
      <w:bookmarkStart w:id="136" w:name="_Toc346269299"/>
      <w:bookmarkStart w:id="137" w:name="_Toc343583856"/>
      <w:bookmarkStart w:id="138" w:name="_Toc343177822"/>
      <w:bookmarkStart w:id="139" w:name="_Toc345602627"/>
      <w:bookmarkStart w:id="140" w:name="_Toc349896062"/>
      <w:r>
        <w:rPr>
          <w:rFonts w:hint="default" w:ascii="Times New Roman" w:hAnsi="Times New Roman" w:eastAsia="宋体" w:cs="Times New Roman"/>
          <w:b/>
          <w:bCs/>
          <w:color w:val="auto"/>
          <w:spacing w:val="0"/>
          <w:w w:val="100"/>
          <w:kern w:val="0"/>
          <w:position w:val="0"/>
          <w:sz w:val="24"/>
          <w:u w:val="none" w:color="auto"/>
          <w:lang w:val="en-US" w:eastAsia="zh-CN"/>
        </w:rPr>
        <w:t>4、监测分析方法</w:t>
      </w:r>
      <w:bookmarkEnd w:id="135"/>
      <w:bookmarkEnd w:id="136"/>
      <w:bookmarkEnd w:id="137"/>
      <w:bookmarkEnd w:id="138"/>
      <w:bookmarkEnd w:id="139"/>
      <w:bookmarkEnd w:id="140"/>
    </w:p>
    <w:p w14:paraId="655DA34E">
      <w:pPr>
        <w:keepNext w:val="0"/>
        <w:keepLines w:val="0"/>
        <w:pageBreakBefore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监测分析方法见表3.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2-9</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6753FBB">
      <w:pPr>
        <w:keepNext w:val="0"/>
        <w:keepLines w:val="0"/>
        <w:pageBreakBefore w:val="0"/>
        <w:widowControl w:val="0"/>
        <w:kinsoku w:val="0"/>
        <w:wordWrap w:val="0"/>
        <w:overflowPunct/>
        <w:topLinePunct/>
        <w:autoSpaceDE/>
        <w:autoSpaceDN/>
        <w:bidi w:val="0"/>
        <w:adjustRightInd/>
        <w:snapToGrid/>
        <w:spacing w:before="0" w:beforeLines="50" w:line="360" w:lineRule="auto"/>
        <w:jc w:val="center"/>
        <w:textAlignment w:val="auto"/>
        <w:rPr>
          <w:rFonts w:hint="eastAsia" w:ascii="Times New Roman" w:hAnsi="Times New Roman" w:eastAsia="宋体" w:cs="Times New Roman"/>
          <w:b/>
          <w:caps w:val="0"/>
          <w:smallCaps w:val="0"/>
          <w:color w:val="auto"/>
          <w:spacing w:val="0"/>
          <w:w w:val="100"/>
          <w:position w:val="0"/>
          <w:szCs w:val="21"/>
          <w:u w:val="none" w:color="auto"/>
          <w:lang w:val="en-US" w:eastAsia="zh-CN"/>
        </w:rPr>
      </w:pPr>
      <w:r>
        <w:rPr>
          <w:rFonts w:hint="default" w:ascii="Times New Roman" w:hAnsi="Times New Roman" w:eastAsia="宋体" w:cs="Times New Roman"/>
          <w:b/>
          <w:caps w:val="0"/>
          <w:smallCaps w:val="0"/>
          <w:color w:val="auto"/>
          <w:spacing w:val="0"/>
          <w:w w:val="100"/>
          <w:position w:val="0"/>
          <w:szCs w:val="21"/>
          <w:u w:val="none" w:color="auto"/>
        </w:rPr>
        <w:t>表3.</w:t>
      </w:r>
      <w:r>
        <w:rPr>
          <w:rFonts w:hint="default" w:ascii="Times New Roman" w:hAnsi="Times New Roman" w:eastAsia="宋体" w:cs="Times New Roman"/>
          <w:b/>
          <w:caps w:val="0"/>
          <w:smallCaps w:val="0"/>
          <w:color w:val="auto"/>
          <w:spacing w:val="0"/>
          <w:w w:val="100"/>
          <w:position w:val="0"/>
          <w:szCs w:val="21"/>
          <w:u w:val="none" w:color="auto"/>
          <w:lang w:val="en-US" w:eastAsia="zh-CN"/>
        </w:rPr>
        <w:t>2-9</w:t>
      </w:r>
      <w:r>
        <w:rPr>
          <w:rFonts w:hint="default" w:ascii="Times New Roman" w:hAnsi="Times New Roman" w:eastAsia="宋体" w:cs="Times New Roman"/>
          <w:b/>
          <w:caps w:val="0"/>
          <w:smallCaps w:val="0"/>
          <w:color w:val="auto"/>
          <w:spacing w:val="0"/>
          <w:w w:val="100"/>
          <w:position w:val="0"/>
          <w:szCs w:val="21"/>
          <w:u w:val="none" w:color="auto"/>
        </w:rPr>
        <w:t xml:space="preserve">  地下水监测项目分析方法一览表</w:t>
      </w:r>
      <w:r>
        <w:rPr>
          <w:rFonts w:hint="eastAsia" w:ascii="Times New Roman" w:hAnsi="Times New Roman" w:eastAsia="宋体" w:cs="Times New Roman"/>
          <w:b/>
          <w:caps w:val="0"/>
          <w:smallCaps w:val="0"/>
          <w:color w:val="auto"/>
          <w:spacing w:val="0"/>
          <w:w w:val="100"/>
          <w:position w:val="0"/>
          <w:szCs w:val="21"/>
          <w:u w:val="none" w:color="auto"/>
          <w:lang w:val="en-US" w:eastAsia="zh-CN"/>
        </w:rPr>
        <w:t xml:space="preserve"> </w:t>
      </w:r>
    </w:p>
    <w:tbl>
      <w:tblPr>
        <w:tblStyle w:val="39"/>
        <w:tblW w:w="50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1"/>
        <w:gridCol w:w="1256"/>
        <w:gridCol w:w="3433"/>
        <w:gridCol w:w="1973"/>
        <w:gridCol w:w="1236"/>
      </w:tblGrid>
      <w:tr w14:paraId="442FD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1751" w:type="dxa"/>
            <w:gridSpan w:val="2"/>
            <w:tcBorders>
              <w:tl2br w:val="nil"/>
              <w:tr2bl w:val="nil"/>
            </w:tcBorders>
            <w:vAlign w:val="center"/>
          </w:tcPr>
          <w:p w14:paraId="05EEC37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3421" w:type="dxa"/>
            <w:tcBorders>
              <w:tl2br w:val="nil"/>
              <w:tr2bl w:val="nil"/>
            </w:tcBorders>
            <w:vAlign w:val="center"/>
          </w:tcPr>
          <w:p w14:paraId="1B97539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检测方法</w:t>
            </w:r>
          </w:p>
        </w:tc>
        <w:tc>
          <w:tcPr>
            <w:tcW w:w="1966" w:type="dxa"/>
            <w:tcBorders>
              <w:tl2br w:val="nil"/>
              <w:tr2bl w:val="nil"/>
            </w:tcBorders>
            <w:vAlign w:val="center"/>
          </w:tcPr>
          <w:p w14:paraId="230E256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检测仪器</w:t>
            </w:r>
          </w:p>
        </w:tc>
        <w:tc>
          <w:tcPr>
            <w:tcW w:w="1232" w:type="dxa"/>
            <w:tcBorders>
              <w:tl2br w:val="nil"/>
              <w:tr2bl w:val="nil"/>
            </w:tcBorders>
            <w:vAlign w:val="center"/>
          </w:tcPr>
          <w:p w14:paraId="19356CC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方法检出限</w:t>
            </w:r>
          </w:p>
        </w:tc>
      </w:tr>
      <w:tr w14:paraId="19C27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restart"/>
            <w:tcBorders>
              <w:tl2br w:val="nil"/>
              <w:tr2bl w:val="nil"/>
            </w:tcBorders>
            <w:textDirection w:val="tbLrV"/>
            <w:vAlign w:val="center"/>
          </w:tcPr>
          <w:p w14:paraId="6233FB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地下水</w:t>
            </w:r>
          </w:p>
          <w:p w14:paraId="62EC603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369EA8A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pH</w:t>
            </w:r>
            <w:r>
              <w:rPr>
                <w:rFonts w:hint="eastAsia" w:ascii="Times New Roman" w:hAnsi="Times New Roman" w:eastAsia="宋体" w:cs="Times New Roman"/>
                <w:snapToGrid/>
                <w:color w:val="auto"/>
                <w:kern w:val="2"/>
                <w:sz w:val="21"/>
                <w:szCs w:val="21"/>
                <w:u w:val="none" w:color="auto"/>
                <w:lang w:val="en-US" w:eastAsia="zh-CN" w:bidi="ar-SA"/>
              </w:rPr>
              <w:t>值</w:t>
            </w:r>
          </w:p>
        </w:tc>
        <w:tc>
          <w:tcPr>
            <w:tcW w:w="3421" w:type="dxa"/>
            <w:tcBorders>
              <w:tl2br w:val="nil"/>
              <w:tr2bl w:val="nil"/>
            </w:tcBorders>
            <w:vAlign w:val="center"/>
          </w:tcPr>
          <w:p w14:paraId="441911A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pH值的测定 电极法》</w:t>
            </w:r>
          </w:p>
          <w:p w14:paraId="478C242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HJ 1147-2020</w:t>
            </w:r>
          </w:p>
        </w:tc>
        <w:tc>
          <w:tcPr>
            <w:tcW w:w="1966" w:type="dxa"/>
            <w:tcBorders>
              <w:tl2br w:val="nil"/>
              <w:tr2bl w:val="nil"/>
            </w:tcBorders>
            <w:vAlign w:val="center"/>
          </w:tcPr>
          <w:p w14:paraId="4C38131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SX836</w:t>
            </w:r>
            <w:r>
              <w:rPr>
                <w:rFonts w:hint="eastAsia" w:ascii="Times New Roman" w:hAnsi="Times New Roman" w:eastAsia="宋体" w:cs="Times New Roman"/>
                <w:snapToGrid/>
                <w:color w:val="auto"/>
                <w:kern w:val="2"/>
                <w:sz w:val="21"/>
                <w:szCs w:val="21"/>
                <w:u w:val="none" w:color="auto"/>
                <w:lang w:val="en-US" w:eastAsia="zh-CN" w:bidi="ar-SA"/>
              </w:rPr>
              <w:t>型</w:t>
            </w:r>
          </w:p>
          <w:p w14:paraId="5850D28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PH/mV/电导率/溶解氧测量仪</w:t>
            </w:r>
          </w:p>
        </w:tc>
        <w:tc>
          <w:tcPr>
            <w:tcW w:w="1232" w:type="dxa"/>
            <w:tcBorders>
              <w:tl2br w:val="nil"/>
              <w:tr2bl w:val="nil"/>
            </w:tcBorders>
            <w:vAlign w:val="center"/>
          </w:tcPr>
          <w:p w14:paraId="1A3DFA6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w:t>
            </w:r>
          </w:p>
        </w:tc>
      </w:tr>
      <w:tr w14:paraId="2AA02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F4FA7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6D85F34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水位</w:t>
            </w:r>
          </w:p>
        </w:tc>
        <w:tc>
          <w:tcPr>
            <w:tcW w:w="3421" w:type="dxa"/>
            <w:tcBorders>
              <w:tl2br w:val="nil"/>
              <w:tr2bl w:val="nil"/>
            </w:tcBorders>
            <w:vAlign w:val="center"/>
          </w:tcPr>
          <w:p w14:paraId="481BDD2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《地下水环境监测技术规范》</w:t>
            </w:r>
          </w:p>
          <w:p w14:paraId="215E602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HJ/T 164-20</w:t>
            </w:r>
            <w:r>
              <w:rPr>
                <w:rFonts w:hint="eastAsia" w:ascii="Times New Roman" w:hAnsi="Times New Roman" w:eastAsia="宋体" w:cs="Times New Roman"/>
                <w:snapToGrid/>
                <w:color w:val="auto"/>
                <w:kern w:val="2"/>
                <w:sz w:val="21"/>
                <w:szCs w:val="21"/>
                <w:u w:val="none" w:color="auto"/>
                <w:lang w:val="en-US" w:eastAsia="zh-CN" w:bidi="ar-SA"/>
              </w:rPr>
              <w:t>20</w:t>
            </w:r>
          </w:p>
        </w:tc>
        <w:tc>
          <w:tcPr>
            <w:tcW w:w="1966" w:type="dxa"/>
            <w:tcBorders>
              <w:tl2br w:val="nil"/>
              <w:tr2bl w:val="nil"/>
            </w:tcBorders>
            <w:vAlign w:val="center"/>
          </w:tcPr>
          <w:p w14:paraId="5EF9B72F">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信天人-288</w:t>
            </w:r>
          </w:p>
          <w:p w14:paraId="7B27AA0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钢尺水位计</w:t>
            </w:r>
          </w:p>
        </w:tc>
        <w:tc>
          <w:tcPr>
            <w:tcW w:w="1232" w:type="dxa"/>
            <w:tcBorders>
              <w:tl2br w:val="nil"/>
              <w:tr2bl w:val="nil"/>
            </w:tcBorders>
            <w:vAlign w:val="center"/>
          </w:tcPr>
          <w:p w14:paraId="1707C6D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w:t>
            </w:r>
          </w:p>
        </w:tc>
      </w:tr>
      <w:tr w14:paraId="1D8F0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AE262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3BC675F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总硬度</w:t>
            </w:r>
          </w:p>
        </w:tc>
        <w:tc>
          <w:tcPr>
            <w:tcW w:w="3421" w:type="dxa"/>
            <w:tcBorders>
              <w:tl2br w:val="nil"/>
              <w:tr2bl w:val="nil"/>
            </w:tcBorders>
            <w:vAlign w:val="center"/>
          </w:tcPr>
          <w:p w14:paraId="44A6FE1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钙和镁总量测定</w:t>
            </w:r>
            <w:r>
              <w:rPr>
                <w:rFonts w:hint="eastAsia" w:ascii="Times New Roman" w:hAnsi="Times New Roman" w:eastAsia="宋体" w:cs="Times New Roman"/>
                <w:snapToGrid/>
                <w:color w:val="auto"/>
                <w:kern w:val="2"/>
                <w:sz w:val="21"/>
                <w:szCs w:val="21"/>
                <w:u w:val="none" w:color="auto"/>
                <w:lang w:val="en-US" w:eastAsia="zh-CN" w:bidi="ar-SA"/>
              </w:rPr>
              <w:t xml:space="preserve"> </w:t>
            </w:r>
            <w:r>
              <w:rPr>
                <w:rFonts w:hint="default" w:ascii="Times New Roman" w:hAnsi="Times New Roman" w:eastAsia="宋体" w:cs="Times New Roman"/>
                <w:snapToGrid/>
                <w:color w:val="auto"/>
                <w:kern w:val="2"/>
                <w:sz w:val="21"/>
                <w:szCs w:val="21"/>
                <w:u w:val="none" w:color="auto"/>
                <w:lang w:val="en-US" w:eastAsia="zh-CN" w:bidi="ar-SA"/>
              </w:rPr>
              <w:t>EDTA滴定法》GB 7477-1987</w:t>
            </w:r>
          </w:p>
        </w:tc>
        <w:tc>
          <w:tcPr>
            <w:tcW w:w="1966" w:type="dxa"/>
            <w:tcBorders>
              <w:tl2br w:val="nil"/>
              <w:tr2bl w:val="nil"/>
            </w:tcBorders>
            <w:vAlign w:val="center"/>
          </w:tcPr>
          <w:p w14:paraId="4A392C7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2399DAF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5mg/L</w:t>
            </w:r>
          </w:p>
        </w:tc>
      </w:tr>
      <w:tr w14:paraId="3B6E5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4EA1C3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BB4E65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氨氮</w:t>
            </w:r>
          </w:p>
        </w:tc>
        <w:tc>
          <w:tcPr>
            <w:tcW w:w="3421" w:type="dxa"/>
            <w:tcBorders>
              <w:tl2br w:val="nil"/>
              <w:tr2bl w:val="nil"/>
            </w:tcBorders>
            <w:vAlign w:val="center"/>
          </w:tcPr>
          <w:p w14:paraId="3EE54CA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w:t>
            </w:r>
            <w:r>
              <w:rPr>
                <w:rFonts w:hint="eastAsia" w:ascii="Times New Roman" w:hAnsi="Times New Roman" w:eastAsia="宋体" w:cs="Times New Roman"/>
                <w:snapToGrid/>
                <w:color w:val="auto"/>
                <w:kern w:val="2"/>
                <w:sz w:val="21"/>
                <w:szCs w:val="21"/>
                <w:u w:val="none" w:color="auto"/>
                <w:lang w:val="en-US" w:eastAsia="zh-CN" w:bidi="ar-SA"/>
              </w:rPr>
              <w:t xml:space="preserve"> </w:t>
            </w:r>
            <w:r>
              <w:rPr>
                <w:rFonts w:hint="default" w:ascii="Times New Roman" w:hAnsi="Times New Roman" w:eastAsia="宋体" w:cs="Times New Roman"/>
                <w:snapToGrid/>
                <w:color w:val="auto"/>
                <w:kern w:val="2"/>
                <w:sz w:val="21"/>
                <w:szCs w:val="21"/>
                <w:u w:val="none" w:color="auto"/>
                <w:lang w:val="en-US" w:eastAsia="zh-CN" w:bidi="ar-SA"/>
              </w:rPr>
              <w:t>氨氮的测定</w:t>
            </w:r>
            <w:r>
              <w:rPr>
                <w:rFonts w:hint="eastAsia" w:ascii="Times New Roman" w:hAnsi="Times New Roman" w:eastAsia="宋体" w:cs="Times New Roman"/>
                <w:snapToGrid/>
                <w:color w:val="auto"/>
                <w:kern w:val="2"/>
                <w:sz w:val="21"/>
                <w:szCs w:val="21"/>
                <w:u w:val="none" w:color="auto"/>
                <w:lang w:val="en-US" w:eastAsia="zh-CN" w:bidi="ar-SA"/>
              </w:rPr>
              <w:t xml:space="preserve"> </w:t>
            </w:r>
            <w:r>
              <w:rPr>
                <w:rFonts w:hint="default" w:ascii="Times New Roman" w:hAnsi="Times New Roman" w:eastAsia="宋体" w:cs="Times New Roman"/>
                <w:snapToGrid/>
                <w:color w:val="auto"/>
                <w:kern w:val="2"/>
                <w:sz w:val="21"/>
                <w:szCs w:val="21"/>
                <w:u w:val="none" w:color="auto"/>
                <w:lang w:val="en-US" w:eastAsia="zh-CN" w:bidi="ar-SA"/>
              </w:rPr>
              <w:t>纳氏试剂分光光度</w:t>
            </w:r>
            <w:r>
              <w:rPr>
                <w:rFonts w:hint="eastAsia" w:ascii="Times New Roman" w:hAnsi="Times New Roman" w:eastAsia="宋体" w:cs="Times New Roman"/>
                <w:snapToGrid/>
                <w:color w:val="auto"/>
                <w:kern w:val="2"/>
                <w:sz w:val="21"/>
                <w:szCs w:val="21"/>
                <w:u w:val="none" w:color="auto"/>
                <w:lang w:val="en-US" w:eastAsia="zh-CN" w:bidi="ar-SA"/>
              </w:rPr>
              <w:t>法</w:t>
            </w:r>
            <w:r>
              <w:rPr>
                <w:rFonts w:hint="default" w:ascii="Times New Roman" w:hAnsi="Times New Roman" w:eastAsia="宋体" w:cs="Times New Roman"/>
                <w:snapToGrid/>
                <w:color w:val="auto"/>
                <w:kern w:val="2"/>
                <w:sz w:val="21"/>
                <w:szCs w:val="21"/>
                <w:u w:val="none" w:color="auto"/>
                <w:lang w:val="en-US" w:eastAsia="zh-CN" w:bidi="ar-SA"/>
              </w:rPr>
              <w:t>》HJ 535-2009</w:t>
            </w:r>
          </w:p>
        </w:tc>
        <w:tc>
          <w:tcPr>
            <w:tcW w:w="1966" w:type="dxa"/>
            <w:tcBorders>
              <w:tl2br w:val="nil"/>
              <w:tr2bl w:val="nil"/>
            </w:tcBorders>
            <w:vAlign w:val="center"/>
          </w:tcPr>
          <w:p w14:paraId="0011291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SP-722</w:t>
            </w:r>
          </w:p>
          <w:p w14:paraId="1C49F58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可见分光光度计</w:t>
            </w:r>
          </w:p>
        </w:tc>
        <w:tc>
          <w:tcPr>
            <w:tcW w:w="1232" w:type="dxa"/>
            <w:tcBorders>
              <w:tl2br w:val="nil"/>
              <w:tr2bl w:val="nil"/>
            </w:tcBorders>
            <w:vAlign w:val="center"/>
          </w:tcPr>
          <w:p w14:paraId="5762869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0.025mg/L</w:t>
            </w:r>
          </w:p>
        </w:tc>
      </w:tr>
      <w:tr w14:paraId="6DA25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5AD36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3F65D4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挥发酚</w:t>
            </w:r>
          </w:p>
        </w:tc>
        <w:tc>
          <w:tcPr>
            <w:tcW w:w="3421" w:type="dxa"/>
            <w:tcBorders>
              <w:tl2br w:val="nil"/>
              <w:tr2bl w:val="nil"/>
            </w:tcBorders>
            <w:vAlign w:val="center"/>
          </w:tcPr>
          <w:p w14:paraId="3A75A7C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 xml:space="preserve"> 《水质 挥发酚的测定 4-氨基安替比林分光光度法》（萃取分光光度法）HJ 503-2009</w:t>
            </w:r>
          </w:p>
        </w:tc>
        <w:tc>
          <w:tcPr>
            <w:tcW w:w="1966" w:type="dxa"/>
            <w:tcBorders>
              <w:tl2br w:val="nil"/>
              <w:tr2bl w:val="nil"/>
            </w:tcBorders>
            <w:vAlign w:val="center"/>
          </w:tcPr>
          <w:p w14:paraId="640388B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SP-722</w:t>
            </w:r>
          </w:p>
          <w:p w14:paraId="6D06AC3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可见分光光度计</w:t>
            </w:r>
          </w:p>
        </w:tc>
        <w:tc>
          <w:tcPr>
            <w:tcW w:w="1232" w:type="dxa"/>
            <w:tcBorders>
              <w:tl2br w:val="nil"/>
              <w:tr2bl w:val="nil"/>
            </w:tcBorders>
            <w:vAlign w:val="center"/>
          </w:tcPr>
          <w:p w14:paraId="0A23C79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0.0003mg/L</w:t>
            </w:r>
          </w:p>
        </w:tc>
      </w:tr>
      <w:tr w14:paraId="6A61C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4908D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63C34F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耗氧量</w:t>
            </w:r>
          </w:p>
        </w:tc>
        <w:tc>
          <w:tcPr>
            <w:tcW w:w="3421" w:type="dxa"/>
            <w:tcBorders>
              <w:tl2br w:val="nil"/>
              <w:tr2bl w:val="nil"/>
            </w:tcBorders>
            <w:vAlign w:val="center"/>
          </w:tcPr>
          <w:p w14:paraId="4EFDE1FB">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《地下水质分析方法第68部分：耗氧量的测定酸性高锰酸钾滴定法》</w:t>
            </w:r>
          </w:p>
          <w:p w14:paraId="46AB492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DZ/T 0064.68-2021</w:t>
            </w:r>
          </w:p>
        </w:tc>
        <w:tc>
          <w:tcPr>
            <w:tcW w:w="1966" w:type="dxa"/>
            <w:tcBorders>
              <w:tl2br w:val="nil"/>
              <w:tr2bl w:val="nil"/>
            </w:tcBorders>
            <w:vAlign w:val="center"/>
          </w:tcPr>
          <w:p w14:paraId="4A02991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2695B91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0.4mg/L</w:t>
            </w:r>
          </w:p>
        </w:tc>
      </w:tr>
      <w:tr w14:paraId="7DC6C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94626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F4FD42B">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溶解性</w:t>
            </w:r>
          </w:p>
          <w:p w14:paraId="4352037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总固体</w:t>
            </w:r>
          </w:p>
        </w:tc>
        <w:tc>
          <w:tcPr>
            <w:tcW w:w="3421" w:type="dxa"/>
            <w:tcBorders>
              <w:tl2br w:val="nil"/>
              <w:tr2bl w:val="nil"/>
            </w:tcBorders>
            <w:vAlign w:val="center"/>
          </w:tcPr>
          <w:p w14:paraId="608F7DE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《地下水质分析方法 第9部分：溶解性固体总量的测定 重量法》DZ/T 0064.9-2021</w:t>
            </w:r>
          </w:p>
        </w:tc>
        <w:tc>
          <w:tcPr>
            <w:tcW w:w="1966" w:type="dxa"/>
            <w:tcBorders>
              <w:tl2br w:val="nil"/>
              <w:tr2bl w:val="nil"/>
            </w:tcBorders>
            <w:vAlign w:val="center"/>
          </w:tcPr>
          <w:p w14:paraId="7B038FE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PR224ZH/E</w:t>
            </w:r>
          </w:p>
          <w:p w14:paraId="7385733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 xml:space="preserve"> 万分之一天平</w:t>
            </w:r>
          </w:p>
        </w:tc>
        <w:tc>
          <w:tcPr>
            <w:tcW w:w="1232" w:type="dxa"/>
            <w:tcBorders>
              <w:tl2br w:val="nil"/>
              <w:tr2bl w:val="nil"/>
            </w:tcBorders>
            <w:vAlign w:val="center"/>
          </w:tcPr>
          <w:p w14:paraId="47B8A8A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w:t>
            </w:r>
          </w:p>
        </w:tc>
      </w:tr>
      <w:tr w14:paraId="3E32D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73242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CC75A0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铅</w:t>
            </w:r>
          </w:p>
        </w:tc>
        <w:tc>
          <w:tcPr>
            <w:tcW w:w="3421" w:type="dxa"/>
            <w:tcBorders>
              <w:tl2br w:val="nil"/>
              <w:tr2bl w:val="nil"/>
            </w:tcBorders>
            <w:vAlign w:val="center"/>
          </w:tcPr>
          <w:p w14:paraId="7DC2EB5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《水和废水监测分析方法》（第四版增补版）国家环境保护总局（2002）石墨炉原子吸收法</w:t>
            </w:r>
          </w:p>
        </w:tc>
        <w:tc>
          <w:tcPr>
            <w:tcW w:w="1966" w:type="dxa"/>
            <w:tcBorders>
              <w:tl2br w:val="nil"/>
              <w:tr2bl w:val="nil"/>
            </w:tcBorders>
            <w:vAlign w:val="center"/>
          </w:tcPr>
          <w:p w14:paraId="746846A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AA</w:t>
            </w:r>
            <w:r>
              <w:rPr>
                <w:rFonts w:hint="eastAsia" w:ascii="Times New Roman" w:hAnsi="Times New Roman" w:eastAsia="宋体" w:cs="Times New Roman"/>
                <w:snapToGrid/>
                <w:color w:val="auto"/>
                <w:kern w:val="2"/>
                <w:sz w:val="21"/>
                <w:szCs w:val="21"/>
                <w:u w:val="none" w:color="auto"/>
                <w:lang w:val="en-US" w:eastAsia="zh-CN" w:bidi="ar-SA"/>
              </w:rPr>
              <w:t>-6880</w:t>
            </w:r>
          </w:p>
          <w:p w14:paraId="552D7CD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0E9590E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0.00</w:t>
            </w:r>
            <w:r>
              <w:rPr>
                <w:rFonts w:hint="default" w:ascii="Times New Roman" w:hAnsi="Times New Roman" w:eastAsia="宋体" w:cs="Times New Roman"/>
                <w:snapToGrid/>
                <w:color w:val="auto"/>
                <w:kern w:val="2"/>
                <w:sz w:val="21"/>
                <w:szCs w:val="21"/>
                <w:u w:val="none" w:color="auto"/>
                <w:lang w:val="en-US" w:eastAsia="zh-CN" w:bidi="ar-SA"/>
              </w:rPr>
              <w:t>1</w:t>
            </w:r>
            <w:r>
              <w:rPr>
                <w:rFonts w:hint="eastAsia" w:ascii="Times New Roman" w:hAnsi="Times New Roman" w:eastAsia="宋体" w:cs="Times New Roman"/>
                <w:snapToGrid/>
                <w:color w:val="auto"/>
                <w:kern w:val="2"/>
                <w:sz w:val="21"/>
                <w:szCs w:val="21"/>
                <w:u w:val="none" w:color="auto"/>
                <w:lang w:val="en-US" w:eastAsia="zh-CN" w:bidi="ar-SA"/>
              </w:rPr>
              <w:t>m</w:t>
            </w:r>
            <w:r>
              <w:rPr>
                <w:rFonts w:hint="default" w:ascii="Times New Roman" w:hAnsi="Times New Roman" w:eastAsia="宋体" w:cs="Times New Roman"/>
                <w:snapToGrid/>
                <w:color w:val="auto"/>
                <w:kern w:val="2"/>
                <w:sz w:val="21"/>
                <w:szCs w:val="21"/>
                <w:u w:val="none" w:color="auto"/>
                <w:lang w:val="en-US" w:eastAsia="zh-CN" w:bidi="ar-SA"/>
              </w:rPr>
              <w:t>g/L</w:t>
            </w:r>
          </w:p>
        </w:tc>
      </w:tr>
      <w:tr w14:paraId="46904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45904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C9DC32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镉</w:t>
            </w:r>
          </w:p>
        </w:tc>
        <w:tc>
          <w:tcPr>
            <w:tcW w:w="3421" w:type="dxa"/>
            <w:tcBorders>
              <w:tl2br w:val="nil"/>
              <w:tr2bl w:val="nil"/>
            </w:tcBorders>
            <w:vAlign w:val="center"/>
          </w:tcPr>
          <w:p w14:paraId="2EC50F8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《水和废水监测分析方法》（第四版增补版）国家环境保护总局（2002）石墨炉原子吸收法</w:t>
            </w:r>
          </w:p>
        </w:tc>
        <w:tc>
          <w:tcPr>
            <w:tcW w:w="1966" w:type="dxa"/>
            <w:tcBorders>
              <w:tl2br w:val="nil"/>
              <w:tr2bl w:val="nil"/>
            </w:tcBorders>
            <w:vAlign w:val="center"/>
          </w:tcPr>
          <w:p w14:paraId="6F7D30C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AA</w:t>
            </w:r>
            <w:r>
              <w:rPr>
                <w:rFonts w:hint="eastAsia" w:ascii="Times New Roman" w:hAnsi="Times New Roman" w:eastAsia="宋体" w:cs="Times New Roman"/>
                <w:snapToGrid/>
                <w:color w:val="auto"/>
                <w:kern w:val="2"/>
                <w:sz w:val="21"/>
                <w:szCs w:val="21"/>
                <w:u w:val="none" w:color="auto"/>
                <w:lang w:val="en-US" w:eastAsia="zh-CN" w:bidi="ar-SA"/>
              </w:rPr>
              <w:t>-6880</w:t>
            </w:r>
          </w:p>
          <w:p w14:paraId="3C7E2F1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235C230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w:t>
            </w:r>
            <w:r>
              <w:rPr>
                <w:rFonts w:hint="eastAsia" w:ascii="Times New Roman" w:hAnsi="Times New Roman" w:eastAsia="宋体" w:cs="Times New Roman"/>
                <w:snapToGrid/>
                <w:color w:val="auto"/>
                <w:kern w:val="2"/>
                <w:sz w:val="21"/>
                <w:szCs w:val="21"/>
                <w:u w:val="none" w:color="auto"/>
                <w:lang w:val="en-US" w:eastAsia="zh-CN" w:bidi="ar-SA"/>
              </w:rPr>
              <w:t>000</w:t>
            </w:r>
            <w:r>
              <w:rPr>
                <w:rFonts w:hint="default" w:ascii="Times New Roman" w:hAnsi="Times New Roman" w:eastAsia="宋体" w:cs="Times New Roman"/>
                <w:snapToGrid/>
                <w:color w:val="auto"/>
                <w:kern w:val="2"/>
                <w:sz w:val="21"/>
                <w:szCs w:val="21"/>
                <w:u w:val="none" w:color="auto"/>
                <w:lang w:val="en-US" w:eastAsia="zh-CN" w:bidi="ar-SA"/>
              </w:rPr>
              <w:t>1</w:t>
            </w:r>
            <w:r>
              <w:rPr>
                <w:rFonts w:hint="eastAsia" w:ascii="Times New Roman" w:hAnsi="Times New Roman" w:eastAsia="宋体" w:cs="Times New Roman"/>
                <w:snapToGrid/>
                <w:color w:val="auto"/>
                <w:kern w:val="2"/>
                <w:sz w:val="21"/>
                <w:szCs w:val="21"/>
                <w:u w:val="none" w:color="auto"/>
                <w:lang w:val="en-US" w:eastAsia="zh-CN" w:bidi="ar-SA"/>
              </w:rPr>
              <w:t>m</w:t>
            </w:r>
            <w:r>
              <w:rPr>
                <w:rFonts w:hint="default" w:ascii="Times New Roman" w:hAnsi="Times New Roman" w:eastAsia="宋体" w:cs="Times New Roman"/>
                <w:snapToGrid/>
                <w:color w:val="auto"/>
                <w:kern w:val="2"/>
                <w:sz w:val="21"/>
                <w:szCs w:val="21"/>
                <w:u w:val="none" w:color="auto"/>
                <w:lang w:val="en-US" w:eastAsia="zh-CN" w:bidi="ar-SA"/>
              </w:rPr>
              <w:t>g/L</w:t>
            </w:r>
          </w:p>
        </w:tc>
      </w:tr>
      <w:tr w14:paraId="7837D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4891E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F7F7A3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铁</w:t>
            </w:r>
          </w:p>
        </w:tc>
        <w:tc>
          <w:tcPr>
            <w:tcW w:w="3421" w:type="dxa"/>
            <w:tcBorders>
              <w:tl2br w:val="nil"/>
              <w:tr2bl w:val="nil"/>
            </w:tcBorders>
            <w:vAlign w:val="center"/>
          </w:tcPr>
          <w:p w14:paraId="547F88C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铁、锰的测定 火焰原子吸收分光光度法》GB 11911-1989</w:t>
            </w:r>
          </w:p>
        </w:tc>
        <w:tc>
          <w:tcPr>
            <w:tcW w:w="1966" w:type="dxa"/>
            <w:tcBorders>
              <w:tl2br w:val="nil"/>
              <w:tr2bl w:val="nil"/>
            </w:tcBorders>
            <w:vAlign w:val="center"/>
          </w:tcPr>
          <w:p w14:paraId="35844E2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AA</w:t>
            </w:r>
            <w:r>
              <w:rPr>
                <w:rFonts w:hint="eastAsia" w:ascii="Times New Roman" w:hAnsi="Times New Roman" w:eastAsia="宋体" w:cs="Times New Roman"/>
                <w:snapToGrid/>
                <w:color w:val="auto"/>
                <w:kern w:val="2"/>
                <w:sz w:val="21"/>
                <w:szCs w:val="21"/>
                <w:u w:val="none" w:color="auto"/>
                <w:lang w:val="en-US" w:eastAsia="zh-CN" w:bidi="ar-SA"/>
              </w:rPr>
              <w:t>-6880</w:t>
            </w:r>
          </w:p>
          <w:p w14:paraId="7844C03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3F65EA2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0.03mg/L</w:t>
            </w:r>
          </w:p>
        </w:tc>
      </w:tr>
      <w:tr w14:paraId="2784D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DAE77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BC5DA0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锰</w:t>
            </w:r>
          </w:p>
        </w:tc>
        <w:tc>
          <w:tcPr>
            <w:tcW w:w="3421" w:type="dxa"/>
            <w:tcBorders>
              <w:tl2br w:val="nil"/>
              <w:tr2bl w:val="nil"/>
            </w:tcBorders>
            <w:vAlign w:val="center"/>
          </w:tcPr>
          <w:p w14:paraId="4DA3AD2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铁、锰的测定 火焰原子吸收分光光度法》GB 11911-1989</w:t>
            </w:r>
          </w:p>
        </w:tc>
        <w:tc>
          <w:tcPr>
            <w:tcW w:w="1966" w:type="dxa"/>
            <w:tcBorders>
              <w:tl2br w:val="nil"/>
              <w:tr2bl w:val="nil"/>
            </w:tcBorders>
            <w:vAlign w:val="center"/>
          </w:tcPr>
          <w:p w14:paraId="3E54704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AA</w:t>
            </w:r>
            <w:r>
              <w:rPr>
                <w:rFonts w:hint="eastAsia" w:ascii="Times New Roman" w:hAnsi="Times New Roman" w:eastAsia="宋体" w:cs="Times New Roman"/>
                <w:snapToGrid/>
                <w:color w:val="auto"/>
                <w:kern w:val="2"/>
                <w:sz w:val="21"/>
                <w:szCs w:val="21"/>
                <w:u w:val="none" w:color="auto"/>
                <w:lang w:val="en-US" w:eastAsia="zh-CN" w:bidi="ar-SA"/>
              </w:rPr>
              <w:t>-6880</w:t>
            </w:r>
          </w:p>
          <w:p w14:paraId="148A1B9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3EC3556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0.01mg/L</w:t>
            </w:r>
          </w:p>
        </w:tc>
      </w:tr>
      <w:tr w14:paraId="4CC11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46B926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6260396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钾</w:t>
            </w:r>
          </w:p>
        </w:tc>
        <w:tc>
          <w:tcPr>
            <w:tcW w:w="3421" w:type="dxa"/>
            <w:tcBorders>
              <w:tl2br w:val="nil"/>
              <w:tr2bl w:val="nil"/>
            </w:tcBorders>
            <w:vAlign w:val="center"/>
          </w:tcPr>
          <w:p w14:paraId="027B180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钾和钠的测定 火焰原子吸收分光光度法》GB 11904-1989</w:t>
            </w:r>
          </w:p>
        </w:tc>
        <w:tc>
          <w:tcPr>
            <w:tcW w:w="1966" w:type="dxa"/>
            <w:tcBorders>
              <w:tl2br w:val="nil"/>
              <w:tr2bl w:val="nil"/>
            </w:tcBorders>
            <w:vAlign w:val="center"/>
          </w:tcPr>
          <w:p w14:paraId="520D83B8">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TAS-990</w:t>
            </w:r>
          </w:p>
          <w:p w14:paraId="36A4C16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332F43A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0.05</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16BC2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EFF8D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98FFC5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钠</w:t>
            </w:r>
          </w:p>
        </w:tc>
        <w:tc>
          <w:tcPr>
            <w:tcW w:w="3421" w:type="dxa"/>
            <w:tcBorders>
              <w:tl2br w:val="nil"/>
              <w:tr2bl w:val="nil"/>
            </w:tcBorders>
            <w:vAlign w:val="center"/>
          </w:tcPr>
          <w:p w14:paraId="612A07B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钾和钠的测定 火焰原子吸收分光光度法》GB 11904-1989</w:t>
            </w:r>
          </w:p>
        </w:tc>
        <w:tc>
          <w:tcPr>
            <w:tcW w:w="1966" w:type="dxa"/>
            <w:tcBorders>
              <w:tl2br w:val="nil"/>
              <w:tr2bl w:val="nil"/>
            </w:tcBorders>
            <w:vAlign w:val="center"/>
          </w:tcPr>
          <w:p w14:paraId="479B134D">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TAS-990</w:t>
            </w:r>
          </w:p>
          <w:p w14:paraId="6DED724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原子吸收分光光度计</w:t>
            </w:r>
          </w:p>
        </w:tc>
        <w:tc>
          <w:tcPr>
            <w:tcW w:w="1232" w:type="dxa"/>
            <w:tcBorders>
              <w:tl2br w:val="nil"/>
              <w:tr2bl w:val="nil"/>
            </w:tcBorders>
            <w:vAlign w:val="center"/>
          </w:tcPr>
          <w:p w14:paraId="69ADA68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0.01</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264E4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00AC24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24B5F60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钙</w:t>
            </w:r>
          </w:p>
        </w:tc>
        <w:tc>
          <w:tcPr>
            <w:tcW w:w="3421" w:type="dxa"/>
            <w:tcBorders>
              <w:tl2br w:val="nil"/>
              <w:tr2bl w:val="nil"/>
            </w:tcBorders>
            <w:vAlign w:val="center"/>
          </w:tcPr>
          <w:p w14:paraId="4D2C5AE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《地下水质分析方法 第13部分：钙量的测定 乙二胺四乙酸二钠滴定法》DZ/T 0064.13-2021</w:t>
            </w:r>
          </w:p>
        </w:tc>
        <w:tc>
          <w:tcPr>
            <w:tcW w:w="1966" w:type="dxa"/>
            <w:tcBorders>
              <w:tl2br w:val="nil"/>
              <w:tr2bl w:val="nil"/>
            </w:tcBorders>
            <w:vAlign w:val="center"/>
          </w:tcPr>
          <w:p w14:paraId="7671093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53F1B80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3</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06406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498D14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42F6CC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镁</w:t>
            </w:r>
          </w:p>
        </w:tc>
        <w:tc>
          <w:tcPr>
            <w:tcW w:w="3421" w:type="dxa"/>
            <w:tcBorders>
              <w:tl2br w:val="nil"/>
              <w:tr2bl w:val="nil"/>
            </w:tcBorders>
            <w:vAlign w:val="center"/>
          </w:tcPr>
          <w:p w14:paraId="7397651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《地下水质分析方法 第14部分：镁量的测定 乙二胺四乙酸二钠滴定法》DZ/T 0064.14-2021</w:t>
            </w:r>
          </w:p>
        </w:tc>
        <w:tc>
          <w:tcPr>
            <w:tcW w:w="1966" w:type="dxa"/>
            <w:tcBorders>
              <w:tl2br w:val="nil"/>
              <w:tr2bl w:val="nil"/>
            </w:tcBorders>
            <w:vAlign w:val="center"/>
          </w:tcPr>
          <w:p w14:paraId="271BBAD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09C5456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3</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74C10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7F65A7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43BF946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氯化物</w:t>
            </w:r>
          </w:p>
        </w:tc>
        <w:tc>
          <w:tcPr>
            <w:tcW w:w="3421" w:type="dxa"/>
            <w:tcBorders>
              <w:tl2br w:val="nil"/>
              <w:tr2bl w:val="nil"/>
            </w:tcBorders>
            <w:vAlign w:val="center"/>
          </w:tcPr>
          <w:p w14:paraId="539839B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无机阴离子（F- 、Cl-、NO2-、Br-、NO3-、PO43-、SO32-、SO42-）的测定离子色谱法》 HJ 84-2016</w:t>
            </w:r>
          </w:p>
        </w:tc>
        <w:tc>
          <w:tcPr>
            <w:tcW w:w="1966" w:type="dxa"/>
            <w:tcBorders>
              <w:tl2br w:val="nil"/>
              <w:tr2bl w:val="nil"/>
            </w:tcBorders>
            <w:vAlign w:val="center"/>
          </w:tcPr>
          <w:p w14:paraId="4FCF49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CIC-D120离子色谱仪</w:t>
            </w:r>
          </w:p>
        </w:tc>
        <w:tc>
          <w:tcPr>
            <w:tcW w:w="1232" w:type="dxa"/>
            <w:tcBorders>
              <w:tl2br w:val="nil"/>
              <w:tr2bl w:val="nil"/>
            </w:tcBorders>
            <w:vAlign w:val="center"/>
          </w:tcPr>
          <w:p w14:paraId="6B96C2B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0.007mg/L</w:t>
            </w:r>
          </w:p>
        </w:tc>
      </w:tr>
      <w:tr w14:paraId="2CD1D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766A85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F7048E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硫酸盐</w:t>
            </w:r>
          </w:p>
        </w:tc>
        <w:tc>
          <w:tcPr>
            <w:tcW w:w="3421" w:type="dxa"/>
            <w:tcBorders>
              <w:tl2br w:val="nil"/>
              <w:tr2bl w:val="nil"/>
            </w:tcBorders>
            <w:vAlign w:val="center"/>
          </w:tcPr>
          <w:p w14:paraId="010251C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无机阴离子（F- 、Cl-、NO2-、Br-、NO3-、PO43-、SO32-、SO42-）的测定离子色谱法》HJ 84-2016</w:t>
            </w:r>
          </w:p>
        </w:tc>
        <w:tc>
          <w:tcPr>
            <w:tcW w:w="1966" w:type="dxa"/>
            <w:tcBorders>
              <w:tl2br w:val="nil"/>
              <w:tr2bl w:val="nil"/>
            </w:tcBorders>
            <w:vAlign w:val="center"/>
          </w:tcPr>
          <w:p w14:paraId="7F3D87F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CIC-D120离子色谱仪</w:t>
            </w:r>
          </w:p>
        </w:tc>
        <w:tc>
          <w:tcPr>
            <w:tcW w:w="1232" w:type="dxa"/>
            <w:tcBorders>
              <w:tl2br w:val="nil"/>
              <w:tr2bl w:val="nil"/>
            </w:tcBorders>
            <w:vAlign w:val="center"/>
          </w:tcPr>
          <w:p w14:paraId="602E565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0.018mg/L</w:t>
            </w:r>
          </w:p>
        </w:tc>
      </w:tr>
      <w:tr w14:paraId="6EEC3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4D244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DBAE4D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碳酸根</w:t>
            </w:r>
          </w:p>
        </w:tc>
        <w:tc>
          <w:tcPr>
            <w:tcW w:w="3421" w:type="dxa"/>
            <w:tcBorders>
              <w:tl2br w:val="nil"/>
              <w:tr2bl w:val="nil"/>
            </w:tcBorders>
            <w:vAlign w:val="center"/>
          </w:tcPr>
          <w:p w14:paraId="7812AE6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 xml:space="preserve">《地下水质分析方法 第49部分：碳酸根、重碳酸根和氢氧根离子的测定 滴定法》DZ/T 0064.49-2021 </w:t>
            </w:r>
          </w:p>
        </w:tc>
        <w:tc>
          <w:tcPr>
            <w:tcW w:w="1966" w:type="dxa"/>
            <w:tcBorders>
              <w:tl2br w:val="nil"/>
              <w:tr2bl w:val="nil"/>
            </w:tcBorders>
            <w:vAlign w:val="center"/>
          </w:tcPr>
          <w:p w14:paraId="285BC54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53A285E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5</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0586E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66BF5C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BEDD53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重碳酸根</w:t>
            </w:r>
          </w:p>
        </w:tc>
        <w:tc>
          <w:tcPr>
            <w:tcW w:w="3421" w:type="dxa"/>
            <w:tcBorders>
              <w:tl2br w:val="nil"/>
              <w:tr2bl w:val="nil"/>
            </w:tcBorders>
            <w:vAlign w:val="center"/>
          </w:tcPr>
          <w:p w14:paraId="6F7761A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 xml:space="preserve">《地下水质分析方法 第49部分：碳酸根、重碳酸根和氢氧根离子的测定 滴定法》DZ/T 0064.49-2021 </w:t>
            </w:r>
          </w:p>
        </w:tc>
        <w:tc>
          <w:tcPr>
            <w:tcW w:w="1966" w:type="dxa"/>
            <w:tcBorders>
              <w:tl2br w:val="nil"/>
              <w:tr2bl w:val="nil"/>
            </w:tcBorders>
            <w:vAlign w:val="center"/>
          </w:tcPr>
          <w:p w14:paraId="2385C40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滴定管</w:t>
            </w:r>
          </w:p>
        </w:tc>
        <w:tc>
          <w:tcPr>
            <w:tcW w:w="1232" w:type="dxa"/>
            <w:tcBorders>
              <w:tl2br w:val="nil"/>
              <w:tr2bl w:val="nil"/>
            </w:tcBorders>
            <w:vAlign w:val="center"/>
          </w:tcPr>
          <w:p w14:paraId="42FF1B9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5</w:t>
            </w:r>
            <w:r>
              <w:rPr>
                <w:rFonts w:hint="default" w:ascii="Times New Roman" w:hAnsi="Times New Roman" w:eastAsia="宋体" w:cs="Times New Roman"/>
                <w:snapToGrid/>
                <w:color w:val="auto"/>
                <w:kern w:val="2"/>
                <w:sz w:val="21"/>
                <w:szCs w:val="21"/>
                <w:u w:val="none" w:color="auto"/>
                <w:lang w:val="en-US" w:eastAsia="zh-CN" w:bidi="ar-SA"/>
              </w:rPr>
              <w:t>mg/L</w:t>
            </w:r>
          </w:p>
        </w:tc>
      </w:tr>
      <w:tr w14:paraId="0FA83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25B63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1C471D5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砷</w:t>
            </w:r>
          </w:p>
        </w:tc>
        <w:tc>
          <w:tcPr>
            <w:tcW w:w="3421" w:type="dxa"/>
            <w:tcBorders>
              <w:tl2br w:val="nil"/>
              <w:tr2bl w:val="nil"/>
            </w:tcBorders>
            <w:vAlign w:val="center"/>
          </w:tcPr>
          <w:p w14:paraId="39A742A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汞、砷、硒、铋和锑的测定</w:t>
            </w:r>
          </w:p>
          <w:p w14:paraId="32068FC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原子荧光法》HJ 694-2014</w:t>
            </w:r>
          </w:p>
        </w:tc>
        <w:tc>
          <w:tcPr>
            <w:tcW w:w="1966" w:type="dxa"/>
            <w:tcBorders>
              <w:tl2br w:val="nil"/>
              <w:tr2bl w:val="nil"/>
            </w:tcBorders>
            <w:vAlign w:val="center"/>
          </w:tcPr>
          <w:p w14:paraId="25A7088A">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AFS-230E</w:t>
            </w:r>
          </w:p>
          <w:p w14:paraId="18931E3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原子荧光光谱仪</w:t>
            </w:r>
          </w:p>
        </w:tc>
        <w:tc>
          <w:tcPr>
            <w:tcW w:w="1232" w:type="dxa"/>
            <w:tcBorders>
              <w:tl2br w:val="nil"/>
              <w:tr2bl w:val="nil"/>
            </w:tcBorders>
            <w:vAlign w:val="center"/>
          </w:tcPr>
          <w:p w14:paraId="0A7B49B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w:t>
            </w:r>
            <w:r>
              <w:rPr>
                <w:rFonts w:hint="eastAsia" w:ascii="Times New Roman" w:hAnsi="Times New Roman" w:eastAsia="宋体" w:cs="Times New Roman"/>
                <w:snapToGrid/>
                <w:color w:val="auto"/>
                <w:kern w:val="2"/>
                <w:sz w:val="21"/>
                <w:szCs w:val="21"/>
                <w:u w:val="none" w:color="auto"/>
                <w:lang w:val="en-US" w:eastAsia="zh-CN" w:bidi="ar-SA"/>
              </w:rPr>
              <w:t>000</w:t>
            </w:r>
            <w:r>
              <w:rPr>
                <w:rFonts w:hint="default" w:ascii="Times New Roman" w:hAnsi="Times New Roman" w:eastAsia="宋体" w:cs="Times New Roman"/>
                <w:snapToGrid/>
                <w:color w:val="auto"/>
                <w:kern w:val="2"/>
                <w:sz w:val="21"/>
                <w:szCs w:val="21"/>
                <w:u w:val="none" w:color="auto"/>
                <w:lang w:val="en-US" w:eastAsia="zh-CN" w:bidi="ar-SA"/>
              </w:rPr>
              <w:t>3</w:t>
            </w:r>
            <w:r>
              <w:rPr>
                <w:rFonts w:hint="eastAsia" w:ascii="Times New Roman" w:hAnsi="Times New Roman" w:eastAsia="宋体" w:cs="Times New Roman"/>
                <w:snapToGrid/>
                <w:color w:val="auto"/>
                <w:kern w:val="2"/>
                <w:sz w:val="21"/>
                <w:szCs w:val="21"/>
                <w:u w:val="none" w:color="auto"/>
                <w:lang w:val="en-US" w:eastAsia="zh-CN" w:bidi="ar-SA"/>
              </w:rPr>
              <w:t>m</w:t>
            </w:r>
            <w:r>
              <w:rPr>
                <w:rFonts w:hint="default" w:ascii="Times New Roman" w:hAnsi="Times New Roman" w:eastAsia="宋体" w:cs="Times New Roman"/>
                <w:snapToGrid/>
                <w:color w:val="auto"/>
                <w:kern w:val="2"/>
                <w:sz w:val="21"/>
                <w:szCs w:val="21"/>
                <w:u w:val="none" w:color="auto"/>
                <w:lang w:val="en-US" w:eastAsia="zh-CN" w:bidi="ar-SA"/>
              </w:rPr>
              <w:t>g/L</w:t>
            </w:r>
          </w:p>
        </w:tc>
      </w:tr>
      <w:tr w14:paraId="61829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30C78C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0AD5245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汞</w:t>
            </w:r>
          </w:p>
        </w:tc>
        <w:tc>
          <w:tcPr>
            <w:tcW w:w="3421" w:type="dxa"/>
            <w:tcBorders>
              <w:tl2br w:val="nil"/>
              <w:tr2bl w:val="nil"/>
            </w:tcBorders>
            <w:vAlign w:val="center"/>
          </w:tcPr>
          <w:p w14:paraId="309AD64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汞、砷、硒、铋和锑的测定</w:t>
            </w:r>
          </w:p>
          <w:p w14:paraId="50300CD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原子荧光法》 HJ 694-2014</w:t>
            </w:r>
          </w:p>
        </w:tc>
        <w:tc>
          <w:tcPr>
            <w:tcW w:w="1966" w:type="dxa"/>
            <w:tcBorders>
              <w:tl2br w:val="nil"/>
              <w:tr2bl w:val="nil"/>
            </w:tcBorders>
            <w:vAlign w:val="center"/>
          </w:tcPr>
          <w:p w14:paraId="0E287CEA">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AFS-230E</w:t>
            </w:r>
          </w:p>
          <w:p w14:paraId="0D4B053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原子荧光光谱仪</w:t>
            </w:r>
          </w:p>
        </w:tc>
        <w:tc>
          <w:tcPr>
            <w:tcW w:w="1232" w:type="dxa"/>
            <w:tcBorders>
              <w:tl2br w:val="nil"/>
              <w:tr2bl w:val="nil"/>
            </w:tcBorders>
            <w:vAlign w:val="center"/>
          </w:tcPr>
          <w:p w14:paraId="25A3B62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0.00004mg/L</w:t>
            </w:r>
          </w:p>
        </w:tc>
      </w:tr>
      <w:tr w14:paraId="7DAF8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4546C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2BF31F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氰化物</w:t>
            </w:r>
          </w:p>
        </w:tc>
        <w:tc>
          <w:tcPr>
            <w:tcW w:w="3421" w:type="dxa"/>
            <w:tcBorders>
              <w:tl2br w:val="nil"/>
              <w:tr2bl w:val="nil"/>
            </w:tcBorders>
            <w:vAlign w:val="center"/>
          </w:tcPr>
          <w:p w14:paraId="3E369BD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《水质 氰化物的测定 容量法和分光光度法》（异烟酸-吡唑啉酮分光光度法）HJ 484-2009</w:t>
            </w:r>
          </w:p>
        </w:tc>
        <w:tc>
          <w:tcPr>
            <w:tcW w:w="1966" w:type="dxa"/>
            <w:tcBorders>
              <w:tl2br w:val="nil"/>
              <w:tr2bl w:val="nil"/>
            </w:tcBorders>
            <w:vAlign w:val="center"/>
          </w:tcPr>
          <w:p w14:paraId="47B0277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SP-722</w:t>
            </w:r>
          </w:p>
          <w:p w14:paraId="79247FE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可见分光光度计</w:t>
            </w:r>
          </w:p>
        </w:tc>
        <w:tc>
          <w:tcPr>
            <w:tcW w:w="1232" w:type="dxa"/>
            <w:tcBorders>
              <w:tl2br w:val="nil"/>
              <w:tr2bl w:val="nil"/>
            </w:tcBorders>
            <w:vAlign w:val="center"/>
          </w:tcPr>
          <w:p w14:paraId="4CCDCFE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0.004mg/L</w:t>
            </w:r>
          </w:p>
        </w:tc>
      </w:tr>
      <w:tr w14:paraId="6D0CA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3D99B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5FD3D47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氟化物</w:t>
            </w:r>
          </w:p>
        </w:tc>
        <w:tc>
          <w:tcPr>
            <w:tcW w:w="3421" w:type="dxa"/>
            <w:tcBorders>
              <w:tl2br w:val="nil"/>
              <w:tr2bl w:val="nil"/>
            </w:tcBorders>
            <w:vAlign w:val="center"/>
          </w:tcPr>
          <w:p w14:paraId="6ABE939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无机阴离子（F- 、Cl-、NO</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-、Br-、NO3-、PO43-、SO32-、SO42-）的测定离子色谱法》HJ 84-2016</w:t>
            </w:r>
          </w:p>
        </w:tc>
        <w:tc>
          <w:tcPr>
            <w:tcW w:w="1966" w:type="dxa"/>
            <w:tcBorders>
              <w:tl2br w:val="nil"/>
              <w:tr2bl w:val="nil"/>
            </w:tcBorders>
            <w:vAlign w:val="center"/>
          </w:tcPr>
          <w:p w14:paraId="572D22F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CIC-D1</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0离子色谱仪</w:t>
            </w:r>
          </w:p>
        </w:tc>
        <w:tc>
          <w:tcPr>
            <w:tcW w:w="1232" w:type="dxa"/>
            <w:tcBorders>
              <w:tl2br w:val="nil"/>
              <w:tr2bl w:val="nil"/>
            </w:tcBorders>
            <w:vAlign w:val="center"/>
          </w:tcPr>
          <w:p w14:paraId="1FEAF64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0.006mg/L</w:t>
            </w:r>
          </w:p>
        </w:tc>
      </w:tr>
      <w:tr w14:paraId="34799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680871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6D77131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六价铬</w:t>
            </w:r>
          </w:p>
        </w:tc>
        <w:tc>
          <w:tcPr>
            <w:tcW w:w="3421" w:type="dxa"/>
            <w:tcBorders>
              <w:tl2br w:val="nil"/>
              <w:tr2bl w:val="nil"/>
            </w:tcBorders>
            <w:vAlign w:val="center"/>
          </w:tcPr>
          <w:p w14:paraId="3BA4DF1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六价铬的测定 二苯碳酰二肼分光光度法》GB 7467-1987</w:t>
            </w:r>
          </w:p>
        </w:tc>
        <w:tc>
          <w:tcPr>
            <w:tcW w:w="1966" w:type="dxa"/>
            <w:tcBorders>
              <w:tl2br w:val="nil"/>
              <w:tr2bl w:val="nil"/>
            </w:tcBorders>
            <w:vAlign w:val="center"/>
          </w:tcPr>
          <w:p w14:paraId="76FBB2B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SP-722</w:t>
            </w:r>
          </w:p>
          <w:p w14:paraId="287C3ED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可见分光光度计</w:t>
            </w:r>
          </w:p>
        </w:tc>
        <w:tc>
          <w:tcPr>
            <w:tcW w:w="1232" w:type="dxa"/>
            <w:tcBorders>
              <w:tl2br w:val="nil"/>
              <w:tr2bl w:val="nil"/>
            </w:tcBorders>
            <w:vAlign w:val="center"/>
          </w:tcPr>
          <w:p w14:paraId="2BC9A63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0.004mg/L</w:t>
            </w:r>
          </w:p>
        </w:tc>
      </w:tr>
      <w:tr w14:paraId="3F798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51D79C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2D0FDD8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总大肠菌群</w:t>
            </w:r>
          </w:p>
        </w:tc>
        <w:tc>
          <w:tcPr>
            <w:tcW w:w="3421" w:type="dxa"/>
            <w:tcBorders>
              <w:tl2br w:val="nil"/>
              <w:tr2bl w:val="nil"/>
            </w:tcBorders>
            <w:vAlign w:val="center"/>
          </w:tcPr>
          <w:p w14:paraId="3BF245B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《生活饮用水标准检验方法 微生物指标》（5.1 多管发酵法）GB/T 5750.12-2023</w:t>
            </w:r>
          </w:p>
        </w:tc>
        <w:tc>
          <w:tcPr>
            <w:tcW w:w="1966" w:type="dxa"/>
            <w:tcBorders>
              <w:tl2br w:val="nil"/>
              <w:tr2bl w:val="nil"/>
            </w:tcBorders>
            <w:vAlign w:val="center"/>
          </w:tcPr>
          <w:p w14:paraId="1B06AB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DHP-9052</w:t>
            </w:r>
          </w:p>
          <w:p w14:paraId="0666CC0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电热恒温</w:t>
            </w:r>
            <w:r>
              <w:rPr>
                <w:rFonts w:hint="default" w:ascii="Times New Roman" w:hAnsi="Times New Roman" w:eastAsia="宋体" w:cs="Times New Roman"/>
                <w:snapToGrid/>
                <w:color w:val="auto"/>
                <w:kern w:val="2"/>
                <w:sz w:val="21"/>
                <w:szCs w:val="21"/>
                <w:u w:val="none" w:color="auto"/>
                <w:lang w:val="en-US" w:eastAsia="zh-CN" w:bidi="ar-SA"/>
              </w:rPr>
              <w:t>培养箱</w:t>
            </w:r>
          </w:p>
        </w:tc>
        <w:tc>
          <w:tcPr>
            <w:tcW w:w="1232" w:type="dxa"/>
            <w:tcBorders>
              <w:tl2br w:val="nil"/>
              <w:tr2bl w:val="nil"/>
            </w:tcBorders>
            <w:vAlign w:val="center"/>
          </w:tcPr>
          <w:p w14:paraId="5A7E4D5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w:t>
            </w:r>
          </w:p>
        </w:tc>
      </w:tr>
      <w:tr w14:paraId="18F44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62BAEC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731738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细菌总数</w:t>
            </w:r>
          </w:p>
        </w:tc>
        <w:tc>
          <w:tcPr>
            <w:tcW w:w="3421" w:type="dxa"/>
            <w:tcBorders>
              <w:tl2br w:val="nil"/>
              <w:tr2bl w:val="nil"/>
            </w:tcBorders>
            <w:vAlign w:val="center"/>
          </w:tcPr>
          <w:p w14:paraId="1879F1E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《生活饮用水标准检验方法 微生物指标》GB/T 5750.12-2023</w:t>
            </w:r>
          </w:p>
        </w:tc>
        <w:tc>
          <w:tcPr>
            <w:tcW w:w="1966" w:type="dxa"/>
            <w:tcBorders>
              <w:tl2br w:val="nil"/>
              <w:tr2bl w:val="nil"/>
            </w:tcBorders>
            <w:vAlign w:val="center"/>
          </w:tcPr>
          <w:p w14:paraId="5E8CBE5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DHP-9052</w:t>
            </w:r>
          </w:p>
          <w:p w14:paraId="6E18697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电热恒温</w:t>
            </w:r>
            <w:r>
              <w:rPr>
                <w:rFonts w:hint="default" w:ascii="Times New Roman" w:hAnsi="Times New Roman" w:eastAsia="宋体" w:cs="Times New Roman"/>
                <w:snapToGrid/>
                <w:color w:val="auto"/>
                <w:kern w:val="2"/>
                <w:sz w:val="21"/>
                <w:szCs w:val="21"/>
                <w:u w:val="none" w:color="auto"/>
                <w:lang w:val="en-US" w:eastAsia="zh-CN" w:bidi="ar-SA"/>
              </w:rPr>
              <w:t>培养箱</w:t>
            </w:r>
          </w:p>
        </w:tc>
        <w:tc>
          <w:tcPr>
            <w:tcW w:w="1232" w:type="dxa"/>
            <w:tcBorders>
              <w:tl2br w:val="nil"/>
              <w:tr2bl w:val="nil"/>
            </w:tcBorders>
            <w:vAlign w:val="center"/>
          </w:tcPr>
          <w:p w14:paraId="36F422B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w:t>
            </w:r>
          </w:p>
        </w:tc>
      </w:tr>
      <w:tr w14:paraId="1B1E5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1E2CB7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252" w:type="dxa"/>
            <w:tcBorders>
              <w:tl2br w:val="nil"/>
              <w:tr2bl w:val="nil"/>
            </w:tcBorders>
            <w:vAlign w:val="center"/>
          </w:tcPr>
          <w:p w14:paraId="1947634E">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硝酸盐氮</w:t>
            </w:r>
          </w:p>
          <w:p w14:paraId="4DC62EE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(以N计)</w:t>
            </w:r>
          </w:p>
        </w:tc>
        <w:tc>
          <w:tcPr>
            <w:tcW w:w="3421" w:type="dxa"/>
            <w:tcBorders>
              <w:tl2br w:val="nil"/>
              <w:tr2bl w:val="nil"/>
            </w:tcBorders>
            <w:vAlign w:val="center"/>
          </w:tcPr>
          <w:p w14:paraId="5509903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无机阴离子（F- 、Cl-、NO</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-、Br-、NO3-、PO43-、SO32-、SO42-）的测定离子色谱法》HJ 84-2016</w:t>
            </w:r>
          </w:p>
        </w:tc>
        <w:tc>
          <w:tcPr>
            <w:tcW w:w="1966" w:type="dxa"/>
            <w:tcBorders>
              <w:tl2br w:val="nil"/>
              <w:tr2bl w:val="nil"/>
            </w:tcBorders>
            <w:vAlign w:val="center"/>
          </w:tcPr>
          <w:p w14:paraId="1B160C5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CIC-D1</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0离子色谱仪</w:t>
            </w:r>
          </w:p>
        </w:tc>
        <w:tc>
          <w:tcPr>
            <w:tcW w:w="1232" w:type="dxa"/>
            <w:tcBorders>
              <w:tl2br w:val="nil"/>
              <w:tr2bl w:val="nil"/>
            </w:tcBorders>
            <w:vAlign w:val="center"/>
          </w:tcPr>
          <w:p w14:paraId="255B26A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0.004mg/L</w:t>
            </w:r>
          </w:p>
        </w:tc>
      </w:tr>
      <w:tr w14:paraId="513F4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99" w:type="dxa"/>
            <w:vMerge w:val="continue"/>
            <w:tcBorders>
              <w:tl2br w:val="nil"/>
              <w:tr2bl w:val="nil"/>
            </w:tcBorders>
            <w:textDirection w:val="tbLrV"/>
            <w:vAlign w:val="center"/>
          </w:tcPr>
          <w:p w14:paraId="76D585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bookmarkStart w:id="141" w:name="_Toc346269300"/>
            <w:bookmarkStart w:id="142" w:name="_Toc349391620"/>
            <w:bookmarkStart w:id="143" w:name="_Toc349896063"/>
          </w:p>
        </w:tc>
        <w:tc>
          <w:tcPr>
            <w:tcW w:w="1252" w:type="dxa"/>
            <w:tcBorders>
              <w:tl2br w:val="nil"/>
              <w:tr2bl w:val="nil"/>
            </w:tcBorders>
            <w:shd w:val="clear" w:color="auto" w:fill="auto"/>
            <w:vAlign w:val="center"/>
          </w:tcPr>
          <w:p w14:paraId="13E96C68">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亚硝酸盐氮</w:t>
            </w:r>
          </w:p>
          <w:p w14:paraId="4307C25E">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color w:val="auto"/>
                <w:kern w:val="2"/>
                <w:sz w:val="21"/>
                <w:szCs w:val="21"/>
                <w:u w:val="none" w:color="auto"/>
                <w:lang w:val="en-US" w:eastAsia="zh-CN" w:bidi="ar-SA"/>
              </w:rPr>
            </w:pPr>
            <w:r>
              <w:rPr>
                <w:rFonts w:hint="eastAsia" w:ascii="Times New Roman" w:hAnsi="Times New Roman" w:eastAsia="宋体" w:cs="Times New Roman"/>
                <w:snapToGrid/>
                <w:color w:val="auto"/>
                <w:kern w:val="2"/>
                <w:sz w:val="21"/>
                <w:szCs w:val="21"/>
                <w:u w:val="none" w:color="auto"/>
                <w:lang w:val="en-US" w:eastAsia="zh-CN" w:bidi="ar-SA"/>
              </w:rPr>
              <w:t>(以N计)</w:t>
            </w:r>
          </w:p>
        </w:tc>
        <w:tc>
          <w:tcPr>
            <w:tcW w:w="3421" w:type="dxa"/>
            <w:tcBorders>
              <w:tl2br w:val="nil"/>
              <w:tr2bl w:val="nil"/>
            </w:tcBorders>
            <w:shd w:val="clear" w:color="auto" w:fill="auto"/>
            <w:vAlign w:val="center"/>
          </w:tcPr>
          <w:p w14:paraId="4099C52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《水质 无机阴离子（F- 、Cl-、NO</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-、Br-、NO3-、PO43-、SO32-、SO42-）的测定离子色谱法》HJ 84-2016</w:t>
            </w:r>
          </w:p>
        </w:tc>
        <w:tc>
          <w:tcPr>
            <w:tcW w:w="1966" w:type="dxa"/>
            <w:tcBorders>
              <w:tl2br w:val="nil"/>
              <w:tr2bl w:val="nil"/>
            </w:tcBorders>
            <w:shd w:val="clear" w:color="auto" w:fill="auto"/>
            <w:vAlign w:val="center"/>
          </w:tcPr>
          <w:p w14:paraId="6F9FE02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CIC-D1</w:t>
            </w:r>
            <w:r>
              <w:rPr>
                <w:rFonts w:hint="eastAsia" w:ascii="Times New Roman" w:hAnsi="Times New Roman" w:eastAsia="宋体" w:cs="Times New Roman"/>
                <w:snapToGrid/>
                <w:color w:val="auto"/>
                <w:kern w:val="2"/>
                <w:sz w:val="21"/>
                <w:szCs w:val="21"/>
                <w:u w:val="none" w:color="auto"/>
                <w:lang w:val="en-US" w:eastAsia="zh-CN" w:bidi="ar-SA"/>
              </w:rPr>
              <w:t>2</w:t>
            </w:r>
            <w:r>
              <w:rPr>
                <w:rFonts w:hint="default" w:ascii="Times New Roman" w:hAnsi="Times New Roman" w:eastAsia="宋体" w:cs="Times New Roman"/>
                <w:snapToGrid/>
                <w:color w:val="auto"/>
                <w:kern w:val="2"/>
                <w:sz w:val="21"/>
                <w:szCs w:val="21"/>
                <w:u w:val="none" w:color="auto"/>
                <w:lang w:val="en-US" w:eastAsia="zh-CN" w:bidi="ar-SA"/>
              </w:rPr>
              <w:t>0离子色谱仪</w:t>
            </w:r>
          </w:p>
        </w:tc>
        <w:tc>
          <w:tcPr>
            <w:tcW w:w="1232" w:type="dxa"/>
            <w:tcBorders>
              <w:tl2br w:val="nil"/>
              <w:tr2bl w:val="nil"/>
            </w:tcBorders>
            <w:vAlign w:val="center"/>
          </w:tcPr>
          <w:p w14:paraId="7D40291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color w:val="auto"/>
                <w:kern w:val="2"/>
                <w:sz w:val="21"/>
                <w:szCs w:val="21"/>
                <w:u w:val="none" w:color="auto"/>
                <w:lang w:val="en-US" w:eastAsia="zh-CN" w:bidi="ar-SA"/>
              </w:rPr>
            </w:pPr>
            <w:r>
              <w:rPr>
                <w:rFonts w:hint="default" w:ascii="Times New Roman" w:hAnsi="Times New Roman" w:eastAsia="宋体" w:cs="Times New Roman"/>
                <w:snapToGrid/>
                <w:color w:val="auto"/>
                <w:kern w:val="2"/>
                <w:sz w:val="21"/>
                <w:szCs w:val="21"/>
                <w:u w:val="none" w:color="auto"/>
                <w:lang w:val="en-US" w:eastAsia="zh-CN" w:bidi="ar-SA"/>
              </w:rPr>
              <w:t>0.0</w:t>
            </w:r>
            <w:r>
              <w:rPr>
                <w:rFonts w:hint="eastAsia" w:ascii="Times New Roman" w:hAnsi="Times New Roman" w:eastAsia="宋体" w:cs="Times New Roman"/>
                <w:snapToGrid/>
                <w:color w:val="auto"/>
                <w:kern w:val="2"/>
                <w:sz w:val="21"/>
                <w:szCs w:val="21"/>
                <w:u w:val="none" w:color="auto"/>
                <w:lang w:val="en-US" w:eastAsia="zh-CN" w:bidi="ar-SA"/>
              </w:rPr>
              <w:t>05</w:t>
            </w:r>
            <w:r>
              <w:rPr>
                <w:rFonts w:hint="default" w:ascii="Times New Roman" w:hAnsi="Times New Roman" w:eastAsia="宋体" w:cs="Times New Roman"/>
                <w:snapToGrid/>
                <w:color w:val="auto"/>
                <w:kern w:val="2"/>
                <w:sz w:val="21"/>
                <w:szCs w:val="21"/>
                <w:u w:val="none" w:color="auto"/>
                <w:lang w:val="en-US" w:eastAsia="zh-CN" w:bidi="ar-SA"/>
              </w:rPr>
              <w:t>mg/L</w:t>
            </w:r>
          </w:p>
        </w:tc>
      </w:tr>
    </w:tbl>
    <w:p w14:paraId="25F2A8AF">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5、评价标准</w:t>
      </w:r>
      <w:bookmarkEnd w:id="141"/>
      <w:bookmarkEnd w:id="142"/>
      <w:bookmarkEnd w:id="143"/>
    </w:p>
    <w:p w14:paraId="6FD61D1A">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《地下水质量标准》（GB/T14848-2017）Ⅲ类标准。</w:t>
      </w:r>
    </w:p>
    <w:p w14:paraId="417F8AF5">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6、评价方法</w:t>
      </w:r>
    </w:p>
    <w:p w14:paraId="654C08EB">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采用《环境影响评价技术导则 地下水环境》（HJ610-2016）中推荐的标准指数法进行评价。公式为：</w:t>
      </w:r>
    </w:p>
    <w:p w14:paraId="70BCE878">
      <w:pPr>
        <w:pageBreakBefore w:val="0"/>
        <w:kinsoku w:val="0"/>
        <w:wordWrap w:val="0"/>
        <w:overflowPunct/>
        <w:topLinePunct/>
        <w:autoSpaceDE/>
        <w:autoSpaceDN/>
        <w:bidi w:val="0"/>
        <w:spacing w:line="520" w:lineRule="exact"/>
        <w:ind w:firstLine="480" w:firstLineChars="200"/>
        <w:jc w:val="center"/>
        <w:rPr>
          <w:rFonts w:hint="default" w:ascii="Times New Roman" w:hAnsi="Times New Roman" w:eastAsia="宋体" w:cs="Times New Roman"/>
          <w:caps w:val="0"/>
          <w:smallCaps w:val="0"/>
          <w:color w:val="auto"/>
          <w:spacing w:val="0"/>
          <w:w w:val="100"/>
          <w:position w:val="0"/>
          <w:sz w:val="24"/>
          <w:u w:val="none" w:color="auto"/>
        </w:rPr>
      </w:pPr>
      <w:bookmarkStart w:id="144" w:name="_Toc515894725"/>
      <w:r>
        <w:rPr>
          <w:rFonts w:hint="default" w:ascii="Times New Roman" w:hAnsi="Times New Roman" w:eastAsia="宋体" w:cs="Times New Roman"/>
          <w:i/>
          <w:caps w:val="0"/>
          <w:smallCaps w:val="0"/>
          <w:color w:val="auto"/>
          <w:spacing w:val="0"/>
          <w:w w:val="100"/>
          <w:position w:val="0"/>
          <w:sz w:val="24"/>
          <w:u w:val="none" w:color="auto"/>
        </w:rPr>
        <w:t>P</w:t>
      </w:r>
      <w:r>
        <w:rPr>
          <w:rFonts w:hint="default" w:ascii="Times New Roman" w:hAnsi="Times New Roman" w:eastAsia="宋体" w:cs="Times New Roman"/>
          <w:i/>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w:t>
      </w:r>
      <w:r>
        <w:rPr>
          <w:rFonts w:hint="default" w:ascii="Times New Roman" w:hAnsi="Times New Roman" w:eastAsia="宋体" w:cs="Times New Roman"/>
          <w:i/>
          <w:caps w:val="0"/>
          <w:smallCaps w:val="0"/>
          <w:color w:val="auto"/>
          <w:spacing w:val="0"/>
          <w:w w:val="100"/>
          <w:position w:val="0"/>
          <w:sz w:val="24"/>
          <w:u w:val="none" w:color="auto"/>
        </w:rPr>
        <w:t>C</w:t>
      </w:r>
      <w:r>
        <w:rPr>
          <w:rFonts w:hint="default" w:ascii="Times New Roman" w:hAnsi="Times New Roman" w:eastAsia="宋体" w:cs="Times New Roman"/>
          <w:i/>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w:t>
      </w:r>
      <w:r>
        <w:rPr>
          <w:rFonts w:hint="default" w:ascii="Times New Roman" w:hAnsi="Times New Roman" w:eastAsia="宋体" w:cs="Times New Roman"/>
          <w:i/>
          <w:caps w:val="0"/>
          <w:smallCaps w:val="0"/>
          <w:color w:val="auto"/>
          <w:spacing w:val="0"/>
          <w:w w:val="100"/>
          <w:position w:val="0"/>
          <w:sz w:val="24"/>
          <w:u w:val="none" w:color="auto"/>
        </w:rPr>
        <w:t>C</w:t>
      </w:r>
      <w:r>
        <w:rPr>
          <w:rFonts w:hint="default" w:ascii="Times New Roman" w:hAnsi="Times New Roman" w:eastAsia="宋体" w:cs="Times New Roman"/>
          <w:i/>
          <w:caps w:val="0"/>
          <w:smallCaps w:val="0"/>
          <w:color w:val="auto"/>
          <w:spacing w:val="0"/>
          <w:w w:val="100"/>
          <w:position w:val="0"/>
          <w:sz w:val="24"/>
          <w:u w:val="none" w:color="auto"/>
          <w:vertAlign w:val="subscript"/>
        </w:rPr>
        <w:t>s</w:t>
      </w:r>
      <w:bookmarkEnd w:id="144"/>
      <w:r>
        <w:rPr>
          <w:rFonts w:hint="default" w:ascii="Times New Roman" w:hAnsi="Times New Roman" w:eastAsia="宋体" w:cs="Times New Roman"/>
          <w:i/>
          <w:caps w:val="0"/>
          <w:smallCaps w:val="0"/>
          <w:color w:val="auto"/>
          <w:spacing w:val="0"/>
          <w:w w:val="100"/>
          <w:position w:val="0"/>
          <w:sz w:val="24"/>
          <w:u w:val="none" w:color="auto"/>
          <w:vertAlign w:val="subscript"/>
        </w:rPr>
        <w:t>i</w:t>
      </w:r>
    </w:p>
    <w:p w14:paraId="75094B5F">
      <w:pPr>
        <w:pageBreakBefore w:val="0"/>
        <w:kinsoku w:val="0"/>
        <w:wordWrap w:val="0"/>
        <w:overflowPunct/>
        <w:topLinePunct/>
        <w:autoSpaceDE/>
        <w:autoSpaceDN/>
        <w:bidi w:val="0"/>
        <w:spacing w:line="520" w:lineRule="exact"/>
        <w:ind w:firstLine="1080" w:firstLineChars="4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式中：</w:t>
      </w:r>
      <w:r>
        <w:rPr>
          <w:rFonts w:hint="default" w:ascii="Times New Roman" w:hAnsi="Times New Roman" w:eastAsia="宋体" w:cs="Times New Roman"/>
          <w:i/>
          <w:caps w:val="0"/>
          <w:smallCaps w:val="0"/>
          <w:color w:val="auto"/>
          <w:spacing w:val="0"/>
          <w:w w:val="100"/>
          <w:position w:val="0"/>
          <w:sz w:val="24"/>
          <w:u w:val="none" w:color="auto"/>
        </w:rPr>
        <w:t>P</w:t>
      </w:r>
      <w:r>
        <w:rPr>
          <w:rFonts w:hint="default" w:ascii="Times New Roman" w:hAnsi="Times New Roman" w:eastAsia="宋体" w:cs="Times New Roman"/>
          <w:i/>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——第i个水质因子的标准指数，无量纲；</w:t>
      </w:r>
    </w:p>
    <w:p w14:paraId="1B80664E">
      <w:pPr>
        <w:pageBreakBefore w:val="0"/>
        <w:kinsoku w:val="0"/>
        <w:wordWrap w:val="0"/>
        <w:overflowPunct/>
        <w:topLinePunct/>
        <w:autoSpaceDE/>
        <w:autoSpaceDN/>
        <w:bidi w:val="0"/>
        <w:spacing w:line="520" w:lineRule="exact"/>
        <w:ind w:firstLine="1800" w:firstLineChars="7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i/>
          <w:caps w:val="0"/>
          <w:smallCaps w:val="0"/>
          <w:color w:val="auto"/>
          <w:spacing w:val="0"/>
          <w:w w:val="100"/>
          <w:position w:val="0"/>
          <w:sz w:val="24"/>
          <w:u w:val="none" w:color="auto"/>
        </w:rPr>
        <w:t>C</w:t>
      </w:r>
      <w:r>
        <w:rPr>
          <w:rFonts w:hint="default" w:ascii="Times New Roman" w:hAnsi="Times New Roman" w:eastAsia="宋体" w:cs="Times New Roman"/>
          <w:i/>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——第i个水质因子的监测浓度值，mg/L；</w:t>
      </w:r>
    </w:p>
    <w:p w14:paraId="2C40876D">
      <w:pPr>
        <w:pageBreakBefore w:val="0"/>
        <w:kinsoku w:val="0"/>
        <w:wordWrap w:val="0"/>
        <w:overflowPunct/>
        <w:topLinePunct/>
        <w:autoSpaceDE/>
        <w:autoSpaceDN/>
        <w:bidi w:val="0"/>
        <w:spacing w:line="520" w:lineRule="exact"/>
        <w:ind w:firstLine="1800" w:firstLineChars="7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i/>
          <w:caps w:val="0"/>
          <w:smallCaps w:val="0"/>
          <w:color w:val="auto"/>
          <w:spacing w:val="0"/>
          <w:w w:val="100"/>
          <w:position w:val="0"/>
          <w:sz w:val="24"/>
          <w:u w:val="none" w:color="auto"/>
        </w:rPr>
        <w:t>C</w:t>
      </w:r>
      <w:r>
        <w:rPr>
          <w:rFonts w:hint="default" w:ascii="Times New Roman" w:hAnsi="Times New Roman" w:eastAsia="宋体" w:cs="Times New Roman"/>
          <w:i/>
          <w:caps w:val="0"/>
          <w:smallCaps w:val="0"/>
          <w:color w:val="auto"/>
          <w:spacing w:val="0"/>
          <w:w w:val="100"/>
          <w:position w:val="0"/>
          <w:sz w:val="24"/>
          <w:u w:val="none" w:color="auto"/>
          <w:vertAlign w:val="subscript"/>
        </w:rPr>
        <w:t>si</w:t>
      </w:r>
      <w:r>
        <w:rPr>
          <w:rFonts w:hint="default" w:ascii="Times New Roman" w:hAnsi="Times New Roman" w:eastAsia="宋体" w:cs="Times New Roman"/>
          <w:caps w:val="0"/>
          <w:smallCaps w:val="0"/>
          <w:color w:val="auto"/>
          <w:spacing w:val="0"/>
          <w:w w:val="100"/>
          <w:position w:val="0"/>
          <w:sz w:val="24"/>
          <w:u w:val="none" w:color="auto"/>
        </w:rPr>
        <w:t>——第i个水质因子的标准浓度值，mg/L。</w:t>
      </w:r>
    </w:p>
    <w:p w14:paraId="428B98DD">
      <w:pPr>
        <w:pageBreakBefore w:val="0"/>
        <w:kinsoku w:val="0"/>
        <w:wordWrap w:val="0"/>
        <w:overflowPunct/>
        <w:topLinePunct/>
        <w:autoSpaceDE/>
        <w:autoSpaceDN/>
        <w:bidi w:val="0"/>
        <w:spacing w:line="520" w:lineRule="exact"/>
        <w:ind w:firstLine="480" w:firstLineChars="2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pH的标准指数为：</w:t>
      </w:r>
    </w:p>
    <w:p w14:paraId="5CD35C03">
      <w:pPr>
        <w:pageBreakBefore w:val="0"/>
        <w:widowControl/>
        <w:kinsoku w:val="0"/>
        <w:wordWrap w:val="0"/>
        <w:overflowPunct/>
        <w:topLinePunct/>
        <w:autoSpaceDE/>
        <w:autoSpaceDN/>
        <w:bidi w:val="0"/>
        <w:jc w:val="center"/>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drawing>
          <wp:inline distT="0" distB="0" distL="0" distR="0">
            <wp:extent cx="2116455" cy="1007745"/>
            <wp:effectExtent l="0" t="0" r="17145" b="1905"/>
            <wp:docPr id="238" name="图片 238" descr="C:\Users\Administrator\AppData\Roaming\Tencent\Users\378854036\QQ\WinTemp\RichOle\(P(Z6SF5%3HC1(G(M1MCV6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C:\Users\Administrator\AppData\Roaming\Tencent\Users\378854036\QQ\WinTemp\RichOle\(P(Z6SF5%3HC1(G(M1MCV6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116800" cy="1008000"/>
                    </a:xfrm>
                    <a:prstGeom prst="rect">
                      <a:avLst/>
                    </a:prstGeom>
                    <a:noFill/>
                    <a:ln>
                      <a:noFill/>
                    </a:ln>
                  </pic:spPr>
                </pic:pic>
              </a:graphicData>
            </a:graphic>
          </wp:inline>
        </w:drawing>
      </w:r>
    </w:p>
    <w:p w14:paraId="1C507C06">
      <w:pPr>
        <w:pageBreakBefore w:val="0"/>
        <w:kinsoku w:val="0"/>
        <w:wordWrap w:val="0"/>
        <w:overflowPunct/>
        <w:topLinePunct/>
        <w:autoSpaceDE/>
        <w:autoSpaceDN/>
        <w:bidi w:val="0"/>
        <w:adjustRightInd w:val="0"/>
        <w:snapToGrid w:val="0"/>
        <w:spacing w:line="360" w:lineRule="auto"/>
        <w:ind w:firstLine="1080" w:firstLineChars="4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式中：</w:t>
      </w:r>
      <w:r>
        <w:rPr>
          <w:rFonts w:hint="default" w:ascii="Times New Roman" w:hAnsi="Times New Roman" w:eastAsia="宋体" w:cs="Times New Roman"/>
          <w:i/>
          <w:caps w:val="0"/>
          <w:smallCaps w:val="0"/>
          <w:color w:val="auto"/>
          <w:spacing w:val="0"/>
          <w:w w:val="100"/>
          <w:position w:val="0"/>
          <w:sz w:val="24"/>
          <w:u w:val="none" w:color="auto"/>
        </w:rPr>
        <w:t>P</w:t>
      </w:r>
      <w:r>
        <w:rPr>
          <w:rFonts w:hint="default" w:ascii="Times New Roman" w:hAnsi="Times New Roman" w:eastAsia="宋体" w:cs="Times New Roman"/>
          <w:i/>
          <w:caps w:val="0"/>
          <w:smallCaps w:val="0"/>
          <w:color w:val="auto"/>
          <w:spacing w:val="0"/>
          <w:w w:val="100"/>
          <w:position w:val="0"/>
          <w:sz w:val="24"/>
          <w:u w:val="none" w:color="auto"/>
          <w:vertAlign w:val="subscript"/>
        </w:rPr>
        <w:t>p</w:t>
      </w:r>
      <w:r>
        <w:rPr>
          <w:rFonts w:hint="default" w:ascii="Times New Roman" w:hAnsi="Times New Roman" w:eastAsia="宋体" w:cs="Times New Roman"/>
          <w:caps w:val="0"/>
          <w:smallCaps w:val="0"/>
          <w:color w:val="auto"/>
          <w:spacing w:val="0"/>
          <w:w w:val="100"/>
          <w:position w:val="0"/>
          <w:sz w:val="24"/>
          <w:u w:val="none" w:color="auto"/>
          <w:vertAlign w:val="subscript"/>
        </w:rPr>
        <w:t>H</w:t>
      </w:r>
      <w:r>
        <w:rPr>
          <w:rFonts w:hint="default" w:ascii="Times New Roman" w:hAnsi="Times New Roman" w:eastAsia="宋体" w:cs="Times New Roman"/>
          <w:caps w:val="0"/>
          <w:smallCaps w:val="0"/>
          <w:color w:val="auto"/>
          <w:spacing w:val="0"/>
          <w:w w:val="100"/>
          <w:position w:val="0"/>
          <w:sz w:val="24"/>
          <w:u w:val="none" w:color="auto"/>
        </w:rPr>
        <w:t>——pH的标准指数，无量纲；</w:t>
      </w:r>
    </w:p>
    <w:p w14:paraId="078A7172">
      <w:pPr>
        <w:pageBreakBefore w:val="0"/>
        <w:kinsoku w:val="0"/>
        <w:wordWrap w:val="0"/>
        <w:overflowPunct/>
        <w:topLinePunct/>
        <w:autoSpaceDE/>
        <w:autoSpaceDN/>
        <w:bidi w:val="0"/>
        <w:adjustRightInd w:val="0"/>
        <w:snapToGrid w:val="0"/>
        <w:spacing w:line="360" w:lineRule="auto"/>
        <w:ind w:firstLine="1800" w:firstLineChars="7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i/>
          <w:caps w:val="0"/>
          <w:smallCaps w:val="0"/>
          <w:color w:val="auto"/>
          <w:spacing w:val="0"/>
          <w:w w:val="100"/>
          <w:position w:val="0"/>
          <w:sz w:val="24"/>
          <w:u w:val="none" w:color="auto"/>
        </w:rPr>
        <w:t>pH</w:t>
      </w:r>
      <w:r>
        <w:rPr>
          <w:rFonts w:hint="default" w:ascii="Times New Roman" w:hAnsi="Times New Roman" w:eastAsia="宋体" w:cs="Times New Roman"/>
          <w:caps w:val="0"/>
          <w:smallCaps w:val="0"/>
          <w:color w:val="auto"/>
          <w:spacing w:val="0"/>
          <w:w w:val="100"/>
          <w:position w:val="0"/>
          <w:sz w:val="24"/>
          <w:u w:val="none" w:color="auto"/>
        </w:rPr>
        <w:t>——pH测量值；</w:t>
      </w:r>
    </w:p>
    <w:p w14:paraId="133D6009">
      <w:pPr>
        <w:pageBreakBefore w:val="0"/>
        <w:kinsoku w:val="0"/>
        <w:wordWrap w:val="0"/>
        <w:overflowPunct/>
        <w:topLinePunct/>
        <w:autoSpaceDE/>
        <w:autoSpaceDN/>
        <w:bidi w:val="0"/>
        <w:adjustRightInd w:val="0"/>
        <w:snapToGrid w:val="0"/>
        <w:spacing w:line="360" w:lineRule="auto"/>
        <w:ind w:firstLine="1800" w:firstLineChars="7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i/>
          <w:caps w:val="0"/>
          <w:smallCaps w:val="0"/>
          <w:color w:val="auto"/>
          <w:spacing w:val="0"/>
          <w:w w:val="100"/>
          <w:position w:val="0"/>
          <w:sz w:val="24"/>
          <w:u w:val="none" w:color="auto"/>
        </w:rPr>
        <w:t>pH</w:t>
      </w:r>
      <w:r>
        <w:rPr>
          <w:rFonts w:hint="default" w:ascii="Times New Roman" w:hAnsi="Times New Roman" w:eastAsia="宋体" w:cs="Times New Roman"/>
          <w:i/>
          <w:caps w:val="0"/>
          <w:smallCaps w:val="0"/>
          <w:color w:val="auto"/>
          <w:spacing w:val="0"/>
          <w:w w:val="100"/>
          <w:position w:val="0"/>
          <w:sz w:val="24"/>
          <w:u w:val="none" w:color="auto"/>
          <w:vertAlign w:val="subscript"/>
        </w:rPr>
        <w:t>su</w:t>
      </w:r>
      <w:r>
        <w:rPr>
          <w:rFonts w:hint="default" w:ascii="Times New Roman" w:hAnsi="Times New Roman" w:eastAsia="宋体" w:cs="Times New Roman"/>
          <w:caps w:val="0"/>
          <w:smallCaps w:val="0"/>
          <w:color w:val="auto"/>
          <w:spacing w:val="0"/>
          <w:w w:val="100"/>
          <w:position w:val="0"/>
          <w:sz w:val="24"/>
          <w:u w:val="none" w:color="auto"/>
        </w:rPr>
        <w:t>——标准中pH的上限值；</w:t>
      </w:r>
    </w:p>
    <w:p w14:paraId="198EAC70">
      <w:pPr>
        <w:pageBreakBefore w:val="0"/>
        <w:kinsoku w:val="0"/>
        <w:wordWrap w:val="0"/>
        <w:overflowPunct/>
        <w:topLinePunct/>
        <w:autoSpaceDE/>
        <w:autoSpaceDN/>
        <w:bidi w:val="0"/>
        <w:adjustRightInd w:val="0"/>
        <w:snapToGrid w:val="0"/>
        <w:spacing w:line="360" w:lineRule="auto"/>
        <w:ind w:firstLine="1800" w:firstLineChars="75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i/>
          <w:caps w:val="0"/>
          <w:smallCaps w:val="0"/>
          <w:color w:val="auto"/>
          <w:spacing w:val="0"/>
          <w:w w:val="100"/>
          <w:position w:val="0"/>
          <w:sz w:val="24"/>
          <w:u w:val="none" w:color="auto"/>
        </w:rPr>
        <w:t>pH</w:t>
      </w:r>
      <w:r>
        <w:rPr>
          <w:rFonts w:hint="default" w:ascii="Times New Roman" w:hAnsi="Times New Roman" w:eastAsia="宋体" w:cs="Times New Roman"/>
          <w:i/>
          <w:caps w:val="0"/>
          <w:smallCaps w:val="0"/>
          <w:color w:val="auto"/>
          <w:spacing w:val="0"/>
          <w:w w:val="100"/>
          <w:position w:val="0"/>
          <w:sz w:val="24"/>
          <w:u w:val="none" w:color="auto"/>
          <w:vertAlign w:val="subscript"/>
        </w:rPr>
        <w:t>sd</w:t>
      </w:r>
      <w:r>
        <w:rPr>
          <w:rFonts w:hint="default" w:ascii="Times New Roman" w:hAnsi="Times New Roman" w:eastAsia="宋体" w:cs="Times New Roman"/>
          <w:caps w:val="0"/>
          <w:smallCaps w:val="0"/>
          <w:color w:val="auto"/>
          <w:spacing w:val="0"/>
          <w:w w:val="100"/>
          <w:position w:val="0"/>
          <w:sz w:val="24"/>
          <w:u w:val="none" w:color="auto"/>
        </w:rPr>
        <w:t>——标准中pH的下限值。</w:t>
      </w:r>
    </w:p>
    <w:p w14:paraId="590C86B6">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标准指数&gt;1，表明该水质因子已超标，标准指数越大，超标越严重。</w:t>
      </w:r>
    </w:p>
    <w:p w14:paraId="6C928BBE">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7、监测及评价结果</w:t>
      </w:r>
    </w:p>
    <w:p w14:paraId="1D903341">
      <w:pPr>
        <w:keepNext w:val="0"/>
        <w:keepLines w:val="0"/>
        <w:pageBreakBefore w:val="0"/>
        <w:widowControl w:val="0"/>
        <w:kinsoku w:val="0"/>
        <w:wordWrap w:val="0"/>
        <w:overflowPunct/>
        <w:topLinePunct/>
        <w:autoSpaceDE/>
        <w:autoSpaceDN/>
        <w:bidi w:val="0"/>
        <w:adjustRightInd/>
        <w:snapToGrid/>
        <w:spacing w:before="164" w:beforeLines="50"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地</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下</w:t>
      </w:r>
      <w:r>
        <w:rPr>
          <w:rFonts w:hint="default" w:ascii="Times New Roman" w:hAnsi="Times New Roman" w:eastAsia="宋体" w:cs="Times New Roman"/>
          <w:caps w:val="0"/>
          <w:smallCaps w:val="0"/>
          <w:color w:val="auto"/>
          <w:spacing w:val="0"/>
          <w:w w:val="100"/>
          <w:position w:val="0"/>
          <w:sz w:val="24"/>
          <w:szCs w:val="24"/>
          <w:u w:val="none" w:color="auto"/>
          <w:lang w:eastAsia="zh-CN"/>
        </w:rPr>
        <w:t>水</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水文参数见表3.2-10，地下水</w:t>
      </w:r>
      <w:r>
        <w:rPr>
          <w:rFonts w:hint="default" w:ascii="Times New Roman" w:hAnsi="Times New Roman" w:eastAsia="宋体" w:cs="Times New Roman"/>
          <w:caps w:val="0"/>
          <w:smallCaps w:val="0"/>
          <w:color w:val="auto"/>
          <w:spacing w:val="0"/>
          <w:w w:val="100"/>
          <w:position w:val="0"/>
          <w:sz w:val="24"/>
          <w:szCs w:val="24"/>
          <w:u w:val="none" w:color="auto"/>
          <w:lang w:eastAsia="zh-CN"/>
        </w:rPr>
        <w:t>环境</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质量</w:t>
      </w:r>
      <w:r>
        <w:rPr>
          <w:rFonts w:hint="default" w:ascii="Times New Roman" w:hAnsi="Times New Roman" w:eastAsia="宋体" w:cs="Times New Roman"/>
          <w:caps w:val="0"/>
          <w:smallCaps w:val="0"/>
          <w:color w:val="auto"/>
          <w:spacing w:val="0"/>
          <w:w w:val="100"/>
          <w:position w:val="0"/>
          <w:sz w:val="24"/>
          <w:szCs w:val="24"/>
          <w:u w:val="none" w:color="auto"/>
          <w:lang w:eastAsia="zh-CN"/>
        </w:rPr>
        <w:t>现状监测结果与评价结果见表3</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p>
    <w:p w14:paraId="0980E23F">
      <w:pPr>
        <w:keepNext w:val="0"/>
        <w:keepLines w:val="0"/>
        <w:pageBreakBefore w:val="0"/>
        <w:widowControl w:val="0"/>
        <w:kinsoku w:val="0"/>
        <w:wordWrap w:val="0"/>
        <w:overflowPunct/>
        <w:topLinePunct/>
        <w:autoSpaceDE/>
        <w:autoSpaceDN/>
        <w:bidi w:val="0"/>
        <w:adjustRightInd/>
        <w:snapToGrid/>
        <w:spacing w:before="0" w:beforeLines="50" w:line="360" w:lineRule="auto"/>
        <w:jc w:val="center"/>
        <w:textAlignment w:val="auto"/>
        <w:rPr>
          <w:rFonts w:hint="default" w:ascii="Times New Roman" w:hAnsi="Times New Roman" w:eastAsia="宋体" w:cs="Times New Roman"/>
          <w:b/>
          <w:caps w:val="0"/>
          <w:smallCaps w:val="0"/>
          <w:color w:val="auto"/>
          <w:spacing w:val="0"/>
          <w:w w:val="100"/>
          <w:position w:val="0"/>
          <w:szCs w:val="21"/>
          <w:u w:val="none" w:color="auto"/>
          <w:lang w:val="en-US" w:eastAsia="zh-CN"/>
        </w:rPr>
      </w:pPr>
      <w:r>
        <w:rPr>
          <w:rFonts w:hint="default" w:ascii="Times New Roman" w:hAnsi="Times New Roman" w:eastAsia="宋体" w:cs="Times New Roman"/>
          <w:b/>
          <w:caps w:val="0"/>
          <w:smallCaps w:val="0"/>
          <w:color w:val="auto"/>
          <w:spacing w:val="0"/>
          <w:w w:val="100"/>
          <w:position w:val="0"/>
          <w:szCs w:val="21"/>
          <w:u w:val="none" w:color="auto"/>
          <w:lang w:val="en-US" w:eastAsia="zh-CN"/>
        </w:rPr>
        <w:t>表</w:t>
      </w:r>
      <w:r>
        <w:rPr>
          <w:rFonts w:hint="default" w:ascii="Times New Roman" w:hAnsi="Times New Roman" w:eastAsia="宋体" w:cs="Times New Roman"/>
          <w:b/>
          <w:caps w:val="0"/>
          <w:smallCaps w:val="0"/>
          <w:color w:val="auto"/>
          <w:spacing w:val="0"/>
          <w:w w:val="100"/>
          <w:position w:val="0"/>
          <w:szCs w:val="21"/>
          <w:u w:val="none" w:color="auto"/>
        </w:rPr>
        <w:t>3</w:t>
      </w:r>
      <w:r>
        <w:rPr>
          <w:rFonts w:hint="default" w:ascii="Times New Roman" w:hAnsi="Times New Roman" w:eastAsia="宋体" w:cs="Times New Roman"/>
          <w:b/>
          <w:caps w:val="0"/>
          <w:smallCaps w:val="0"/>
          <w:color w:val="auto"/>
          <w:spacing w:val="0"/>
          <w:w w:val="100"/>
          <w:position w:val="0"/>
          <w:szCs w:val="21"/>
          <w:u w:val="none" w:color="auto"/>
          <w:lang w:val="en-US" w:eastAsia="zh-CN"/>
        </w:rPr>
        <w:t>.2</w:t>
      </w:r>
      <w:r>
        <w:rPr>
          <w:rFonts w:hint="default" w:ascii="Times New Roman" w:hAnsi="Times New Roman" w:eastAsia="宋体" w:cs="Times New Roman"/>
          <w:b/>
          <w:caps w:val="0"/>
          <w:smallCaps w:val="0"/>
          <w:color w:val="auto"/>
          <w:spacing w:val="0"/>
          <w:w w:val="100"/>
          <w:position w:val="0"/>
          <w:szCs w:val="21"/>
          <w:u w:val="none" w:color="auto"/>
        </w:rPr>
        <w:t>-</w:t>
      </w:r>
      <w:r>
        <w:rPr>
          <w:rFonts w:hint="default" w:ascii="Times New Roman" w:hAnsi="Times New Roman" w:eastAsia="宋体" w:cs="Times New Roman"/>
          <w:b/>
          <w:caps w:val="0"/>
          <w:smallCaps w:val="0"/>
          <w:color w:val="auto"/>
          <w:spacing w:val="0"/>
          <w:w w:val="100"/>
          <w:position w:val="0"/>
          <w:szCs w:val="21"/>
          <w:u w:val="none" w:color="auto"/>
          <w:lang w:val="en-US" w:eastAsia="zh-CN"/>
        </w:rPr>
        <w:t>10   地下水水文参数</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84"/>
        <w:gridCol w:w="3236"/>
        <w:gridCol w:w="1048"/>
        <w:gridCol w:w="2673"/>
      </w:tblGrid>
      <w:tr w14:paraId="0508D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426" w:type="dxa"/>
            <w:tcBorders>
              <w:tl2br w:val="nil"/>
              <w:tr2bl w:val="nil"/>
            </w:tcBorders>
            <w:noWrap w:val="0"/>
            <w:vAlign w:val="center"/>
          </w:tcPr>
          <w:p w14:paraId="75B981F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采样时间</w:t>
            </w:r>
          </w:p>
        </w:tc>
        <w:tc>
          <w:tcPr>
            <w:tcW w:w="3336" w:type="dxa"/>
            <w:tcBorders>
              <w:tl2br w:val="nil"/>
              <w:tr2bl w:val="nil"/>
            </w:tcBorders>
            <w:noWrap w:val="0"/>
            <w:vAlign w:val="center"/>
          </w:tcPr>
          <w:p w14:paraId="4419707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采样点位</w:t>
            </w:r>
          </w:p>
        </w:tc>
        <w:tc>
          <w:tcPr>
            <w:tcW w:w="1080" w:type="dxa"/>
            <w:tcBorders>
              <w:tl2br w:val="nil"/>
              <w:tr2bl w:val="nil"/>
            </w:tcBorders>
            <w:noWrap w:val="0"/>
            <w:vAlign w:val="center"/>
          </w:tcPr>
          <w:p w14:paraId="0BBAC0E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2755" w:type="dxa"/>
            <w:tcBorders>
              <w:tl2br w:val="nil"/>
              <w:tr2bl w:val="nil"/>
            </w:tcBorders>
            <w:noWrap w:val="0"/>
            <w:vAlign w:val="center"/>
          </w:tcPr>
          <w:p w14:paraId="548D5C4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检测结果（m）</w:t>
            </w:r>
          </w:p>
        </w:tc>
      </w:tr>
      <w:tr w14:paraId="3EF1E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restart"/>
            <w:tcBorders>
              <w:tl2br w:val="nil"/>
              <w:tr2bl w:val="nil"/>
            </w:tcBorders>
            <w:noWrap w:val="0"/>
            <w:vAlign w:val="center"/>
          </w:tcPr>
          <w:p w14:paraId="6631AA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val="0"/>
                <w:bCs w:val="0"/>
                <w:color w:val="auto"/>
                <w:sz w:val="21"/>
                <w:szCs w:val="21"/>
                <w:lang w:val="en-US" w:eastAsia="zh-CN"/>
              </w:rPr>
              <w:t>2024.09.01</w:t>
            </w:r>
          </w:p>
        </w:tc>
        <w:tc>
          <w:tcPr>
            <w:tcW w:w="3336" w:type="dxa"/>
            <w:tcBorders>
              <w:tl2br w:val="nil"/>
              <w:tr2bl w:val="nil"/>
            </w:tcBorders>
            <w:noWrap w:val="0"/>
            <w:vAlign w:val="center"/>
          </w:tcPr>
          <w:p w14:paraId="11CFCD6C">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color="auto"/>
                <w:lang w:val="en-US" w:eastAsia="zh-CN"/>
              </w:rPr>
            </w:pPr>
            <w:r>
              <w:rPr>
                <w:rFonts w:hint="eastAsia" w:cs="Times New Roman"/>
                <w:color w:val="000000"/>
                <w:kern w:val="2"/>
                <w:sz w:val="21"/>
                <w:szCs w:val="21"/>
                <w:lang w:val="en-US" w:eastAsia="zh-CN" w:bidi="ar-SA"/>
              </w:rPr>
              <w:t>D1龙狮窑</w:t>
            </w:r>
          </w:p>
        </w:tc>
        <w:tc>
          <w:tcPr>
            <w:tcW w:w="1080" w:type="dxa"/>
            <w:tcBorders>
              <w:tl2br w:val="nil"/>
              <w:tr2bl w:val="nil"/>
            </w:tcBorders>
            <w:noWrap w:val="0"/>
            <w:vAlign w:val="center"/>
          </w:tcPr>
          <w:p w14:paraId="082A261C">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178C2C44">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26</w:t>
            </w:r>
          </w:p>
        </w:tc>
      </w:tr>
      <w:tr w14:paraId="13108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continue"/>
            <w:tcBorders>
              <w:tl2br w:val="nil"/>
              <w:tr2bl w:val="nil"/>
            </w:tcBorders>
            <w:noWrap w:val="0"/>
            <w:vAlign w:val="center"/>
          </w:tcPr>
          <w:p w14:paraId="36EE50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3336" w:type="dxa"/>
            <w:tcBorders>
              <w:tl2br w:val="nil"/>
              <w:tr2bl w:val="nil"/>
            </w:tcBorders>
            <w:noWrap w:val="0"/>
            <w:vAlign w:val="center"/>
          </w:tcPr>
          <w:p w14:paraId="7FB365E3">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u w:val="none" w:color="auto"/>
                <w:lang w:val="en-US" w:eastAsia="zh-CN"/>
              </w:rPr>
            </w:pPr>
            <w:r>
              <w:rPr>
                <w:rFonts w:hint="eastAsia" w:cs="Times New Roman"/>
                <w:color w:val="000000"/>
                <w:kern w:val="2"/>
                <w:sz w:val="21"/>
                <w:szCs w:val="21"/>
                <w:lang w:val="en-US" w:eastAsia="zh-CN" w:bidi="ar-SA"/>
              </w:rPr>
              <w:t>D2刘家湾</w:t>
            </w:r>
          </w:p>
        </w:tc>
        <w:tc>
          <w:tcPr>
            <w:tcW w:w="1080" w:type="dxa"/>
            <w:tcBorders>
              <w:tl2br w:val="nil"/>
              <w:tr2bl w:val="nil"/>
            </w:tcBorders>
            <w:noWrap w:val="0"/>
            <w:vAlign w:val="center"/>
          </w:tcPr>
          <w:p w14:paraId="4D28B4B5">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40213F84">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14</w:t>
            </w:r>
          </w:p>
        </w:tc>
      </w:tr>
      <w:tr w14:paraId="09EE4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continue"/>
            <w:tcBorders>
              <w:tl2br w:val="nil"/>
              <w:tr2bl w:val="nil"/>
            </w:tcBorders>
            <w:noWrap w:val="0"/>
            <w:vAlign w:val="center"/>
          </w:tcPr>
          <w:p w14:paraId="3E2435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3336" w:type="dxa"/>
            <w:tcBorders>
              <w:tl2br w:val="nil"/>
              <w:tr2bl w:val="nil"/>
            </w:tcBorders>
            <w:noWrap w:val="0"/>
            <w:vAlign w:val="center"/>
          </w:tcPr>
          <w:p w14:paraId="0E56706F">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u w:val="none" w:color="auto"/>
                <w:lang w:val="en-US" w:eastAsia="zh-CN"/>
              </w:rPr>
            </w:pPr>
            <w:r>
              <w:rPr>
                <w:rFonts w:hint="eastAsia" w:cs="Times New Roman"/>
                <w:color w:val="000000"/>
                <w:kern w:val="2"/>
                <w:sz w:val="21"/>
                <w:szCs w:val="21"/>
                <w:lang w:val="en-US" w:eastAsia="zh-CN" w:bidi="ar-SA"/>
              </w:rPr>
              <w:t>D3小螺海</w:t>
            </w:r>
          </w:p>
        </w:tc>
        <w:tc>
          <w:tcPr>
            <w:tcW w:w="1080" w:type="dxa"/>
            <w:tcBorders>
              <w:tl2br w:val="nil"/>
              <w:tr2bl w:val="nil"/>
            </w:tcBorders>
            <w:noWrap w:val="0"/>
            <w:vAlign w:val="center"/>
          </w:tcPr>
          <w:p w14:paraId="10F7AECB">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52109F33">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26</w:t>
            </w:r>
          </w:p>
        </w:tc>
      </w:tr>
      <w:tr w14:paraId="470DC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continue"/>
            <w:tcBorders>
              <w:tl2br w:val="nil"/>
              <w:tr2bl w:val="nil"/>
            </w:tcBorders>
            <w:noWrap w:val="0"/>
            <w:vAlign w:val="center"/>
          </w:tcPr>
          <w:p w14:paraId="40D1ED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3336" w:type="dxa"/>
            <w:tcBorders>
              <w:tl2br w:val="nil"/>
              <w:tr2bl w:val="nil"/>
            </w:tcBorders>
            <w:noWrap w:val="0"/>
            <w:vAlign w:val="center"/>
          </w:tcPr>
          <w:p w14:paraId="6A1A2FB6">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u w:val="none" w:color="auto"/>
                <w:lang w:val="en-US" w:eastAsia="zh-CN"/>
              </w:rPr>
            </w:pPr>
            <w:r>
              <w:rPr>
                <w:rFonts w:hint="eastAsia" w:cs="Times New Roman"/>
                <w:color w:val="000000"/>
                <w:kern w:val="2"/>
                <w:sz w:val="21"/>
                <w:szCs w:val="21"/>
                <w:lang w:val="en-US" w:eastAsia="zh-CN" w:bidi="ar-SA"/>
              </w:rPr>
              <w:t>D4艾家屋场</w:t>
            </w:r>
          </w:p>
        </w:tc>
        <w:tc>
          <w:tcPr>
            <w:tcW w:w="1080" w:type="dxa"/>
            <w:tcBorders>
              <w:tl2br w:val="nil"/>
              <w:tr2bl w:val="nil"/>
            </w:tcBorders>
            <w:noWrap w:val="0"/>
            <w:vAlign w:val="center"/>
          </w:tcPr>
          <w:p w14:paraId="76ED0545">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01804630">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24</w:t>
            </w:r>
          </w:p>
        </w:tc>
      </w:tr>
      <w:tr w14:paraId="029CB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continue"/>
            <w:tcBorders>
              <w:tl2br w:val="nil"/>
              <w:tr2bl w:val="nil"/>
            </w:tcBorders>
            <w:noWrap w:val="0"/>
            <w:vAlign w:val="center"/>
          </w:tcPr>
          <w:p w14:paraId="287224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3336" w:type="dxa"/>
            <w:tcBorders>
              <w:tl2br w:val="nil"/>
              <w:tr2bl w:val="nil"/>
            </w:tcBorders>
            <w:noWrap w:val="0"/>
            <w:vAlign w:val="center"/>
          </w:tcPr>
          <w:p w14:paraId="45C45EAB">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u w:val="none" w:color="auto"/>
                <w:lang w:val="en-US" w:eastAsia="zh-CN"/>
              </w:rPr>
            </w:pPr>
            <w:r>
              <w:rPr>
                <w:rFonts w:hint="eastAsia" w:cs="Times New Roman"/>
                <w:color w:val="000000"/>
                <w:kern w:val="2"/>
                <w:sz w:val="21"/>
                <w:szCs w:val="21"/>
                <w:lang w:val="en-US" w:eastAsia="zh-CN" w:bidi="ar-SA"/>
              </w:rPr>
              <w:t>D5西菱湖</w:t>
            </w:r>
          </w:p>
        </w:tc>
        <w:tc>
          <w:tcPr>
            <w:tcW w:w="1080" w:type="dxa"/>
            <w:tcBorders>
              <w:tl2br w:val="nil"/>
              <w:tr2bl w:val="nil"/>
            </w:tcBorders>
            <w:noWrap w:val="0"/>
            <w:vAlign w:val="center"/>
          </w:tcPr>
          <w:p w14:paraId="4775289E">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7DD7D1A8">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21</w:t>
            </w:r>
          </w:p>
        </w:tc>
      </w:tr>
      <w:tr w14:paraId="55665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6" w:type="dxa"/>
            <w:vMerge w:val="continue"/>
            <w:tcBorders>
              <w:tl2br w:val="nil"/>
              <w:tr2bl w:val="nil"/>
            </w:tcBorders>
            <w:noWrap w:val="0"/>
            <w:vAlign w:val="center"/>
          </w:tcPr>
          <w:p w14:paraId="37EBC2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3336" w:type="dxa"/>
            <w:tcBorders>
              <w:tl2br w:val="nil"/>
              <w:tr2bl w:val="nil"/>
            </w:tcBorders>
            <w:noWrap w:val="0"/>
            <w:vAlign w:val="center"/>
          </w:tcPr>
          <w:p w14:paraId="35478C21">
            <w:pPr>
              <w:pStyle w:val="121"/>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u w:val="none" w:color="auto"/>
                <w:lang w:val="en-US" w:eastAsia="zh-CN"/>
              </w:rPr>
            </w:pPr>
            <w:r>
              <w:rPr>
                <w:rFonts w:hint="eastAsia" w:cs="Times New Roman"/>
                <w:color w:val="000000"/>
                <w:kern w:val="2"/>
                <w:sz w:val="21"/>
                <w:szCs w:val="21"/>
                <w:lang w:val="en-US" w:eastAsia="zh-CN" w:bidi="ar-SA"/>
              </w:rPr>
              <w:t>D6衫木冲</w:t>
            </w:r>
          </w:p>
        </w:tc>
        <w:tc>
          <w:tcPr>
            <w:tcW w:w="1080" w:type="dxa"/>
            <w:tcBorders>
              <w:tl2br w:val="nil"/>
              <w:tr2bl w:val="nil"/>
            </w:tcBorders>
            <w:noWrap w:val="0"/>
            <w:vAlign w:val="center"/>
          </w:tcPr>
          <w:p w14:paraId="68229FA2">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水位</w:t>
            </w:r>
          </w:p>
        </w:tc>
        <w:tc>
          <w:tcPr>
            <w:tcW w:w="2755" w:type="dxa"/>
            <w:tcBorders>
              <w:tl2br w:val="nil"/>
              <w:tr2bl w:val="nil"/>
            </w:tcBorders>
            <w:noWrap w:val="0"/>
            <w:vAlign w:val="center"/>
          </w:tcPr>
          <w:p w14:paraId="45C498E9">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17</w:t>
            </w:r>
          </w:p>
        </w:tc>
      </w:tr>
    </w:tbl>
    <w:p w14:paraId="4132429F">
      <w:pPr>
        <w:keepNext w:val="0"/>
        <w:keepLines w:val="0"/>
        <w:pageBreakBefore w:val="0"/>
        <w:widowControl w:val="0"/>
        <w:kinsoku w:val="0"/>
        <w:wordWrap w:val="0"/>
        <w:overflowPunct/>
        <w:topLinePunct/>
        <w:autoSpaceDE/>
        <w:autoSpaceDN/>
        <w:bidi w:val="0"/>
        <w:adjustRightInd/>
        <w:snapToGrid/>
        <w:spacing w:before="0" w:beforeLines="50" w:line="360" w:lineRule="auto"/>
        <w:jc w:val="center"/>
        <w:textAlignment w:val="auto"/>
        <w:rPr>
          <w:rFonts w:hint="default" w:ascii="Times New Roman" w:hAnsi="Times New Roman" w:eastAsia="宋体" w:cs="Times New Roman"/>
          <w:b/>
          <w:caps w:val="0"/>
          <w:smallCaps w:val="0"/>
          <w:color w:val="auto"/>
          <w:spacing w:val="0"/>
          <w:w w:val="100"/>
          <w:position w:val="0"/>
          <w:szCs w:val="21"/>
          <w:u w:val="none" w:color="auto"/>
        </w:rPr>
      </w:pPr>
      <w:r>
        <w:rPr>
          <w:rFonts w:hint="default" w:ascii="Times New Roman" w:hAnsi="Times New Roman" w:eastAsia="宋体" w:cs="Times New Roman"/>
          <w:b/>
          <w:caps w:val="0"/>
          <w:smallCaps w:val="0"/>
          <w:color w:val="auto"/>
          <w:spacing w:val="0"/>
          <w:w w:val="100"/>
          <w:position w:val="0"/>
          <w:szCs w:val="21"/>
          <w:u w:val="none" w:color="auto"/>
        </w:rPr>
        <w:t>表3</w:t>
      </w:r>
      <w:r>
        <w:rPr>
          <w:rFonts w:hint="default" w:ascii="Times New Roman" w:hAnsi="Times New Roman" w:eastAsia="宋体" w:cs="Times New Roman"/>
          <w:b/>
          <w:caps w:val="0"/>
          <w:smallCaps w:val="0"/>
          <w:color w:val="auto"/>
          <w:spacing w:val="0"/>
          <w:w w:val="100"/>
          <w:position w:val="0"/>
          <w:szCs w:val="21"/>
          <w:u w:val="none" w:color="auto"/>
          <w:lang w:val="en-US" w:eastAsia="zh-CN"/>
        </w:rPr>
        <w:t>.2</w:t>
      </w:r>
      <w:r>
        <w:rPr>
          <w:rFonts w:hint="default" w:ascii="Times New Roman" w:hAnsi="Times New Roman" w:eastAsia="宋体" w:cs="Times New Roman"/>
          <w:b/>
          <w:caps w:val="0"/>
          <w:smallCaps w:val="0"/>
          <w:color w:val="auto"/>
          <w:spacing w:val="0"/>
          <w:w w:val="100"/>
          <w:position w:val="0"/>
          <w:szCs w:val="21"/>
          <w:u w:val="none" w:color="auto"/>
        </w:rPr>
        <w:t>-</w:t>
      </w:r>
      <w:r>
        <w:rPr>
          <w:rFonts w:hint="default" w:ascii="Times New Roman" w:hAnsi="Times New Roman" w:eastAsia="宋体" w:cs="Times New Roman"/>
          <w:b/>
          <w:caps w:val="0"/>
          <w:smallCaps w:val="0"/>
          <w:color w:val="auto"/>
          <w:spacing w:val="0"/>
          <w:w w:val="100"/>
          <w:position w:val="0"/>
          <w:szCs w:val="21"/>
          <w:u w:val="none" w:color="auto"/>
          <w:lang w:val="en-US" w:eastAsia="zh-CN"/>
        </w:rPr>
        <w:t>11   地下水</w:t>
      </w:r>
      <w:r>
        <w:rPr>
          <w:rFonts w:hint="default" w:ascii="Times New Roman" w:hAnsi="Times New Roman" w:eastAsia="宋体" w:cs="Times New Roman"/>
          <w:b/>
          <w:caps w:val="0"/>
          <w:smallCaps w:val="0"/>
          <w:color w:val="auto"/>
          <w:spacing w:val="0"/>
          <w:w w:val="100"/>
          <w:position w:val="0"/>
          <w:szCs w:val="21"/>
          <w:u w:val="none" w:color="auto"/>
          <w:lang w:eastAsia="zh-CN"/>
        </w:rPr>
        <w:t>环境</w:t>
      </w:r>
      <w:r>
        <w:rPr>
          <w:rFonts w:hint="default" w:ascii="Times New Roman" w:hAnsi="Times New Roman" w:eastAsia="宋体" w:cs="Times New Roman"/>
          <w:b/>
          <w:caps w:val="0"/>
          <w:smallCaps w:val="0"/>
          <w:color w:val="auto"/>
          <w:spacing w:val="0"/>
          <w:w w:val="100"/>
          <w:position w:val="0"/>
          <w:szCs w:val="21"/>
          <w:u w:val="none" w:color="auto"/>
          <w:lang w:val="en-US" w:eastAsia="zh-CN"/>
        </w:rPr>
        <w:t>质量</w:t>
      </w:r>
      <w:r>
        <w:rPr>
          <w:rFonts w:hint="default" w:ascii="Times New Roman" w:hAnsi="Times New Roman" w:eastAsia="宋体" w:cs="Times New Roman"/>
          <w:b/>
          <w:caps w:val="0"/>
          <w:smallCaps w:val="0"/>
          <w:color w:val="auto"/>
          <w:spacing w:val="0"/>
          <w:w w:val="100"/>
          <w:position w:val="0"/>
          <w:szCs w:val="21"/>
          <w:u w:val="none" w:color="auto"/>
          <w:lang w:eastAsia="zh-CN"/>
        </w:rPr>
        <w:t>现状监测结果与评价结果</w:t>
      </w:r>
      <w:r>
        <w:rPr>
          <w:rFonts w:hint="default" w:ascii="Times New Roman" w:hAnsi="Times New Roman" w:eastAsia="宋体" w:cs="Times New Roman"/>
          <w:b/>
          <w:caps w:val="0"/>
          <w:smallCaps w:val="0"/>
          <w:color w:val="auto"/>
          <w:spacing w:val="0"/>
          <w:w w:val="100"/>
          <w:position w:val="0"/>
          <w:szCs w:val="21"/>
          <w:u w:val="none" w:color="auto"/>
        </w:rPr>
        <w:t>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51"/>
        <w:gridCol w:w="808"/>
        <w:gridCol w:w="1218"/>
        <w:gridCol w:w="1281"/>
        <w:gridCol w:w="1231"/>
        <w:gridCol w:w="896"/>
        <w:gridCol w:w="673"/>
        <w:gridCol w:w="684"/>
      </w:tblGrid>
      <w:tr w14:paraId="5D37D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930" w:type="pct"/>
            <w:vMerge w:val="restart"/>
            <w:tcBorders>
              <w:tl2br w:val="nil"/>
              <w:tr2bl w:val="nil"/>
            </w:tcBorders>
            <w:noWrap w:val="0"/>
            <w:vAlign w:val="center"/>
          </w:tcPr>
          <w:p w14:paraId="6A4251C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484" w:type="pct"/>
            <w:vMerge w:val="restart"/>
            <w:tcBorders>
              <w:tl2br w:val="nil"/>
              <w:tr2bl w:val="nil"/>
            </w:tcBorders>
            <w:noWrap w:val="0"/>
            <w:vAlign w:val="center"/>
          </w:tcPr>
          <w:p w14:paraId="24EDDB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单位</w:t>
            </w:r>
          </w:p>
        </w:tc>
        <w:tc>
          <w:tcPr>
            <w:tcW w:w="2236" w:type="pct"/>
            <w:gridSpan w:val="3"/>
            <w:tcBorders>
              <w:tl2br w:val="nil"/>
              <w:tr2bl w:val="nil"/>
            </w:tcBorders>
            <w:noWrap w:val="0"/>
            <w:vAlign w:val="center"/>
          </w:tcPr>
          <w:p w14:paraId="004B37F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采样点位及检测结果</w:t>
            </w:r>
          </w:p>
        </w:tc>
        <w:tc>
          <w:tcPr>
            <w:tcW w:w="537" w:type="pct"/>
            <w:vMerge w:val="restart"/>
            <w:tcBorders>
              <w:tl2br w:val="nil"/>
              <w:tr2bl w:val="nil"/>
            </w:tcBorders>
            <w:noWrap w:val="0"/>
            <w:vAlign w:val="center"/>
          </w:tcPr>
          <w:p w14:paraId="45BC8B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pacing w:val="0"/>
                <w:w w:val="100"/>
                <w:position w:val="0"/>
                <w:sz w:val="21"/>
                <w:szCs w:val="21"/>
                <w:u w:val="none" w:color="auto"/>
                <w:lang w:val="en-US" w:eastAsia="zh-CN"/>
              </w:rPr>
              <w:t>III类标准</w:t>
            </w:r>
            <w:r>
              <w:rPr>
                <w:rFonts w:hint="default" w:ascii="Times New Roman" w:hAnsi="Times New Roman" w:eastAsia="宋体" w:cs="Times New Roman"/>
                <w:b/>
                <w:bCs/>
                <w:color w:val="auto"/>
                <w:spacing w:val="0"/>
                <w:w w:val="100"/>
                <w:position w:val="0"/>
                <w:sz w:val="21"/>
                <w:szCs w:val="21"/>
                <w:u w:val="none" w:color="auto"/>
                <w:lang w:eastAsia="zh-CN"/>
              </w:rPr>
              <w:t>限值</w:t>
            </w:r>
          </w:p>
        </w:tc>
        <w:tc>
          <w:tcPr>
            <w:tcW w:w="403" w:type="pct"/>
            <w:vMerge w:val="restart"/>
            <w:tcBorders>
              <w:tl2br w:val="nil"/>
              <w:tr2bl w:val="nil"/>
            </w:tcBorders>
            <w:noWrap w:val="0"/>
            <w:vAlign w:val="center"/>
          </w:tcPr>
          <w:p w14:paraId="19BA86B8">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pacing w:val="0"/>
                <w:w w:val="100"/>
                <w:position w:val="0"/>
                <w:sz w:val="21"/>
                <w:szCs w:val="21"/>
                <w:u w:val="none" w:color="auto"/>
                <w:lang w:val="en-US" w:eastAsia="zh-CN" w:bidi="ar-SA"/>
              </w:rPr>
              <w:t>最大标准指数</w:t>
            </w:r>
          </w:p>
        </w:tc>
        <w:tc>
          <w:tcPr>
            <w:tcW w:w="407" w:type="pct"/>
            <w:vMerge w:val="restart"/>
            <w:tcBorders>
              <w:tl2br w:val="nil"/>
              <w:tr2bl w:val="nil"/>
            </w:tcBorders>
            <w:noWrap w:val="0"/>
            <w:vAlign w:val="center"/>
          </w:tcPr>
          <w:p w14:paraId="3D3F0193">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pacing w:val="0"/>
                <w:w w:val="100"/>
                <w:position w:val="0"/>
                <w:sz w:val="21"/>
                <w:szCs w:val="21"/>
                <w:u w:val="none" w:color="auto"/>
                <w:lang w:val="en-US" w:eastAsia="zh-CN" w:bidi="ar-SA"/>
              </w:rPr>
            </w:pPr>
            <w:r>
              <w:rPr>
                <w:rFonts w:hint="default" w:ascii="Times New Roman" w:hAnsi="Times New Roman" w:eastAsia="宋体" w:cs="Times New Roman"/>
                <w:b/>
                <w:bCs/>
                <w:color w:val="auto"/>
                <w:spacing w:val="0"/>
                <w:w w:val="100"/>
                <w:position w:val="0"/>
                <w:sz w:val="21"/>
                <w:szCs w:val="21"/>
                <w:u w:val="none" w:color="auto"/>
                <w:lang w:val="en-US" w:eastAsia="zh-CN" w:bidi="ar-SA"/>
              </w:rPr>
              <w:t>达标</w:t>
            </w:r>
          </w:p>
          <w:p w14:paraId="63302FC2">
            <w:pPr>
              <w:keepNext w:val="0"/>
              <w:keepLines w:val="0"/>
              <w:widowControl/>
              <w:suppressLineNumbers w:val="0"/>
              <w:spacing w:before="0" w:beforeLines="10" w:beforeAutospacing="0" w:after="0" w:afterLines="10" w:afterAutospacing="0"/>
              <w:ind w:left="0" w:right="0"/>
              <w:jc w:val="center"/>
              <w:textAlignment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pacing w:val="0"/>
                <w:w w:val="100"/>
                <w:position w:val="0"/>
                <w:sz w:val="21"/>
                <w:szCs w:val="21"/>
                <w:u w:val="none" w:color="auto"/>
                <w:lang w:val="en-US" w:eastAsia="zh-CN" w:bidi="ar-SA"/>
              </w:rPr>
              <w:t>情况</w:t>
            </w:r>
          </w:p>
        </w:tc>
      </w:tr>
      <w:tr w14:paraId="5D3E3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930" w:type="pct"/>
            <w:vMerge w:val="continue"/>
            <w:tcBorders>
              <w:tl2br w:val="nil"/>
              <w:tr2bl w:val="nil"/>
            </w:tcBorders>
            <w:noWrap w:val="0"/>
            <w:vAlign w:val="center"/>
          </w:tcPr>
          <w:p w14:paraId="135EF5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rPr>
            </w:pPr>
          </w:p>
        </w:tc>
        <w:tc>
          <w:tcPr>
            <w:tcW w:w="484" w:type="pct"/>
            <w:vMerge w:val="continue"/>
            <w:tcBorders>
              <w:tl2br w:val="nil"/>
              <w:tr2bl w:val="nil"/>
            </w:tcBorders>
            <w:noWrap w:val="0"/>
            <w:vAlign w:val="center"/>
          </w:tcPr>
          <w:p w14:paraId="10839F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rPr>
            </w:pPr>
          </w:p>
        </w:tc>
        <w:tc>
          <w:tcPr>
            <w:tcW w:w="1218" w:type="dxa"/>
            <w:tcBorders>
              <w:tl2br w:val="nil"/>
              <w:tr2bl w:val="nil"/>
            </w:tcBorders>
            <w:noWrap w:val="0"/>
            <w:vAlign w:val="center"/>
          </w:tcPr>
          <w:p w14:paraId="6A028E9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D1龙狮窑</w:t>
            </w:r>
          </w:p>
        </w:tc>
        <w:tc>
          <w:tcPr>
            <w:tcW w:w="1281" w:type="dxa"/>
            <w:tcBorders>
              <w:tl2br w:val="nil"/>
              <w:tr2bl w:val="nil"/>
            </w:tcBorders>
            <w:noWrap w:val="0"/>
            <w:vAlign w:val="center"/>
          </w:tcPr>
          <w:p w14:paraId="30AB492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D2刘家湾</w:t>
            </w:r>
          </w:p>
        </w:tc>
        <w:tc>
          <w:tcPr>
            <w:tcW w:w="1231" w:type="dxa"/>
            <w:tcBorders>
              <w:tl2br w:val="nil"/>
              <w:tr2bl w:val="nil"/>
            </w:tcBorders>
            <w:noWrap w:val="0"/>
            <w:vAlign w:val="center"/>
          </w:tcPr>
          <w:p w14:paraId="27B8E3E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D3小螺海</w:t>
            </w:r>
          </w:p>
        </w:tc>
        <w:tc>
          <w:tcPr>
            <w:tcW w:w="537" w:type="pct"/>
            <w:vMerge w:val="continue"/>
            <w:tcBorders>
              <w:tl2br w:val="nil"/>
              <w:tr2bl w:val="nil"/>
            </w:tcBorders>
            <w:noWrap w:val="0"/>
            <w:vAlign w:val="center"/>
          </w:tcPr>
          <w:p w14:paraId="4211DE8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403" w:type="pct"/>
            <w:vMerge w:val="continue"/>
            <w:tcBorders>
              <w:tl2br w:val="nil"/>
              <w:tr2bl w:val="nil"/>
            </w:tcBorders>
            <w:noWrap w:val="0"/>
            <w:vAlign w:val="center"/>
          </w:tcPr>
          <w:p w14:paraId="795C63D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c>
          <w:tcPr>
            <w:tcW w:w="407" w:type="pct"/>
            <w:vMerge w:val="continue"/>
            <w:tcBorders>
              <w:tl2br w:val="nil"/>
              <w:tr2bl w:val="nil"/>
            </w:tcBorders>
            <w:noWrap w:val="0"/>
            <w:vAlign w:val="center"/>
          </w:tcPr>
          <w:p w14:paraId="7B0FE7B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p>
        </w:tc>
      </w:tr>
      <w:tr w14:paraId="40016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49B87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pH</w:t>
            </w:r>
            <w:r>
              <w:rPr>
                <w:rFonts w:hint="eastAsia" w:ascii="宋体" w:hAnsi="宋体" w:eastAsia="宋体" w:cs="宋体"/>
                <w:i w:val="0"/>
                <w:iCs w:val="0"/>
                <w:color w:val="auto"/>
                <w:kern w:val="0"/>
                <w:sz w:val="21"/>
                <w:szCs w:val="21"/>
                <w:u w:val="none"/>
                <w:lang w:val="en-US" w:eastAsia="zh-CN" w:bidi="ar"/>
              </w:rPr>
              <w:t>值</w:t>
            </w:r>
          </w:p>
        </w:tc>
        <w:tc>
          <w:tcPr>
            <w:tcW w:w="808" w:type="dxa"/>
            <w:tcBorders>
              <w:tl2br w:val="nil"/>
              <w:tr2bl w:val="nil"/>
            </w:tcBorders>
            <w:noWrap w:val="0"/>
            <w:vAlign w:val="center"/>
          </w:tcPr>
          <w:p w14:paraId="21AB1B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无量纲</w:t>
            </w:r>
          </w:p>
        </w:tc>
        <w:tc>
          <w:tcPr>
            <w:tcW w:w="1218" w:type="dxa"/>
            <w:tcBorders>
              <w:tl2br w:val="nil"/>
              <w:tr2bl w:val="nil"/>
            </w:tcBorders>
            <w:noWrap w:val="0"/>
            <w:vAlign w:val="center"/>
          </w:tcPr>
          <w:p w14:paraId="062FB5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281" w:type="dxa"/>
            <w:tcBorders>
              <w:tl2br w:val="nil"/>
              <w:tr2bl w:val="nil"/>
            </w:tcBorders>
            <w:noWrap w:val="0"/>
            <w:vAlign w:val="center"/>
          </w:tcPr>
          <w:p w14:paraId="25E8EF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231" w:type="dxa"/>
            <w:tcBorders>
              <w:tl2br w:val="nil"/>
              <w:tr2bl w:val="nil"/>
            </w:tcBorders>
            <w:noWrap w:val="0"/>
            <w:vAlign w:val="center"/>
          </w:tcPr>
          <w:p w14:paraId="4A4330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7.3</w:t>
            </w:r>
          </w:p>
        </w:tc>
        <w:tc>
          <w:tcPr>
            <w:tcW w:w="896" w:type="dxa"/>
            <w:tcBorders>
              <w:tl2br w:val="nil"/>
              <w:tr2bl w:val="nil"/>
            </w:tcBorders>
            <w:noWrap w:val="0"/>
            <w:vAlign w:val="center"/>
          </w:tcPr>
          <w:p w14:paraId="4FF577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6.5-8.5</w:t>
            </w:r>
          </w:p>
        </w:tc>
        <w:tc>
          <w:tcPr>
            <w:tcW w:w="673" w:type="dxa"/>
            <w:tcBorders>
              <w:tl2br w:val="nil"/>
              <w:tr2bl w:val="nil"/>
            </w:tcBorders>
            <w:noWrap w:val="0"/>
            <w:vAlign w:val="center"/>
          </w:tcPr>
          <w:p w14:paraId="566503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0.200 </w:t>
            </w:r>
          </w:p>
        </w:tc>
        <w:tc>
          <w:tcPr>
            <w:tcW w:w="407" w:type="pct"/>
            <w:tcBorders>
              <w:tl2br w:val="nil"/>
              <w:tr2bl w:val="nil"/>
            </w:tcBorders>
            <w:noWrap w:val="0"/>
            <w:vAlign w:val="center"/>
          </w:tcPr>
          <w:p w14:paraId="48AE83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F0BB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447E0D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钾</w:t>
            </w:r>
          </w:p>
        </w:tc>
        <w:tc>
          <w:tcPr>
            <w:tcW w:w="808" w:type="dxa"/>
            <w:tcBorders>
              <w:tl2br w:val="nil"/>
              <w:tr2bl w:val="nil"/>
            </w:tcBorders>
            <w:noWrap w:val="0"/>
            <w:vAlign w:val="center"/>
          </w:tcPr>
          <w:p w14:paraId="3EEE2B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1CD24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0.801</w:t>
            </w:r>
          </w:p>
        </w:tc>
        <w:tc>
          <w:tcPr>
            <w:tcW w:w="1281" w:type="dxa"/>
            <w:tcBorders>
              <w:tl2br w:val="nil"/>
              <w:tr2bl w:val="nil"/>
            </w:tcBorders>
            <w:noWrap w:val="0"/>
            <w:vAlign w:val="center"/>
          </w:tcPr>
          <w:p w14:paraId="3CAA3E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1.278</w:t>
            </w:r>
          </w:p>
        </w:tc>
        <w:tc>
          <w:tcPr>
            <w:tcW w:w="1231" w:type="dxa"/>
            <w:tcBorders>
              <w:tl2br w:val="nil"/>
              <w:tr2bl w:val="nil"/>
            </w:tcBorders>
            <w:noWrap w:val="0"/>
            <w:vAlign w:val="center"/>
          </w:tcPr>
          <w:p w14:paraId="39B5F5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1.543</w:t>
            </w:r>
          </w:p>
        </w:tc>
        <w:tc>
          <w:tcPr>
            <w:tcW w:w="896" w:type="dxa"/>
            <w:tcBorders>
              <w:tl2br w:val="nil"/>
              <w:tr2bl w:val="nil"/>
            </w:tcBorders>
            <w:noWrap w:val="0"/>
            <w:vAlign w:val="center"/>
          </w:tcPr>
          <w:p w14:paraId="0B82C7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339857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4AD2C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175E4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16ACBA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钠</w:t>
            </w:r>
          </w:p>
        </w:tc>
        <w:tc>
          <w:tcPr>
            <w:tcW w:w="808" w:type="dxa"/>
            <w:tcBorders>
              <w:tl2br w:val="nil"/>
              <w:tr2bl w:val="nil"/>
            </w:tcBorders>
            <w:noWrap w:val="0"/>
            <w:vAlign w:val="center"/>
          </w:tcPr>
          <w:p w14:paraId="3230F5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42DEB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0.637</w:t>
            </w:r>
          </w:p>
        </w:tc>
        <w:tc>
          <w:tcPr>
            <w:tcW w:w="1281" w:type="dxa"/>
            <w:tcBorders>
              <w:tl2br w:val="nil"/>
              <w:tr2bl w:val="nil"/>
            </w:tcBorders>
            <w:noWrap w:val="0"/>
            <w:vAlign w:val="center"/>
          </w:tcPr>
          <w:p w14:paraId="180894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0.921</w:t>
            </w:r>
          </w:p>
        </w:tc>
        <w:tc>
          <w:tcPr>
            <w:tcW w:w="1231" w:type="dxa"/>
            <w:tcBorders>
              <w:tl2br w:val="nil"/>
              <w:tr2bl w:val="nil"/>
            </w:tcBorders>
            <w:noWrap w:val="0"/>
            <w:vAlign w:val="center"/>
          </w:tcPr>
          <w:p w14:paraId="41C453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1.314</w:t>
            </w:r>
          </w:p>
        </w:tc>
        <w:tc>
          <w:tcPr>
            <w:tcW w:w="896" w:type="dxa"/>
            <w:tcBorders>
              <w:tl2br w:val="nil"/>
              <w:tr2bl w:val="nil"/>
            </w:tcBorders>
            <w:noWrap w:val="0"/>
            <w:vAlign w:val="center"/>
          </w:tcPr>
          <w:p w14:paraId="4881B3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67AABD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30F1F5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4931B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636368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钙</w:t>
            </w:r>
          </w:p>
        </w:tc>
        <w:tc>
          <w:tcPr>
            <w:tcW w:w="808" w:type="dxa"/>
            <w:tcBorders>
              <w:tl2br w:val="nil"/>
              <w:tr2bl w:val="nil"/>
            </w:tcBorders>
            <w:noWrap w:val="0"/>
            <w:vAlign w:val="center"/>
          </w:tcPr>
          <w:p w14:paraId="3E2E43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36136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281" w:type="dxa"/>
            <w:tcBorders>
              <w:tl2br w:val="nil"/>
              <w:tr2bl w:val="nil"/>
            </w:tcBorders>
            <w:noWrap w:val="0"/>
            <w:vAlign w:val="center"/>
          </w:tcPr>
          <w:p w14:paraId="603F97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231" w:type="dxa"/>
            <w:tcBorders>
              <w:tl2br w:val="nil"/>
              <w:tr2bl w:val="nil"/>
            </w:tcBorders>
            <w:noWrap w:val="0"/>
            <w:vAlign w:val="center"/>
          </w:tcPr>
          <w:p w14:paraId="7E10AD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896" w:type="dxa"/>
            <w:tcBorders>
              <w:tl2br w:val="nil"/>
              <w:tr2bl w:val="nil"/>
            </w:tcBorders>
            <w:noWrap w:val="0"/>
            <w:vAlign w:val="center"/>
          </w:tcPr>
          <w:p w14:paraId="70BEE7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3C5A46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4E26D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4B649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3D40BA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镁</w:t>
            </w:r>
          </w:p>
        </w:tc>
        <w:tc>
          <w:tcPr>
            <w:tcW w:w="808" w:type="dxa"/>
            <w:tcBorders>
              <w:tl2br w:val="nil"/>
              <w:tr2bl w:val="nil"/>
            </w:tcBorders>
            <w:noWrap w:val="0"/>
            <w:vAlign w:val="center"/>
          </w:tcPr>
          <w:p w14:paraId="6BD66C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646C75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3L</w:t>
            </w:r>
          </w:p>
        </w:tc>
        <w:tc>
          <w:tcPr>
            <w:tcW w:w="1281" w:type="dxa"/>
            <w:tcBorders>
              <w:tl2br w:val="nil"/>
              <w:tr2bl w:val="nil"/>
            </w:tcBorders>
            <w:noWrap w:val="0"/>
            <w:vAlign w:val="center"/>
          </w:tcPr>
          <w:p w14:paraId="037A6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3L</w:t>
            </w:r>
          </w:p>
        </w:tc>
        <w:tc>
          <w:tcPr>
            <w:tcW w:w="1231" w:type="dxa"/>
            <w:tcBorders>
              <w:tl2br w:val="nil"/>
              <w:tr2bl w:val="nil"/>
            </w:tcBorders>
            <w:noWrap w:val="0"/>
            <w:vAlign w:val="center"/>
          </w:tcPr>
          <w:p w14:paraId="4BBF9F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3L</w:t>
            </w:r>
          </w:p>
        </w:tc>
        <w:tc>
          <w:tcPr>
            <w:tcW w:w="896" w:type="dxa"/>
            <w:tcBorders>
              <w:tl2br w:val="nil"/>
              <w:tr2bl w:val="nil"/>
            </w:tcBorders>
            <w:noWrap w:val="0"/>
            <w:vAlign w:val="center"/>
          </w:tcPr>
          <w:p w14:paraId="231879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082314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01238A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59541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3DF83B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碳酸根</w:t>
            </w:r>
          </w:p>
        </w:tc>
        <w:tc>
          <w:tcPr>
            <w:tcW w:w="808" w:type="dxa"/>
            <w:tcBorders>
              <w:tl2br w:val="nil"/>
              <w:tr2bl w:val="nil"/>
            </w:tcBorders>
            <w:noWrap w:val="0"/>
            <w:vAlign w:val="center"/>
          </w:tcPr>
          <w:p w14:paraId="19C150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17F1A8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5l</w:t>
            </w:r>
          </w:p>
        </w:tc>
        <w:tc>
          <w:tcPr>
            <w:tcW w:w="1281" w:type="dxa"/>
            <w:tcBorders>
              <w:tl2br w:val="nil"/>
              <w:tr2bl w:val="nil"/>
            </w:tcBorders>
            <w:noWrap w:val="0"/>
            <w:vAlign w:val="center"/>
          </w:tcPr>
          <w:p w14:paraId="52C03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5l</w:t>
            </w:r>
          </w:p>
        </w:tc>
        <w:tc>
          <w:tcPr>
            <w:tcW w:w="1231" w:type="dxa"/>
            <w:tcBorders>
              <w:tl2br w:val="nil"/>
              <w:tr2bl w:val="nil"/>
            </w:tcBorders>
            <w:noWrap w:val="0"/>
            <w:vAlign w:val="center"/>
          </w:tcPr>
          <w:p w14:paraId="3A9645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5l</w:t>
            </w:r>
          </w:p>
        </w:tc>
        <w:tc>
          <w:tcPr>
            <w:tcW w:w="896" w:type="dxa"/>
            <w:tcBorders>
              <w:tl2br w:val="nil"/>
              <w:tr2bl w:val="nil"/>
            </w:tcBorders>
            <w:noWrap w:val="0"/>
            <w:vAlign w:val="center"/>
          </w:tcPr>
          <w:p w14:paraId="6D9BA8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174DF3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67A2B5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37ECB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7C5C0E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碳酸氢根</w:t>
            </w:r>
          </w:p>
        </w:tc>
        <w:tc>
          <w:tcPr>
            <w:tcW w:w="808" w:type="dxa"/>
            <w:tcBorders>
              <w:tl2br w:val="nil"/>
              <w:tr2bl w:val="nil"/>
            </w:tcBorders>
            <w:noWrap w:val="0"/>
            <w:vAlign w:val="center"/>
          </w:tcPr>
          <w:p w14:paraId="68E63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6B2C2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1281" w:type="dxa"/>
            <w:tcBorders>
              <w:tl2br w:val="nil"/>
              <w:tr2bl w:val="nil"/>
            </w:tcBorders>
            <w:noWrap w:val="0"/>
            <w:vAlign w:val="center"/>
          </w:tcPr>
          <w:p w14:paraId="54CD13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1231" w:type="dxa"/>
            <w:tcBorders>
              <w:tl2br w:val="nil"/>
              <w:tr2bl w:val="nil"/>
            </w:tcBorders>
            <w:noWrap w:val="0"/>
            <w:vAlign w:val="center"/>
          </w:tcPr>
          <w:p w14:paraId="2B314B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96" w:type="dxa"/>
            <w:tcBorders>
              <w:tl2br w:val="nil"/>
              <w:tr2bl w:val="nil"/>
            </w:tcBorders>
            <w:noWrap w:val="0"/>
            <w:vAlign w:val="center"/>
          </w:tcPr>
          <w:p w14:paraId="087B9B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59F528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7CFEBA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7C78D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34EFFE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氯离子</w:t>
            </w:r>
          </w:p>
        </w:tc>
        <w:tc>
          <w:tcPr>
            <w:tcW w:w="808" w:type="dxa"/>
            <w:tcBorders>
              <w:tl2br w:val="nil"/>
              <w:tr2bl w:val="nil"/>
            </w:tcBorders>
            <w:noWrap w:val="0"/>
            <w:vAlign w:val="center"/>
          </w:tcPr>
          <w:p w14:paraId="46DDC7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DB211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1281" w:type="dxa"/>
            <w:tcBorders>
              <w:tl2br w:val="nil"/>
              <w:tr2bl w:val="nil"/>
            </w:tcBorders>
            <w:noWrap w:val="0"/>
            <w:vAlign w:val="center"/>
          </w:tcPr>
          <w:p w14:paraId="651A2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6.04</w:t>
            </w:r>
          </w:p>
        </w:tc>
        <w:tc>
          <w:tcPr>
            <w:tcW w:w="1231" w:type="dxa"/>
            <w:tcBorders>
              <w:tl2br w:val="nil"/>
              <w:tr2bl w:val="nil"/>
            </w:tcBorders>
            <w:noWrap w:val="0"/>
            <w:vAlign w:val="center"/>
          </w:tcPr>
          <w:p w14:paraId="7F43C8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29.1</w:t>
            </w:r>
          </w:p>
        </w:tc>
        <w:tc>
          <w:tcPr>
            <w:tcW w:w="896" w:type="dxa"/>
            <w:tcBorders>
              <w:tl2br w:val="nil"/>
              <w:tr2bl w:val="nil"/>
            </w:tcBorders>
            <w:noWrap w:val="0"/>
            <w:vAlign w:val="center"/>
          </w:tcPr>
          <w:p w14:paraId="65AF0D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185454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57C5B9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59490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7E726A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硫酸根</w:t>
            </w:r>
          </w:p>
        </w:tc>
        <w:tc>
          <w:tcPr>
            <w:tcW w:w="808" w:type="dxa"/>
            <w:tcBorders>
              <w:tl2br w:val="nil"/>
              <w:tr2bl w:val="nil"/>
            </w:tcBorders>
            <w:noWrap w:val="0"/>
            <w:vAlign w:val="center"/>
          </w:tcPr>
          <w:p w14:paraId="6C152A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62B28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81" w:type="dxa"/>
            <w:tcBorders>
              <w:tl2br w:val="nil"/>
              <w:tr2bl w:val="nil"/>
            </w:tcBorders>
            <w:noWrap w:val="0"/>
            <w:vAlign w:val="center"/>
          </w:tcPr>
          <w:p w14:paraId="79D62A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1231" w:type="dxa"/>
            <w:tcBorders>
              <w:tl2br w:val="nil"/>
              <w:tr2bl w:val="nil"/>
            </w:tcBorders>
            <w:noWrap w:val="0"/>
            <w:vAlign w:val="center"/>
          </w:tcPr>
          <w:p w14:paraId="520E81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896" w:type="dxa"/>
            <w:tcBorders>
              <w:tl2br w:val="nil"/>
              <w:tr2bl w:val="nil"/>
            </w:tcBorders>
            <w:noWrap w:val="0"/>
            <w:vAlign w:val="center"/>
          </w:tcPr>
          <w:p w14:paraId="086C2E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73" w:type="dxa"/>
            <w:tcBorders>
              <w:tl2br w:val="nil"/>
              <w:tr2bl w:val="nil"/>
            </w:tcBorders>
            <w:noWrap w:val="0"/>
            <w:vAlign w:val="center"/>
          </w:tcPr>
          <w:p w14:paraId="16C530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2EA07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35CE5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478AE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氨氮</w:t>
            </w:r>
          </w:p>
        </w:tc>
        <w:tc>
          <w:tcPr>
            <w:tcW w:w="808" w:type="dxa"/>
            <w:tcBorders>
              <w:tl2br w:val="nil"/>
              <w:tr2bl w:val="nil"/>
            </w:tcBorders>
            <w:noWrap w:val="0"/>
            <w:vAlign w:val="center"/>
          </w:tcPr>
          <w:p w14:paraId="61F9A3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29E75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0.025L</w:t>
            </w:r>
          </w:p>
        </w:tc>
        <w:tc>
          <w:tcPr>
            <w:tcW w:w="1281" w:type="dxa"/>
            <w:tcBorders>
              <w:tl2br w:val="nil"/>
              <w:tr2bl w:val="nil"/>
            </w:tcBorders>
            <w:noWrap w:val="0"/>
            <w:vAlign w:val="center"/>
          </w:tcPr>
          <w:p w14:paraId="45E7F0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0.025L</w:t>
            </w:r>
          </w:p>
        </w:tc>
        <w:tc>
          <w:tcPr>
            <w:tcW w:w="1231" w:type="dxa"/>
            <w:tcBorders>
              <w:tl2br w:val="nil"/>
              <w:tr2bl w:val="nil"/>
            </w:tcBorders>
            <w:noWrap w:val="0"/>
            <w:vAlign w:val="center"/>
          </w:tcPr>
          <w:p w14:paraId="5EB867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0.025L</w:t>
            </w:r>
          </w:p>
        </w:tc>
        <w:tc>
          <w:tcPr>
            <w:tcW w:w="896" w:type="dxa"/>
            <w:tcBorders>
              <w:tl2br w:val="nil"/>
              <w:tr2bl w:val="nil"/>
            </w:tcBorders>
            <w:noWrap w:val="0"/>
            <w:vAlign w:val="center"/>
          </w:tcPr>
          <w:p w14:paraId="3BE532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673" w:type="dxa"/>
            <w:tcBorders>
              <w:tl2br w:val="nil"/>
              <w:tr2bl w:val="nil"/>
            </w:tcBorders>
            <w:noWrap w:val="0"/>
            <w:vAlign w:val="center"/>
          </w:tcPr>
          <w:p w14:paraId="12713A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0.460 </w:t>
            </w:r>
          </w:p>
        </w:tc>
        <w:tc>
          <w:tcPr>
            <w:tcW w:w="407" w:type="pct"/>
            <w:tcBorders>
              <w:tl2br w:val="nil"/>
              <w:tr2bl w:val="nil"/>
            </w:tcBorders>
            <w:noWrap w:val="0"/>
            <w:vAlign w:val="center"/>
          </w:tcPr>
          <w:p w14:paraId="03CB39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14C62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56074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硝酸盐</w:t>
            </w:r>
          </w:p>
        </w:tc>
        <w:tc>
          <w:tcPr>
            <w:tcW w:w="808" w:type="dxa"/>
            <w:tcBorders>
              <w:tl2br w:val="nil"/>
              <w:tr2bl w:val="nil"/>
            </w:tcBorders>
            <w:noWrap w:val="0"/>
            <w:vAlign w:val="center"/>
          </w:tcPr>
          <w:p w14:paraId="58696C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187C4B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9.12</w:t>
            </w:r>
          </w:p>
        </w:tc>
        <w:tc>
          <w:tcPr>
            <w:tcW w:w="1281" w:type="dxa"/>
            <w:tcBorders>
              <w:tl2br w:val="nil"/>
              <w:tr2bl w:val="nil"/>
            </w:tcBorders>
            <w:noWrap w:val="0"/>
            <w:vAlign w:val="center"/>
          </w:tcPr>
          <w:p w14:paraId="3B2862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0.74</w:t>
            </w:r>
          </w:p>
        </w:tc>
        <w:tc>
          <w:tcPr>
            <w:tcW w:w="1231" w:type="dxa"/>
            <w:tcBorders>
              <w:tl2br w:val="nil"/>
              <w:tr2bl w:val="nil"/>
            </w:tcBorders>
            <w:noWrap w:val="0"/>
            <w:vAlign w:val="center"/>
          </w:tcPr>
          <w:p w14:paraId="27E159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96" w:type="dxa"/>
            <w:tcBorders>
              <w:tl2br w:val="nil"/>
              <w:tr2bl w:val="nil"/>
            </w:tcBorders>
            <w:noWrap w:val="0"/>
            <w:vAlign w:val="center"/>
          </w:tcPr>
          <w:p w14:paraId="62C5AE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73" w:type="dxa"/>
            <w:tcBorders>
              <w:tl2br w:val="nil"/>
              <w:tr2bl w:val="nil"/>
            </w:tcBorders>
            <w:noWrap w:val="0"/>
            <w:vAlign w:val="center"/>
          </w:tcPr>
          <w:p w14:paraId="7EE03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0.730 </w:t>
            </w:r>
          </w:p>
        </w:tc>
        <w:tc>
          <w:tcPr>
            <w:tcW w:w="407" w:type="pct"/>
            <w:tcBorders>
              <w:tl2br w:val="nil"/>
              <w:tr2bl w:val="nil"/>
            </w:tcBorders>
            <w:noWrap w:val="0"/>
            <w:vAlign w:val="center"/>
          </w:tcPr>
          <w:p w14:paraId="18F9E8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13065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1C687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亚硝酸盐</w:t>
            </w:r>
          </w:p>
        </w:tc>
        <w:tc>
          <w:tcPr>
            <w:tcW w:w="808" w:type="dxa"/>
            <w:tcBorders>
              <w:tl2br w:val="nil"/>
              <w:tr2bl w:val="nil"/>
            </w:tcBorders>
            <w:noWrap w:val="0"/>
            <w:vAlign w:val="center"/>
          </w:tcPr>
          <w:p w14:paraId="72D389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13A3BD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0.111</w:t>
            </w:r>
          </w:p>
        </w:tc>
        <w:tc>
          <w:tcPr>
            <w:tcW w:w="1281" w:type="dxa"/>
            <w:tcBorders>
              <w:tl2br w:val="nil"/>
              <w:tr2bl w:val="nil"/>
            </w:tcBorders>
            <w:noWrap w:val="0"/>
            <w:vAlign w:val="center"/>
          </w:tcPr>
          <w:p w14:paraId="07AFCA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1231" w:type="dxa"/>
            <w:tcBorders>
              <w:tl2br w:val="nil"/>
              <w:tr2bl w:val="nil"/>
            </w:tcBorders>
            <w:noWrap w:val="0"/>
            <w:vAlign w:val="center"/>
          </w:tcPr>
          <w:p w14:paraId="5EEDAC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0.185</w:t>
            </w:r>
          </w:p>
        </w:tc>
        <w:tc>
          <w:tcPr>
            <w:tcW w:w="896" w:type="dxa"/>
            <w:tcBorders>
              <w:tl2br w:val="nil"/>
              <w:tr2bl w:val="nil"/>
            </w:tcBorders>
            <w:noWrap w:val="0"/>
            <w:vAlign w:val="center"/>
          </w:tcPr>
          <w:p w14:paraId="12554E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73" w:type="dxa"/>
            <w:tcBorders>
              <w:tl2br w:val="nil"/>
              <w:tr2bl w:val="nil"/>
            </w:tcBorders>
            <w:noWrap w:val="0"/>
            <w:vAlign w:val="center"/>
          </w:tcPr>
          <w:p w14:paraId="38879A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0.185 </w:t>
            </w:r>
          </w:p>
        </w:tc>
        <w:tc>
          <w:tcPr>
            <w:tcW w:w="407" w:type="pct"/>
            <w:tcBorders>
              <w:tl2br w:val="nil"/>
              <w:tr2bl w:val="nil"/>
            </w:tcBorders>
            <w:noWrap w:val="0"/>
            <w:vAlign w:val="center"/>
          </w:tcPr>
          <w:p w14:paraId="7141E4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0B2B9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3238AE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硫酸盐</w:t>
            </w:r>
          </w:p>
        </w:tc>
        <w:tc>
          <w:tcPr>
            <w:tcW w:w="808" w:type="dxa"/>
            <w:tcBorders>
              <w:tl2br w:val="nil"/>
              <w:tr2bl w:val="nil"/>
            </w:tcBorders>
            <w:noWrap w:val="0"/>
            <w:vAlign w:val="center"/>
          </w:tcPr>
          <w:p w14:paraId="205B22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30650E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81" w:type="dxa"/>
            <w:tcBorders>
              <w:tl2br w:val="nil"/>
              <w:tr2bl w:val="nil"/>
            </w:tcBorders>
            <w:noWrap w:val="0"/>
            <w:vAlign w:val="center"/>
          </w:tcPr>
          <w:p w14:paraId="41EB47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1231" w:type="dxa"/>
            <w:tcBorders>
              <w:tl2br w:val="nil"/>
              <w:tr2bl w:val="nil"/>
            </w:tcBorders>
            <w:noWrap w:val="0"/>
            <w:vAlign w:val="center"/>
          </w:tcPr>
          <w:p w14:paraId="2772F1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896" w:type="dxa"/>
            <w:tcBorders>
              <w:tl2br w:val="nil"/>
              <w:tr2bl w:val="nil"/>
            </w:tcBorders>
            <w:noWrap w:val="0"/>
            <w:vAlign w:val="center"/>
          </w:tcPr>
          <w:p w14:paraId="415CFD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673" w:type="dxa"/>
            <w:tcBorders>
              <w:tl2br w:val="nil"/>
              <w:tr2bl w:val="nil"/>
            </w:tcBorders>
            <w:noWrap w:val="0"/>
            <w:vAlign w:val="center"/>
          </w:tcPr>
          <w:p w14:paraId="7F5253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0.048 </w:t>
            </w:r>
          </w:p>
        </w:tc>
        <w:tc>
          <w:tcPr>
            <w:tcW w:w="407" w:type="pct"/>
            <w:tcBorders>
              <w:tl2br w:val="nil"/>
              <w:tr2bl w:val="nil"/>
            </w:tcBorders>
            <w:noWrap w:val="0"/>
            <w:vAlign w:val="center"/>
          </w:tcPr>
          <w:p w14:paraId="4EB5FC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03D1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51A31E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氟化物</w:t>
            </w:r>
          </w:p>
        </w:tc>
        <w:tc>
          <w:tcPr>
            <w:tcW w:w="808" w:type="dxa"/>
            <w:tcBorders>
              <w:tl2br w:val="nil"/>
              <w:tr2bl w:val="nil"/>
            </w:tcBorders>
            <w:noWrap w:val="0"/>
            <w:vAlign w:val="center"/>
          </w:tcPr>
          <w:p w14:paraId="00B349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5F84A5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0.365</w:t>
            </w:r>
          </w:p>
        </w:tc>
        <w:tc>
          <w:tcPr>
            <w:tcW w:w="1281" w:type="dxa"/>
            <w:tcBorders>
              <w:tl2br w:val="nil"/>
              <w:tr2bl w:val="nil"/>
            </w:tcBorders>
            <w:noWrap w:val="0"/>
            <w:vAlign w:val="center"/>
          </w:tcPr>
          <w:p w14:paraId="14FBB5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31" w:type="dxa"/>
            <w:tcBorders>
              <w:tl2br w:val="nil"/>
              <w:tr2bl w:val="nil"/>
            </w:tcBorders>
            <w:noWrap w:val="0"/>
            <w:vAlign w:val="center"/>
          </w:tcPr>
          <w:p w14:paraId="25DC3C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0.289</w:t>
            </w:r>
          </w:p>
        </w:tc>
        <w:tc>
          <w:tcPr>
            <w:tcW w:w="896" w:type="dxa"/>
            <w:tcBorders>
              <w:tl2br w:val="nil"/>
              <w:tr2bl w:val="nil"/>
            </w:tcBorders>
            <w:noWrap w:val="0"/>
            <w:vAlign w:val="center"/>
          </w:tcPr>
          <w:p w14:paraId="091782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73" w:type="dxa"/>
            <w:tcBorders>
              <w:tl2br w:val="nil"/>
              <w:tr2bl w:val="nil"/>
            </w:tcBorders>
            <w:noWrap w:val="0"/>
            <w:vAlign w:val="center"/>
          </w:tcPr>
          <w:p w14:paraId="337825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0.365 </w:t>
            </w:r>
          </w:p>
        </w:tc>
        <w:tc>
          <w:tcPr>
            <w:tcW w:w="407" w:type="pct"/>
            <w:tcBorders>
              <w:tl2br w:val="nil"/>
              <w:tr2bl w:val="nil"/>
            </w:tcBorders>
            <w:noWrap w:val="0"/>
            <w:vAlign w:val="center"/>
          </w:tcPr>
          <w:p w14:paraId="728C24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8324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41DAF5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氯化物</w:t>
            </w:r>
          </w:p>
        </w:tc>
        <w:tc>
          <w:tcPr>
            <w:tcW w:w="808" w:type="dxa"/>
            <w:tcBorders>
              <w:tl2br w:val="nil"/>
              <w:tr2bl w:val="nil"/>
            </w:tcBorders>
            <w:noWrap w:val="0"/>
            <w:vAlign w:val="center"/>
          </w:tcPr>
          <w:p w14:paraId="250A00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262277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1281" w:type="dxa"/>
            <w:tcBorders>
              <w:tl2br w:val="nil"/>
              <w:tr2bl w:val="nil"/>
            </w:tcBorders>
            <w:noWrap w:val="0"/>
            <w:vAlign w:val="center"/>
          </w:tcPr>
          <w:p w14:paraId="620CC5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6.04</w:t>
            </w:r>
          </w:p>
        </w:tc>
        <w:tc>
          <w:tcPr>
            <w:tcW w:w="1231" w:type="dxa"/>
            <w:tcBorders>
              <w:tl2br w:val="nil"/>
              <w:tr2bl w:val="nil"/>
            </w:tcBorders>
            <w:noWrap w:val="0"/>
            <w:vAlign w:val="center"/>
          </w:tcPr>
          <w:p w14:paraId="6E1F7E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29.1</w:t>
            </w:r>
          </w:p>
        </w:tc>
        <w:tc>
          <w:tcPr>
            <w:tcW w:w="896" w:type="dxa"/>
            <w:tcBorders>
              <w:tl2br w:val="nil"/>
              <w:tr2bl w:val="nil"/>
            </w:tcBorders>
            <w:noWrap w:val="0"/>
            <w:vAlign w:val="center"/>
          </w:tcPr>
          <w:p w14:paraId="345831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673" w:type="dxa"/>
            <w:tcBorders>
              <w:tl2br w:val="nil"/>
              <w:tr2bl w:val="nil"/>
            </w:tcBorders>
            <w:noWrap w:val="0"/>
            <w:vAlign w:val="center"/>
          </w:tcPr>
          <w:p w14:paraId="77D76D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0.116 </w:t>
            </w:r>
          </w:p>
        </w:tc>
        <w:tc>
          <w:tcPr>
            <w:tcW w:w="407" w:type="pct"/>
            <w:tcBorders>
              <w:tl2br w:val="nil"/>
              <w:tr2bl w:val="nil"/>
            </w:tcBorders>
            <w:noWrap w:val="0"/>
            <w:vAlign w:val="center"/>
          </w:tcPr>
          <w:p w14:paraId="183476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60B7F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1CAD8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挥发性酚类</w:t>
            </w:r>
          </w:p>
        </w:tc>
        <w:tc>
          <w:tcPr>
            <w:tcW w:w="808" w:type="dxa"/>
            <w:tcBorders>
              <w:tl2br w:val="nil"/>
              <w:tr2bl w:val="nil"/>
            </w:tcBorders>
            <w:noWrap w:val="0"/>
            <w:vAlign w:val="center"/>
          </w:tcPr>
          <w:p w14:paraId="09F3E7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21CE64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1281" w:type="dxa"/>
            <w:tcBorders>
              <w:tl2br w:val="nil"/>
              <w:tr2bl w:val="nil"/>
            </w:tcBorders>
            <w:noWrap w:val="0"/>
            <w:vAlign w:val="center"/>
          </w:tcPr>
          <w:p w14:paraId="2FB443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1231" w:type="dxa"/>
            <w:tcBorders>
              <w:tl2br w:val="nil"/>
              <w:tr2bl w:val="nil"/>
            </w:tcBorders>
            <w:noWrap w:val="0"/>
            <w:vAlign w:val="center"/>
          </w:tcPr>
          <w:p w14:paraId="6A0510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896" w:type="dxa"/>
            <w:tcBorders>
              <w:tl2br w:val="nil"/>
              <w:tr2bl w:val="nil"/>
            </w:tcBorders>
            <w:noWrap w:val="0"/>
            <w:vAlign w:val="center"/>
          </w:tcPr>
          <w:p w14:paraId="769AAB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673" w:type="dxa"/>
            <w:tcBorders>
              <w:tl2br w:val="nil"/>
              <w:tr2bl w:val="nil"/>
            </w:tcBorders>
            <w:noWrap w:val="0"/>
            <w:vAlign w:val="center"/>
          </w:tcPr>
          <w:p w14:paraId="45FAFD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0.150 </w:t>
            </w:r>
          </w:p>
        </w:tc>
        <w:tc>
          <w:tcPr>
            <w:tcW w:w="407" w:type="pct"/>
            <w:tcBorders>
              <w:tl2br w:val="nil"/>
              <w:tr2bl w:val="nil"/>
            </w:tcBorders>
            <w:noWrap w:val="0"/>
            <w:vAlign w:val="center"/>
          </w:tcPr>
          <w:p w14:paraId="3ED378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E63A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003F58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氰化物</w:t>
            </w:r>
          </w:p>
        </w:tc>
        <w:tc>
          <w:tcPr>
            <w:tcW w:w="808" w:type="dxa"/>
            <w:tcBorders>
              <w:tl2br w:val="nil"/>
              <w:tr2bl w:val="nil"/>
            </w:tcBorders>
            <w:noWrap w:val="0"/>
            <w:vAlign w:val="center"/>
          </w:tcPr>
          <w:p w14:paraId="27D505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6B8590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281" w:type="dxa"/>
            <w:tcBorders>
              <w:tl2br w:val="nil"/>
              <w:tr2bl w:val="nil"/>
            </w:tcBorders>
            <w:noWrap w:val="0"/>
            <w:vAlign w:val="center"/>
          </w:tcPr>
          <w:p w14:paraId="5A5500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231" w:type="dxa"/>
            <w:tcBorders>
              <w:tl2br w:val="nil"/>
              <w:tr2bl w:val="nil"/>
            </w:tcBorders>
            <w:noWrap w:val="0"/>
            <w:vAlign w:val="center"/>
          </w:tcPr>
          <w:p w14:paraId="32987D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896" w:type="dxa"/>
            <w:tcBorders>
              <w:tl2br w:val="nil"/>
              <w:tr2bl w:val="nil"/>
            </w:tcBorders>
            <w:noWrap w:val="0"/>
            <w:vAlign w:val="center"/>
          </w:tcPr>
          <w:p w14:paraId="5ED5A4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73" w:type="dxa"/>
            <w:tcBorders>
              <w:tl2br w:val="nil"/>
              <w:tr2bl w:val="nil"/>
            </w:tcBorders>
            <w:noWrap w:val="0"/>
            <w:vAlign w:val="center"/>
          </w:tcPr>
          <w:p w14:paraId="7338C3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0.080 </w:t>
            </w:r>
          </w:p>
        </w:tc>
        <w:tc>
          <w:tcPr>
            <w:tcW w:w="407" w:type="pct"/>
            <w:tcBorders>
              <w:tl2br w:val="nil"/>
              <w:tr2bl w:val="nil"/>
            </w:tcBorders>
            <w:noWrap w:val="0"/>
            <w:vAlign w:val="center"/>
          </w:tcPr>
          <w:p w14:paraId="5FE457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826F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3C84CB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砷</w:t>
            </w:r>
          </w:p>
        </w:tc>
        <w:tc>
          <w:tcPr>
            <w:tcW w:w="808" w:type="dxa"/>
            <w:tcBorders>
              <w:tl2br w:val="nil"/>
              <w:tr2bl w:val="nil"/>
            </w:tcBorders>
            <w:noWrap w:val="0"/>
            <w:vAlign w:val="center"/>
          </w:tcPr>
          <w:p w14:paraId="7CB944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318F59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0.0036</w:t>
            </w:r>
          </w:p>
        </w:tc>
        <w:tc>
          <w:tcPr>
            <w:tcW w:w="1281" w:type="dxa"/>
            <w:tcBorders>
              <w:tl2br w:val="nil"/>
              <w:tr2bl w:val="nil"/>
            </w:tcBorders>
            <w:noWrap w:val="0"/>
            <w:vAlign w:val="center"/>
          </w:tcPr>
          <w:p w14:paraId="08D05A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0.0005</w:t>
            </w:r>
          </w:p>
        </w:tc>
        <w:tc>
          <w:tcPr>
            <w:tcW w:w="1231" w:type="dxa"/>
            <w:tcBorders>
              <w:tl2br w:val="nil"/>
              <w:tr2bl w:val="nil"/>
            </w:tcBorders>
            <w:noWrap w:val="0"/>
            <w:vAlign w:val="center"/>
          </w:tcPr>
          <w:p w14:paraId="5D048E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0.0009</w:t>
            </w:r>
          </w:p>
        </w:tc>
        <w:tc>
          <w:tcPr>
            <w:tcW w:w="896" w:type="dxa"/>
            <w:tcBorders>
              <w:tl2br w:val="nil"/>
              <w:tr2bl w:val="nil"/>
            </w:tcBorders>
            <w:noWrap w:val="0"/>
            <w:vAlign w:val="center"/>
          </w:tcPr>
          <w:p w14:paraId="289AAE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73" w:type="dxa"/>
            <w:tcBorders>
              <w:tl2br w:val="nil"/>
              <w:tr2bl w:val="nil"/>
            </w:tcBorders>
            <w:noWrap w:val="0"/>
            <w:vAlign w:val="center"/>
          </w:tcPr>
          <w:p w14:paraId="64E655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0.360 </w:t>
            </w:r>
          </w:p>
        </w:tc>
        <w:tc>
          <w:tcPr>
            <w:tcW w:w="407" w:type="pct"/>
            <w:tcBorders>
              <w:tl2br w:val="nil"/>
              <w:tr2bl w:val="nil"/>
            </w:tcBorders>
            <w:noWrap w:val="0"/>
            <w:vAlign w:val="center"/>
          </w:tcPr>
          <w:p w14:paraId="7C6D3F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0AF75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7061D4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汞</w:t>
            </w:r>
          </w:p>
        </w:tc>
        <w:tc>
          <w:tcPr>
            <w:tcW w:w="808" w:type="dxa"/>
            <w:tcBorders>
              <w:tl2br w:val="nil"/>
              <w:tr2bl w:val="nil"/>
            </w:tcBorders>
            <w:noWrap w:val="0"/>
            <w:vAlign w:val="center"/>
          </w:tcPr>
          <w:p w14:paraId="76B75E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6DFB4B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1281" w:type="dxa"/>
            <w:tcBorders>
              <w:tl2br w:val="nil"/>
              <w:tr2bl w:val="nil"/>
            </w:tcBorders>
            <w:noWrap w:val="0"/>
            <w:vAlign w:val="center"/>
          </w:tcPr>
          <w:p w14:paraId="29D0C6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1231" w:type="dxa"/>
            <w:tcBorders>
              <w:tl2br w:val="nil"/>
              <w:tr2bl w:val="nil"/>
            </w:tcBorders>
            <w:noWrap w:val="0"/>
            <w:vAlign w:val="center"/>
          </w:tcPr>
          <w:p w14:paraId="2A945B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896" w:type="dxa"/>
            <w:tcBorders>
              <w:tl2br w:val="nil"/>
              <w:tr2bl w:val="nil"/>
            </w:tcBorders>
            <w:noWrap w:val="0"/>
            <w:vAlign w:val="center"/>
          </w:tcPr>
          <w:p w14:paraId="72C06B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673" w:type="dxa"/>
            <w:tcBorders>
              <w:tl2br w:val="nil"/>
              <w:tr2bl w:val="nil"/>
            </w:tcBorders>
            <w:noWrap w:val="0"/>
            <w:vAlign w:val="center"/>
          </w:tcPr>
          <w:p w14:paraId="17C5F6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0.040 </w:t>
            </w:r>
          </w:p>
        </w:tc>
        <w:tc>
          <w:tcPr>
            <w:tcW w:w="407" w:type="pct"/>
            <w:tcBorders>
              <w:tl2br w:val="nil"/>
              <w:tr2bl w:val="nil"/>
            </w:tcBorders>
            <w:noWrap w:val="0"/>
            <w:vAlign w:val="center"/>
          </w:tcPr>
          <w:p w14:paraId="4A5C69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B9F9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0F11C5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六价铬</w:t>
            </w:r>
          </w:p>
        </w:tc>
        <w:tc>
          <w:tcPr>
            <w:tcW w:w="808" w:type="dxa"/>
            <w:tcBorders>
              <w:tl2br w:val="nil"/>
              <w:tr2bl w:val="nil"/>
            </w:tcBorders>
            <w:noWrap w:val="0"/>
            <w:vAlign w:val="center"/>
          </w:tcPr>
          <w:p w14:paraId="78DF73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4E39BB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281" w:type="dxa"/>
            <w:tcBorders>
              <w:tl2br w:val="nil"/>
              <w:tr2bl w:val="nil"/>
            </w:tcBorders>
            <w:noWrap w:val="0"/>
            <w:vAlign w:val="center"/>
          </w:tcPr>
          <w:p w14:paraId="5E0544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1231" w:type="dxa"/>
            <w:tcBorders>
              <w:tl2br w:val="nil"/>
              <w:tr2bl w:val="nil"/>
            </w:tcBorders>
            <w:noWrap w:val="0"/>
            <w:vAlign w:val="center"/>
          </w:tcPr>
          <w:p w14:paraId="5652CB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896" w:type="dxa"/>
            <w:tcBorders>
              <w:tl2br w:val="nil"/>
              <w:tr2bl w:val="nil"/>
            </w:tcBorders>
            <w:noWrap w:val="0"/>
            <w:vAlign w:val="center"/>
          </w:tcPr>
          <w:p w14:paraId="6EF69E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73" w:type="dxa"/>
            <w:tcBorders>
              <w:tl2br w:val="nil"/>
              <w:tr2bl w:val="nil"/>
            </w:tcBorders>
            <w:noWrap w:val="0"/>
            <w:vAlign w:val="center"/>
          </w:tcPr>
          <w:p w14:paraId="516825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0.080 </w:t>
            </w:r>
          </w:p>
        </w:tc>
        <w:tc>
          <w:tcPr>
            <w:tcW w:w="407" w:type="pct"/>
            <w:tcBorders>
              <w:tl2br w:val="nil"/>
              <w:tr2bl w:val="nil"/>
            </w:tcBorders>
            <w:noWrap w:val="0"/>
            <w:vAlign w:val="center"/>
          </w:tcPr>
          <w:p w14:paraId="08AA0A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6958D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7E51B6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铅</w:t>
            </w:r>
          </w:p>
        </w:tc>
        <w:tc>
          <w:tcPr>
            <w:tcW w:w="808" w:type="dxa"/>
            <w:tcBorders>
              <w:tl2br w:val="nil"/>
              <w:tr2bl w:val="nil"/>
            </w:tcBorders>
            <w:noWrap w:val="0"/>
            <w:vAlign w:val="center"/>
          </w:tcPr>
          <w:p w14:paraId="33D5FB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52CD6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1281" w:type="dxa"/>
            <w:tcBorders>
              <w:tl2br w:val="nil"/>
              <w:tr2bl w:val="nil"/>
            </w:tcBorders>
            <w:noWrap w:val="0"/>
            <w:vAlign w:val="center"/>
          </w:tcPr>
          <w:p w14:paraId="1FA704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231" w:type="dxa"/>
            <w:tcBorders>
              <w:tl2br w:val="nil"/>
              <w:tr2bl w:val="nil"/>
            </w:tcBorders>
            <w:noWrap w:val="0"/>
            <w:vAlign w:val="center"/>
          </w:tcPr>
          <w:p w14:paraId="3EC69B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u w:val="none" w:color="auto"/>
                <w:lang w:val="en-US" w:eastAsia="zh-CN" w:bidi="ar-SA"/>
              </w:rPr>
            </w:pPr>
            <w:r>
              <w:rPr>
                <w:rFonts w:hint="default" w:ascii="Times New Roman" w:hAnsi="Times New Roman" w:eastAsia="宋体" w:cs="Times New Roman"/>
                <w:sz w:val="21"/>
                <w:szCs w:val="21"/>
                <w:lang w:val="en-US" w:eastAsia="zh-CN"/>
              </w:rPr>
              <w:t>0.001L</w:t>
            </w:r>
          </w:p>
        </w:tc>
        <w:tc>
          <w:tcPr>
            <w:tcW w:w="896" w:type="dxa"/>
            <w:tcBorders>
              <w:tl2br w:val="nil"/>
              <w:tr2bl w:val="nil"/>
            </w:tcBorders>
            <w:noWrap w:val="0"/>
            <w:vAlign w:val="center"/>
          </w:tcPr>
          <w:p w14:paraId="3FBAFC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73" w:type="dxa"/>
            <w:tcBorders>
              <w:tl2br w:val="nil"/>
              <w:tr2bl w:val="nil"/>
            </w:tcBorders>
            <w:noWrap w:val="0"/>
            <w:vAlign w:val="center"/>
          </w:tcPr>
          <w:p w14:paraId="3CF632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0.400 </w:t>
            </w:r>
          </w:p>
        </w:tc>
        <w:tc>
          <w:tcPr>
            <w:tcW w:w="407" w:type="pct"/>
            <w:tcBorders>
              <w:tl2br w:val="nil"/>
              <w:tr2bl w:val="nil"/>
            </w:tcBorders>
            <w:noWrap w:val="0"/>
            <w:vAlign w:val="center"/>
          </w:tcPr>
          <w:p w14:paraId="2DF997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339F1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5E31D6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镉</w:t>
            </w:r>
          </w:p>
        </w:tc>
        <w:tc>
          <w:tcPr>
            <w:tcW w:w="808" w:type="dxa"/>
            <w:tcBorders>
              <w:tl2br w:val="nil"/>
              <w:tr2bl w:val="nil"/>
            </w:tcBorders>
            <w:noWrap w:val="0"/>
            <w:vAlign w:val="center"/>
          </w:tcPr>
          <w:p w14:paraId="37A50B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5DC233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0.0001L</w:t>
            </w:r>
          </w:p>
        </w:tc>
        <w:tc>
          <w:tcPr>
            <w:tcW w:w="1281" w:type="dxa"/>
            <w:tcBorders>
              <w:tl2br w:val="nil"/>
              <w:tr2bl w:val="nil"/>
            </w:tcBorders>
            <w:noWrap w:val="0"/>
            <w:vAlign w:val="center"/>
          </w:tcPr>
          <w:p w14:paraId="40B5FC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0.0001L</w:t>
            </w:r>
          </w:p>
        </w:tc>
        <w:tc>
          <w:tcPr>
            <w:tcW w:w="1231" w:type="dxa"/>
            <w:tcBorders>
              <w:tl2br w:val="nil"/>
              <w:tr2bl w:val="nil"/>
            </w:tcBorders>
            <w:noWrap w:val="0"/>
            <w:vAlign w:val="center"/>
          </w:tcPr>
          <w:p w14:paraId="149821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0.0041</w:t>
            </w:r>
          </w:p>
        </w:tc>
        <w:tc>
          <w:tcPr>
            <w:tcW w:w="896" w:type="dxa"/>
            <w:tcBorders>
              <w:tl2br w:val="nil"/>
              <w:tr2bl w:val="nil"/>
            </w:tcBorders>
            <w:noWrap w:val="0"/>
            <w:vAlign w:val="center"/>
          </w:tcPr>
          <w:p w14:paraId="3F5D1B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73" w:type="dxa"/>
            <w:tcBorders>
              <w:tl2br w:val="nil"/>
              <w:tr2bl w:val="nil"/>
            </w:tcBorders>
            <w:noWrap w:val="0"/>
            <w:vAlign w:val="center"/>
          </w:tcPr>
          <w:p w14:paraId="7170B6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0.082 </w:t>
            </w:r>
          </w:p>
        </w:tc>
        <w:tc>
          <w:tcPr>
            <w:tcW w:w="407" w:type="pct"/>
            <w:tcBorders>
              <w:tl2br w:val="nil"/>
              <w:tr2bl w:val="nil"/>
            </w:tcBorders>
            <w:noWrap w:val="0"/>
            <w:vAlign w:val="center"/>
          </w:tcPr>
          <w:p w14:paraId="21BA1C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7A81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76C00B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铁</w:t>
            </w:r>
          </w:p>
        </w:tc>
        <w:tc>
          <w:tcPr>
            <w:tcW w:w="808" w:type="dxa"/>
            <w:tcBorders>
              <w:tl2br w:val="nil"/>
              <w:tr2bl w:val="nil"/>
            </w:tcBorders>
            <w:noWrap w:val="0"/>
            <w:vAlign w:val="center"/>
          </w:tcPr>
          <w:p w14:paraId="427831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E498E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0.03L</w:t>
            </w:r>
          </w:p>
        </w:tc>
        <w:tc>
          <w:tcPr>
            <w:tcW w:w="1281" w:type="dxa"/>
            <w:tcBorders>
              <w:tl2br w:val="nil"/>
              <w:tr2bl w:val="nil"/>
            </w:tcBorders>
            <w:noWrap w:val="0"/>
            <w:vAlign w:val="center"/>
          </w:tcPr>
          <w:p w14:paraId="5004F4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0.03L</w:t>
            </w:r>
          </w:p>
        </w:tc>
        <w:tc>
          <w:tcPr>
            <w:tcW w:w="1231" w:type="dxa"/>
            <w:tcBorders>
              <w:tl2br w:val="nil"/>
              <w:tr2bl w:val="nil"/>
            </w:tcBorders>
            <w:noWrap w:val="0"/>
            <w:vAlign w:val="center"/>
          </w:tcPr>
          <w:p w14:paraId="7C67AB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0.03L</w:t>
            </w:r>
          </w:p>
        </w:tc>
        <w:tc>
          <w:tcPr>
            <w:tcW w:w="896" w:type="dxa"/>
            <w:tcBorders>
              <w:tl2br w:val="nil"/>
              <w:tr2bl w:val="nil"/>
            </w:tcBorders>
            <w:noWrap w:val="0"/>
            <w:vAlign w:val="center"/>
          </w:tcPr>
          <w:p w14:paraId="515FAD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673" w:type="dxa"/>
            <w:tcBorders>
              <w:tl2br w:val="nil"/>
              <w:tr2bl w:val="nil"/>
            </w:tcBorders>
            <w:noWrap w:val="0"/>
            <w:vAlign w:val="center"/>
          </w:tcPr>
          <w:p w14:paraId="024235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0.010 </w:t>
            </w:r>
          </w:p>
        </w:tc>
        <w:tc>
          <w:tcPr>
            <w:tcW w:w="407" w:type="pct"/>
            <w:tcBorders>
              <w:tl2br w:val="nil"/>
              <w:tr2bl w:val="nil"/>
            </w:tcBorders>
            <w:noWrap w:val="0"/>
            <w:vAlign w:val="center"/>
          </w:tcPr>
          <w:p w14:paraId="4FD606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45ABF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1AE0B4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锰</w:t>
            </w:r>
          </w:p>
        </w:tc>
        <w:tc>
          <w:tcPr>
            <w:tcW w:w="808" w:type="dxa"/>
            <w:tcBorders>
              <w:tl2br w:val="nil"/>
              <w:tr2bl w:val="nil"/>
            </w:tcBorders>
            <w:noWrap w:val="0"/>
            <w:vAlign w:val="center"/>
          </w:tcPr>
          <w:p w14:paraId="70FEDE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F30F3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1281" w:type="dxa"/>
            <w:tcBorders>
              <w:tl2br w:val="nil"/>
              <w:tr2bl w:val="nil"/>
            </w:tcBorders>
            <w:noWrap w:val="0"/>
            <w:vAlign w:val="center"/>
          </w:tcPr>
          <w:p w14:paraId="722442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1231" w:type="dxa"/>
            <w:tcBorders>
              <w:tl2br w:val="nil"/>
              <w:tr2bl w:val="nil"/>
            </w:tcBorders>
            <w:noWrap w:val="0"/>
            <w:vAlign w:val="center"/>
          </w:tcPr>
          <w:p w14:paraId="56F2D1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0.01L</w:t>
            </w:r>
          </w:p>
        </w:tc>
        <w:tc>
          <w:tcPr>
            <w:tcW w:w="896" w:type="dxa"/>
            <w:tcBorders>
              <w:tl2br w:val="nil"/>
              <w:tr2bl w:val="nil"/>
            </w:tcBorders>
            <w:noWrap w:val="0"/>
            <w:vAlign w:val="center"/>
          </w:tcPr>
          <w:p w14:paraId="5D5323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673" w:type="dxa"/>
            <w:tcBorders>
              <w:tl2br w:val="nil"/>
              <w:tr2bl w:val="nil"/>
            </w:tcBorders>
            <w:noWrap w:val="0"/>
            <w:vAlign w:val="center"/>
          </w:tcPr>
          <w:p w14:paraId="3F02A5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0.010 </w:t>
            </w:r>
          </w:p>
        </w:tc>
        <w:tc>
          <w:tcPr>
            <w:tcW w:w="407" w:type="pct"/>
            <w:tcBorders>
              <w:tl2br w:val="nil"/>
              <w:tr2bl w:val="nil"/>
            </w:tcBorders>
            <w:noWrap w:val="0"/>
            <w:vAlign w:val="center"/>
          </w:tcPr>
          <w:p w14:paraId="5365AE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201FF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54DB06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溶解性总固体</w:t>
            </w:r>
          </w:p>
        </w:tc>
        <w:tc>
          <w:tcPr>
            <w:tcW w:w="808" w:type="dxa"/>
            <w:tcBorders>
              <w:tl2br w:val="nil"/>
              <w:tr2bl w:val="nil"/>
            </w:tcBorders>
            <w:noWrap w:val="0"/>
            <w:vAlign w:val="center"/>
          </w:tcPr>
          <w:p w14:paraId="295368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6367D5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369</w:t>
            </w:r>
          </w:p>
        </w:tc>
        <w:tc>
          <w:tcPr>
            <w:tcW w:w="1281" w:type="dxa"/>
            <w:tcBorders>
              <w:tl2br w:val="nil"/>
              <w:tr2bl w:val="nil"/>
            </w:tcBorders>
            <w:noWrap w:val="0"/>
            <w:vAlign w:val="center"/>
          </w:tcPr>
          <w:p w14:paraId="443821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1231" w:type="dxa"/>
            <w:tcBorders>
              <w:tl2br w:val="nil"/>
              <w:tr2bl w:val="nil"/>
            </w:tcBorders>
            <w:noWrap w:val="0"/>
            <w:vAlign w:val="center"/>
          </w:tcPr>
          <w:p w14:paraId="78F15A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371</w:t>
            </w:r>
          </w:p>
        </w:tc>
        <w:tc>
          <w:tcPr>
            <w:tcW w:w="896" w:type="dxa"/>
            <w:tcBorders>
              <w:tl2br w:val="nil"/>
              <w:tr2bl w:val="nil"/>
            </w:tcBorders>
            <w:noWrap w:val="0"/>
            <w:vAlign w:val="center"/>
          </w:tcPr>
          <w:p w14:paraId="58D5B4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673" w:type="dxa"/>
            <w:tcBorders>
              <w:tl2br w:val="nil"/>
              <w:tr2bl w:val="nil"/>
            </w:tcBorders>
            <w:noWrap w:val="0"/>
            <w:vAlign w:val="center"/>
          </w:tcPr>
          <w:p w14:paraId="1AACB2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0.375 </w:t>
            </w:r>
          </w:p>
        </w:tc>
        <w:tc>
          <w:tcPr>
            <w:tcW w:w="407" w:type="pct"/>
            <w:tcBorders>
              <w:tl2br w:val="nil"/>
              <w:tr2bl w:val="nil"/>
            </w:tcBorders>
            <w:noWrap w:val="0"/>
            <w:vAlign w:val="center"/>
          </w:tcPr>
          <w:p w14:paraId="664131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57139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52BF95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总硬度</w:t>
            </w:r>
          </w:p>
        </w:tc>
        <w:tc>
          <w:tcPr>
            <w:tcW w:w="808" w:type="dxa"/>
            <w:tcBorders>
              <w:tl2br w:val="nil"/>
              <w:tr2bl w:val="nil"/>
            </w:tcBorders>
            <w:noWrap w:val="0"/>
            <w:vAlign w:val="center"/>
          </w:tcPr>
          <w:p w14:paraId="2B8E6A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0706A0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1281" w:type="dxa"/>
            <w:tcBorders>
              <w:tl2br w:val="nil"/>
              <w:tr2bl w:val="nil"/>
            </w:tcBorders>
            <w:noWrap w:val="0"/>
            <w:vAlign w:val="center"/>
          </w:tcPr>
          <w:p w14:paraId="3615AE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291</w:t>
            </w:r>
          </w:p>
        </w:tc>
        <w:tc>
          <w:tcPr>
            <w:tcW w:w="1231" w:type="dxa"/>
            <w:tcBorders>
              <w:tl2br w:val="nil"/>
              <w:tr2bl w:val="nil"/>
            </w:tcBorders>
            <w:noWrap w:val="0"/>
            <w:vAlign w:val="center"/>
          </w:tcPr>
          <w:p w14:paraId="531BA5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231</w:t>
            </w:r>
          </w:p>
        </w:tc>
        <w:tc>
          <w:tcPr>
            <w:tcW w:w="896" w:type="dxa"/>
            <w:tcBorders>
              <w:tl2br w:val="nil"/>
              <w:tr2bl w:val="nil"/>
            </w:tcBorders>
            <w:noWrap w:val="0"/>
            <w:vAlign w:val="center"/>
          </w:tcPr>
          <w:p w14:paraId="311587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450</w:t>
            </w:r>
          </w:p>
        </w:tc>
        <w:tc>
          <w:tcPr>
            <w:tcW w:w="673" w:type="dxa"/>
            <w:tcBorders>
              <w:tl2br w:val="nil"/>
              <w:tr2bl w:val="nil"/>
            </w:tcBorders>
            <w:noWrap w:val="0"/>
            <w:vAlign w:val="center"/>
          </w:tcPr>
          <w:p w14:paraId="14FE4A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0.647 </w:t>
            </w:r>
          </w:p>
        </w:tc>
        <w:tc>
          <w:tcPr>
            <w:tcW w:w="407" w:type="pct"/>
            <w:tcBorders>
              <w:tl2br w:val="nil"/>
              <w:tr2bl w:val="nil"/>
            </w:tcBorders>
            <w:noWrap w:val="0"/>
            <w:vAlign w:val="center"/>
          </w:tcPr>
          <w:p w14:paraId="577119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6E0E7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00D0F0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耗氧量</w:t>
            </w:r>
          </w:p>
        </w:tc>
        <w:tc>
          <w:tcPr>
            <w:tcW w:w="808" w:type="dxa"/>
            <w:tcBorders>
              <w:tl2br w:val="nil"/>
              <w:tr2bl w:val="nil"/>
            </w:tcBorders>
            <w:noWrap w:val="0"/>
            <w:vAlign w:val="center"/>
          </w:tcPr>
          <w:p w14:paraId="271B3B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1218" w:type="dxa"/>
            <w:tcBorders>
              <w:tl2br w:val="nil"/>
              <w:tr2bl w:val="nil"/>
            </w:tcBorders>
            <w:noWrap w:val="0"/>
            <w:vAlign w:val="center"/>
          </w:tcPr>
          <w:p w14:paraId="7A50D8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1" w:type="dxa"/>
            <w:tcBorders>
              <w:tl2br w:val="nil"/>
              <w:tr2bl w:val="nil"/>
            </w:tcBorders>
            <w:noWrap w:val="0"/>
            <w:vAlign w:val="center"/>
          </w:tcPr>
          <w:p w14:paraId="2CE22C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231" w:type="dxa"/>
            <w:tcBorders>
              <w:tl2br w:val="nil"/>
              <w:tr2bl w:val="nil"/>
            </w:tcBorders>
            <w:noWrap w:val="0"/>
            <w:vAlign w:val="center"/>
          </w:tcPr>
          <w:p w14:paraId="5EBEC1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896" w:type="dxa"/>
            <w:tcBorders>
              <w:tl2br w:val="nil"/>
              <w:tr2bl w:val="nil"/>
            </w:tcBorders>
            <w:noWrap w:val="0"/>
            <w:vAlign w:val="center"/>
          </w:tcPr>
          <w:p w14:paraId="711259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73" w:type="dxa"/>
            <w:tcBorders>
              <w:tl2br w:val="nil"/>
              <w:tr2bl w:val="nil"/>
            </w:tcBorders>
            <w:noWrap w:val="0"/>
            <w:vAlign w:val="center"/>
          </w:tcPr>
          <w:p w14:paraId="39B11E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0.433 </w:t>
            </w:r>
          </w:p>
        </w:tc>
        <w:tc>
          <w:tcPr>
            <w:tcW w:w="407" w:type="pct"/>
            <w:tcBorders>
              <w:tl2br w:val="nil"/>
              <w:tr2bl w:val="nil"/>
            </w:tcBorders>
            <w:noWrap w:val="0"/>
            <w:vAlign w:val="center"/>
          </w:tcPr>
          <w:p w14:paraId="3FD58A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179A8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250D22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总大肠菌群</w:t>
            </w:r>
          </w:p>
        </w:tc>
        <w:tc>
          <w:tcPr>
            <w:tcW w:w="808" w:type="dxa"/>
            <w:tcBorders>
              <w:tl2br w:val="nil"/>
              <w:tr2bl w:val="nil"/>
            </w:tcBorders>
            <w:noWrap w:val="0"/>
            <w:vAlign w:val="center"/>
          </w:tcPr>
          <w:p w14:paraId="497C86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MPN/100mL</w:t>
            </w:r>
          </w:p>
        </w:tc>
        <w:tc>
          <w:tcPr>
            <w:tcW w:w="1218" w:type="dxa"/>
            <w:tcBorders>
              <w:tl2br w:val="nil"/>
              <w:tr2bl w:val="nil"/>
            </w:tcBorders>
            <w:noWrap w:val="0"/>
            <w:vAlign w:val="center"/>
          </w:tcPr>
          <w:p w14:paraId="14BD3C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未检出</w:t>
            </w:r>
          </w:p>
        </w:tc>
        <w:tc>
          <w:tcPr>
            <w:tcW w:w="1281" w:type="dxa"/>
            <w:tcBorders>
              <w:tl2br w:val="nil"/>
              <w:tr2bl w:val="nil"/>
            </w:tcBorders>
            <w:noWrap w:val="0"/>
            <w:vAlign w:val="center"/>
          </w:tcPr>
          <w:p w14:paraId="703F4F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未检出</w:t>
            </w:r>
          </w:p>
        </w:tc>
        <w:tc>
          <w:tcPr>
            <w:tcW w:w="1231" w:type="dxa"/>
            <w:tcBorders>
              <w:tl2br w:val="nil"/>
              <w:tr2bl w:val="nil"/>
            </w:tcBorders>
            <w:noWrap w:val="0"/>
            <w:vAlign w:val="center"/>
          </w:tcPr>
          <w:p w14:paraId="510015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未检出</w:t>
            </w:r>
          </w:p>
        </w:tc>
        <w:tc>
          <w:tcPr>
            <w:tcW w:w="896" w:type="dxa"/>
            <w:tcBorders>
              <w:tl2br w:val="nil"/>
              <w:tr2bl w:val="nil"/>
            </w:tcBorders>
            <w:noWrap w:val="0"/>
            <w:vAlign w:val="center"/>
          </w:tcPr>
          <w:p w14:paraId="59FC53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73" w:type="dxa"/>
            <w:tcBorders>
              <w:tl2br w:val="nil"/>
              <w:tr2bl w:val="nil"/>
            </w:tcBorders>
            <w:noWrap w:val="0"/>
            <w:vAlign w:val="center"/>
          </w:tcPr>
          <w:p w14:paraId="2364E2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07" w:type="pct"/>
            <w:tcBorders>
              <w:tl2br w:val="nil"/>
              <w:tr2bl w:val="nil"/>
            </w:tcBorders>
            <w:noWrap w:val="0"/>
            <w:vAlign w:val="center"/>
          </w:tcPr>
          <w:p w14:paraId="6B50F5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0D72F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51" w:type="dxa"/>
            <w:tcBorders>
              <w:tl2br w:val="nil"/>
              <w:tr2bl w:val="nil"/>
            </w:tcBorders>
            <w:noWrap w:val="0"/>
            <w:vAlign w:val="center"/>
          </w:tcPr>
          <w:p w14:paraId="5C666A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00"/>
                <w:kern w:val="0"/>
                <w:sz w:val="21"/>
                <w:szCs w:val="21"/>
                <w:u w:val="none"/>
                <w:lang w:val="en-US" w:eastAsia="zh-CN" w:bidi="ar"/>
              </w:rPr>
              <w:t>细菌总数</w:t>
            </w:r>
          </w:p>
        </w:tc>
        <w:tc>
          <w:tcPr>
            <w:tcW w:w="808" w:type="dxa"/>
            <w:tcBorders>
              <w:tl2br w:val="nil"/>
              <w:tr2bl w:val="nil"/>
            </w:tcBorders>
            <w:noWrap w:val="0"/>
            <w:vAlign w:val="center"/>
          </w:tcPr>
          <w:p w14:paraId="11871A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CFU/mL</w:t>
            </w:r>
          </w:p>
        </w:tc>
        <w:tc>
          <w:tcPr>
            <w:tcW w:w="1218" w:type="dxa"/>
            <w:tcBorders>
              <w:tl2br w:val="nil"/>
              <w:tr2bl w:val="nil"/>
            </w:tcBorders>
            <w:noWrap w:val="0"/>
            <w:vAlign w:val="center"/>
          </w:tcPr>
          <w:p w14:paraId="7F21F1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281" w:type="dxa"/>
            <w:tcBorders>
              <w:tl2br w:val="nil"/>
              <w:tr2bl w:val="nil"/>
            </w:tcBorders>
            <w:noWrap w:val="0"/>
            <w:vAlign w:val="center"/>
          </w:tcPr>
          <w:p w14:paraId="693D6B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231" w:type="dxa"/>
            <w:tcBorders>
              <w:tl2br w:val="nil"/>
              <w:tr2bl w:val="nil"/>
            </w:tcBorders>
            <w:noWrap w:val="0"/>
            <w:vAlign w:val="center"/>
          </w:tcPr>
          <w:p w14:paraId="6894BF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96" w:type="dxa"/>
            <w:tcBorders>
              <w:tl2br w:val="nil"/>
              <w:tr2bl w:val="nil"/>
            </w:tcBorders>
            <w:noWrap w:val="0"/>
            <w:vAlign w:val="center"/>
          </w:tcPr>
          <w:p w14:paraId="4247D0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673" w:type="dxa"/>
            <w:tcBorders>
              <w:tl2br w:val="nil"/>
              <w:tr2bl w:val="nil"/>
            </w:tcBorders>
            <w:noWrap w:val="0"/>
            <w:vAlign w:val="center"/>
          </w:tcPr>
          <w:p w14:paraId="74DF92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0.200 </w:t>
            </w:r>
          </w:p>
        </w:tc>
        <w:tc>
          <w:tcPr>
            <w:tcW w:w="407" w:type="pct"/>
            <w:tcBorders>
              <w:tl2br w:val="nil"/>
              <w:tr2bl w:val="nil"/>
            </w:tcBorders>
            <w:noWrap w:val="0"/>
            <w:vAlign w:val="center"/>
          </w:tcPr>
          <w:p w14:paraId="2BA1B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r w14:paraId="793F5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8"/>
            <w:tcBorders>
              <w:tl2br w:val="nil"/>
              <w:tr2bl w:val="nil"/>
            </w:tcBorders>
            <w:noWrap w:val="0"/>
            <w:vAlign w:val="center"/>
          </w:tcPr>
          <w:p w14:paraId="284F509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color w:val="auto"/>
                <w:sz w:val="21"/>
                <w:szCs w:val="21"/>
                <w:u w:val="none" w:color="auto"/>
              </w:rPr>
              <w:t>备注：“检出限+</w:t>
            </w:r>
            <w:r>
              <w:rPr>
                <w:rFonts w:hint="default" w:ascii="Times New Roman" w:hAnsi="Times New Roman" w:eastAsia="宋体" w:cs="Times New Roman"/>
                <w:color w:val="auto"/>
                <w:sz w:val="21"/>
                <w:szCs w:val="21"/>
                <w:u w:val="none" w:color="auto"/>
                <w:lang w:val="en-US" w:eastAsia="zh-CN"/>
              </w:rPr>
              <w:t>L</w:t>
            </w:r>
            <w:r>
              <w:rPr>
                <w:rFonts w:hint="default" w:ascii="Times New Roman" w:hAnsi="Times New Roman" w:eastAsia="宋体" w:cs="Times New Roman"/>
                <w:color w:val="auto"/>
                <w:sz w:val="21"/>
                <w:szCs w:val="21"/>
                <w:u w:val="none" w:color="auto"/>
              </w:rPr>
              <w:t>”表示检测结果低于本方法检出限，未检出</w:t>
            </w:r>
          </w:p>
        </w:tc>
      </w:tr>
    </w:tbl>
    <w:p w14:paraId="2BE28DB1">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从</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上表</w:t>
      </w:r>
      <w:r>
        <w:rPr>
          <w:rFonts w:hint="default" w:ascii="Times New Roman" w:hAnsi="Times New Roman" w:eastAsia="宋体" w:cs="Times New Roman"/>
          <w:caps w:val="0"/>
          <w:smallCaps w:val="0"/>
          <w:color w:val="auto"/>
          <w:spacing w:val="0"/>
          <w:w w:val="100"/>
          <w:kern w:val="0"/>
          <w:position w:val="0"/>
          <w:sz w:val="24"/>
          <w:szCs w:val="24"/>
          <w:u w:val="none" w:color="auto"/>
        </w:rPr>
        <w:t>可以看出，本次地下水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各</w:t>
      </w:r>
      <w:r>
        <w:rPr>
          <w:rFonts w:hint="default" w:ascii="Times New Roman" w:hAnsi="Times New Roman" w:eastAsia="宋体" w:cs="Times New Roman"/>
          <w:caps w:val="0"/>
          <w:smallCaps w:val="0"/>
          <w:color w:val="auto"/>
          <w:spacing w:val="0"/>
          <w:w w:val="100"/>
          <w:kern w:val="0"/>
          <w:position w:val="0"/>
          <w:sz w:val="24"/>
          <w:szCs w:val="24"/>
          <w:u w:val="none" w:color="auto"/>
        </w:rPr>
        <w:t>监测点位</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各</w:t>
      </w:r>
      <w:r>
        <w:rPr>
          <w:rFonts w:hint="default" w:ascii="Times New Roman" w:hAnsi="Times New Roman" w:eastAsia="宋体" w:cs="Times New Roman"/>
          <w:caps w:val="0"/>
          <w:smallCaps w:val="0"/>
          <w:color w:val="auto"/>
          <w:spacing w:val="0"/>
          <w:w w:val="100"/>
          <w:kern w:val="0"/>
          <w:position w:val="0"/>
          <w:sz w:val="24"/>
          <w:szCs w:val="24"/>
          <w:u w:val="none" w:color="auto"/>
        </w:rPr>
        <w:t>监测项目均达到《地下水质量标准》（GB/T14848-2017） Ⅲ类标准限值要求。</w:t>
      </w:r>
    </w:p>
    <w:p w14:paraId="07A5568B">
      <w:pPr>
        <w:pStyle w:val="4"/>
        <w:bidi w:val="0"/>
        <w:rPr>
          <w:rFonts w:hint="default" w:ascii="Times New Roman" w:hAnsi="Times New Roman" w:cs="Times New Roman"/>
          <w:color w:val="auto"/>
          <w:u w:val="none" w:color="auto"/>
          <w:lang w:val="en-US" w:eastAsia="zh-CN"/>
        </w:rPr>
      </w:pPr>
      <w:bookmarkStart w:id="145" w:name="_Toc28017"/>
      <w:r>
        <w:rPr>
          <w:rFonts w:hint="default" w:ascii="Times New Roman" w:hAnsi="Times New Roman" w:cs="Times New Roman"/>
          <w:color w:val="auto"/>
          <w:u w:val="none" w:color="auto"/>
          <w:lang w:val="en-US" w:eastAsia="zh-CN"/>
        </w:rPr>
        <w:t>声环境现状调查与评价</w:t>
      </w:r>
      <w:bookmarkEnd w:id="145"/>
    </w:p>
    <w:p w14:paraId="63922857">
      <w:pPr>
        <w:pStyle w:val="101"/>
        <w:ind w:firstLine="480"/>
        <w:rPr>
          <w:rFonts w:hint="default" w:ascii="Times New Roman" w:hAnsi="Times New Roman" w:eastAsia="宋体" w:cs="Times New Roman"/>
          <w:color w:val="auto"/>
          <w:spacing w:val="0"/>
          <w:w w:val="100"/>
          <w:position w:val="0"/>
          <w:u w:val="none" w:color="auto"/>
        </w:rPr>
      </w:pPr>
      <w:bookmarkStart w:id="146" w:name="_Toc349896068"/>
      <w:bookmarkStart w:id="147" w:name="_Toc349391625"/>
      <w:bookmarkStart w:id="148" w:name="_Toc343177825"/>
      <w:bookmarkStart w:id="149" w:name="_Toc343583859"/>
      <w:bookmarkStart w:id="150" w:name="_Toc346269305"/>
      <w:bookmarkStart w:id="151" w:name="_Toc345602630"/>
      <w:r>
        <w:rPr>
          <w:rFonts w:hint="default" w:ascii="Times New Roman" w:hAnsi="Times New Roman" w:eastAsia="宋体" w:cs="Times New Roman"/>
          <w:color w:val="auto"/>
          <w:spacing w:val="0"/>
          <w:w w:val="100"/>
          <w:position w:val="0"/>
          <w:u w:val="none" w:color="auto"/>
        </w:rPr>
        <w:t>为了解</w:t>
      </w:r>
      <w:r>
        <w:rPr>
          <w:rFonts w:hint="default" w:ascii="Times New Roman" w:hAnsi="Times New Roman" w:eastAsia="宋体" w:cs="Times New Roman"/>
          <w:color w:val="auto"/>
          <w:spacing w:val="0"/>
          <w:w w:val="100"/>
          <w:position w:val="0"/>
          <w:u w:val="none" w:color="auto"/>
          <w:lang w:eastAsia="zh-CN"/>
        </w:rPr>
        <w:t>项目区域</w:t>
      </w:r>
      <w:r>
        <w:rPr>
          <w:rFonts w:hint="eastAsia" w:ascii="Times New Roman" w:hAnsi="Times New Roman" w:eastAsia="宋体" w:cs="Times New Roman"/>
          <w:color w:val="auto"/>
          <w:spacing w:val="0"/>
          <w:w w:val="100"/>
          <w:position w:val="0"/>
          <w:u w:val="none" w:color="auto"/>
          <w:lang w:eastAsia="zh-CN"/>
        </w:rPr>
        <w:t>声</w:t>
      </w:r>
      <w:r>
        <w:rPr>
          <w:rFonts w:hint="default" w:ascii="Times New Roman" w:hAnsi="Times New Roman" w:eastAsia="宋体" w:cs="Times New Roman"/>
          <w:color w:val="auto"/>
          <w:spacing w:val="0"/>
          <w:w w:val="100"/>
          <w:position w:val="0"/>
          <w:u w:val="none" w:color="auto"/>
        </w:rPr>
        <w:t>环境质量现状，建设单位委托</w:t>
      </w:r>
      <w:r>
        <w:rPr>
          <w:rFonts w:hint="default" w:ascii="Times New Roman" w:hAnsi="Times New Roman" w:eastAsia="宋体" w:cs="Times New Roman"/>
          <w:color w:val="auto"/>
          <w:spacing w:val="0"/>
          <w:w w:val="100"/>
          <w:position w:val="0"/>
          <w:u w:val="none" w:color="auto"/>
          <w:lang w:eastAsia="zh-CN"/>
        </w:rPr>
        <w:t>湖南乾诚检测有限公司</w:t>
      </w:r>
      <w:r>
        <w:rPr>
          <w:rFonts w:hint="default" w:ascii="Times New Roman" w:hAnsi="Times New Roman" w:eastAsia="宋体" w:cs="Times New Roman"/>
          <w:color w:val="auto"/>
          <w:spacing w:val="0"/>
          <w:w w:val="100"/>
          <w:position w:val="0"/>
          <w:u w:val="none" w:color="auto"/>
        </w:rPr>
        <w:t>对项目所在地</w:t>
      </w:r>
      <w:r>
        <w:rPr>
          <w:rFonts w:hint="eastAsia" w:ascii="Times New Roman" w:hAnsi="Times New Roman" w:eastAsia="宋体" w:cs="Times New Roman"/>
          <w:color w:val="auto"/>
          <w:spacing w:val="0"/>
          <w:w w:val="100"/>
          <w:position w:val="0"/>
          <w:u w:val="none" w:color="auto"/>
          <w:lang w:eastAsia="zh-CN"/>
        </w:rPr>
        <w:t>声</w:t>
      </w:r>
      <w:r>
        <w:rPr>
          <w:rFonts w:hint="default" w:ascii="Times New Roman" w:hAnsi="Times New Roman" w:eastAsia="宋体" w:cs="Times New Roman"/>
          <w:color w:val="auto"/>
          <w:spacing w:val="0"/>
          <w:w w:val="100"/>
          <w:position w:val="0"/>
          <w:u w:val="none" w:color="auto"/>
        </w:rPr>
        <w:t>环境质量进行了</w:t>
      </w:r>
      <w:r>
        <w:rPr>
          <w:rFonts w:hint="default" w:ascii="Times New Roman" w:hAnsi="Times New Roman" w:eastAsia="宋体" w:cs="Times New Roman"/>
          <w:color w:val="auto"/>
          <w:spacing w:val="0"/>
          <w:w w:val="100"/>
          <w:position w:val="0"/>
          <w:u w:val="none" w:color="auto"/>
          <w:lang w:val="en-US" w:eastAsia="zh-CN"/>
        </w:rPr>
        <w:t>一期</w:t>
      </w:r>
      <w:r>
        <w:rPr>
          <w:rFonts w:hint="default" w:ascii="Times New Roman" w:hAnsi="Times New Roman" w:eastAsia="宋体" w:cs="Times New Roman"/>
          <w:color w:val="auto"/>
          <w:spacing w:val="0"/>
          <w:w w:val="100"/>
          <w:position w:val="0"/>
          <w:u w:val="none" w:color="auto"/>
        </w:rPr>
        <w:t>现状监测。</w:t>
      </w:r>
    </w:p>
    <w:p w14:paraId="05B86098">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1、监测布点</w:t>
      </w:r>
      <w:bookmarkEnd w:id="146"/>
      <w:bookmarkEnd w:id="147"/>
      <w:bookmarkEnd w:id="148"/>
      <w:bookmarkEnd w:id="149"/>
      <w:bookmarkEnd w:id="150"/>
      <w:bookmarkEnd w:id="151"/>
    </w:p>
    <w:p w14:paraId="0F38893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本次噪声监测设置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19</w:t>
      </w:r>
      <w:r>
        <w:rPr>
          <w:rFonts w:hint="default" w:ascii="Times New Roman" w:hAnsi="Times New Roman" w:eastAsia="宋体" w:cs="Times New Roman"/>
          <w:caps w:val="0"/>
          <w:smallCaps w:val="0"/>
          <w:color w:val="auto"/>
          <w:spacing w:val="0"/>
          <w:w w:val="100"/>
          <w:kern w:val="0"/>
          <w:position w:val="0"/>
          <w:sz w:val="24"/>
          <w:szCs w:val="24"/>
          <w:u w:val="none" w:color="auto"/>
        </w:rPr>
        <w:t>个噪声监测点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具体可见表3.2-12。</w:t>
      </w:r>
    </w:p>
    <w:p w14:paraId="33B73A9B">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52" w:name="_Toc349896069"/>
      <w:bookmarkStart w:id="153" w:name="_Toc346269306"/>
      <w:bookmarkStart w:id="154" w:name="_Toc349391626"/>
      <w:r>
        <w:rPr>
          <w:rFonts w:hint="default" w:ascii="Times New Roman" w:hAnsi="Times New Roman" w:eastAsia="宋体" w:cs="Times New Roman"/>
          <w:b/>
          <w:bCs/>
          <w:color w:val="auto"/>
          <w:spacing w:val="0"/>
          <w:w w:val="100"/>
          <w:kern w:val="0"/>
          <w:position w:val="0"/>
          <w:sz w:val="24"/>
          <w:u w:val="none" w:color="auto"/>
          <w:lang w:val="en-US" w:eastAsia="zh-CN"/>
        </w:rPr>
        <w:t>2、监测因子</w:t>
      </w:r>
      <w:bookmarkEnd w:id="152"/>
      <w:bookmarkEnd w:id="153"/>
      <w:bookmarkEnd w:id="154"/>
    </w:p>
    <w:p w14:paraId="6A7B5E79">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监测因子为：等效连续A声级。</w:t>
      </w:r>
    </w:p>
    <w:p w14:paraId="1046C505">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55" w:name="_Toc345602632"/>
      <w:bookmarkStart w:id="156" w:name="_Toc346269308"/>
      <w:bookmarkStart w:id="157" w:name="_Toc349896071"/>
      <w:bookmarkStart w:id="158" w:name="_Toc343583861"/>
      <w:bookmarkStart w:id="159" w:name="_Toc343177827"/>
      <w:bookmarkStart w:id="160" w:name="_Toc349391628"/>
      <w:r>
        <w:rPr>
          <w:rFonts w:hint="default" w:ascii="Times New Roman" w:hAnsi="Times New Roman" w:eastAsia="宋体" w:cs="Times New Roman"/>
          <w:b/>
          <w:bCs/>
          <w:color w:val="auto"/>
          <w:spacing w:val="0"/>
          <w:w w:val="100"/>
          <w:kern w:val="0"/>
          <w:position w:val="0"/>
          <w:sz w:val="24"/>
          <w:u w:val="none" w:color="auto"/>
          <w:lang w:val="en-US" w:eastAsia="zh-CN"/>
        </w:rPr>
        <w:t>3、监测方法</w:t>
      </w:r>
      <w:bookmarkEnd w:id="155"/>
      <w:bookmarkEnd w:id="156"/>
      <w:bookmarkEnd w:id="157"/>
      <w:bookmarkEnd w:id="158"/>
      <w:bookmarkEnd w:id="159"/>
      <w:bookmarkEnd w:id="160"/>
    </w:p>
    <w:p w14:paraId="55B6914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按照《声环境质量标准》（GB3096-2008）有关规定进行。选择无雨、风速小于5m/s时进行测量</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6BAEE9A">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61" w:name="_Toc346269309"/>
      <w:bookmarkStart w:id="162" w:name="_Toc345602633"/>
      <w:bookmarkStart w:id="163" w:name="_Toc349896072"/>
      <w:bookmarkStart w:id="164" w:name="_Toc343583862"/>
      <w:bookmarkStart w:id="165" w:name="_Toc343177828"/>
      <w:bookmarkStart w:id="166" w:name="_Toc349391629"/>
      <w:r>
        <w:rPr>
          <w:rFonts w:hint="default" w:ascii="Times New Roman" w:hAnsi="Times New Roman" w:eastAsia="宋体" w:cs="Times New Roman"/>
          <w:b/>
          <w:bCs/>
          <w:color w:val="auto"/>
          <w:spacing w:val="0"/>
          <w:w w:val="100"/>
          <w:kern w:val="0"/>
          <w:position w:val="0"/>
          <w:sz w:val="24"/>
          <w:u w:val="none" w:color="auto"/>
          <w:lang w:val="en-US" w:eastAsia="zh-CN"/>
        </w:rPr>
        <w:t>4、评价方法</w:t>
      </w:r>
      <w:bookmarkEnd w:id="161"/>
      <w:bookmarkEnd w:id="162"/>
      <w:bookmarkEnd w:id="163"/>
      <w:bookmarkEnd w:id="164"/>
      <w:bookmarkEnd w:id="165"/>
      <w:bookmarkEnd w:id="166"/>
    </w:p>
    <w:p w14:paraId="5C40477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对监测结果作统计分析，与评价标准进行比较，评价项目场址周围地区现状噪声质量情况。</w:t>
      </w:r>
    </w:p>
    <w:p w14:paraId="23943C9F">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67" w:name="_Toc345602631"/>
      <w:bookmarkStart w:id="168" w:name="_Toc343177826"/>
      <w:bookmarkStart w:id="169" w:name="_Toc349896070"/>
      <w:bookmarkStart w:id="170" w:name="_Toc343583860"/>
      <w:bookmarkStart w:id="171" w:name="_Toc346269307"/>
      <w:bookmarkStart w:id="172" w:name="_Toc349391627"/>
      <w:bookmarkStart w:id="173" w:name="_Toc349391630"/>
      <w:bookmarkStart w:id="174" w:name="_Toc343583863"/>
      <w:bookmarkStart w:id="175" w:name="_Toc345602634"/>
      <w:bookmarkStart w:id="176" w:name="_Toc346269310"/>
      <w:bookmarkStart w:id="177" w:name="_Toc343177829"/>
      <w:bookmarkStart w:id="178" w:name="_Toc349896073"/>
      <w:r>
        <w:rPr>
          <w:rFonts w:hint="default" w:ascii="Times New Roman" w:hAnsi="Times New Roman" w:eastAsia="宋体" w:cs="Times New Roman"/>
          <w:b/>
          <w:bCs/>
          <w:color w:val="auto"/>
          <w:spacing w:val="0"/>
          <w:w w:val="100"/>
          <w:kern w:val="0"/>
          <w:position w:val="0"/>
          <w:sz w:val="24"/>
          <w:u w:val="none" w:color="auto"/>
          <w:lang w:val="en-US" w:eastAsia="zh-CN"/>
        </w:rPr>
        <w:t>5、监测时间和频率</w:t>
      </w:r>
      <w:bookmarkEnd w:id="167"/>
      <w:bookmarkEnd w:id="168"/>
      <w:bookmarkEnd w:id="169"/>
      <w:bookmarkEnd w:id="170"/>
      <w:bookmarkEnd w:id="171"/>
      <w:bookmarkEnd w:id="172"/>
    </w:p>
    <w:p w14:paraId="26A7F8E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监测时间为202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日，连续监测2天，每天昼间、夜间各监测1次。</w:t>
      </w:r>
    </w:p>
    <w:p w14:paraId="4ABA3214">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6、评价标准</w:t>
      </w:r>
      <w:bookmarkEnd w:id="173"/>
      <w:bookmarkEnd w:id="174"/>
      <w:bookmarkEnd w:id="175"/>
      <w:bookmarkEnd w:id="176"/>
      <w:bookmarkEnd w:id="177"/>
      <w:bookmarkEnd w:id="178"/>
    </w:p>
    <w:p w14:paraId="67D53AE2">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《声环境质量标准》（GB3096-2008）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类标准</w:t>
      </w:r>
      <w:bookmarkStart w:id="179" w:name="_Toc346269311"/>
      <w:bookmarkStart w:id="180" w:name="_Toc349391631"/>
      <w:bookmarkStart w:id="181" w:name="_Toc349896074"/>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6FFFFD7D">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7、监测结果及评价</w:t>
      </w:r>
      <w:bookmarkEnd w:id="179"/>
      <w:bookmarkEnd w:id="180"/>
      <w:bookmarkEnd w:id="181"/>
    </w:p>
    <w:p w14:paraId="78260B2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厂界声环境质量监测与评价结果见表3.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2-12</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4534F3D">
      <w:pPr>
        <w:pageBreakBefore w:val="0"/>
        <w:kinsoku w:val="0"/>
        <w:wordWrap w:val="0"/>
        <w:overflowPunct/>
        <w:topLinePunct/>
        <w:autoSpaceDE/>
        <w:autoSpaceDN/>
        <w:bidi w:val="0"/>
        <w:spacing w:line="240" w:lineRule="auto"/>
        <w:jc w:val="center"/>
        <w:rPr>
          <w:rFonts w:hint="default" w:ascii="Times New Roman" w:hAnsi="Times New Roman" w:eastAsia="宋体" w:cs="Times New Roman"/>
          <w:b/>
          <w:caps w:val="0"/>
          <w:smallCaps w:val="0"/>
          <w:color w:val="auto"/>
          <w:spacing w:val="0"/>
          <w:w w:val="100"/>
          <w:position w:val="0"/>
          <w:szCs w:val="21"/>
          <w:u w:val="none" w:color="auto"/>
        </w:rPr>
      </w:pPr>
      <w:r>
        <w:rPr>
          <w:rFonts w:hint="default" w:ascii="Times New Roman" w:hAnsi="Times New Roman" w:eastAsia="宋体" w:cs="Times New Roman"/>
          <w:b/>
          <w:caps w:val="0"/>
          <w:smallCaps w:val="0"/>
          <w:color w:val="auto"/>
          <w:spacing w:val="0"/>
          <w:w w:val="100"/>
          <w:position w:val="0"/>
          <w:szCs w:val="21"/>
          <w:u w:val="none" w:color="auto"/>
        </w:rPr>
        <w:t>表3.</w:t>
      </w:r>
      <w:r>
        <w:rPr>
          <w:rFonts w:hint="default" w:ascii="Times New Roman" w:hAnsi="Times New Roman" w:eastAsia="宋体" w:cs="Times New Roman"/>
          <w:b/>
          <w:caps w:val="0"/>
          <w:smallCaps w:val="0"/>
          <w:color w:val="auto"/>
          <w:spacing w:val="0"/>
          <w:w w:val="100"/>
          <w:position w:val="0"/>
          <w:szCs w:val="21"/>
          <w:u w:val="none" w:color="auto"/>
          <w:lang w:val="en-US" w:eastAsia="zh-CN"/>
        </w:rPr>
        <w:t xml:space="preserve">2-12 </w:t>
      </w:r>
      <w:r>
        <w:rPr>
          <w:rFonts w:hint="default" w:ascii="Times New Roman" w:hAnsi="Times New Roman" w:eastAsia="宋体" w:cs="Times New Roman"/>
          <w:b/>
          <w:caps w:val="0"/>
          <w:smallCaps w:val="0"/>
          <w:color w:val="auto"/>
          <w:spacing w:val="0"/>
          <w:w w:val="100"/>
          <w:position w:val="0"/>
          <w:szCs w:val="21"/>
          <w:u w:val="none" w:color="auto"/>
        </w:rPr>
        <w:t xml:space="preserve">  </w:t>
      </w:r>
      <w:r>
        <w:rPr>
          <w:rFonts w:hint="default" w:ascii="Times New Roman" w:hAnsi="Times New Roman" w:eastAsia="宋体" w:cs="Times New Roman"/>
          <w:b/>
          <w:caps w:val="0"/>
          <w:smallCaps w:val="0"/>
          <w:color w:val="auto"/>
          <w:spacing w:val="0"/>
          <w:w w:val="100"/>
          <w:position w:val="0"/>
          <w:szCs w:val="21"/>
          <w:u w:val="none" w:color="auto"/>
          <w:lang w:val="en-US" w:eastAsia="zh-CN"/>
        </w:rPr>
        <w:t>声环境质量现状</w:t>
      </w:r>
      <w:r>
        <w:rPr>
          <w:rFonts w:hint="default" w:ascii="Times New Roman" w:hAnsi="Times New Roman" w:eastAsia="宋体" w:cs="Times New Roman"/>
          <w:b/>
          <w:caps w:val="0"/>
          <w:smallCaps w:val="0"/>
          <w:color w:val="auto"/>
          <w:spacing w:val="0"/>
          <w:w w:val="100"/>
          <w:position w:val="0"/>
          <w:szCs w:val="21"/>
          <w:u w:val="none" w:color="auto"/>
        </w:rPr>
        <w:t>监测及评价结果表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9"/>
        <w:gridCol w:w="1663"/>
        <w:gridCol w:w="1487"/>
        <w:gridCol w:w="1325"/>
        <w:gridCol w:w="1403"/>
      </w:tblGrid>
      <w:tr w14:paraId="76F19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49" w:type="dxa"/>
            <w:vMerge w:val="restart"/>
            <w:tcBorders>
              <w:tl2br w:val="nil"/>
              <w:tr2bl w:val="nil"/>
            </w:tcBorders>
            <w:shd w:val="clear" w:color="auto" w:fill="auto"/>
            <w:vAlign w:val="center"/>
          </w:tcPr>
          <w:p w14:paraId="1164B849">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采样点位</w:t>
            </w:r>
          </w:p>
        </w:tc>
        <w:tc>
          <w:tcPr>
            <w:tcW w:w="5878" w:type="dxa"/>
            <w:gridSpan w:val="4"/>
            <w:tcBorders>
              <w:tl2br w:val="nil"/>
              <w:tr2bl w:val="nil"/>
            </w:tcBorders>
            <w:shd w:val="clear" w:color="auto" w:fill="auto"/>
            <w:vAlign w:val="center"/>
          </w:tcPr>
          <w:p w14:paraId="04FEDB89">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采样时间及检测结果dB（A）</w:t>
            </w:r>
          </w:p>
        </w:tc>
      </w:tr>
      <w:tr w14:paraId="3D284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49" w:type="dxa"/>
            <w:vMerge w:val="continue"/>
            <w:tcBorders>
              <w:tl2br w:val="nil"/>
              <w:tr2bl w:val="nil"/>
            </w:tcBorders>
            <w:shd w:val="clear" w:color="auto" w:fill="auto"/>
            <w:vAlign w:val="center"/>
          </w:tcPr>
          <w:p w14:paraId="4960D647">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p>
        </w:tc>
        <w:tc>
          <w:tcPr>
            <w:tcW w:w="3150" w:type="dxa"/>
            <w:gridSpan w:val="2"/>
            <w:tcBorders>
              <w:tl2br w:val="nil"/>
              <w:tr2bl w:val="nil"/>
            </w:tcBorders>
            <w:shd w:val="clear" w:color="auto" w:fill="auto"/>
            <w:vAlign w:val="center"/>
          </w:tcPr>
          <w:p w14:paraId="7E7E5617">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lang w:val="en-US" w:eastAsia="zh-CN"/>
              </w:rPr>
            </w:pPr>
            <w:r>
              <w:rPr>
                <w:rFonts w:hint="eastAsia" w:ascii="Times New Roman" w:hAnsi="Times New Roman" w:eastAsia="宋体" w:cs="Times New Roman"/>
                <w:b/>
                <w:bCs/>
                <w:caps w:val="0"/>
                <w:smallCaps w:val="0"/>
                <w:color w:val="auto"/>
                <w:spacing w:val="0"/>
                <w:w w:val="100"/>
                <w:position w:val="0"/>
                <w:sz w:val="21"/>
                <w:szCs w:val="21"/>
                <w:u w:val="none" w:color="auto"/>
                <w:lang w:val="en-US" w:eastAsia="zh-CN"/>
              </w:rPr>
              <w:t>2024.09.02</w:t>
            </w:r>
          </w:p>
        </w:tc>
        <w:tc>
          <w:tcPr>
            <w:tcW w:w="2728" w:type="dxa"/>
            <w:gridSpan w:val="2"/>
            <w:tcBorders>
              <w:tl2br w:val="nil"/>
              <w:tr2bl w:val="nil"/>
            </w:tcBorders>
            <w:shd w:val="clear" w:color="auto" w:fill="auto"/>
            <w:vAlign w:val="center"/>
          </w:tcPr>
          <w:p w14:paraId="75859C47">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lang w:val="en-US" w:eastAsia="zh-CN"/>
              </w:rPr>
            </w:pPr>
            <w:r>
              <w:rPr>
                <w:rFonts w:hint="eastAsia" w:ascii="Times New Roman" w:hAnsi="Times New Roman" w:eastAsia="宋体" w:cs="Times New Roman"/>
                <w:b/>
                <w:bCs/>
                <w:caps w:val="0"/>
                <w:smallCaps w:val="0"/>
                <w:color w:val="auto"/>
                <w:spacing w:val="0"/>
                <w:w w:val="100"/>
                <w:position w:val="0"/>
                <w:sz w:val="21"/>
                <w:szCs w:val="21"/>
                <w:u w:val="none" w:color="auto"/>
                <w:lang w:val="en-US" w:eastAsia="zh-CN"/>
              </w:rPr>
              <w:t>2024.09.03</w:t>
            </w:r>
          </w:p>
        </w:tc>
      </w:tr>
      <w:tr w14:paraId="292A5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49" w:type="dxa"/>
            <w:vMerge w:val="continue"/>
            <w:tcBorders>
              <w:tl2br w:val="nil"/>
              <w:tr2bl w:val="nil"/>
            </w:tcBorders>
            <w:shd w:val="clear" w:color="auto" w:fill="auto"/>
            <w:vAlign w:val="center"/>
          </w:tcPr>
          <w:p w14:paraId="1141DBD0">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p>
        </w:tc>
        <w:tc>
          <w:tcPr>
            <w:tcW w:w="1663" w:type="dxa"/>
            <w:tcBorders>
              <w:tl2br w:val="nil"/>
              <w:tr2bl w:val="nil"/>
            </w:tcBorders>
            <w:shd w:val="clear" w:color="auto" w:fill="auto"/>
            <w:vAlign w:val="center"/>
          </w:tcPr>
          <w:p w14:paraId="10218224">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昼间（Leq）</w:t>
            </w:r>
          </w:p>
        </w:tc>
        <w:tc>
          <w:tcPr>
            <w:tcW w:w="1487" w:type="dxa"/>
            <w:tcBorders>
              <w:tl2br w:val="nil"/>
              <w:tr2bl w:val="nil"/>
            </w:tcBorders>
            <w:shd w:val="clear" w:color="auto" w:fill="auto"/>
            <w:vAlign w:val="center"/>
          </w:tcPr>
          <w:p w14:paraId="0E5E3A4A">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夜间（Leq）</w:t>
            </w:r>
          </w:p>
        </w:tc>
        <w:tc>
          <w:tcPr>
            <w:tcW w:w="1325" w:type="dxa"/>
            <w:tcBorders>
              <w:tl2br w:val="nil"/>
              <w:tr2bl w:val="nil"/>
            </w:tcBorders>
            <w:shd w:val="clear" w:color="auto" w:fill="auto"/>
            <w:vAlign w:val="center"/>
          </w:tcPr>
          <w:p w14:paraId="5E836CC1">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昼间（Leq）</w:t>
            </w:r>
          </w:p>
        </w:tc>
        <w:tc>
          <w:tcPr>
            <w:tcW w:w="1403" w:type="dxa"/>
            <w:tcBorders>
              <w:tl2br w:val="nil"/>
              <w:tr2bl w:val="nil"/>
            </w:tcBorders>
            <w:shd w:val="clear" w:color="auto" w:fill="auto"/>
            <w:vAlign w:val="center"/>
          </w:tcPr>
          <w:p w14:paraId="6EC99AE4">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夜间（Leq）</w:t>
            </w:r>
          </w:p>
        </w:tc>
      </w:tr>
      <w:tr w14:paraId="3557E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32F905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N1主坝北侧居民点</w:t>
            </w:r>
          </w:p>
        </w:tc>
        <w:tc>
          <w:tcPr>
            <w:tcW w:w="1663" w:type="dxa"/>
            <w:tcBorders>
              <w:tl2br w:val="nil"/>
              <w:tr2bl w:val="nil"/>
            </w:tcBorders>
            <w:shd w:val="clear" w:color="auto" w:fill="auto"/>
            <w:vAlign w:val="center"/>
          </w:tcPr>
          <w:p w14:paraId="50002ECB">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45.5</w:t>
            </w:r>
          </w:p>
        </w:tc>
        <w:tc>
          <w:tcPr>
            <w:tcW w:w="1487" w:type="dxa"/>
            <w:tcBorders>
              <w:tl2br w:val="nil"/>
              <w:tr2bl w:val="nil"/>
            </w:tcBorders>
            <w:shd w:val="clear" w:color="auto" w:fill="auto"/>
            <w:vAlign w:val="center"/>
          </w:tcPr>
          <w:p w14:paraId="3194A18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38.5</w:t>
            </w:r>
          </w:p>
        </w:tc>
        <w:tc>
          <w:tcPr>
            <w:tcW w:w="1325" w:type="dxa"/>
            <w:tcBorders>
              <w:tl2br w:val="nil"/>
              <w:tr2bl w:val="nil"/>
            </w:tcBorders>
            <w:shd w:val="clear" w:color="auto" w:fill="auto"/>
            <w:vAlign w:val="center"/>
          </w:tcPr>
          <w:p w14:paraId="374EC6C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45.6</w:t>
            </w:r>
          </w:p>
        </w:tc>
        <w:tc>
          <w:tcPr>
            <w:tcW w:w="1403" w:type="dxa"/>
            <w:tcBorders>
              <w:tl2br w:val="nil"/>
              <w:tr2bl w:val="nil"/>
            </w:tcBorders>
            <w:shd w:val="clear" w:color="auto" w:fill="auto"/>
            <w:vAlign w:val="center"/>
          </w:tcPr>
          <w:p w14:paraId="5D3B465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38.5</w:t>
            </w:r>
          </w:p>
        </w:tc>
      </w:tr>
      <w:tr w14:paraId="25140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605CE7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N2施工工区南侧居民点</w:t>
            </w:r>
          </w:p>
        </w:tc>
        <w:tc>
          <w:tcPr>
            <w:tcW w:w="1663" w:type="dxa"/>
            <w:tcBorders>
              <w:tl2br w:val="nil"/>
              <w:tr2bl w:val="nil"/>
            </w:tcBorders>
            <w:shd w:val="clear" w:color="auto" w:fill="auto"/>
            <w:vAlign w:val="center"/>
          </w:tcPr>
          <w:p w14:paraId="095074D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87" w:type="dxa"/>
            <w:tcBorders>
              <w:tl2br w:val="nil"/>
              <w:tr2bl w:val="nil"/>
            </w:tcBorders>
            <w:shd w:val="clear" w:color="auto" w:fill="auto"/>
            <w:vAlign w:val="center"/>
          </w:tcPr>
          <w:p w14:paraId="5082180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36.4</w:t>
            </w:r>
          </w:p>
        </w:tc>
        <w:tc>
          <w:tcPr>
            <w:tcW w:w="1325" w:type="dxa"/>
            <w:tcBorders>
              <w:tl2br w:val="nil"/>
              <w:tr2bl w:val="nil"/>
            </w:tcBorders>
            <w:shd w:val="clear" w:color="auto" w:fill="auto"/>
            <w:vAlign w:val="center"/>
          </w:tcPr>
          <w:p w14:paraId="45F6FC5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44.6</w:t>
            </w:r>
          </w:p>
        </w:tc>
        <w:tc>
          <w:tcPr>
            <w:tcW w:w="1403" w:type="dxa"/>
            <w:tcBorders>
              <w:tl2br w:val="nil"/>
              <w:tr2bl w:val="nil"/>
            </w:tcBorders>
            <w:shd w:val="clear" w:color="auto" w:fill="auto"/>
            <w:vAlign w:val="center"/>
          </w:tcPr>
          <w:p w14:paraId="0A6420B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36.5</w:t>
            </w:r>
          </w:p>
        </w:tc>
      </w:tr>
      <w:tr w14:paraId="68E07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4D1428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N3侯家岭居民点</w:t>
            </w:r>
          </w:p>
        </w:tc>
        <w:tc>
          <w:tcPr>
            <w:tcW w:w="1663" w:type="dxa"/>
            <w:tcBorders>
              <w:tl2br w:val="nil"/>
              <w:tr2bl w:val="nil"/>
            </w:tcBorders>
            <w:shd w:val="clear" w:color="auto" w:fill="auto"/>
            <w:vAlign w:val="center"/>
          </w:tcPr>
          <w:p w14:paraId="7C624E2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43.9</w:t>
            </w:r>
          </w:p>
        </w:tc>
        <w:tc>
          <w:tcPr>
            <w:tcW w:w="1487" w:type="dxa"/>
            <w:tcBorders>
              <w:tl2br w:val="nil"/>
              <w:tr2bl w:val="nil"/>
            </w:tcBorders>
            <w:shd w:val="clear" w:color="auto" w:fill="auto"/>
            <w:vAlign w:val="center"/>
          </w:tcPr>
          <w:p w14:paraId="3F5E459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36.3</w:t>
            </w:r>
          </w:p>
        </w:tc>
        <w:tc>
          <w:tcPr>
            <w:tcW w:w="1325" w:type="dxa"/>
            <w:tcBorders>
              <w:tl2br w:val="nil"/>
              <w:tr2bl w:val="nil"/>
            </w:tcBorders>
            <w:shd w:val="clear" w:color="auto" w:fill="auto"/>
            <w:vAlign w:val="center"/>
          </w:tcPr>
          <w:p w14:paraId="24F8CC7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43.8</w:t>
            </w:r>
          </w:p>
        </w:tc>
        <w:tc>
          <w:tcPr>
            <w:tcW w:w="1403" w:type="dxa"/>
            <w:tcBorders>
              <w:tl2br w:val="nil"/>
              <w:tr2bl w:val="nil"/>
            </w:tcBorders>
            <w:shd w:val="clear" w:color="auto" w:fill="auto"/>
            <w:vAlign w:val="center"/>
          </w:tcPr>
          <w:p w14:paraId="2FFAC6C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36.4</w:t>
            </w:r>
          </w:p>
        </w:tc>
      </w:tr>
      <w:tr w14:paraId="58C34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0A2A1B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N4安乐岭居民点</w:t>
            </w:r>
          </w:p>
        </w:tc>
        <w:tc>
          <w:tcPr>
            <w:tcW w:w="1663" w:type="dxa"/>
            <w:tcBorders>
              <w:tl2br w:val="nil"/>
              <w:tr2bl w:val="nil"/>
            </w:tcBorders>
            <w:shd w:val="clear" w:color="auto" w:fill="auto"/>
            <w:vAlign w:val="center"/>
          </w:tcPr>
          <w:p w14:paraId="0B138CE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43.8</w:t>
            </w:r>
          </w:p>
        </w:tc>
        <w:tc>
          <w:tcPr>
            <w:tcW w:w="1487" w:type="dxa"/>
            <w:tcBorders>
              <w:tl2br w:val="nil"/>
              <w:tr2bl w:val="nil"/>
            </w:tcBorders>
            <w:shd w:val="clear" w:color="auto" w:fill="auto"/>
            <w:vAlign w:val="center"/>
          </w:tcPr>
          <w:p w14:paraId="763A072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38.4</w:t>
            </w:r>
          </w:p>
        </w:tc>
        <w:tc>
          <w:tcPr>
            <w:tcW w:w="1325" w:type="dxa"/>
            <w:tcBorders>
              <w:tl2br w:val="nil"/>
              <w:tr2bl w:val="nil"/>
            </w:tcBorders>
            <w:shd w:val="clear" w:color="auto" w:fill="auto"/>
            <w:vAlign w:val="center"/>
          </w:tcPr>
          <w:p w14:paraId="398B194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44.6</w:t>
            </w:r>
          </w:p>
        </w:tc>
        <w:tc>
          <w:tcPr>
            <w:tcW w:w="1403" w:type="dxa"/>
            <w:tcBorders>
              <w:tl2br w:val="nil"/>
              <w:tr2bl w:val="nil"/>
            </w:tcBorders>
            <w:shd w:val="clear" w:color="auto" w:fill="auto"/>
            <w:vAlign w:val="center"/>
          </w:tcPr>
          <w:p w14:paraId="3ECBC68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38.4</w:t>
            </w:r>
          </w:p>
        </w:tc>
      </w:tr>
      <w:tr w14:paraId="32857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2FF741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N5风波岭居民点</w:t>
            </w:r>
          </w:p>
        </w:tc>
        <w:tc>
          <w:tcPr>
            <w:tcW w:w="1663" w:type="dxa"/>
            <w:tcBorders>
              <w:tl2br w:val="nil"/>
              <w:tr2bl w:val="nil"/>
            </w:tcBorders>
            <w:shd w:val="clear" w:color="auto" w:fill="auto"/>
            <w:vAlign w:val="center"/>
          </w:tcPr>
          <w:p w14:paraId="09BA4F9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87" w:type="dxa"/>
            <w:tcBorders>
              <w:tl2br w:val="nil"/>
              <w:tr2bl w:val="nil"/>
            </w:tcBorders>
            <w:shd w:val="clear" w:color="auto" w:fill="auto"/>
            <w:vAlign w:val="center"/>
          </w:tcPr>
          <w:p w14:paraId="1C5F16B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c>
          <w:tcPr>
            <w:tcW w:w="1325" w:type="dxa"/>
            <w:tcBorders>
              <w:tl2br w:val="nil"/>
              <w:tr2bl w:val="nil"/>
            </w:tcBorders>
            <w:shd w:val="clear" w:color="auto" w:fill="auto"/>
            <w:vAlign w:val="center"/>
          </w:tcPr>
          <w:p w14:paraId="4C0E5E5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45.6</w:t>
            </w:r>
          </w:p>
        </w:tc>
        <w:tc>
          <w:tcPr>
            <w:tcW w:w="1403" w:type="dxa"/>
            <w:tcBorders>
              <w:tl2br w:val="nil"/>
              <w:tr2bl w:val="nil"/>
            </w:tcBorders>
            <w:shd w:val="clear" w:color="auto" w:fill="auto"/>
            <w:vAlign w:val="center"/>
          </w:tcPr>
          <w:p w14:paraId="01698FB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r>
      <w:tr w14:paraId="107E0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4F7481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N6龙狮窖居民点</w:t>
            </w:r>
          </w:p>
        </w:tc>
        <w:tc>
          <w:tcPr>
            <w:tcW w:w="1663" w:type="dxa"/>
            <w:tcBorders>
              <w:tl2br w:val="nil"/>
              <w:tr2bl w:val="nil"/>
            </w:tcBorders>
            <w:shd w:val="clear" w:color="auto" w:fill="auto"/>
            <w:vAlign w:val="center"/>
          </w:tcPr>
          <w:p w14:paraId="366875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45.2</w:t>
            </w:r>
          </w:p>
        </w:tc>
        <w:tc>
          <w:tcPr>
            <w:tcW w:w="1487" w:type="dxa"/>
            <w:tcBorders>
              <w:tl2br w:val="nil"/>
              <w:tr2bl w:val="nil"/>
            </w:tcBorders>
            <w:shd w:val="clear" w:color="auto" w:fill="auto"/>
            <w:vAlign w:val="center"/>
          </w:tcPr>
          <w:p w14:paraId="46FCFD0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38.8</w:t>
            </w:r>
          </w:p>
        </w:tc>
        <w:tc>
          <w:tcPr>
            <w:tcW w:w="1325" w:type="dxa"/>
            <w:tcBorders>
              <w:tl2br w:val="nil"/>
              <w:tr2bl w:val="nil"/>
            </w:tcBorders>
            <w:shd w:val="clear" w:color="auto" w:fill="auto"/>
            <w:vAlign w:val="center"/>
          </w:tcPr>
          <w:p w14:paraId="56B3BEA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46.2</w:t>
            </w:r>
          </w:p>
        </w:tc>
        <w:tc>
          <w:tcPr>
            <w:tcW w:w="1403" w:type="dxa"/>
            <w:tcBorders>
              <w:tl2br w:val="nil"/>
              <w:tr2bl w:val="nil"/>
            </w:tcBorders>
            <w:shd w:val="clear" w:color="auto" w:fill="auto"/>
            <w:vAlign w:val="center"/>
          </w:tcPr>
          <w:p w14:paraId="4A3BEF3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38.3</w:t>
            </w:r>
          </w:p>
        </w:tc>
      </w:tr>
      <w:tr w14:paraId="73F3A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317D9A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N7一副坝北侧居民点</w:t>
            </w:r>
          </w:p>
        </w:tc>
        <w:tc>
          <w:tcPr>
            <w:tcW w:w="1663" w:type="dxa"/>
            <w:tcBorders>
              <w:tl2br w:val="nil"/>
              <w:tr2bl w:val="nil"/>
            </w:tcBorders>
            <w:shd w:val="clear" w:color="auto" w:fill="auto"/>
            <w:vAlign w:val="center"/>
          </w:tcPr>
          <w:p w14:paraId="23C0185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43.5</w:t>
            </w:r>
          </w:p>
        </w:tc>
        <w:tc>
          <w:tcPr>
            <w:tcW w:w="1487" w:type="dxa"/>
            <w:tcBorders>
              <w:tl2br w:val="nil"/>
              <w:tr2bl w:val="nil"/>
            </w:tcBorders>
            <w:shd w:val="clear" w:color="auto" w:fill="auto"/>
            <w:vAlign w:val="center"/>
          </w:tcPr>
          <w:p w14:paraId="518F35E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c>
          <w:tcPr>
            <w:tcW w:w="1325" w:type="dxa"/>
            <w:tcBorders>
              <w:tl2br w:val="nil"/>
              <w:tr2bl w:val="nil"/>
            </w:tcBorders>
            <w:shd w:val="clear" w:color="auto" w:fill="auto"/>
            <w:vAlign w:val="center"/>
          </w:tcPr>
          <w:p w14:paraId="79BF084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03" w:type="dxa"/>
            <w:tcBorders>
              <w:tl2br w:val="nil"/>
              <w:tr2bl w:val="nil"/>
            </w:tcBorders>
            <w:shd w:val="clear" w:color="auto" w:fill="auto"/>
            <w:vAlign w:val="center"/>
          </w:tcPr>
          <w:p w14:paraId="202995F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39.0</w:t>
            </w:r>
          </w:p>
        </w:tc>
      </w:tr>
      <w:tr w14:paraId="6083F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2F0474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N8何家湾居民点</w:t>
            </w:r>
          </w:p>
        </w:tc>
        <w:tc>
          <w:tcPr>
            <w:tcW w:w="1663" w:type="dxa"/>
            <w:tcBorders>
              <w:tl2br w:val="nil"/>
              <w:tr2bl w:val="nil"/>
            </w:tcBorders>
            <w:shd w:val="clear" w:color="auto" w:fill="auto"/>
            <w:vAlign w:val="center"/>
          </w:tcPr>
          <w:p w14:paraId="1684904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42.6</w:t>
            </w:r>
          </w:p>
        </w:tc>
        <w:tc>
          <w:tcPr>
            <w:tcW w:w="1487" w:type="dxa"/>
            <w:tcBorders>
              <w:tl2br w:val="nil"/>
              <w:tr2bl w:val="nil"/>
            </w:tcBorders>
            <w:shd w:val="clear" w:color="auto" w:fill="auto"/>
            <w:vAlign w:val="center"/>
          </w:tcPr>
          <w:p w14:paraId="22591E8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38.5</w:t>
            </w:r>
          </w:p>
        </w:tc>
        <w:tc>
          <w:tcPr>
            <w:tcW w:w="1325" w:type="dxa"/>
            <w:tcBorders>
              <w:tl2br w:val="nil"/>
              <w:tr2bl w:val="nil"/>
            </w:tcBorders>
            <w:shd w:val="clear" w:color="auto" w:fill="auto"/>
            <w:vAlign w:val="center"/>
          </w:tcPr>
          <w:p w14:paraId="633C40A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42.8</w:t>
            </w:r>
          </w:p>
        </w:tc>
        <w:tc>
          <w:tcPr>
            <w:tcW w:w="1403" w:type="dxa"/>
            <w:tcBorders>
              <w:tl2br w:val="nil"/>
              <w:tr2bl w:val="nil"/>
            </w:tcBorders>
            <w:shd w:val="clear" w:color="auto" w:fill="auto"/>
            <w:vAlign w:val="center"/>
          </w:tcPr>
          <w:p w14:paraId="5E920F6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38.5</w:t>
            </w:r>
          </w:p>
        </w:tc>
      </w:tr>
      <w:tr w14:paraId="0A016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0F5C5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N9赵家咀居民点</w:t>
            </w:r>
          </w:p>
        </w:tc>
        <w:tc>
          <w:tcPr>
            <w:tcW w:w="1663" w:type="dxa"/>
            <w:tcBorders>
              <w:tl2br w:val="nil"/>
              <w:tr2bl w:val="nil"/>
            </w:tcBorders>
            <w:shd w:val="clear" w:color="auto" w:fill="auto"/>
            <w:vAlign w:val="center"/>
          </w:tcPr>
          <w:p w14:paraId="51C1610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43.4</w:t>
            </w:r>
          </w:p>
        </w:tc>
        <w:tc>
          <w:tcPr>
            <w:tcW w:w="1487" w:type="dxa"/>
            <w:tcBorders>
              <w:tl2br w:val="nil"/>
              <w:tr2bl w:val="nil"/>
            </w:tcBorders>
            <w:shd w:val="clear" w:color="auto" w:fill="auto"/>
            <w:vAlign w:val="center"/>
          </w:tcPr>
          <w:p w14:paraId="65ADA0E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38.0</w:t>
            </w:r>
          </w:p>
        </w:tc>
        <w:tc>
          <w:tcPr>
            <w:tcW w:w="1325" w:type="dxa"/>
            <w:tcBorders>
              <w:tl2br w:val="nil"/>
              <w:tr2bl w:val="nil"/>
            </w:tcBorders>
            <w:shd w:val="clear" w:color="auto" w:fill="auto"/>
            <w:vAlign w:val="center"/>
          </w:tcPr>
          <w:p w14:paraId="7AE3C96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03" w:type="dxa"/>
            <w:tcBorders>
              <w:tl2br w:val="nil"/>
              <w:tr2bl w:val="nil"/>
            </w:tcBorders>
            <w:shd w:val="clear" w:color="auto" w:fill="auto"/>
            <w:vAlign w:val="center"/>
          </w:tcPr>
          <w:p w14:paraId="43AF1D4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38.0</w:t>
            </w:r>
          </w:p>
        </w:tc>
      </w:tr>
      <w:tr w14:paraId="7C774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78E0E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N10南圻村居民点</w:t>
            </w:r>
          </w:p>
        </w:tc>
        <w:tc>
          <w:tcPr>
            <w:tcW w:w="1663" w:type="dxa"/>
            <w:tcBorders>
              <w:tl2br w:val="nil"/>
              <w:tr2bl w:val="nil"/>
            </w:tcBorders>
            <w:shd w:val="clear" w:color="auto" w:fill="auto"/>
            <w:vAlign w:val="center"/>
          </w:tcPr>
          <w:p w14:paraId="614206B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42.6</w:t>
            </w:r>
          </w:p>
        </w:tc>
        <w:tc>
          <w:tcPr>
            <w:tcW w:w="1487" w:type="dxa"/>
            <w:tcBorders>
              <w:tl2br w:val="nil"/>
              <w:tr2bl w:val="nil"/>
            </w:tcBorders>
            <w:shd w:val="clear" w:color="auto" w:fill="auto"/>
            <w:vAlign w:val="center"/>
          </w:tcPr>
          <w:p w14:paraId="35ABF85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39.5</w:t>
            </w:r>
          </w:p>
        </w:tc>
        <w:tc>
          <w:tcPr>
            <w:tcW w:w="1325" w:type="dxa"/>
            <w:tcBorders>
              <w:tl2br w:val="nil"/>
              <w:tr2bl w:val="nil"/>
            </w:tcBorders>
            <w:shd w:val="clear" w:color="auto" w:fill="auto"/>
            <w:vAlign w:val="center"/>
          </w:tcPr>
          <w:p w14:paraId="1D7DA56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42.6</w:t>
            </w:r>
          </w:p>
        </w:tc>
        <w:tc>
          <w:tcPr>
            <w:tcW w:w="1403" w:type="dxa"/>
            <w:tcBorders>
              <w:tl2br w:val="nil"/>
              <w:tr2bl w:val="nil"/>
            </w:tcBorders>
            <w:shd w:val="clear" w:color="auto" w:fill="auto"/>
            <w:vAlign w:val="center"/>
          </w:tcPr>
          <w:p w14:paraId="3F0BF59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39.2</w:t>
            </w:r>
          </w:p>
        </w:tc>
      </w:tr>
      <w:tr w14:paraId="205F7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6D2598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N11南圻小学</w:t>
            </w:r>
          </w:p>
        </w:tc>
        <w:tc>
          <w:tcPr>
            <w:tcW w:w="1663" w:type="dxa"/>
            <w:tcBorders>
              <w:tl2br w:val="nil"/>
              <w:tr2bl w:val="nil"/>
            </w:tcBorders>
            <w:shd w:val="clear" w:color="auto" w:fill="auto"/>
            <w:vAlign w:val="center"/>
          </w:tcPr>
          <w:p w14:paraId="205B614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44.6</w:t>
            </w:r>
          </w:p>
        </w:tc>
        <w:tc>
          <w:tcPr>
            <w:tcW w:w="1487" w:type="dxa"/>
            <w:tcBorders>
              <w:tl2br w:val="nil"/>
              <w:tr2bl w:val="nil"/>
            </w:tcBorders>
            <w:shd w:val="clear" w:color="auto" w:fill="auto"/>
            <w:vAlign w:val="center"/>
          </w:tcPr>
          <w:p w14:paraId="0E16348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38.8</w:t>
            </w:r>
          </w:p>
        </w:tc>
        <w:tc>
          <w:tcPr>
            <w:tcW w:w="1325" w:type="dxa"/>
            <w:tcBorders>
              <w:tl2br w:val="nil"/>
              <w:tr2bl w:val="nil"/>
            </w:tcBorders>
            <w:shd w:val="clear" w:color="auto" w:fill="auto"/>
            <w:vAlign w:val="center"/>
          </w:tcPr>
          <w:p w14:paraId="7A103CA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44.9</w:t>
            </w:r>
          </w:p>
        </w:tc>
        <w:tc>
          <w:tcPr>
            <w:tcW w:w="1403" w:type="dxa"/>
            <w:tcBorders>
              <w:tl2br w:val="nil"/>
              <w:tr2bl w:val="nil"/>
            </w:tcBorders>
            <w:shd w:val="clear" w:color="auto" w:fill="auto"/>
            <w:vAlign w:val="center"/>
          </w:tcPr>
          <w:p w14:paraId="219842F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38.3</w:t>
            </w:r>
          </w:p>
        </w:tc>
      </w:tr>
      <w:tr w14:paraId="007AE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3E41C1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N12刘家湾居民点</w:t>
            </w:r>
          </w:p>
        </w:tc>
        <w:tc>
          <w:tcPr>
            <w:tcW w:w="1663" w:type="dxa"/>
            <w:tcBorders>
              <w:tl2br w:val="nil"/>
              <w:tr2bl w:val="nil"/>
            </w:tcBorders>
            <w:shd w:val="clear" w:color="auto" w:fill="auto"/>
            <w:vAlign w:val="center"/>
          </w:tcPr>
          <w:p w14:paraId="26BBE76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43.0</w:t>
            </w:r>
          </w:p>
        </w:tc>
        <w:tc>
          <w:tcPr>
            <w:tcW w:w="1487" w:type="dxa"/>
            <w:tcBorders>
              <w:tl2br w:val="nil"/>
              <w:tr2bl w:val="nil"/>
            </w:tcBorders>
            <w:shd w:val="clear" w:color="auto" w:fill="auto"/>
            <w:vAlign w:val="center"/>
          </w:tcPr>
          <w:p w14:paraId="10BF1E9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c>
          <w:tcPr>
            <w:tcW w:w="1325" w:type="dxa"/>
            <w:tcBorders>
              <w:tl2br w:val="nil"/>
              <w:tr2bl w:val="nil"/>
            </w:tcBorders>
            <w:shd w:val="clear" w:color="auto" w:fill="auto"/>
            <w:vAlign w:val="center"/>
          </w:tcPr>
          <w:p w14:paraId="008D036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42.3</w:t>
            </w:r>
          </w:p>
        </w:tc>
        <w:tc>
          <w:tcPr>
            <w:tcW w:w="1403" w:type="dxa"/>
            <w:tcBorders>
              <w:tl2br w:val="nil"/>
              <w:tr2bl w:val="nil"/>
            </w:tcBorders>
            <w:shd w:val="clear" w:color="auto" w:fill="auto"/>
            <w:vAlign w:val="center"/>
          </w:tcPr>
          <w:p w14:paraId="7017AD7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39.0</w:t>
            </w:r>
          </w:p>
        </w:tc>
      </w:tr>
      <w:tr w14:paraId="6772E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054D7C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N13涂家岭居民点</w:t>
            </w:r>
          </w:p>
        </w:tc>
        <w:tc>
          <w:tcPr>
            <w:tcW w:w="1663" w:type="dxa"/>
            <w:tcBorders>
              <w:tl2br w:val="nil"/>
              <w:tr2bl w:val="nil"/>
            </w:tcBorders>
            <w:shd w:val="clear" w:color="auto" w:fill="auto"/>
            <w:vAlign w:val="center"/>
          </w:tcPr>
          <w:p w14:paraId="7155F8B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44.2</w:t>
            </w:r>
          </w:p>
        </w:tc>
        <w:tc>
          <w:tcPr>
            <w:tcW w:w="1487" w:type="dxa"/>
            <w:tcBorders>
              <w:tl2br w:val="nil"/>
              <w:tr2bl w:val="nil"/>
            </w:tcBorders>
            <w:shd w:val="clear" w:color="auto" w:fill="auto"/>
            <w:vAlign w:val="center"/>
          </w:tcPr>
          <w:p w14:paraId="0B349ED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38.9</w:t>
            </w:r>
          </w:p>
        </w:tc>
        <w:tc>
          <w:tcPr>
            <w:tcW w:w="1325" w:type="dxa"/>
            <w:tcBorders>
              <w:tl2br w:val="nil"/>
              <w:tr2bl w:val="nil"/>
            </w:tcBorders>
            <w:shd w:val="clear" w:color="auto" w:fill="auto"/>
            <w:vAlign w:val="center"/>
          </w:tcPr>
          <w:p w14:paraId="114BB45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45.1</w:t>
            </w:r>
          </w:p>
        </w:tc>
        <w:tc>
          <w:tcPr>
            <w:tcW w:w="1403" w:type="dxa"/>
            <w:tcBorders>
              <w:tl2br w:val="nil"/>
              <w:tr2bl w:val="nil"/>
            </w:tcBorders>
            <w:shd w:val="clear" w:color="auto" w:fill="auto"/>
            <w:vAlign w:val="center"/>
          </w:tcPr>
          <w:p w14:paraId="12F4471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38.8</w:t>
            </w:r>
          </w:p>
        </w:tc>
      </w:tr>
      <w:tr w14:paraId="1BAF4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5A413D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N14石灰冲居民点</w:t>
            </w:r>
          </w:p>
        </w:tc>
        <w:tc>
          <w:tcPr>
            <w:tcW w:w="1663" w:type="dxa"/>
            <w:tcBorders>
              <w:tl2br w:val="nil"/>
              <w:tr2bl w:val="nil"/>
            </w:tcBorders>
            <w:shd w:val="clear" w:color="auto" w:fill="auto"/>
            <w:vAlign w:val="center"/>
          </w:tcPr>
          <w:p w14:paraId="02E6A05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45.3</w:t>
            </w:r>
          </w:p>
        </w:tc>
        <w:tc>
          <w:tcPr>
            <w:tcW w:w="1487" w:type="dxa"/>
            <w:tcBorders>
              <w:tl2br w:val="nil"/>
              <w:tr2bl w:val="nil"/>
            </w:tcBorders>
            <w:shd w:val="clear" w:color="auto" w:fill="auto"/>
            <w:vAlign w:val="center"/>
          </w:tcPr>
          <w:p w14:paraId="2BE50E0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36.6</w:t>
            </w:r>
          </w:p>
        </w:tc>
        <w:tc>
          <w:tcPr>
            <w:tcW w:w="1325" w:type="dxa"/>
            <w:tcBorders>
              <w:tl2br w:val="nil"/>
              <w:tr2bl w:val="nil"/>
            </w:tcBorders>
            <w:shd w:val="clear" w:color="auto" w:fill="auto"/>
            <w:vAlign w:val="center"/>
          </w:tcPr>
          <w:p w14:paraId="0D2D609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45.2</w:t>
            </w:r>
          </w:p>
        </w:tc>
        <w:tc>
          <w:tcPr>
            <w:tcW w:w="1403" w:type="dxa"/>
            <w:tcBorders>
              <w:tl2br w:val="nil"/>
              <w:tr2bl w:val="nil"/>
            </w:tcBorders>
            <w:shd w:val="clear" w:color="auto" w:fill="auto"/>
            <w:vAlign w:val="center"/>
          </w:tcPr>
          <w:p w14:paraId="457AAD5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36.3</w:t>
            </w:r>
          </w:p>
        </w:tc>
      </w:tr>
      <w:tr w14:paraId="698F6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F666B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kern w:val="2"/>
                <w:sz w:val="21"/>
                <w:szCs w:val="21"/>
                <w:lang w:val="en-US" w:eastAsia="zh-CN" w:bidi="ar-SA"/>
              </w:rPr>
              <w:t>N15高家咀居民点</w:t>
            </w:r>
          </w:p>
        </w:tc>
        <w:tc>
          <w:tcPr>
            <w:tcW w:w="1663" w:type="dxa"/>
            <w:tcBorders>
              <w:tl2br w:val="nil"/>
              <w:tr2bl w:val="nil"/>
            </w:tcBorders>
            <w:shd w:val="clear" w:color="auto" w:fill="auto"/>
            <w:vAlign w:val="center"/>
          </w:tcPr>
          <w:p w14:paraId="789EF78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46.1</w:t>
            </w:r>
          </w:p>
        </w:tc>
        <w:tc>
          <w:tcPr>
            <w:tcW w:w="1487" w:type="dxa"/>
            <w:tcBorders>
              <w:tl2br w:val="nil"/>
              <w:tr2bl w:val="nil"/>
            </w:tcBorders>
            <w:shd w:val="clear" w:color="auto" w:fill="auto"/>
            <w:vAlign w:val="center"/>
          </w:tcPr>
          <w:p w14:paraId="7D45576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36.2</w:t>
            </w:r>
          </w:p>
        </w:tc>
        <w:tc>
          <w:tcPr>
            <w:tcW w:w="1325" w:type="dxa"/>
            <w:tcBorders>
              <w:tl2br w:val="nil"/>
              <w:tr2bl w:val="nil"/>
            </w:tcBorders>
            <w:shd w:val="clear" w:color="auto" w:fill="auto"/>
            <w:vAlign w:val="center"/>
          </w:tcPr>
          <w:p w14:paraId="7C90282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03" w:type="dxa"/>
            <w:tcBorders>
              <w:tl2br w:val="nil"/>
              <w:tr2bl w:val="nil"/>
            </w:tcBorders>
            <w:shd w:val="clear" w:color="auto" w:fill="auto"/>
            <w:vAlign w:val="center"/>
          </w:tcPr>
          <w:p w14:paraId="76944E6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36.5</w:t>
            </w:r>
          </w:p>
        </w:tc>
      </w:tr>
      <w:tr w14:paraId="69751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4C8D38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N16桥梁八组居民点</w:t>
            </w:r>
          </w:p>
        </w:tc>
        <w:tc>
          <w:tcPr>
            <w:tcW w:w="1663" w:type="dxa"/>
            <w:tcBorders>
              <w:tl2br w:val="nil"/>
              <w:tr2bl w:val="nil"/>
            </w:tcBorders>
            <w:shd w:val="clear" w:color="auto" w:fill="auto"/>
            <w:vAlign w:val="center"/>
          </w:tcPr>
          <w:p w14:paraId="7573217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45.6</w:t>
            </w:r>
          </w:p>
        </w:tc>
        <w:tc>
          <w:tcPr>
            <w:tcW w:w="1487" w:type="dxa"/>
            <w:tcBorders>
              <w:tl2br w:val="nil"/>
              <w:tr2bl w:val="nil"/>
            </w:tcBorders>
            <w:shd w:val="clear" w:color="auto" w:fill="auto"/>
            <w:vAlign w:val="center"/>
          </w:tcPr>
          <w:p w14:paraId="4396CE0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36.6</w:t>
            </w:r>
          </w:p>
        </w:tc>
        <w:tc>
          <w:tcPr>
            <w:tcW w:w="1325" w:type="dxa"/>
            <w:tcBorders>
              <w:tl2br w:val="nil"/>
              <w:tr2bl w:val="nil"/>
            </w:tcBorders>
            <w:shd w:val="clear" w:color="auto" w:fill="auto"/>
            <w:vAlign w:val="center"/>
          </w:tcPr>
          <w:p w14:paraId="09E740C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46.3</w:t>
            </w:r>
          </w:p>
        </w:tc>
        <w:tc>
          <w:tcPr>
            <w:tcW w:w="1403" w:type="dxa"/>
            <w:tcBorders>
              <w:tl2br w:val="nil"/>
              <w:tr2bl w:val="nil"/>
            </w:tcBorders>
            <w:shd w:val="clear" w:color="auto" w:fill="auto"/>
            <w:vAlign w:val="center"/>
          </w:tcPr>
          <w:p w14:paraId="4C063E9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36.1</w:t>
            </w:r>
          </w:p>
        </w:tc>
      </w:tr>
      <w:tr w14:paraId="41C25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327DD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N17疯叭岭居民点</w:t>
            </w:r>
          </w:p>
        </w:tc>
        <w:tc>
          <w:tcPr>
            <w:tcW w:w="1663" w:type="dxa"/>
            <w:tcBorders>
              <w:tl2br w:val="nil"/>
              <w:tr2bl w:val="nil"/>
            </w:tcBorders>
            <w:shd w:val="clear" w:color="auto" w:fill="auto"/>
            <w:vAlign w:val="center"/>
          </w:tcPr>
          <w:p w14:paraId="054F3B8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42.3</w:t>
            </w:r>
          </w:p>
        </w:tc>
        <w:tc>
          <w:tcPr>
            <w:tcW w:w="1487" w:type="dxa"/>
            <w:tcBorders>
              <w:tl2br w:val="nil"/>
              <w:tr2bl w:val="nil"/>
            </w:tcBorders>
            <w:shd w:val="clear" w:color="auto" w:fill="auto"/>
            <w:vAlign w:val="center"/>
          </w:tcPr>
          <w:p w14:paraId="3C39E06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38.9</w:t>
            </w:r>
          </w:p>
        </w:tc>
        <w:tc>
          <w:tcPr>
            <w:tcW w:w="1325" w:type="dxa"/>
            <w:tcBorders>
              <w:tl2br w:val="nil"/>
              <w:tr2bl w:val="nil"/>
            </w:tcBorders>
            <w:shd w:val="clear" w:color="auto" w:fill="auto"/>
            <w:vAlign w:val="center"/>
          </w:tcPr>
          <w:p w14:paraId="0E0C97F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45.2</w:t>
            </w:r>
          </w:p>
        </w:tc>
        <w:tc>
          <w:tcPr>
            <w:tcW w:w="1403" w:type="dxa"/>
            <w:tcBorders>
              <w:tl2br w:val="nil"/>
              <w:tr2bl w:val="nil"/>
            </w:tcBorders>
            <w:shd w:val="clear" w:color="auto" w:fill="auto"/>
            <w:vAlign w:val="center"/>
          </w:tcPr>
          <w:p w14:paraId="00526E1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38.8</w:t>
            </w:r>
          </w:p>
        </w:tc>
      </w:tr>
      <w:tr w14:paraId="378AD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430BE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N18西菱湖居民点</w:t>
            </w:r>
          </w:p>
        </w:tc>
        <w:tc>
          <w:tcPr>
            <w:tcW w:w="1663" w:type="dxa"/>
            <w:tcBorders>
              <w:tl2br w:val="nil"/>
              <w:tr2bl w:val="nil"/>
            </w:tcBorders>
            <w:shd w:val="clear" w:color="auto" w:fill="auto"/>
            <w:vAlign w:val="center"/>
          </w:tcPr>
          <w:p w14:paraId="1767FBC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44.5</w:t>
            </w:r>
          </w:p>
        </w:tc>
        <w:tc>
          <w:tcPr>
            <w:tcW w:w="1487" w:type="dxa"/>
            <w:tcBorders>
              <w:tl2br w:val="nil"/>
              <w:tr2bl w:val="nil"/>
            </w:tcBorders>
            <w:shd w:val="clear" w:color="auto" w:fill="auto"/>
            <w:vAlign w:val="center"/>
          </w:tcPr>
          <w:p w14:paraId="774957E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36.6</w:t>
            </w:r>
          </w:p>
        </w:tc>
        <w:tc>
          <w:tcPr>
            <w:tcW w:w="1325" w:type="dxa"/>
            <w:tcBorders>
              <w:tl2br w:val="nil"/>
              <w:tr2bl w:val="nil"/>
            </w:tcBorders>
            <w:shd w:val="clear" w:color="auto" w:fill="auto"/>
            <w:vAlign w:val="center"/>
          </w:tcPr>
          <w:p w14:paraId="497C64DB">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46.2</w:t>
            </w:r>
          </w:p>
        </w:tc>
        <w:tc>
          <w:tcPr>
            <w:tcW w:w="1403" w:type="dxa"/>
            <w:tcBorders>
              <w:tl2br w:val="nil"/>
              <w:tr2bl w:val="nil"/>
            </w:tcBorders>
            <w:shd w:val="clear" w:color="auto" w:fill="auto"/>
            <w:vAlign w:val="center"/>
          </w:tcPr>
          <w:p w14:paraId="1423D6A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36.5</w:t>
            </w:r>
          </w:p>
        </w:tc>
      </w:tr>
      <w:tr w14:paraId="092CD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441E7A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000000"/>
                <w:kern w:val="2"/>
                <w:sz w:val="21"/>
                <w:szCs w:val="21"/>
                <w:lang w:val="en-US" w:eastAsia="zh-CN" w:bidi="ar-SA"/>
              </w:rPr>
              <w:t>N19西湖二组居民点</w:t>
            </w:r>
          </w:p>
        </w:tc>
        <w:tc>
          <w:tcPr>
            <w:tcW w:w="1663" w:type="dxa"/>
            <w:tcBorders>
              <w:tl2br w:val="nil"/>
              <w:tr2bl w:val="nil"/>
            </w:tcBorders>
            <w:shd w:val="clear" w:color="auto" w:fill="auto"/>
            <w:vAlign w:val="center"/>
          </w:tcPr>
          <w:p w14:paraId="5E427EB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46.2</w:t>
            </w:r>
          </w:p>
        </w:tc>
        <w:tc>
          <w:tcPr>
            <w:tcW w:w="1487" w:type="dxa"/>
            <w:tcBorders>
              <w:tl2br w:val="nil"/>
              <w:tr2bl w:val="nil"/>
            </w:tcBorders>
            <w:shd w:val="clear" w:color="auto" w:fill="auto"/>
            <w:vAlign w:val="center"/>
          </w:tcPr>
          <w:p w14:paraId="28CC3F2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39.5</w:t>
            </w:r>
          </w:p>
        </w:tc>
        <w:tc>
          <w:tcPr>
            <w:tcW w:w="1325" w:type="dxa"/>
            <w:tcBorders>
              <w:tl2br w:val="nil"/>
              <w:tr2bl w:val="nil"/>
            </w:tcBorders>
            <w:shd w:val="clear" w:color="auto" w:fill="auto"/>
            <w:vAlign w:val="center"/>
          </w:tcPr>
          <w:p w14:paraId="5287B1C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43.2</w:t>
            </w:r>
          </w:p>
        </w:tc>
        <w:tc>
          <w:tcPr>
            <w:tcW w:w="1403" w:type="dxa"/>
            <w:tcBorders>
              <w:tl2br w:val="nil"/>
              <w:tr2bl w:val="nil"/>
            </w:tcBorders>
            <w:shd w:val="clear" w:color="auto" w:fill="auto"/>
            <w:vAlign w:val="center"/>
          </w:tcPr>
          <w:p w14:paraId="771FA10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FF"/>
                <w:ker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39.2</w:t>
            </w:r>
          </w:p>
        </w:tc>
      </w:tr>
      <w:tr w14:paraId="4CAB8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32D2F7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1类标准值</w:t>
            </w:r>
          </w:p>
        </w:tc>
        <w:tc>
          <w:tcPr>
            <w:tcW w:w="1663" w:type="dxa"/>
            <w:tcBorders>
              <w:tl2br w:val="nil"/>
              <w:tr2bl w:val="nil"/>
            </w:tcBorders>
            <w:shd w:val="clear" w:color="auto" w:fill="auto"/>
            <w:vAlign w:val="center"/>
          </w:tcPr>
          <w:p w14:paraId="139ED29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snapToGrid w:val="0"/>
                <w:color w:val="auto"/>
                <w:kern w:val="0"/>
                <w:sz w:val="21"/>
                <w:szCs w:val="21"/>
                <w:u w:val="none" w:color="auto"/>
                <w:lang w:val="en-US" w:eastAsia="zh-CN"/>
              </w:rPr>
              <w:t>55</w:t>
            </w:r>
          </w:p>
        </w:tc>
        <w:tc>
          <w:tcPr>
            <w:tcW w:w="1487" w:type="dxa"/>
            <w:tcBorders>
              <w:tl2br w:val="nil"/>
              <w:tr2bl w:val="nil"/>
            </w:tcBorders>
            <w:shd w:val="clear" w:color="auto" w:fill="auto"/>
            <w:vAlign w:val="center"/>
          </w:tcPr>
          <w:p w14:paraId="2E339A7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snapToGrid w:val="0"/>
                <w:color w:val="auto"/>
                <w:kern w:val="0"/>
                <w:sz w:val="21"/>
                <w:szCs w:val="21"/>
                <w:u w:val="none" w:color="auto"/>
                <w:lang w:val="en-US" w:eastAsia="zh-CN"/>
              </w:rPr>
              <w:t>45</w:t>
            </w:r>
          </w:p>
        </w:tc>
        <w:tc>
          <w:tcPr>
            <w:tcW w:w="1325" w:type="dxa"/>
            <w:tcBorders>
              <w:tl2br w:val="nil"/>
              <w:tr2bl w:val="nil"/>
            </w:tcBorders>
            <w:shd w:val="clear" w:color="auto" w:fill="auto"/>
            <w:vAlign w:val="center"/>
          </w:tcPr>
          <w:p w14:paraId="279FA19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bidi="ar-SA"/>
              </w:rPr>
            </w:pPr>
            <w:r>
              <w:rPr>
                <w:rFonts w:hint="default" w:ascii="Times New Roman" w:hAnsi="Times New Roman" w:eastAsia="宋体" w:cs="Times New Roman"/>
                <w:snapToGrid w:val="0"/>
                <w:color w:val="auto"/>
                <w:kern w:val="0"/>
                <w:sz w:val="21"/>
                <w:szCs w:val="21"/>
                <w:u w:val="none" w:color="auto"/>
                <w:lang w:val="en-US" w:eastAsia="zh-CN"/>
              </w:rPr>
              <w:t>55</w:t>
            </w:r>
          </w:p>
        </w:tc>
        <w:tc>
          <w:tcPr>
            <w:tcW w:w="1403" w:type="dxa"/>
            <w:tcBorders>
              <w:tl2br w:val="nil"/>
              <w:tr2bl w:val="nil"/>
            </w:tcBorders>
            <w:shd w:val="clear" w:color="auto" w:fill="auto"/>
            <w:vAlign w:val="center"/>
          </w:tcPr>
          <w:p w14:paraId="225DC0C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bidi="ar-SA"/>
              </w:rPr>
            </w:pPr>
            <w:r>
              <w:rPr>
                <w:rFonts w:hint="default" w:ascii="Times New Roman" w:hAnsi="Times New Roman" w:eastAsia="宋体" w:cs="Times New Roman"/>
                <w:snapToGrid w:val="0"/>
                <w:color w:val="auto"/>
                <w:kern w:val="0"/>
                <w:sz w:val="21"/>
                <w:szCs w:val="21"/>
                <w:u w:val="none" w:color="auto"/>
                <w:lang w:val="en-US" w:eastAsia="zh-CN"/>
              </w:rPr>
              <w:t>45</w:t>
            </w:r>
          </w:p>
        </w:tc>
      </w:tr>
      <w:tr w14:paraId="13498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9" w:type="dxa"/>
            <w:tcBorders>
              <w:tl2br w:val="nil"/>
              <w:tr2bl w:val="nil"/>
            </w:tcBorders>
            <w:shd w:val="clear" w:color="auto" w:fill="auto"/>
            <w:vAlign w:val="center"/>
          </w:tcPr>
          <w:p w14:paraId="774DF9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达标情况</w:t>
            </w:r>
          </w:p>
        </w:tc>
        <w:tc>
          <w:tcPr>
            <w:tcW w:w="1663" w:type="dxa"/>
            <w:tcBorders>
              <w:tl2br w:val="nil"/>
              <w:tr2bl w:val="nil"/>
            </w:tcBorders>
            <w:shd w:val="clear" w:color="auto" w:fill="auto"/>
            <w:vAlign w:val="center"/>
          </w:tcPr>
          <w:p w14:paraId="1D68F4D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c>
          <w:tcPr>
            <w:tcW w:w="1487" w:type="dxa"/>
            <w:tcBorders>
              <w:tl2br w:val="nil"/>
              <w:tr2bl w:val="nil"/>
            </w:tcBorders>
            <w:shd w:val="clear" w:color="auto" w:fill="auto"/>
            <w:vAlign w:val="center"/>
          </w:tcPr>
          <w:p w14:paraId="43FBFE5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c>
          <w:tcPr>
            <w:tcW w:w="1325" w:type="dxa"/>
            <w:tcBorders>
              <w:tl2br w:val="nil"/>
              <w:tr2bl w:val="nil"/>
            </w:tcBorders>
            <w:shd w:val="clear" w:color="auto" w:fill="auto"/>
            <w:vAlign w:val="center"/>
          </w:tcPr>
          <w:p w14:paraId="453604FC">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c>
          <w:tcPr>
            <w:tcW w:w="1403" w:type="dxa"/>
            <w:tcBorders>
              <w:tl2br w:val="nil"/>
              <w:tr2bl w:val="nil"/>
            </w:tcBorders>
            <w:shd w:val="clear" w:color="auto" w:fill="auto"/>
            <w:vAlign w:val="center"/>
          </w:tcPr>
          <w:p w14:paraId="2570E4C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达标</w:t>
            </w:r>
          </w:p>
        </w:tc>
      </w:tr>
    </w:tbl>
    <w:p w14:paraId="7BB5EBA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从表3.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4-12</w:t>
      </w:r>
      <w:r>
        <w:rPr>
          <w:rFonts w:hint="default" w:ascii="Times New Roman" w:hAnsi="Times New Roman" w:eastAsia="宋体" w:cs="Times New Roman"/>
          <w:caps w:val="0"/>
          <w:smallCaps w:val="0"/>
          <w:color w:val="auto"/>
          <w:spacing w:val="0"/>
          <w:w w:val="100"/>
          <w:kern w:val="0"/>
          <w:position w:val="0"/>
          <w:sz w:val="24"/>
          <w:szCs w:val="24"/>
          <w:u w:val="none" w:color="auto"/>
        </w:rPr>
        <w:t>中可知：项目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各监测点位</w:t>
      </w:r>
      <w:r>
        <w:rPr>
          <w:rFonts w:hint="default" w:ascii="Times New Roman" w:hAnsi="Times New Roman" w:eastAsia="宋体" w:cs="Times New Roman"/>
          <w:caps w:val="0"/>
          <w:smallCaps w:val="0"/>
          <w:color w:val="auto"/>
          <w:spacing w:val="0"/>
          <w:w w:val="100"/>
          <w:kern w:val="0"/>
          <w:position w:val="0"/>
          <w:sz w:val="24"/>
          <w:szCs w:val="24"/>
          <w:u w:val="none" w:color="auto"/>
        </w:rPr>
        <w:t>昼间、夜间噪声监测值均满足《声环境质量标准》（GB3096-2008）1类标准限值要求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28EE2B26">
      <w:pPr>
        <w:pStyle w:val="4"/>
        <w:bidi w:val="0"/>
        <w:rPr>
          <w:rFonts w:hint="default" w:ascii="Times New Roman" w:hAnsi="Times New Roman" w:cs="Times New Roman"/>
          <w:color w:val="auto"/>
          <w:u w:val="none" w:color="auto"/>
        </w:rPr>
      </w:pPr>
      <w:bookmarkStart w:id="182" w:name="_Toc2088"/>
      <w:r>
        <w:rPr>
          <w:rFonts w:hint="default" w:ascii="Times New Roman" w:hAnsi="Times New Roman" w:cs="Times New Roman"/>
          <w:color w:val="auto"/>
          <w:u w:val="none" w:color="auto"/>
        </w:rPr>
        <w:t>土壤环境现状调查与评价</w:t>
      </w:r>
      <w:bookmarkEnd w:id="182"/>
    </w:p>
    <w:p w14:paraId="5E510659">
      <w:pPr>
        <w:pStyle w:val="101"/>
        <w:ind w:firstLine="480"/>
        <w:rPr>
          <w:rFonts w:hint="default" w:ascii="Times New Roman" w:hAnsi="Times New Roman" w:eastAsia="宋体" w:cs="Times New Roman"/>
          <w:color w:val="auto"/>
          <w:spacing w:val="0"/>
          <w:w w:val="100"/>
          <w:position w:val="0"/>
          <w:u w:val="none" w:color="auto"/>
        </w:rPr>
      </w:pPr>
      <w:bookmarkStart w:id="183" w:name="_Toc488009098"/>
      <w:r>
        <w:rPr>
          <w:rFonts w:hint="default" w:ascii="Times New Roman" w:hAnsi="Times New Roman" w:eastAsia="宋体" w:cs="Times New Roman"/>
          <w:color w:val="auto"/>
          <w:spacing w:val="0"/>
          <w:w w:val="100"/>
          <w:position w:val="0"/>
          <w:u w:val="none" w:color="auto"/>
        </w:rPr>
        <w:t>为了解</w:t>
      </w:r>
      <w:r>
        <w:rPr>
          <w:rFonts w:hint="default" w:ascii="Times New Roman" w:hAnsi="Times New Roman" w:eastAsia="宋体" w:cs="Times New Roman"/>
          <w:color w:val="auto"/>
          <w:spacing w:val="0"/>
          <w:w w:val="100"/>
          <w:position w:val="0"/>
          <w:u w:val="none" w:color="auto"/>
          <w:lang w:eastAsia="zh-CN"/>
        </w:rPr>
        <w:t>项目区域</w:t>
      </w:r>
      <w:r>
        <w:rPr>
          <w:rFonts w:hint="eastAsia" w:ascii="Times New Roman" w:hAnsi="Times New Roman" w:eastAsia="宋体" w:cs="Times New Roman"/>
          <w:color w:val="auto"/>
          <w:spacing w:val="0"/>
          <w:w w:val="100"/>
          <w:position w:val="0"/>
          <w:u w:val="none" w:color="auto"/>
          <w:lang w:eastAsia="zh-CN"/>
        </w:rPr>
        <w:t>土壤</w:t>
      </w:r>
      <w:r>
        <w:rPr>
          <w:rFonts w:hint="default" w:ascii="Times New Roman" w:hAnsi="Times New Roman" w:eastAsia="宋体" w:cs="Times New Roman"/>
          <w:color w:val="auto"/>
          <w:spacing w:val="0"/>
          <w:w w:val="100"/>
          <w:position w:val="0"/>
          <w:u w:val="none" w:color="auto"/>
        </w:rPr>
        <w:t>环境质量现状，建设单位委托</w:t>
      </w:r>
      <w:r>
        <w:rPr>
          <w:rFonts w:hint="default" w:ascii="Times New Roman" w:hAnsi="Times New Roman" w:eastAsia="宋体" w:cs="Times New Roman"/>
          <w:color w:val="auto"/>
          <w:spacing w:val="0"/>
          <w:w w:val="100"/>
          <w:position w:val="0"/>
          <w:u w:val="none" w:color="auto"/>
          <w:lang w:eastAsia="zh-CN"/>
        </w:rPr>
        <w:t>湖南乾诚检测有限公司</w:t>
      </w:r>
      <w:r>
        <w:rPr>
          <w:rFonts w:hint="default" w:ascii="Times New Roman" w:hAnsi="Times New Roman" w:eastAsia="宋体" w:cs="Times New Roman"/>
          <w:color w:val="auto"/>
          <w:spacing w:val="0"/>
          <w:w w:val="100"/>
          <w:position w:val="0"/>
          <w:u w:val="none" w:color="auto"/>
        </w:rPr>
        <w:t>对项目所在地</w:t>
      </w:r>
      <w:r>
        <w:rPr>
          <w:rFonts w:hint="eastAsia" w:ascii="Times New Roman" w:hAnsi="Times New Roman" w:eastAsia="宋体" w:cs="Times New Roman"/>
          <w:color w:val="auto"/>
          <w:spacing w:val="0"/>
          <w:w w:val="100"/>
          <w:position w:val="0"/>
          <w:u w:val="none" w:color="auto"/>
          <w:lang w:eastAsia="zh-CN"/>
        </w:rPr>
        <w:t>土壤</w:t>
      </w:r>
      <w:r>
        <w:rPr>
          <w:rFonts w:hint="default" w:ascii="Times New Roman" w:hAnsi="Times New Roman" w:eastAsia="宋体" w:cs="Times New Roman"/>
          <w:color w:val="auto"/>
          <w:spacing w:val="0"/>
          <w:w w:val="100"/>
          <w:position w:val="0"/>
          <w:u w:val="none" w:color="auto"/>
        </w:rPr>
        <w:t>环境质量进行了</w:t>
      </w:r>
      <w:r>
        <w:rPr>
          <w:rFonts w:hint="default" w:ascii="Times New Roman" w:hAnsi="Times New Roman" w:eastAsia="宋体" w:cs="Times New Roman"/>
          <w:color w:val="auto"/>
          <w:spacing w:val="0"/>
          <w:w w:val="100"/>
          <w:position w:val="0"/>
          <w:u w:val="none" w:color="auto"/>
          <w:lang w:val="en-US" w:eastAsia="zh-CN"/>
        </w:rPr>
        <w:t>一期</w:t>
      </w:r>
      <w:r>
        <w:rPr>
          <w:rFonts w:hint="default" w:ascii="Times New Roman" w:hAnsi="Times New Roman" w:eastAsia="宋体" w:cs="Times New Roman"/>
          <w:color w:val="auto"/>
          <w:spacing w:val="0"/>
          <w:w w:val="100"/>
          <w:position w:val="0"/>
          <w:u w:val="none" w:color="auto"/>
        </w:rPr>
        <w:t>现状监测。</w:t>
      </w:r>
    </w:p>
    <w:p w14:paraId="3AAC68FB">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1、监测布点、监测</w:t>
      </w:r>
      <w:bookmarkEnd w:id="183"/>
      <w:r>
        <w:rPr>
          <w:rFonts w:hint="default" w:ascii="Times New Roman" w:hAnsi="Times New Roman" w:eastAsia="宋体" w:cs="Times New Roman"/>
          <w:b/>
          <w:bCs/>
          <w:color w:val="auto"/>
          <w:spacing w:val="0"/>
          <w:w w:val="100"/>
          <w:kern w:val="0"/>
          <w:position w:val="0"/>
          <w:sz w:val="24"/>
          <w:u w:val="none" w:color="auto"/>
          <w:lang w:val="en-US" w:eastAsia="zh-CN"/>
        </w:rPr>
        <w:t>因子</w:t>
      </w:r>
    </w:p>
    <w:p w14:paraId="47A29781">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本次土壤监测设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个监测点，项目场地范围内设1个表层样点，场地范围外取</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个表层样点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具体见表3.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2-13</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632235F1">
      <w:pPr>
        <w:pageBreakBefore w:val="0"/>
        <w:kinsoku w:val="0"/>
        <w:wordWrap w:val="0"/>
        <w:overflowPunct/>
        <w:topLinePunct/>
        <w:autoSpaceDE/>
        <w:autoSpaceDN/>
        <w:bidi w:val="0"/>
        <w:spacing w:line="360" w:lineRule="auto"/>
        <w:jc w:val="center"/>
        <w:rPr>
          <w:rFonts w:hint="default" w:ascii="Times New Roman" w:hAnsi="Times New Roman" w:eastAsia="宋体" w:cs="Times New Roman"/>
          <w:b/>
          <w:caps w:val="0"/>
          <w:smallCaps w:val="0"/>
          <w:color w:val="auto"/>
          <w:spacing w:val="0"/>
          <w:w w:val="100"/>
          <w:position w:val="0"/>
          <w:szCs w:val="21"/>
          <w:u w:val="none" w:color="auto"/>
        </w:rPr>
      </w:pPr>
      <w:r>
        <w:rPr>
          <w:rFonts w:hint="default" w:ascii="Times New Roman" w:hAnsi="Times New Roman" w:eastAsia="宋体" w:cs="Times New Roman"/>
          <w:b/>
          <w:caps w:val="0"/>
          <w:smallCaps w:val="0"/>
          <w:color w:val="auto"/>
          <w:spacing w:val="0"/>
          <w:w w:val="100"/>
          <w:position w:val="0"/>
          <w:szCs w:val="21"/>
          <w:u w:val="none" w:color="auto"/>
        </w:rPr>
        <w:t>表3.</w:t>
      </w:r>
      <w:r>
        <w:rPr>
          <w:rFonts w:hint="default" w:ascii="Times New Roman" w:hAnsi="Times New Roman" w:eastAsia="宋体" w:cs="Times New Roman"/>
          <w:b/>
          <w:caps w:val="0"/>
          <w:smallCaps w:val="0"/>
          <w:color w:val="auto"/>
          <w:spacing w:val="0"/>
          <w:w w:val="100"/>
          <w:position w:val="0"/>
          <w:szCs w:val="21"/>
          <w:u w:val="none" w:color="auto"/>
          <w:lang w:val="en-US" w:eastAsia="zh-CN"/>
        </w:rPr>
        <w:t>2-13</w:t>
      </w:r>
      <w:r>
        <w:rPr>
          <w:rFonts w:hint="default" w:ascii="Times New Roman" w:hAnsi="Times New Roman" w:eastAsia="宋体" w:cs="Times New Roman"/>
          <w:b/>
          <w:caps w:val="0"/>
          <w:smallCaps w:val="0"/>
          <w:color w:val="auto"/>
          <w:spacing w:val="0"/>
          <w:w w:val="100"/>
          <w:position w:val="0"/>
          <w:szCs w:val="21"/>
          <w:u w:val="none" w:color="auto"/>
        </w:rPr>
        <w:t xml:space="preserve">  土壤环境质量</w:t>
      </w:r>
      <w:r>
        <w:rPr>
          <w:rFonts w:hint="default" w:ascii="Times New Roman" w:hAnsi="Times New Roman" w:eastAsia="宋体" w:cs="Times New Roman"/>
          <w:b/>
          <w:caps w:val="0"/>
          <w:smallCaps w:val="0"/>
          <w:color w:val="auto"/>
          <w:spacing w:val="0"/>
          <w:w w:val="100"/>
          <w:position w:val="0"/>
          <w:szCs w:val="21"/>
          <w:u w:val="none" w:color="auto"/>
          <w:lang w:val="en-US" w:eastAsia="zh-CN"/>
        </w:rPr>
        <w:t>现状</w:t>
      </w:r>
      <w:r>
        <w:rPr>
          <w:rFonts w:hint="default" w:ascii="Times New Roman" w:hAnsi="Times New Roman" w:eastAsia="宋体" w:cs="Times New Roman"/>
          <w:b/>
          <w:caps w:val="0"/>
          <w:smallCaps w:val="0"/>
          <w:color w:val="auto"/>
          <w:spacing w:val="0"/>
          <w:w w:val="100"/>
          <w:position w:val="0"/>
          <w:szCs w:val="21"/>
          <w:u w:val="none" w:color="auto"/>
        </w:rPr>
        <w:t>监测点位情况表</w:t>
      </w:r>
    </w:p>
    <w:tbl>
      <w:tblPr>
        <w:tblStyle w:val="4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00"/>
        <w:gridCol w:w="5424"/>
      </w:tblGrid>
      <w:tr w14:paraId="1D4F1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8" w:type="pct"/>
            <w:tcBorders>
              <w:tl2br w:val="nil"/>
              <w:tr2bl w:val="nil"/>
            </w:tcBorders>
            <w:vAlign w:val="center"/>
          </w:tcPr>
          <w:p w14:paraId="38189D25">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监测点位</w:t>
            </w:r>
          </w:p>
        </w:tc>
        <w:tc>
          <w:tcPr>
            <w:tcW w:w="3181" w:type="pct"/>
            <w:tcBorders>
              <w:tl2br w:val="nil"/>
              <w:tr2bl w:val="nil"/>
            </w:tcBorders>
            <w:vAlign w:val="center"/>
          </w:tcPr>
          <w:p w14:paraId="2BE9A8E6">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监测因子</w:t>
            </w:r>
          </w:p>
        </w:tc>
      </w:tr>
      <w:tr w14:paraId="1B15F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8" w:type="pct"/>
            <w:tcBorders>
              <w:tl2br w:val="nil"/>
              <w:tr2bl w:val="nil"/>
            </w:tcBorders>
            <w:vAlign w:val="center"/>
          </w:tcPr>
          <w:p w14:paraId="3FC9D8CB">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w w:val="100"/>
                <w:position w:val="0"/>
                <w:sz w:val="21"/>
                <w:szCs w:val="21"/>
                <w:u w:val="none" w:color="auto"/>
                <w:lang w:eastAsia="zh-CN"/>
              </w:rPr>
            </w:pPr>
            <w:r>
              <w:rPr>
                <w:rFonts w:hint="default" w:ascii="Times New Roman" w:hAnsi="Times New Roman" w:eastAsia="宋体" w:cs="Times New Roman"/>
                <w:caps w:val="0"/>
                <w:smallCaps w:val="0"/>
                <w:color w:val="auto"/>
                <w:spacing w:val="0"/>
                <w:w w:val="100"/>
                <w:position w:val="0"/>
                <w:sz w:val="21"/>
                <w:szCs w:val="21"/>
                <w:u w:val="none" w:color="auto"/>
                <w:lang w:val="en-US" w:eastAsia="zh-CN"/>
              </w:rPr>
              <w:t>T</w:t>
            </w:r>
            <w:r>
              <w:rPr>
                <w:rFonts w:hint="default" w:ascii="Times New Roman" w:hAnsi="Times New Roman" w:eastAsia="宋体" w:cs="Times New Roman"/>
                <w:caps w:val="0"/>
                <w:smallCaps w:val="0"/>
                <w:color w:val="auto"/>
                <w:spacing w:val="0"/>
                <w:w w:val="100"/>
                <w:position w:val="0"/>
                <w:sz w:val="21"/>
                <w:szCs w:val="21"/>
                <w:u w:val="none" w:color="auto"/>
              </w:rPr>
              <w:t>1：</w:t>
            </w:r>
            <w:r>
              <w:rPr>
                <w:rFonts w:hint="eastAsia" w:ascii="Times New Roman" w:hAnsi="Times New Roman" w:eastAsia="宋体" w:cs="Times New Roman"/>
                <w:caps w:val="0"/>
                <w:smallCaps w:val="0"/>
                <w:color w:val="auto"/>
                <w:spacing w:val="0"/>
                <w:w w:val="100"/>
                <w:position w:val="0"/>
                <w:sz w:val="21"/>
                <w:szCs w:val="21"/>
                <w:u w:val="none" w:color="auto"/>
                <w:lang w:val="en-US" w:eastAsia="zh-CN"/>
              </w:rPr>
              <w:t>北汊水库</w:t>
            </w:r>
            <w:r>
              <w:rPr>
                <w:rFonts w:hint="eastAsia" w:ascii="Times New Roman" w:hAnsi="Times New Roman" w:eastAsia="宋体" w:cs="Times New Roman"/>
                <w:color w:val="auto"/>
                <w:kern w:val="2"/>
                <w:sz w:val="21"/>
                <w:szCs w:val="21"/>
                <w:u w:val="none" w:color="auto"/>
                <w:lang w:val="en-US" w:eastAsia="zh-CN" w:bidi="ar-SA"/>
              </w:rPr>
              <w:t>主</w:t>
            </w:r>
            <w:r>
              <w:rPr>
                <w:rFonts w:hint="default" w:ascii="Times New Roman" w:hAnsi="Times New Roman" w:eastAsia="宋体" w:cs="Times New Roman"/>
                <w:color w:val="auto"/>
                <w:kern w:val="2"/>
                <w:sz w:val="21"/>
                <w:szCs w:val="21"/>
                <w:u w:val="none" w:color="auto"/>
                <w:lang w:val="en-US" w:eastAsia="zh-CN" w:bidi="ar-SA"/>
              </w:rPr>
              <w:t>坝</w:t>
            </w:r>
          </w:p>
        </w:tc>
        <w:tc>
          <w:tcPr>
            <w:tcW w:w="3181" w:type="pct"/>
            <w:tcBorders>
              <w:tl2br w:val="nil"/>
              <w:tr2bl w:val="nil"/>
            </w:tcBorders>
            <w:vAlign w:val="center"/>
          </w:tcPr>
          <w:p w14:paraId="597049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表层样：《土壤环境质量 建设用地土壤污染风险管控标准》(GB 36600-2018)表1中基本项目45项、pH、含盐量</w:t>
            </w:r>
          </w:p>
        </w:tc>
      </w:tr>
      <w:tr w14:paraId="7DA60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8" w:type="pct"/>
            <w:tcBorders>
              <w:tl2br w:val="nil"/>
              <w:tr2bl w:val="nil"/>
            </w:tcBorders>
            <w:vAlign w:val="center"/>
          </w:tcPr>
          <w:p w14:paraId="1BCD518E">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val="en-US" w:eastAsia="zh-CN"/>
              </w:rPr>
              <w:t>T</w:t>
            </w:r>
            <w:r>
              <w:rPr>
                <w:rFonts w:hint="default" w:ascii="Times New Roman" w:hAnsi="Times New Roman" w:eastAsia="宋体" w:cs="Times New Roman"/>
                <w:caps w:val="0"/>
                <w:smallCaps w:val="0"/>
                <w:color w:val="auto"/>
                <w:spacing w:val="0"/>
                <w:w w:val="100"/>
                <w:position w:val="0"/>
                <w:sz w:val="21"/>
                <w:szCs w:val="21"/>
                <w:u w:val="none" w:color="auto"/>
              </w:rPr>
              <w:t>2</w:t>
            </w:r>
            <w:r>
              <w:rPr>
                <w:rFonts w:hint="eastAsia" w:ascii="Times New Roman" w:hAnsi="Times New Roman" w:eastAsia="宋体" w:cs="Times New Roman"/>
                <w:caps w:val="0"/>
                <w:smallCaps w:val="0"/>
                <w:color w:val="auto"/>
                <w:spacing w:val="0"/>
                <w:w w:val="100"/>
                <w:position w:val="0"/>
                <w:sz w:val="21"/>
                <w:szCs w:val="21"/>
                <w:u w:val="none" w:color="auto"/>
                <w:lang w:eastAsia="zh-CN"/>
              </w:rPr>
              <w:t>：</w:t>
            </w:r>
            <w:r>
              <w:rPr>
                <w:rFonts w:hint="default" w:ascii="Times New Roman" w:hAnsi="Times New Roman" w:eastAsia="宋体" w:cs="Times New Roman"/>
                <w:color w:val="auto"/>
                <w:kern w:val="2"/>
                <w:sz w:val="21"/>
                <w:szCs w:val="21"/>
                <w:u w:val="none" w:color="auto"/>
                <w:lang w:val="en-US" w:eastAsia="zh-CN" w:bidi="ar-SA"/>
              </w:rPr>
              <w:t>大坝下游农田</w:t>
            </w:r>
          </w:p>
        </w:tc>
        <w:tc>
          <w:tcPr>
            <w:tcW w:w="3181" w:type="pct"/>
            <w:tcBorders>
              <w:tl2br w:val="nil"/>
              <w:tr2bl w:val="nil"/>
            </w:tcBorders>
            <w:vAlign w:val="center"/>
          </w:tcPr>
          <w:p w14:paraId="7714E652">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pH、镉、汞、砷、铅、铬、铜、锌、镍、含盐量</w:t>
            </w:r>
          </w:p>
        </w:tc>
      </w:tr>
      <w:tr w14:paraId="299F7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1818" w:type="pct"/>
            <w:tcBorders>
              <w:tl2br w:val="nil"/>
              <w:tr2bl w:val="nil"/>
            </w:tcBorders>
            <w:vAlign w:val="center"/>
          </w:tcPr>
          <w:p w14:paraId="27C1E031">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lang w:val="en-US" w:eastAsia="zh-CN"/>
              </w:rPr>
              <w:t>T</w:t>
            </w:r>
            <w:r>
              <w:rPr>
                <w:rFonts w:hint="default" w:ascii="Times New Roman" w:hAnsi="Times New Roman" w:eastAsia="宋体" w:cs="Times New Roman"/>
                <w:color w:val="auto"/>
                <w:kern w:val="2"/>
                <w:sz w:val="21"/>
                <w:szCs w:val="21"/>
                <w:u w:val="none" w:color="auto"/>
                <w:lang w:val="en-US" w:eastAsia="zh-CN" w:bidi="ar-SA"/>
              </w:rPr>
              <w:t>3</w:t>
            </w:r>
            <w:r>
              <w:rPr>
                <w:rFonts w:hint="eastAsia" w:ascii="Times New Roman" w:hAnsi="Times New Roman" w:eastAsia="宋体" w:cs="Times New Roman"/>
                <w:color w:val="auto"/>
                <w:kern w:val="2"/>
                <w:sz w:val="21"/>
                <w:szCs w:val="21"/>
                <w:u w:val="none" w:color="auto"/>
                <w:lang w:val="en-US" w:eastAsia="zh-CN" w:bidi="ar-SA"/>
              </w:rPr>
              <w:t>：何家湾林地</w:t>
            </w:r>
            <w:r>
              <w:rPr>
                <w:rFonts w:hint="default" w:ascii="Times New Roman" w:hAnsi="Times New Roman" w:eastAsia="宋体" w:cs="Times New Roman"/>
                <w:color w:val="auto"/>
                <w:kern w:val="2"/>
                <w:sz w:val="21"/>
                <w:szCs w:val="21"/>
                <w:u w:val="none" w:color="auto"/>
                <w:lang w:val="en-US" w:eastAsia="zh-CN" w:bidi="ar-SA"/>
              </w:rPr>
              <w:t xml:space="preserve"> </w:t>
            </w:r>
          </w:p>
        </w:tc>
        <w:tc>
          <w:tcPr>
            <w:tcW w:w="3181" w:type="pct"/>
            <w:tcBorders>
              <w:tl2br w:val="nil"/>
              <w:tr2bl w:val="nil"/>
            </w:tcBorders>
            <w:vAlign w:val="center"/>
          </w:tcPr>
          <w:p w14:paraId="61942B56">
            <w:pPr>
              <w:keepNext w:val="0"/>
              <w:keepLines w:val="0"/>
              <w:pageBreakBefore w:val="0"/>
              <w:suppressLineNumbers w:val="0"/>
              <w:kinsoku w:val="0"/>
              <w:wordWrap w:val="0"/>
              <w:overflowPunct/>
              <w:topLinePunct/>
              <w:autoSpaceDE/>
              <w:autoSpaceDN/>
              <w:bidi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pH、镉、汞、砷、铅、铬、铜、锌、镍、含盐量</w:t>
            </w:r>
          </w:p>
        </w:tc>
      </w:tr>
    </w:tbl>
    <w:p w14:paraId="6A6E2D0A">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2、监测时间及频率</w:t>
      </w:r>
    </w:p>
    <w:p w14:paraId="3A8F62C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监测频次：监测1天，</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共</w:t>
      </w:r>
      <w:r>
        <w:rPr>
          <w:rFonts w:hint="default" w:ascii="Times New Roman" w:hAnsi="Times New Roman" w:eastAsia="宋体" w:cs="Times New Roman"/>
          <w:caps w:val="0"/>
          <w:smallCaps w:val="0"/>
          <w:color w:val="auto"/>
          <w:spacing w:val="0"/>
          <w:w w:val="100"/>
          <w:kern w:val="0"/>
          <w:position w:val="0"/>
          <w:sz w:val="24"/>
          <w:szCs w:val="24"/>
          <w:u w:val="none" w:color="auto"/>
        </w:rPr>
        <w:t>1次。</w:t>
      </w:r>
    </w:p>
    <w:p w14:paraId="598E8C3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监测时间：202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日。</w:t>
      </w:r>
    </w:p>
    <w:p w14:paraId="64136435">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3、采样和分析方法</w:t>
      </w:r>
    </w:p>
    <w:p w14:paraId="3E75C316">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监测项目及分析方法和检出限见下表3.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2-14</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A6781DD">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0000FF"/>
          <w:spacing w:val="0"/>
          <w:w w:val="100"/>
          <w:kern w:val="0"/>
          <w:position w:val="0"/>
          <w:sz w:val="24"/>
          <w:szCs w:val="24"/>
          <w:u w:val="none" w:color="auto"/>
        </w:rPr>
      </w:pPr>
    </w:p>
    <w:p w14:paraId="10B6FAB9">
      <w:pPr>
        <w:pageBreakBefore w:val="0"/>
        <w:kinsoku w:val="0"/>
        <w:wordWrap w:val="0"/>
        <w:overflowPunct/>
        <w:topLinePunct/>
        <w:autoSpaceDE/>
        <w:autoSpaceDN/>
        <w:bidi w:val="0"/>
        <w:spacing w:before="120" w:beforeLines="50" w:line="240" w:lineRule="auto"/>
        <w:jc w:val="center"/>
        <w:rPr>
          <w:rFonts w:hint="default" w:ascii="Times New Roman" w:hAnsi="Times New Roman" w:eastAsia="宋体" w:cs="Times New Roman"/>
          <w:b/>
          <w:caps w:val="0"/>
          <w:smallCaps w:val="0"/>
          <w:color w:val="auto"/>
          <w:spacing w:val="0"/>
          <w:w w:val="100"/>
          <w:position w:val="0"/>
          <w:szCs w:val="21"/>
          <w:u w:val="none" w:color="auto"/>
        </w:rPr>
      </w:pPr>
      <w:r>
        <w:rPr>
          <w:rFonts w:hint="default" w:ascii="Times New Roman" w:hAnsi="Times New Roman" w:eastAsia="宋体" w:cs="Times New Roman"/>
          <w:b/>
          <w:caps w:val="0"/>
          <w:smallCaps w:val="0"/>
          <w:color w:val="auto"/>
          <w:spacing w:val="0"/>
          <w:w w:val="100"/>
          <w:position w:val="0"/>
          <w:szCs w:val="21"/>
          <w:u w:val="none" w:color="auto"/>
        </w:rPr>
        <w:t>表3.</w:t>
      </w:r>
      <w:r>
        <w:rPr>
          <w:rFonts w:hint="default" w:ascii="Times New Roman" w:hAnsi="Times New Roman" w:eastAsia="宋体" w:cs="Times New Roman"/>
          <w:b/>
          <w:caps w:val="0"/>
          <w:smallCaps w:val="0"/>
          <w:color w:val="auto"/>
          <w:spacing w:val="0"/>
          <w:w w:val="100"/>
          <w:position w:val="0"/>
          <w:szCs w:val="21"/>
          <w:u w:val="none" w:color="auto"/>
          <w:lang w:val="en-US" w:eastAsia="zh-CN"/>
        </w:rPr>
        <w:t>2-14</w:t>
      </w:r>
      <w:r>
        <w:rPr>
          <w:rFonts w:hint="default" w:ascii="Times New Roman" w:hAnsi="Times New Roman" w:eastAsia="宋体" w:cs="Times New Roman"/>
          <w:b/>
          <w:caps w:val="0"/>
          <w:smallCaps w:val="0"/>
          <w:color w:val="auto"/>
          <w:spacing w:val="0"/>
          <w:w w:val="100"/>
          <w:position w:val="0"/>
          <w:szCs w:val="21"/>
          <w:u w:val="none" w:color="auto"/>
        </w:rPr>
        <w:t xml:space="preserve">  监测项目及分析方法和检出限</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97"/>
        <w:gridCol w:w="469"/>
        <w:gridCol w:w="780"/>
        <w:gridCol w:w="3409"/>
        <w:gridCol w:w="1959"/>
        <w:gridCol w:w="1227"/>
      </w:tblGrid>
      <w:tr w14:paraId="2F39E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1945" w:type="dxa"/>
            <w:gridSpan w:val="3"/>
            <w:tcBorders>
              <w:tl2br w:val="nil"/>
              <w:tr2bl w:val="nil"/>
            </w:tcBorders>
            <w:vAlign w:val="center"/>
          </w:tcPr>
          <w:p w14:paraId="68DA966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3806" w:type="dxa"/>
            <w:tcBorders>
              <w:tl2br w:val="nil"/>
              <w:tr2bl w:val="nil"/>
            </w:tcBorders>
            <w:vAlign w:val="center"/>
          </w:tcPr>
          <w:p w14:paraId="019AE26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检测方法</w:t>
            </w:r>
          </w:p>
        </w:tc>
        <w:tc>
          <w:tcPr>
            <w:tcW w:w="2186" w:type="dxa"/>
            <w:tcBorders>
              <w:tl2br w:val="nil"/>
              <w:tr2bl w:val="nil"/>
            </w:tcBorders>
            <w:vAlign w:val="center"/>
          </w:tcPr>
          <w:p w14:paraId="4E9C875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检测仪器</w:t>
            </w:r>
          </w:p>
        </w:tc>
        <w:tc>
          <w:tcPr>
            <w:tcW w:w="1368" w:type="dxa"/>
            <w:tcBorders>
              <w:tl2br w:val="nil"/>
              <w:tr2bl w:val="nil"/>
            </w:tcBorders>
            <w:vAlign w:val="center"/>
          </w:tcPr>
          <w:p w14:paraId="3265CC8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方法检出限</w:t>
            </w:r>
          </w:p>
        </w:tc>
      </w:tr>
      <w:tr w14:paraId="02536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restart"/>
            <w:tcBorders>
              <w:tl2br w:val="nil"/>
              <w:tr2bl w:val="nil"/>
            </w:tcBorders>
            <w:textDirection w:val="tbLrV"/>
            <w:vAlign w:val="center"/>
          </w:tcPr>
          <w:p w14:paraId="789768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土壤（总量）、污泥</w:t>
            </w:r>
          </w:p>
        </w:tc>
        <w:tc>
          <w:tcPr>
            <w:tcW w:w="1392" w:type="dxa"/>
            <w:gridSpan w:val="2"/>
            <w:tcBorders>
              <w:tl2br w:val="nil"/>
              <w:tr2bl w:val="nil"/>
            </w:tcBorders>
            <w:vAlign w:val="center"/>
          </w:tcPr>
          <w:p w14:paraId="0531C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pH值</w:t>
            </w:r>
          </w:p>
        </w:tc>
        <w:tc>
          <w:tcPr>
            <w:tcW w:w="3806" w:type="dxa"/>
            <w:tcBorders>
              <w:tl2br w:val="nil"/>
              <w:tr2bl w:val="nil"/>
            </w:tcBorders>
            <w:vAlign w:val="center"/>
          </w:tcPr>
          <w:p w14:paraId="5E6C7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 xml:space="preserve">《土壤 pH值的测定 电位法》 </w:t>
            </w:r>
          </w:p>
          <w:p w14:paraId="69006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HJ 962-2018</w:t>
            </w:r>
          </w:p>
        </w:tc>
        <w:tc>
          <w:tcPr>
            <w:tcW w:w="2186" w:type="dxa"/>
            <w:tcBorders>
              <w:tl2br w:val="nil"/>
              <w:tr2bl w:val="nil"/>
            </w:tcBorders>
            <w:vAlign w:val="center"/>
          </w:tcPr>
          <w:p w14:paraId="7FDFCF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PHS-25 pH计</w:t>
            </w:r>
          </w:p>
        </w:tc>
        <w:tc>
          <w:tcPr>
            <w:tcW w:w="1368" w:type="dxa"/>
            <w:tcBorders>
              <w:tl2br w:val="nil"/>
              <w:tr2bl w:val="nil"/>
            </w:tcBorders>
            <w:vAlign w:val="center"/>
          </w:tcPr>
          <w:p w14:paraId="5F5D46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w:t>
            </w:r>
          </w:p>
        </w:tc>
      </w:tr>
      <w:tr w14:paraId="4566A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0A406C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637C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含盐量</w:t>
            </w:r>
          </w:p>
        </w:tc>
        <w:tc>
          <w:tcPr>
            <w:tcW w:w="3806" w:type="dxa"/>
            <w:tcBorders>
              <w:tl2br w:val="nil"/>
              <w:tr2bl w:val="nil"/>
            </w:tcBorders>
            <w:vAlign w:val="center"/>
          </w:tcPr>
          <w:p w14:paraId="77B497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《土壤检测 第16部分</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土壤水溶性盐总量的测定》 NY/T 1121.16-2006</w:t>
            </w:r>
          </w:p>
        </w:tc>
        <w:tc>
          <w:tcPr>
            <w:tcW w:w="2186" w:type="dxa"/>
            <w:tcBorders>
              <w:tl2br w:val="nil"/>
              <w:tr2bl w:val="nil"/>
            </w:tcBorders>
            <w:vAlign w:val="center"/>
          </w:tcPr>
          <w:p w14:paraId="6E0C3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PR224ZH/E</w:t>
            </w:r>
          </w:p>
          <w:p w14:paraId="5A84A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万分之一天平</w:t>
            </w:r>
          </w:p>
        </w:tc>
        <w:tc>
          <w:tcPr>
            <w:tcW w:w="1368" w:type="dxa"/>
            <w:tcBorders>
              <w:tl2br w:val="nil"/>
              <w:tr2bl w:val="nil"/>
            </w:tcBorders>
            <w:vAlign w:val="center"/>
          </w:tcPr>
          <w:p w14:paraId="37DC37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r>
      <w:tr w14:paraId="7D735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38859D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08B3C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铜</w:t>
            </w:r>
          </w:p>
        </w:tc>
        <w:tc>
          <w:tcPr>
            <w:tcW w:w="3806" w:type="dxa"/>
            <w:tcBorders>
              <w:tl2br w:val="nil"/>
              <w:tr2bl w:val="nil"/>
            </w:tcBorders>
            <w:vAlign w:val="center"/>
          </w:tcPr>
          <w:p w14:paraId="5C6A2A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《土壤和沉积物 铜、锌、铅、镍、铬的测定 火焰原子吸收分光光度法》HJ 491-2019</w:t>
            </w:r>
          </w:p>
        </w:tc>
        <w:tc>
          <w:tcPr>
            <w:tcW w:w="2186" w:type="dxa"/>
            <w:tcBorders>
              <w:tl2br w:val="nil"/>
              <w:tr2bl w:val="nil"/>
            </w:tcBorders>
            <w:vAlign w:val="center"/>
          </w:tcPr>
          <w:p w14:paraId="4D3392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TAS-990</w:t>
            </w: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3240B3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1mg/kg</w:t>
            </w:r>
          </w:p>
        </w:tc>
      </w:tr>
      <w:tr w14:paraId="09334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B2586BD">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C863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锌</w:t>
            </w:r>
          </w:p>
        </w:tc>
        <w:tc>
          <w:tcPr>
            <w:tcW w:w="3806" w:type="dxa"/>
            <w:tcBorders>
              <w:tl2br w:val="nil"/>
              <w:tr2bl w:val="nil"/>
            </w:tcBorders>
            <w:vAlign w:val="center"/>
          </w:tcPr>
          <w:p w14:paraId="32556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《土壤和沉积物 铜、锌、铅、镍、铬的测定 火焰原子吸收分光光度法》</w:t>
            </w:r>
          </w:p>
          <w:p w14:paraId="72F238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HJ 491-2019</w:t>
            </w:r>
          </w:p>
        </w:tc>
        <w:tc>
          <w:tcPr>
            <w:tcW w:w="2186" w:type="dxa"/>
            <w:tcBorders>
              <w:tl2br w:val="nil"/>
              <w:tr2bl w:val="nil"/>
            </w:tcBorders>
            <w:vAlign w:val="center"/>
          </w:tcPr>
          <w:p w14:paraId="6FFA32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TAS-990</w:t>
            </w:r>
          </w:p>
          <w:p w14:paraId="4D7504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7DE39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1mg/kg</w:t>
            </w:r>
          </w:p>
        </w:tc>
      </w:tr>
      <w:tr w14:paraId="58644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3B6AD37">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445B54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铅</w:t>
            </w:r>
          </w:p>
        </w:tc>
        <w:tc>
          <w:tcPr>
            <w:tcW w:w="3806" w:type="dxa"/>
            <w:tcBorders>
              <w:tl2br w:val="nil"/>
              <w:tr2bl w:val="nil"/>
            </w:tcBorders>
            <w:vAlign w:val="center"/>
          </w:tcPr>
          <w:p w14:paraId="01B80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《土壤和沉积物 铜、锌、铅、镍、铬的测定 火焰原子吸收分光光度法》</w:t>
            </w:r>
          </w:p>
          <w:p w14:paraId="26A40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HJ 491-2019</w:t>
            </w:r>
          </w:p>
        </w:tc>
        <w:tc>
          <w:tcPr>
            <w:tcW w:w="2186" w:type="dxa"/>
            <w:tcBorders>
              <w:tl2br w:val="nil"/>
              <w:tr2bl w:val="nil"/>
            </w:tcBorders>
            <w:vAlign w:val="center"/>
          </w:tcPr>
          <w:p w14:paraId="6B1480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TAS-990</w:t>
            </w:r>
          </w:p>
          <w:p w14:paraId="791D5B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4A1E4D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10mg/kg</w:t>
            </w:r>
          </w:p>
        </w:tc>
      </w:tr>
      <w:tr w14:paraId="2B299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635417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348C0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镉</w:t>
            </w:r>
          </w:p>
        </w:tc>
        <w:tc>
          <w:tcPr>
            <w:tcW w:w="3806" w:type="dxa"/>
            <w:tcBorders>
              <w:tl2br w:val="nil"/>
              <w:tr2bl w:val="nil"/>
            </w:tcBorders>
            <w:vAlign w:val="center"/>
          </w:tcPr>
          <w:p w14:paraId="2FABC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土壤质量 铅、镉的测定 石墨炉原子吸收分光光度法</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GB</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rPr>
              <w:t>T 17141-1997</w:t>
            </w:r>
          </w:p>
        </w:tc>
        <w:tc>
          <w:tcPr>
            <w:tcW w:w="2186" w:type="dxa"/>
            <w:tcBorders>
              <w:tl2br w:val="nil"/>
              <w:tr2bl w:val="nil"/>
            </w:tcBorders>
            <w:vAlign w:val="center"/>
          </w:tcPr>
          <w:p w14:paraId="40E92C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AA-6880</w:t>
            </w:r>
          </w:p>
          <w:p w14:paraId="355294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07B44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0.01mg/kg</w:t>
            </w:r>
          </w:p>
        </w:tc>
      </w:tr>
      <w:tr w14:paraId="1129A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385796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7CD22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镍</w:t>
            </w:r>
          </w:p>
        </w:tc>
        <w:tc>
          <w:tcPr>
            <w:tcW w:w="3806" w:type="dxa"/>
            <w:tcBorders>
              <w:tl2br w:val="nil"/>
              <w:tr2bl w:val="nil"/>
            </w:tcBorders>
            <w:vAlign w:val="center"/>
          </w:tcPr>
          <w:p w14:paraId="66EB0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《土壤和沉积物 铜、锌、铅、镍、铬的测定 火焰原子吸收分光光度法》</w:t>
            </w:r>
          </w:p>
          <w:p w14:paraId="7969C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HJ 491-2019</w:t>
            </w:r>
          </w:p>
        </w:tc>
        <w:tc>
          <w:tcPr>
            <w:tcW w:w="2186" w:type="dxa"/>
            <w:tcBorders>
              <w:tl2br w:val="nil"/>
              <w:tr2bl w:val="nil"/>
            </w:tcBorders>
            <w:vAlign w:val="center"/>
          </w:tcPr>
          <w:p w14:paraId="736212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TAS-990</w:t>
            </w:r>
          </w:p>
          <w:p w14:paraId="6CA334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6357CE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3mg/kg</w:t>
            </w:r>
          </w:p>
        </w:tc>
      </w:tr>
      <w:tr w14:paraId="1549B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3541D2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7568A5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六价铬</w:t>
            </w:r>
          </w:p>
        </w:tc>
        <w:tc>
          <w:tcPr>
            <w:tcW w:w="3806" w:type="dxa"/>
            <w:tcBorders>
              <w:tl2br w:val="nil"/>
              <w:tr2bl w:val="nil"/>
            </w:tcBorders>
            <w:vAlign w:val="center"/>
          </w:tcPr>
          <w:p w14:paraId="518BD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《土壤和沉积物 六价铬的测定 碱溶液提取-火焰原子吸收分光光度法》</w:t>
            </w:r>
          </w:p>
          <w:p w14:paraId="27286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HJ 1082-2019</w:t>
            </w:r>
          </w:p>
        </w:tc>
        <w:tc>
          <w:tcPr>
            <w:tcW w:w="2186" w:type="dxa"/>
            <w:tcBorders>
              <w:tl2br w:val="nil"/>
              <w:tr2bl w:val="nil"/>
            </w:tcBorders>
            <w:vAlign w:val="center"/>
          </w:tcPr>
          <w:p w14:paraId="493C12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TAS-990</w:t>
            </w:r>
          </w:p>
          <w:p w14:paraId="0E531D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27E6FE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0.5mg/kg</w:t>
            </w:r>
          </w:p>
        </w:tc>
      </w:tr>
      <w:tr w14:paraId="4F828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260AE5CC">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D694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bidi="ar"/>
              </w:rPr>
              <w:t>汞</w:t>
            </w:r>
          </w:p>
        </w:tc>
        <w:tc>
          <w:tcPr>
            <w:tcW w:w="3806" w:type="dxa"/>
            <w:tcBorders>
              <w:tl2br w:val="nil"/>
              <w:tr2bl w:val="nil"/>
            </w:tcBorders>
            <w:vAlign w:val="center"/>
          </w:tcPr>
          <w:p w14:paraId="40EAC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《土壤和沉积物 汞、砷、硒、铋、锑的测定</w:t>
            </w:r>
            <w:r>
              <w:rPr>
                <w:rFonts w:hint="default"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rPr>
              <w:t>微波消解/原子荧光法》HJ 680-2013</w:t>
            </w:r>
          </w:p>
        </w:tc>
        <w:tc>
          <w:tcPr>
            <w:tcW w:w="2186" w:type="dxa"/>
            <w:tcBorders>
              <w:tl2br w:val="nil"/>
              <w:tr2bl w:val="nil"/>
            </w:tcBorders>
            <w:vAlign w:val="center"/>
          </w:tcPr>
          <w:p w14:paraId="6247E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0"/>
                <w:sz w:val="21"/>
                <w:szCs w:val="21"/>
                <w:u w:val="none" w:color="auto"/>
                <w:lang w:eastAsia="zh-CN" w:bidi="ar"/>
              </w:rPr>
            </w:pPr>
            <w:r>
              <w:rPr>
                <w:rFonts w:hint="default" w:ascii="Times New Roman" w:hAnsi="Times New Roman" w:eastAsia="宋体" w:cs="Times New Roman"/>
                <w:color w:val="auto"/>
                <w:kern w:val="0"/>
                <w:sz w:val="21"/>
                <w:szCs w:val="21"/>
                <w:u w:val="none" w:color="auto"/>
                <w:lang w:eastAsia="zh-CN" w:bidi="ar"/>
              </w:rPr>
              <w:t>AFS-230E</w:t>
            </w:r>
          </w:p>
          <w:p w14:paraId="1A0AC1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eastAsia="zh-CN" w:bidi="ar"/>
              </w:rPr>
              <w:t>原子荧光光谱仪</w:t>
            </w:r>
          </w:p>
        </w:tc>
        <w:tc>
          <w:tcPr>
            <w:tcW w:w="1368" w:type="dxa"/>
            <w:tcBorders>
              <w:tl2br w:val="nil"/>
              <w:tr2bl w:val="nil"/>
            </w:tcBorders>
            <w:vAlign w:val="center"/>
          </w:tcPr>
          <w:p w14:paraId="2AE5A7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bidi="ar"/>
              </w:rPr>
              <w:t>0.002mg/kg</w:t>
            </w:r>
          </w:p>
        </w:tc>
      </w:tr>
      <w:tr w14:paraId="74F1A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9F4B5D5">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AAA9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砷</w:t>
            </w:r>
          </w:p>
        </w:tc>
        <w:tc>
          <w:tcPr>
            <w:tcW w:w="3806" w:type="dxa"/>
            <w:tcBorders>
              <w:tl2br w:val="nil"/>
              <w:tr2bl w:val="nil"/>
            </w:tcBorders>
            <w:vAlign w:val="center"/>
          </w:tcPr>
          <w:p w14:paraId="4F5F5D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《土壤和沉积物 汞、砷、硒、铋、锑的测定</w:t>
            </w:r>
            <w:r>
              <w:rPr>
                <w:rFonts w:hint="default"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rPr>
              <w:t>微波消解/原子荧光法》HJ 680-2013</w:t>
            </w:r>
          </w:p>
        </w:tc>
        <w:tc>
          <w:tcPr>
            <w:tcW w:w="2186" w:type="dxa"/>
            <w:tcBorders>
              <w:tl2br w:val="nil"/>
              <w:tr2bl w:val="nil"/>
            </w:tcBorders>
            <w:vAlign w:val="center"/>
          </w:tcPr>
          <w:p w14:paraId="6EB3B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0"/>
                <w:sz w:val="21"/>
                <w:szCs w:val="21"/>
                <w:u w:val="none" w:color="auto"/>
                <w:lang w:eastAsia="zh-CN" w:bidi="ar"/>
              </w:rPr>
            </w:pPr>
            <w:r>
              <w:rPr>
                <w:rFonts w:hint="default" w:ascii="Times New Roman" w:hAnsi="Times New Roman" w:eastAsia="宋体" w:cs="Times New Roman"/>
                <w:color w:val="auto"/>
                <w:kern w:val="0"/>
                <w:sz w:val="21"/>
                <w:szCs w:val="21"/>
                <w:u w:val="none" w:color="auto"/>
                <w:lang w:eastAsia="zh-CN" w:bidi="ar"/>
              </w:rPr>
              <w:t>AFS-230E</w:t>
            </w:r>
          </w:p>
          <w:p w14:paraId="47D74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eastAsia="zh-CN" w:bidi="ar"/>
              </w:rPr>
              <w:t>原子荧光光谱仪</w:t>
            </w:r>
          </w:p>
        </w:tc>
        <w:tc>
          <w:tcPr>
            <w:tcW w:w="1368" w:type="dxa"/>
            <w:tcBorders>
              <w:tl2br w:val="nil"/>
              <w:tr2bl w:val="nil"/>
            </w:tcBorders>
            <w:vAlign w:val="center"/>
          </w:tcPr>
          <w:p w14:paraId="52E1D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bidi="ar"/>
              </w:rPr>
              <w:t>0.01mg/kg</w:t>
            </w:r>
          </w:p>
        </w:tc>
      </w:tr>
      <w:tr w14:paraId="79D41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384179C">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3892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总铬</w:t>
            </w:r>
          </w:p>
        </w:tc>
        <w:tc>
          <w:tcPr>
            <w:tcW w:w="3806" w:type="dxa"/>
            <w:tcBorders>
              <w:tl2br w:val="nil"/>
              <w:tr2bl w:val="nil"/>
            </w:tcBorders>
            <w:vAlign w:val="center"/>
          </w:tcPr>
          <w:p w14:paraId="609D5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《土壤和沉积物 铜、锌、铅、镍、铬的测定 火焰原子吸收分光光度法》</w:t>
            </w:r>
          </w:p>
          <w:p w14:paraId="43FE4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HJ 491-2019</w:t>
            </w:r>
          </w:p>
        </w:tc>
        <w:tc>
          <w:tcPr>
            <w:tcW w:w="2186" w:type="dxa"/>
            <w:tcBorders>
              <w:tl2br w:val="nil"/>
              <w:tr2bl w:val="nil"/>
            </w:tcBorders>
            <w:vAlign w:val="center"/>
          </w:tcPr>
          <w:p w14:paraId="2E14FF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TAS-990</w:t>
            </w:r>
          </w:p>
          <w:p w14:paraId="44E138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原子吸收分光光度计</w:t>
            </w:r>
          </w:p>
        </w:tc>
        <w:tc>
          <w:tcPr>
            <w:tcW w:w="1368" w:type="dxa"/>
            <w:tcBorders>
              <w:tl2br w:val="nil"/>
              <w:tr2bl w:val="nil"/>
            </w:tcBorders>
            <w:vAlign w:val="center"/>
          </w:tcPr>
          <w:p w14:paraId="45702B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4mg/kg</w:t>
            </w:r>
          </w:p>
        </w:tc>
      </w:tr>
      <w:tr w14:paraId="0C221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6E3FB99F">
            <w:pPr>
              <w:keepNext w:val="0"/>
              <w:keepLines w:val="0"/>
              <w:suppressLineNumbers w:val="0"/>
              <w:spacing w:before="0" w:beforeAutospacing="0" w:after="0" w:afterAutospacing="0"/>
              <w:ind w:left="113" w:right="113"/>
              <w:jc w:val="both"/>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31016D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四氯化碳</w:t>
            </w:r>
          </w:p>
        </w:tc>
        <w:tc>
          <w:tcPr>
            <w:tcW w:w="3806" w:type="dxa"/>
            <w:tcBorders>
              <w:tl2br w:val="nil"/>
              <w:tr2bl w:val="nil"/>
            </w:tcBorders>
            <w:vAlign w:val="center"/>
          </w:tcPr>
          <w:p w14:paraId="667948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35714A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3FBF30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78A29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2.1×10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7C7DE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6E36CCA0">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791541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氯仿</w:t>
            </w:r>
          </w:p>
        </w:tc>
        <w:tc>
          <w:tcPr>
            <w:tcW w:w="3806" w:type="dxa"/>
            <w:tcBorders>
              <w:tl2br w:val="nil"/>
              <w:tr2bl w:val="nil"/>
            </w:tcBorders>
            <w:vAlign w:val="center"/>
          </w:tcPr>
          <w:p w14:paraId="2D1DFE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58721E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11B5E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34DE5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33D63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24F6E7E1">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C38F650">
            <w:pPr>
              <w:keepNext w:val="0"/>
              <w:keepLines w:val="0"/>
              <w:widowControl/>
              <w:suppressLineNumbers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bidi="ar"/>
              </w:rPr>
              <w:t>氯甲烷</w:t>
            </w:r>
          </w:p>
        </w:tc>
        <w:tc>
          <w:tcPr>
            <w:tcW w:w="3806" w:type="dxa"/>
            <w:tcBorders>
              <w:tl2br w:val="nil"/>
              <w:tr2bl w:val="nil"/>
            </w:tcBorders>
            <w:vAlign w:val="center"/>
          </w:tcPr>
          <w:p w14:paraId="2AB58144">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《土壤和沉积物 挥发性卤代烃的测定 顶空</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rPr>
              <w:t>气相色谱-质谱法》HJ 736-201</w:t>
            </w:r>
            <w:r>
              <w:rPr>
                <w:rFonts w:hint="default" w:ascii="Times New Roman" w:hAnsi="Times New Roman" w:eastAsia="宋体" w:cs="Times New Roman"/>
                <w:color w:val="auto"/>
                <w:sz w:val="21"/>
                <w:szCs w:val="21"/>
                <w:u w:val="none" w:color="auto"/>
                <w:lang w:val="en-US" w:eastAsia="zh-CN"/>
              </w:rPr>
              <w:t>5</w:t>
            </w:r>
          </w:p>
        </w:tc>
        <w:tc>
          <w:tcPr>
            <w:tcW w:w="2186" w:type="dxa"/>
            <w:tcBorders>
              <w:tl2br w:val="nil"/>
              <w:tr2bl w:val="nil"/>
            </w:tcBorders>
            <w:vAlign w:val="center"/>
          </w:tcPr>
          <w:p w14:paraId="0143B7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u w:val="none" w:color="auto"/>
                <w:lang w:eastAsia="zh-CN" w:bidi="ar"/>
              </w:rPr>
            </w:pPr>
            <w:r>
              <w:rPr>
                <w:rFonts w:hint="default" w:ascii="Times New Roman" w:hAnsi="Times New Roman" w:eastAsia="宋体" w:cs="Times New Roman"/>
                <w:color w:val="auto"/>
                <w:kern w:val="0"/>
                <w:sz w:val="21"/>
                <w:szCs w:val="21"/>
                <w:highlight w:val="none"/>
                <w:u w:val="none" w:color="auto"/>
                <w:lang w:eastAsia="zh-CN" w:bidi="ar"/>
              </w:rPr>
              <w:t>GCMS</w:t>
            </w:r>
            <w:r>
              <w:rPr>
                <w:rFonts w:hint="default" w:ascii="Times New Roman" w:hAnsi="Times New Roman" w:eastAsia="宋体" w:cs="Times New Roman"/>
                <w:color w:val="auto"/>
                <w:kern w:val="0"/>
                <w:sz w:val="21"/>
                <w:szCs w:val="21"/>
                <w:highlight w:val="none"/>
                <w:u w:val="none" w:color="auto"/>
                <w:lang w:val="en-US" w:eastAsia="zh-CN" w:bidi="ar"/>
              </w:rPr>
              <w:t>-</w:t>
            </w:r>
            <w:r>
              <w:rPr>
                <w:rFonts w:hint="default" w:ascii="Times New Roman" w:hAnsi="Times New Roman" w:eastAsia="宋体" w:cs="Times New Roman"/>
                <w:color w:val="auto"/>
                <w:kern w:val="0"/>
                <w:sz w:val="21"/>
                <w:szCs w:val="21"/>
                <w:highlight w:val="none"/>
                <w:u w:val="none" w:color="auto"/>
                <w:lang w:eastAsia="zh-CN" w:bidi="ar"/>
              </w:rPr>
              <w:t>QP2010</w:t>
            </w:r>
            <w:r>
              <w:rPr>
                <w:rFonts w:hint="default" w:ascii="Times New Roman" w:hAnsi="Times New Roman" w:eastAsia="宋体" w:cs="Times New Roman"/>
                <w:color w:val="auto"/>
                <w:kern w:val="0"/>
                <w:sz w:val="21"/>
                <w:szCs w:val="21"/>
                <w:highlight w:val="none"/>
                <w:u w:val="none" w:color="auto"/>
                <w:lang w:val="en-US" w:eastAsia="zh-CN" w:bidi="ar"/>
              </w:rPr>
              <w:t xml:space="preserve"> </w:t>
            </w:r>
            <w:r>
              <w:rPr>
                <w:rFonts w:hint="default" w:ascii="Times New Roman" w:hAnsi="Times New Roman" w:eastAsia="宋体" w:cs="Times New Roman"/>
                <w:color w:val="auto"/>
                <w:kern w:val="0"/>
                <w:sz w:val="21"/>
                <w:szCs w:val="21"/>
                <w:highlight w:val="none"/>
                <w:u w:val="none" w:color="auto"/>
                <w:lang w:eastAsia="zh-CN" w:bidi="ar"/>
              </w:rPr>
              <w:t>SE</w:t>
            </w:r>
          </w:p>
          <w:p w14:paraId="3255281A">
            <w:pPr>
              <w:keepNext w:val="0"/>
              <w:keepLines w:val="0"/>
              <w:widowControl/>
              <w:suppressLineNumbers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0"/>
                <w:sz w:val="21"/>
                <w:szCs w:val="21"/>
                <w:highlight w:val="none"/>
                <w:u w:val="none" w:color="auto"/>
                <w:lang w:eastAsia="zh-CN" w:bidi="ar"/>
              </w:rPr>
              <w:t>气相色谱质谱联用仪</w:t>
            </w:r>
          </w:p>
        </w:tc>
        <w:tc>
          <w:tcPr>
            <w:tcW w:w="1368" w:type="dxa"/>
            <w:tcBorders>
              <w:tl2br w:val="nil"/>
              <w:tr2bl w:val="nil"/>
            </w:tcBorders>
            <w:vAlign w:val="center"/>
          </w:tcPr>
          <w:p w14:paraId="4AC3C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62DB3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E1B4D0F">
            <w:pPr>
              <w:keepNext w:val="0"/>
              <w:keepLines w:val="0"/>
              <w:suppressLineNumbers w:val="0"/>
              <w:spacing w:before="0" w:beforeAutospacing="0" w:after="0" w:afterAutospacing="0"/>
              <w:ind w:left="113" w:leftChars="0" w:right="113" w:rightChars="0"/>
              <w:jc w:val="center"/>
              <w:rPr>
                <w:rFonts w:hint="default" w:ascii="Times New Roman" w:hAnsi="Times New Roman" w:eastAsia="宋体" w:cs="Times New Roman"/>
                <w:color w:val="auto"/>
                <w:sz w:val="21"/>
                <w:szCs w:val="21"/>
                <w:u w:val="none" w:color="auto"/>
                <w:lang w:val="en-US" w:eastAsia="zh-CN"/>
              </w:rPr>
            </w:pPr>
          </w:p>
        </w:tc>
        <w:tc>
          <w:tcPr>
            <w:tcW w:w="523" w:type="dxa"/>
            <w:vMerge w:val="restart"/>
            <w:tcBorders>
              <w:tl2br w:val="nil"/>
              <w:tr2bl w:val="nil"/>
            </w:tcBorders>
            <w:vAlign w:val="center"/>
          </w:tcPr>
          <w:p w14:paraId="6DACF3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w:t>
            </w:r>
          </w:p>
          <w:p w14:paraId="523B3C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w:t>
            </w:r>
          </w:p>
          <w:p w14:paraId="237CAB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w:t>
            </w:r>
          </w:p>
          <w:p w14:paraId="551286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烷</w:t>
            </w:r>
          </w:p>
        </w:tc>
        <w:tc>
          <w:tcPr>
            <w:tcW w:w="869" w:type="dxa"/>
            <w:tcBorders>
              <w:tl2br w:val="nil"/>
              <w:tr2bl w:val="nil"/>
            </w:tcBorders>
            <w:vAlign w:val="center"/>
          </w:tcPr>
          <w:p w14:paraId="5F8714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p>
          <w:p w14:paraId="2672BA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二氯乙烷</w:t>
            </w:r>
          </w:p>
        </w:tc>
        <w:tc>
          <w:tcPr>
            <w:tcW w:w="3806" w:type="dxa"/>
            <w:tcBorders>
              <w:tl2br w:val="nil"/>
              <w:tr2bl w:val="nil"/>
            </w:tcBorders>
            <w:vAlign w:val="center"/>
          </w:tcPr>
          <w:p w14:paraId="11DAE9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49A06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A5ECD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0097CB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60CA9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042BDA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3E1F13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792B38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33112E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二氯乙烷</w:t>
            </w:r>
          </w:p>
        </w:tc>
        <w:tc>
          <w:tcPr>
            <w:tcW w:w="3806" w:type="dxa"/>
            <w:tcBorders>
              <w:tl2br w:val="nil"/>
              <w:tr2bl w:val="nil"/>
            </w:tcBorders>
            <w:vAlign w:val="center"/>
          </w:tcPr>
          <w:p w14:paraId="7F8ED0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5FDD4A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616491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2F937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1.3×10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0E82E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5C536E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restart"/>
            <w:tcBorders>
              <w:tl2br w:val="nil"/>
              <w:tr2bl w:val="nil"/>
            </w:tcBorders>
            <w:vAlign w:val="center"/>
          </w:tcPr>
          <w:p w14:paraId="68009F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w:t>
            </w:r>
          </w:p>
          <w:p w14:paraId="0D5E74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w:t>
            </w:r>
          </w:p>
          <w:p w14:paraId="08B8D4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w:t>
            </w:r>
          </w:p>
          <w:p w14:paraId="50482E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烯</w:t>
            </w:r>
          </w:p>
        </w:tc>
        <w:tc>
          <w:tcPr>
            <w:tcW w:w="869" w:type="dxa"/>
            <w:tcBorders>
              <w:tl2br w:val="nil"/>
              <w:tr2bl w:val="nil"/>
            </w:tcBorders>
            <w:vAlign w:val="center"/>
          </w:tcPr>
          <w:p w14:paraId="61B973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p>
          <w:p w14:paraId="358D6D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二氯乙烯</w:t>
            </w:r>
          </w:p>
        </w:tc>
        <w:tc>
          <w:tcPr>
            <w:tcW w:w="3806" w:type="dxa"/>
            <w:tcBorders>
              <w:tl2br w:val="nil"/>
              <w:tr2bl w:val="nil"/>
            </w:tcBorders>
            <w:vAlign w:val="center"/>
          </w:tcPr>
          <w:p w14:paraId="7E5E56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7FC61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3343E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2C0D30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0.8×10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170F7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6043D9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2EE0C9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07DA88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顺-1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6046D3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二氯乙烯</w:t>
            </w:r>
          </w:p>
        </w:tc>
        <w:tc>
          <w:tcPr>
            <w:tcW w:w="3806" w:type="dxa"/>
            <w:tcBorders>
              <w:tl2br w:val="nil"/>
              <w:tr2bl w:val="nil"/>
            </w:tcBorders>
            <w:vAlign w:val="center"/>
          </w:tcPr>
          <w:p w14:paraId="1A23A7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229495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3E9D01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5C8640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2DDF6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2CCA7E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651098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6A9CEA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反-1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56D82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二氯乙烯</w:t>
            </w:r>
          </w:p>
        </w:tc>
        <w:tc>
          <w:tcPr>
            <w:tcW w:w="3806" w:type="dxa"/>
            <w:tcBorders>
              <w:tl2br w:val="nil"/>
              <w:tr2bl w:val="nil"/>
            </w:tcBorders>
            <w:vAlign w:val="center"/>
          </w:tcPr>
          <w:p w14:paraId="2010B5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6861F4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2C3E1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ABFC2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51060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restart"/>
            <w:tcBorders>
              <w:tl2br w:val="nil"/>
              <w:tr2bl w:val="nil"/>
            </w:tcBorders>
            <w:vAlign w:val="center"/>
          </w:tcPr>
          <w:p w14:paraId="754780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土壤（总量）、污泥</w:t>
            </w:r>
          </w:p>
        </w:tc>
        <w:tc>
          <w:tcPr>
            <w:tcW w:w="1392" w:type="dxa"/>
            <w:gridSpan w:val="2"/>
            <w:tcBorders>
              <w:tl2br w:val="nil"/>
              <w:tr2bl w:val="nil"/>
            </w:tcBorders>
            <w:vAlign w:val="center"/>
          </w:tcPr>
          <w:p w14:paraId="2DE06E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二氯甲烷</w:t>
            </w:r>
          </w:p>
        </w:tc>
        <w:tc>
          <w:tcPr>
            <w:tcW w:w="3806" w:type="dxa"/>
            <w:tcBorders>
              <w:tl2br w:val="nil"/>
              <w:tr2bl w:val="nil"/>
            </w:tcBorders>
            <w:vAlign w:val="center"/>
          </w:tcPr>
          <w:p w14:paraId="3516BF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166E6F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2D433D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6DB078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2834E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29C3AC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49DD7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2-二氯丙烷</w:t>
            </w:r>
          </w:p>
        </w:tc>
        <w:tc>
          <w:tcPr>
            <w:tcW w:w="3806" w:type="dxa"/>
            <w:tcBorders>
              <w:tl2br w:val="nil"/>
              <w:tr2bl w:val="nil"/>
            </w:tcBorders>
            <w:vAlign w:val="center"/>
          </w:tcPr>
          <w:p w14:paraId="063771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09BC07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279FC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9DC84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55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3D70BE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restart"/>
            <w:tcBorders>
              <w:tl2br w:val="nil"/>
              <w:tr2bl w:val="nil"/>
            </w:tcBorders>
            <w:vAlign w:val="center"/>
          </w:tcPr>
          <w:p w14:paraId="6D264D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w:t>
            </w:r>
          </w:p>
          <w:p w14:paraId="01CA4D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w:t>
            </w:r>
          </w:p>
          <w:p w14:paraId="5DB7B3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w:t>
            </w:r>
          </w:p>
          <w:p w14:paraId="77BA13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烷</w:t>
            </w:r>
          </w:p>
        </w:tc>
        <w:tc>
          <w:tcPr>
            <w:tcW w:w="869" w:type="dxa"/>
            <w:tcBorders>
              <w:tl2br w:val="nil"/>
              <w:tr2bl w:val="nil"/>
            </w:tcBorders>
            <w:vAlign w:val="center"/>
          </w:tcPr>
          <w:p w14:paraId="779009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751882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四氯乙烷</w:t>
            </w:r>
          </w:p>
        </w:tc>
        <w:tc>
          <w:tcPr>
            <w:tcW w:w="3806" w:type="dxa"/>
            <w:tcBorders>
              <w:tl2br w:val="nil"/>
              <w:tr2bl w:val="nil"/>
            </w:tcBorders>
            <w:vAlign w:val="center"/>
          </w:tcPr>
          <w:p w14:paraId="37EC10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B849D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06DC05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59E5F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4FFF0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6C007D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7DCD0D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6C9650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0E961D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四氯乙烷</w:t>
            </w:r>
          </w:p>
        </w:tc>
        <w:tc>
          <w:tcPr>
            <w:tcW w:w="3806" w:type="dxa"/>
            <w:tcBorders>
              <w:tl2br w:val="nil"/>
              <w:tr2bl w:val="nil"/>
            </w:tcBorders>
            <w:vAlign w:val="center"/>
          </w:tcPr>
          <w:p w14:paraId="62AEED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1EBCDE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F21E0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9DD8C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78D80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50BE83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65808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四氯乙烯</w:t>
            </w:r>
          </w:p>
        </w:tc>
        <w:tc>
          <w:tcPr>
            <w:tcW w:w="3806" w:type="dxa"/>
            <w:tcBorders>
              <w:tl2br w:val="nil"/>
              <w:tr2bl w:val="nil"/>
            </w:tcBorders>
            <w:vAlign w:val="center"/>
          </w:tcPr>
          <w:p w14:paraId="58D896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16D16B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016B20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0C74C0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0.8×10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21918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03AE11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restart"/>
            <w:tcBorders>
              <w:tl2br w:val="nil"/>
              <w:tr2bl w:val="nil"/>
            </w:tcBorders>
            <w:vAlign w:val="center"/>
          </w:tcPr>
          <w:p w14:paraId="5E1571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w:t>
            </w:r>
          </w:p>
          <w:p w14:paraId="3654EE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w:t>
            </w:r>
          </w:p>
          <w:p w14:paraId="5BC11F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w:t>
            </w:r>
          </w:p>
          <w:p w14:paraId="5A03AF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烷</w:t>
            </w:r>
          </w:p>
        </w:tc>
        <w:tc>
          <w:tcPr>
            <w:tcW w:w="869" w:type="dxa"/>
            <w:tcBorders>
              <w:tl2br w:val="nil"/>
              <w:tr2bl w:val="nil"/>
            </w:tcBorders>
            <w:vAlign w:val="center"/>
          </w:tcPr>
          <w:p w14:paraId="125511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p>
          <w:p w14:paraId="55570B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三氯乙烷</w:t>
            </w:r>
          </w:p>
        </w:tc>
        <w:tc>
          <w:tcPr>
            <w:tcW w:w="3806" w:type="dxa"/>
            <w:tcBorders>
              <w:tl2br w:val="nil"/>
              <w:tr2bl w:val="nil"/>
            </w:tcBorders>
            <w:vAlign w:val="center"/>
          </w:tcPr>
          <w:p w14:paraId="7AE471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4D665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62910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F391D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4D127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5F0B697">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667AD1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20614C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4779C0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三氯乙烷</w:t>
            </w:r>
          </w:p>
        </w:tc>
        <w:tc>
          <w:tcPr>
            <w:tcW w:w="3806" w:type="dxa"/>
            <w:tcBorders>
              <w:tl2br w:val="nil"/>
              <w:tr2bl w:val="nil"/>
            </w:tcBorders>
            <w:vAlign w:val="center"/>
          </w:tcPr>
          <w:p w14:paraId="310CFC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2AD961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1FEA7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0DFAD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1.4×10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5FC9B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037378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03BCE9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三氯乙烯</w:t>
            </w:r>
          </w:p>
        </w:tc>
        <w:tc>
          <w:tcPr>
            <w:tcW w:w="3806" w:type="dxa"/>
            <w:tcBorders>
              <w:tl2br w:val="nil"/>
              <w:tr2bl w:val="nil"/>
            </w:tcBorders>
            <w:vAlign w:val="center"/>
          </w:tcPr>
          <w:p w14:paraId="4A785C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D9B0C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25BEF2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C1398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3C197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454819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01DD1A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3-三氯丙烷</w:t>
            </w:r>
          </w:p>
        </w:tc>
        <w:tc>
          <w:tcPr>
            <w:tcW w:w="3806" w:type="dxa"/>
            <w:tcBorders>
              <w:tl2br w:val="nil"/>
              <w:tr2bl w:val="nil"/>
            </w:tcBorders>
            <w:vAlign w:val="center"/>
          </w:tcPr>
          <w:p w14:paraId="7EABF6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7234CF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136D4A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2C3C0F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6F3AE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72C96A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081FF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氯乙烯</w:t>
            </w:r>
          </w:p>
        </w:tc>
        <w:tc>
          <w:tcPr>
            <w:tcW w:w="3806" w:type="dxa"/>
            <w:tcBorders>
              <w:tl2br w:val="nil"/>
              <w:tr2bl w:val="nil"/>
            </w:tcBorders>
            <w:vAlign w:val="center"/>
          </w:tcPr>
          <w:p w14:paraId="6E83B1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6EBE28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1CDC91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08073E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5502B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6E497B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7F1A8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w:t>
            </w:r>
          </w:p>
        </w:tc>
        <w:tc>
          <w:tcPr>
            <w:tcW w:w="3806" w:type="dxa"/>
            <w:tcBorders>
              <w:tl2br w:val="nil"/>
              <w:tr2bl w:val="nil"/>
            </w:tcBorders>
            <w:vAlign w:val="center"/>
          </w:tcPr>
          <w:p w14:paraId="7993EC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11A6DC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17556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C3289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6D4A4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68A7785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2E36F8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氯苯</w:t>
            </w:r>
          </w:p>
        </w:tc>
        <w:tc>
          <w:tcPr>
            <w:tcW w:w="3806" w:type="dxa"/>
            <w:tcBorders>
              <w:tl2br w:val="nil"/>
              <w:tr2bl w:val="nil"/>
            </w:tcBorders>
            <w:vAlign w:val="center"/>
          </w:tcPr>
          <w:p w14:paraId="6C96AE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79D010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E3B36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F29E1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7FDB0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19DD98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tcBorders>
              <w:tl2br w:val="nil"/>
              <w:tr2bl w:val="nil"/>
            </w:tcBorders>
            <w:vAlign w:val="center"/>
          </w:tcPr>
          <w:p w14:paraId="42D296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二氯苯</w:t>
            </w:r>
          </w:p>
        </w:tc>
        <w:tc>
          <w:tcPr>
            <w:tcW w:w="869" w:type="dxa"/>
            <w:tcBorders>
              <w:tl2br w:val="nil"/>
              <w:tr2bl w:val="nil"/>
            </w:tcBorders>
            <w:vAlign w:val="center"/>
          </w:tcPr>
          <w:p w14:paraId="38BDF4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p>
          <w:p w14:paraId="75A5F8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二氯苯</w:t>
            </w:r>
          </w:p>
        </w:tc>
        <w:tc>
          <w:tcPr>
            <w:tcW w:w="3806" w:type="dxa"/>
            <w:tcBorders>
              <w:tl2br w:val="nil"/>
              <w:tr2bl w:val="nil"/>
            </w:tcBorders>
            <w:vAlign w:val="center"/>
          </w:tcPr>
          <w:p w14:paraId="4F61C7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5A9CED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2B4468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30BAC6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3CAF9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7BB2EE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tcBorders>
              <w:tl2br w:val="nil"/>
              <w:tr2bl w:val="nil"/>
            </w:tcBorders>
            <w:vAlign w:val="center"/>
          </w:tcPr>
          <w:p w14:paraId="0DCBAD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二氯苯</w:t>
            </w:r>
          </w:p>
        </w:tc>
        <w:tc>
          <w:tcPr>
            <w:tcW w:w="869" w:type="dxa"/>
            <w:tcBorders>
              <w:tl2br w:val="nil"/>
              <w:tr2bl w:val="nil"/>
            </w:tcBorders>
            <w:vAlign w:val="center"/>
          </w:tcPr>
          <w:p w14:paraId="3B002E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4-二氯苯</w:t>
            </w:r>
          </w:p>
        </w:tc>
        <w:tc>
          <w:tcPr>
            <w:tcW w:w="3806" w:type="dxa"/>
            <w:tcBorders>
              <w:tl2br w:val="nil"/>
              <w:tr2bl w:val="nil"/>
            </w:tcBorders>
            <w:vAlign w:val="center"/>
          </w:tcPr>
          <w:p w14:paraId="4D41C4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246493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0893E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3DBD16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13609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1D3F8A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45B297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乙苯</w:t>
            </w:r>
          </w:p>
        </w:tc>
        <w:tc>
          <w:tcPr>
            <w:tcW w:w="3806" w:type="dxa"/>
            <w:tcBorders>
              <w:tl2br w:val="nil"/>
              <w:tr2bl w:val="nil"/>
            </w:tcBorders>
            <w:vAlign w:val="center"/>
          </w:tcPr>
          <w:p w14:paraId="1B47A9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562A7F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D3518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1A3A92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5E588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7EBAD74C">
            <w:pPr>
              <w:keepNext w:val="0"/>
              <w:keepLines w:val="0"/>
              <w:suppressLineNumbers w:val="0"/>
              <w:spacing w:before="0" w:beforeAutospacing="0" w:after="0" w:afterAutospacing="0"/>
              <w:ind w:left="113" w:right="113"/>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912CE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苯乙烯</w:t>
            </w:r>
          </w:p>
        </w:tc>
        <w:tc>
          <w:tcPr>
            <w:tcW w:w="3806" w:type="dxa"/>
            <w:tcBorders>
              <w:tl2br w:val="nil"/>
              <w:tr2bl w:val="nil"/>
            </w:tcBorders>
            <w:vAlign w:val="center"/>
          </w:tcPr>
          <w:p w14:paraId="578B97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2C336C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0975E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DDD89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6B060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RlV"/>
            <w:vAlign w:val="center"/>
          </w:tcPr>
          <w:p w14:paraId="21EAA9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2C65B2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甲苯</w:t>
            </w:r>
          </w:p>
        </w:tc>
        <w:tc>
          <w:tcPr>
            <w:tcW w:w="3806" w:type="dxa"/>
            <w:tcBorders>
              <w:tl2br w:val="nil"/>
              <w:tr2bl w:val="nil"/>
            </w:tcBorders>
            <w:vAlign w:val="center"/>
          </w:tcPr>
          <w:p w14:paraId="587766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12169E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FC5BF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5A2F28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7C87E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34ACAA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restart"/>
            <w:tcBorders>
              <w:tl2br w:val="nil"/>
              <w:tr2bl w:val="nil"/>
            </w:tcBorders>
            <w:vAlign w:val="center"/>
          </w:tcPr>
          <w:p w14:paraId="663131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w:t>
            </w:r>
          </w:p>
          <w:p w14:paraId="6EC05A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甲</w:t>
            </w:r>
          </w:p>
          <w:p w14:paraId="20E37D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w:t>
            </w:r>
          </w:p>
        </w:tc>
        <w:tc>
          <w:tcPr>
            <w:tcW w:w="869" w:type="dxa"/>
            <w:tcBorders>
              <w:tl2br w:val="nil"/>
              <w:tr2bl w:val="nil"/>
            </w:tcBorders>
            <w:vAlign w:val="center"/>
          </w:tcPr>
          <w:p w14:paraId="63996B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间</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对</w:t>
            </w:r>
          </w:p>
          <w:p w14:paraId="268C3C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二甲苯</w:t>
            </w:r>
          </w:p>
        </w:tc>
        <w:tc>
          <w:tcPr>
            <w:tcW w:w="3806" w:type="dxa"/>
            <w:tcBorders>
              <w:tl2br w:val="nil"/>
              <w:tr2bl w:val="nil"/>
            </w:tcBorders>
            <w:vAlign w:val="center"/>
          </w:tcPr>
          <w:p w14:paraId="0FE6A7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5CA3C2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EEEDA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3A71BE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4E8A04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74073A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523" w:type="dxa"/>
            <w:vMerge w:val="continue"/>
            <w:tcBorders>
              <w:tl2br w:val="nil"/>
              <w:tr2bl w:val="nil"/>
            </w:tcBorders>
            <w:vAlign w:val="center"/>
          </w:tcPr>
          <w:p w14:paraId="578F74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869" w:type="dxa"/>
            <w:tcBorders>
              <w:tl2br w:val="nil"/>
              <w:tr2bl w:val="nil"/>
            </w:tcBorders>
            <w:vAlign w:val="center"/>
          </w:tcPr>
          <w:p w14:paraId="7D3E1F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邻二甲苯</w:t>
            </w:r>
          </w:p>
        </w:tc>
        <w:tc>
          <w:tcPr>
            <w:tcW w:w="3806" w:type="dxa"/>
            <w:tcBorders>
              <w:tl2br w:val="nil"/>
              <w:tr2bl w:val="nil"/>
            </w:tcBorders>
            <w:vAlign w:val="center"/>
          </w:tcPr>
          <w:p w14:paraId="73A65F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挥发性有机物的测定 顶空/气相色谱-质谱法》HJ 642-2013</w:t>
            </w:r>
          </w:p>
        </w:tc>
        <w:tc>
          <w:tcPr>
            <w:tcW w:w="2186" w:type="dxa"/>
            <w:tcBorders>
              <w:tl2br w:val="nil"/>
              <w:tr2bl w:val="nil"/>
            </w:tcBorders>
            <w:vAlign w:val="center"/>
          </w:tcPr>
          <w:p w14:paraId="4343A2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05C9D2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6C9F5C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1.3×10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mg/kg</w:t>
            </w:r>
          </w:p>
        </w:tc>
      </w:tr>
      <w:tr w14:paraId="2334B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2AAB7F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7F0A98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硝基苯</w:t>
            </w:r>
          </w:p>
        </w:tc>
        <w:tc>
          <w:tcPr>
            <w:tcW w:w="3806" w:type="dxa"/>
            <w:tcBorders>
              <w:tl2br w:val="nil"/>
              <w:tr2bl w:val="nil"/>
            </w:tcBorders>
            <w:vAlign w:val="center"/>
          </w:tcPr>
          <w:p w14:paraId="56FAE8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521DCB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63EF4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09DAFE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0.09mg/kg</w:t>
            </w:r>
          </w:p>
        </w:tc>
      </w:tr>
      <w:tr w14:paraId="5C92C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02D05E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E158A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苯胺</w:t>
            </w:r>
          </w:p>
        </w:tc>
        <w:tc>
          <w:tcPr>
            <w:tcW w:w="3806" w:type="dxa"/>
            <w:tcBorders>
              <w:tl2br w:val="nil"/>
              <w:tr2bl w:val="nil"/>
            </w:tcBorders>
            <w:vAlign w:val="center"/>
          </w:tcPr>
          <w:p w14:paraId="25ECC1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《半挥发性有机物的测定 气相色谱-</w:t>
            </w:r>
          </w:p>
          <w:p w14:paraId="43342F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 xml:space="preserve">质谱法》 US EPA method 8270D </w:t>
            </w:r>
          </w:p>
        </w:tc>
        <w:tc>
          <w:tcPr>
            <w:tcW w:w="2186" w:type="dxa"/>
            <w:tcBorders>
              <w:tl2br w:val="nil"/>
              <w:tr2bl w:val="nil"/>
            </w:tcBorders>
            <w:vAlign w:val="center"/>
          </w:tcPr>
          <w:p w14:paraId="3C2E58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419663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43EB2F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0.66mg/kg</w:t>
            </w:r>
          </w:p>
        </w:tc>
      </w:tr>
      <w:tr w14:paraId="0C9F4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1EB3D8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2786B3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2-氯酚</w:t>
            </w:r>
          </w:p>
        </w:tc>
        <w:tc>
          <w:tcPr>
            <w:tcW w:w="3806" w:type="dxa"/>
            <w:tcBorders>
              <w:tl2br w:val="nil"/>
              <w:tr2bl w:val="nil"/>
            </w:tcBorders>
            <w:vAlign w:val="center"/>
          </w:tcPr>
          <w:p w14:paraId="758793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6EDE40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04768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5F8F12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0.06mg/kg</w:t>
            </w:r>
          </w:p>
        </w:tc>
      </w:tr>
      <w:tr w14:paraId="182FA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69FB4C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698E75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蒽</w:t>
            </w:r>
          </w:p>
        </w:tc>
        <w:tc>
          <w:tcPr>
            <w:tcW w:w="3806" w:type="dxa"/>
            <w:tcBorders>
              <w:tl2br w:val="nil"/>
              <w:tr2bl w:val="nil"/>
            </w:tcBorders>
            <w:vAlign w:val="center"/>
          </w:tcPr>
          <w:p w14:paraId="40DBB5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132BE9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5A35D7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2EC229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0.1mg/kg</w:t>
            </w:r>
          </w:p>
        </w:tc>
      </w:tr>
      <w:tr w14:paraId="2A54B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1C1BC8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42F0BC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芘</w:t>
            </w:r>
          </w:p>
        </w:tc>
        <w:tc>
          <w:tcPr>
            <w:tcW w:w="3806" w:type="dxa"/>
            <w:tcBorders>
              <w:tl2br w:val="nil"/>
              <w:tr2bl w:val="nil"/>
            </w:tcBorders>
            <w:vAlign w:val="center"/>
          </w:tcPr>
          <w:p w14:paraId="343C1F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2B3633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026500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520E8C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0.1mg/kg</w:t>
            </w:r>
          </w:p>
        </w:tc>
      </w:tr>
      <w:tr w14:paraId="53C06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restart"/>
            <w:tcBorders>
              <w:tl2br w:val="nil"/>
              <w:tr2bl w:val="nil"/>
            </w:tcBorders>
            <w:textDirection w:val="tbLrV"/>
            <w:vAlign w:val="center"/>
          </w:tcPr>
          <w:p w14:paraId="74F44E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土壤（总量）、污泥</w:t>
            </w:r>
          </w:p>
        </w:tc>
        <w:tc>
          <w:tcPr>
            <w:tcW w:w="1392" w:type="dxa"/>
            <w:gridSpan w:val="2"/>
            <w:tcBorders>
              <w:tl2br w:val="nil"/>
              <w:tr2bl w:val="nil"/>
            </w:tcBorders>
            <w:vAlign w:val="center"/>
          </w:tcPr>
          <w:p w14:paraId="7E04A2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b</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荧蒽</w:t>
            </w:r>
          </w:p>
        </w:tc>
        <w:tc>
          <w:tcPr>
            <w:tcW w:w="3806" w:type="dxa"/>
            <w:tcBorders>
              <w:tl2br w:val="nil"/>
              <w:tr2bl w:val="nil"/>
            </w:tcBorders>
            <w:vAlign w:val="center"/>
          </w:tcPr>
          <w:p w14:paraId="3DFF24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2347E5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72C2CE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6F3EAC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0.2mg/kg</w:t>
            </w:r>
          </w:p>
        </w:tc>
      </w:tr>
      <w:tr w14:paraId="34A97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7B02C7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70F054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k</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荧蒽</w:t>
            </w:r>
          </w:p>
        </w:tc>
        <w:tc>
          <w:tcPr>
            <w:tcW w:w="3806" w:type="dxa"/>
            <w:tcBorders>
              <w:tl2br w:val="nil"/>
              <w:tr2bl w:val="nil"/>
            </w:tcBorders>
            <w:vAlign w:val="center"/>
          </w:tcPr>
          <w:p w14:paraId="1B20E5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5939BE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1A9EB8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3DEC84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0.1mg/kg</w:t>
            </w:r>
          </w:p>
        </w:tc>
      </w:tr>
      <w:tr w14:paraId="4BF83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textDirection w:val="tbLrV"/>
            <w:vAlign w:val="center"/>
          </w:tcPr>
          <w:p w14:paraId="5CB98B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96204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䓛</w:t>
            </w:r>
          </w:p>
        </w:tc>
        <w:tc>
          <w:tcPr>
            <w:tcW w:w="3806" w:type="dxa"/>
            <w:tcBorders>
              <w:tl2br w:val="nil"/>
              <w:tr2bl w:val="nil"/>
            </w:tcBorders>
            <w:vAlign w:val="center"/>
          </w:tcPr>
          <w:p w14:paraId="106F48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65BE56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3EDEB7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2F980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0.1mg/kg</w:t>
            </w:r>
          </w:p>
        </w:tc>
      </w:tr>
      <w:tr w14:paraId="1E053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6B41F3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A8122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h</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蒽</w:t>
            </w:r>
          </w:p>
        </w:tc>
        <w:tc>
          <w:tcPr>
            <w:tcW w:w="3806" w:type="dxa"/>
            <w:tcBorders>
              <w:tl2br w:val="nil"/>
              <w:tr2bl w:val="nil"/>
            </w:tcBorders>
            <w:vAlign w:val="center"/>
          </w:tcPr>
          <w:p w14:paraId="1F3556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2F5E63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6EFA93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4F8B64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0.1mg/kg</w:t>
            </w:r>
          </w:p>
        </w:tc>
      </w:tr>
      <w:tr w14:paraId="46367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267D34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1B88A5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茚并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3-cd</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芘</w:t>
            </w:r>
          </w:p>
        </w:tc>
        <w:tc>
          <w:tcPr>
            <w:tcW w:w="3806" w:type="dxa"/>
            <w:tcBorders>
              <w:tl2br w:val="nil"/>
              <w:tr2bl w:val="nil"/>
            </w:tcBorders>
            <w:vAlign w:val="center"/>
          </w:tcPr>
          <w:p w14:paraId="6A5AC3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584C32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047B89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079BFD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0.1mg/kg</w:t>
            </w:r>
          </w:p>
        </w:tc>
      </w:tr>
      <w:tr w14:paraId="49514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vAlign w:val="center"/>
          </w:tcPr>
          <w:p w14:paraId="07D261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392" w:type="dxa"/>
            <w:gridSpan w:val="2"/>
            <w:tcBorders>
              <w:tl2br w:val="nil"/>
              <w:tr2bl w:val="nil"/>
            </w:tcBorders>
            <w:vAlign w:val="center"/>
          </w:tcPr>
          <w:p w14:paraId="2BCE42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萘</w:t>
            </w:r>
          </w:p>
        </w:tc>
        <w:tc>
          <w:tcPr>
            <w:tcW w:w="3806" w:type="dxa"/>
            <w:tcBorders>
              <w:tl2br w:val="nil"/>
              <w:tr2bl w:val="nil"/>
            </w:tcBorders>
            <w:vAlign w:val="center"/>
          </w:tcPr>
          <w:p w14:paraId="4A7EB4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《土壤和沉积物 半挥发性有机物的测定 气相色谱-质谱法》HJ 834-2017</w:t>
            </w:r>
          </w:p>
        </w:tc>
        <w:tc>
          <w:tcPr>
            <w:tcW w:w="2186" w:type="dxa"/>
            <w:tcBorders>
              <w:tl2br w:val="nil"/>
              <w:tr2bl w:val="nil"/>
            </w:tcBorders>
            <w:vAlign w:val="center"/>
          </w:tcPr>
          <w:p w14:paraId="55F2AC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GCMS-QP2010 SE</w:t>
            </w:r>
          </w:p>
          <w:p w14:paraId="622A87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气相色谱质谱联用仪</w:t>
            </w:r>
          </w:p>
        </w:tc>
        <w:tc>
          <w:tcPr>
            <w:tcW w:w="1368" w:type="dxa"/>
            <w:tcBorders>
              <w:tl2br w:val="nil"/>
              <w:tr2bl w:val="nil"/>
            </w:tcBorders>
            <w:vAlign w:val="center"/>
          </w:tcPr>
          <w:p w14:paraId="752C9C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0.09mg/kg</w:t>
            </w:r>
          </w:p>
        </w:tc>
      </w:tr>
    </w:tbl>
    <w:p w14:paraId="418803E4">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4、评价标准</w:t>
      </w:r>
    </w:p>
    <w:p w14:paraId="7E2F20C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b w:val="0"/>
          <w:bCs/>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 xml:space="preserve">建设用地执行《土壤环境质量标准  </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建设</w:t>
      </w:r>
      <w:r>
        <w:rPr>
          <w:rFonts w:hint="default" w:ascii="Times New Roman" w:hAnsi="Times New Roman" w:eastAsia="宋体" w:cs="Times New Roman"/>
          <w:caps w:val="0"/>
          <w:smallCaps w:val="0"/>
          <w:color w:val="auto"/>
          <w:spacing w:val="0"/>
          <w:w w:val="100"/>
          <w:kern w:val="0"/>
          <w:position w:val="0"/>
          <w:sz w:val="24"/>
          <w:szCs w:val="24"/>
          <w:u w:val="none" w:color="auto"/>
        </w:rPr>
        <w:t>用地土壤污染风险管控标准》（GB</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36600</w:t>
      </w:r>
      <w:r>
        <w:rPr>
          <w:rFonts w:hint="default" w:ascii="Times New Roman" w:hAnsi="Times New Roman" w:eastAsia="宋体" w:cs="Times New Roman"/>
          <w:caps w:val="0"/>
          <w:smallCaps w:val="0"/>
          <w:color w:val="auto"/>
          <w:spacing w:val="0"/>
          <w:w w:val="100"/>
          <w:kern w:val="0"/>
          <w:position w:val="0"/>
          <w:sz w:val="24"/>
          <w:szCs w:val="24"/>
          <w:u w:val="none" w:color="auto"/>
        </w:rPr>
        <w:t>-2018）</w:t>
      </w:r>
      <w:r>
        <w:rPr>
          <w:rFonts w:hint="default" w:ascii="Times New Roman" w:hAnsi="Times New Roman" w:eastAsia="宋体" w:cs="Times New Roman"/>
          <w:b w:val="0"/>
          <w:bCs/>
          <w:caps w:val="0"/>
          <w:smallCaps w:val="0"/>
          <w:color w:val="auto"/>
          <w:spacing w:val="0"/>
          <w:w w:val="100"/>
          <w:position w:val="0"/>
          <w:sz w:val="24"/>
          <w:szCs w:val="24"/>
          <w:u w:val="none" w:color="auto"/>
        </w:rPr>
        <w:t>表1</w:t>
      </w:r>
      <w:r>
        <w:rPr>
          <w:rFonts w:hint="default" w:ascii="Times New Roman" w:hAnsi="Times New Roman" w:eastAsia="宋体" w:cs="Times New Roman"/>
          <w:b w:val="0"/>
          <w:bCs/>
          <w:caps w:val="0"/>
          <w:smallCaps w:val="0"/>
          <w:color w:val="auto"/>
          <w:spacing w:val="0"/>
          <w:w w:val="100"/>
          <w:position w:val="0"/>
          <w:sz w:val="24"/>
          <w:szCs w:val="24"/>
          <w:u w:val="none" w:color="auto"/>
          <w:lang w:eastAsia="zh-CN"/>
        </w:rPr>
        <w:t>规定的风险</w:t>
      </w:r>
      <w:r>
        <w:rPr>
          <w:rFonts w:hint="default" w:ascii="Times New Roman" w:hAnsi="Times New Roman" w:eastAsia="宋体" w:cs="Times New Roman"/>
          <w:b w:val="0"/>
          <w:bCs/>
          <w:caps w:val="0"/>
          <w:smallCaps w:val="0"/>
          <w:color w:val="auto"/>
          <w:spacing w:val="0"/>
          <w:w w:val="100"/>
          <w:position w:val="0"/>
          <w:sz w:val="24"/>
          <w:szCs w:val="24"/>
          <w:u w:val="none" w:color="auto"/>
        </w:rPr>
        <w:t>筛选值</w:t>
      </w:r>
      <w:r>
        <w:rPr>
          <w:rFonts w:hint="eastAsia" w:ascii="Times New Roman" w:hAnsi="Times New Roman" w:eastAsia="宋体" w:cs="Times New Roman"/>
          <w:b w:val="0"/>
          <w:bCs/>
          <w:caps w:val="0"/>
          <w:smallCaps w:val="0"/>
          <w:color w:val="auto"/>
          <w:spacing w:val="0"/>
          <w:w w:val="100"/>
          <w:position w:val="0"/>
          <w:sz w:val="24"/>
          <w:szCs w:val="24"/>
          <w:u w:val="none" w:color="auto"/>
          <w:lang w:eastAsia="zh-CN"/>
        </w:rPr>
        <w:t>，</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农用地执行</w:t>
      </w:r>
      <w:r>
        <w:rPr>
          <w:rFonts w:hint="default" w:ascii="Times New Roman" w:hAnsi="Times New Roman" w:eastAsia="宋体" w:cs="Times New Roman"/>
          <w:b w:val="0"/>
          <w:bCs/>
          <w:caps w:val="0"/>
          <w:smallCaps w:val="0"/>
          <w:color w:val="auto"/>
          <w:spacing w:val="0"/>
          <w:w w:val="100"/>
          <w:position w:val="0"/>
          <w:sz w:val="24"/>
          <w:szCs w:val="24"/>
          <w:u w:val="none" w:color="auto"/>
        </w:rPr>
        <w:t>《土壤环境质量</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b w:val="0"/>
          <w:bCs/>
          <w:caps w:val="0"/>
          <w:smallCaps w:val="0"/>
          <w:color w:val="auto"/>
          <w:spacing w:val="0"/>
          <w:w w:val="100"/>
          <w:position w:val="0"/>
          <w:sz w:val="24"/>
          <w:szCs w:val="24"/>
          <w:u w:val="none" w:color="auto"/>
        </w:rPr>
        <w:t>农用地土壤污染风险管控标准》（GB15618-2018）中表1风险筛选值</w:t>
      </w:r>
      <w:r>
        <w:rPr>
          <w:rFonts w:hint="default" w:ascii="Times New Roman" w:hAnsi="Times New Roman" w:eastAsia="宋体" w:cs="Times New Roman"/>
          <w:b w:val="0"/>
          <w:bCs/>
          <w:caps w:val="0"/>
          <w:smallCaps w:val="0"/>
          <w:color w:val="auto"/>
          <w:spacing w:val="0"/>
          <w:w w:val="100"/>
          <w:position w:val="0"/>
          <w:sz w:val="24"/>
          <w:szCs w:val="24"/>
          <w:u w:val="none" w:color="auto"/>
          <w:lang w:eastAsia="zh-CN"/>
        </w:rPr>
        <w:t>。</w:t>
      </w:r>
    </w:p>
    <w:p w14:paraId="7A3AD40E">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r>
        <w:rPr>
          <w:rFonts w:hint="default" w:ascii="Times New Roman" w:hAnsi="Times New Roman" w:eastAsia="宋体" w:cs="Times New Roman"/>
          <w:b/>
          <w:bCs/>
          <w:color w:val="auto"/>
          <w:spacing w:val="0"/>
          <w:w w:val="100"/>
          <w:kern w:val="0"/>
          <w:position w:val="0"/>
          <w:sz w:val="24"/>
          <w:u w:val="none" w:color="auto"/>
          <w:lang w:val="en-US" w:eastAsia="zh-CN"/>
        </w:rPr>
        <w:t>5、评价方法</w:t>
      </w:r>
    </w:p>
    <w:p w14:paraId="66A9F375">
      <w:pPr>
        <w:pageBreakBefore w:val="0"/>
        <w:kinsoku w:val="0"/>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lang w:val="en-US" w:eastAsia="zh-CN"/>
        </w:rPr>
        <w:t>土壤环境质量现状</w:t>
      </w:r>
      <w:r>
        <w:rPr>
          <w:rFonts w:hint="default" w:ascii="Times New Roman" w:hAnsi="Times New Roman" w:eastAsia="宋体" w:cs="Times New Roman"/>
          <w:caps w:val="0"/>
          <w:smallCaps w:val="0"/>
          <w:color w:val="auto"/>
          <w:spacing w:val="0"/>
          <w:w w:val="100"/>
          <w:position w:val="0"/>
          <w:sz w:val="24"/>
          <w:u w:val="none" w:color="auto"/>
        </w:rPr>
        <w:t>评价方法采用单因子指数法，计算式为：</w:t>
      </w:r>
    </w:p>
    <w:p w14:paraId="1E6483C2">
      <w:pPr>
        <w:pageBreakBefore w:val="0"/>
        <w:kinsoku w:val="0"/>
        <w:wordWrap w:val="0"/>
        <w:overflowPunct/>
        <w:topLinePunct/>
        <w:autoSpaceDE/>
        <w:autoSpaceDN/>
        <w:bidi w:val="0"/>
        <w:adjustRightInd w:val="0"/>
        <w:snapToGrid w:val="0"/>
        <w:spacing w:line="360" w:lineRule="auto"/>
        <w:ind w:firstLine="480" w:firstLineChars="200"/>
        <w:jc w:val="center"/>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P</w:t>
      </w:r>
      <w:r>
        <w:rPr>
          <w:rFonts w:hint="default" w:ascii="Times New Roman" w:hAnsi="Times New Roman" w:eastAsia="宋体" w:cs="Times New Roman"/>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=C</w:t>
      </w:r>
      <w:r>
        <w:rPr>
          <w:rFonts w:hint="default" w:ascii="Times New Roman" w:hAnsi="Times New Roman" w:eastAsia="宋体" w:cs="Times New Roman"/>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w:t>
      </w:r>
      <w:r>
        <w:rPr>
          <w:rFonts w:hint="default" w:ascii="Times New Roman" w:hAnsi="Times New Roman" w:eastAsia="宋体" w:cs="Times New Roman"/>
          <w:caps w:val="0"/>
          <w:smallCaps w:val="0"/>
          <w:color w:val="auto"/>
          <w:spacing w:val="0"/>
          <w:w w:val="100"/>
          <w:position w:val="0"/>
          <w:u w:val="none" w:color="auto"/>
        </w:rPr>
        <w:t xml:space="preserve"> </w:t>
      </w:r>
      <w:r>
        <w:rPr>
          <w:rFonts w:hint="default" w:ascii="Times New Roman" w:hAnsi="Times New Roman" w:eastAsia="宋体" w:cs="Times New Roman"/>
          <w:caps w:val="0"/>
          <w:smallCaps w:val="0"/>
          <w:color w:val="auto"/>
          <w:spacing w:val="0"/>
          <w:w w:val="100"/>
          <w:position w:val="0"/>
          <w:sz w:val="24"/>
          <w:u w:val="none" w:color="auto"/>
        </w:rPr>
        <w:t>C</w:t>
      </w:r>
      <w:r>
        <w:rPr>
          <w:rFonts w:hint="default" w:ascii="Times New Roman" w:hAnsi="Times New Roman" w:eastAsia="宋体" w:cs="Times New Roman"/>
          <w:caps w:val="0"/>
          <w:smallCaps w:val="0"/>
          <w:color w:val="auto"/>
          <w:spacing w:val="0"/>
          <w:w w:val="100"/>
          <w:position w:val="0"/>
          <w:sz w:val="24"/>
          <w:u w:val="none" w:color="auto"/>
          <w:vertAlign w:val="subscript"/>
        </w:rPr>
        <w:t>oi</w:t>
      </w:r>
    </w:p>
    <w:p w14:paraId="575D66B5">
      <w:pPr>
        <w:pageBreakBefore w:val="0"/>
        <w:kinsoku w:val="0"/>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式中：P</w:t>
      </w:r>
      <w:r>
        <w:rPr>
          <w:rFonts w:hint="default" w:ascii="Times New Roman" w:hAnsi="Times New Roman" w:eastAsia="宋体" w:cs="Times New Roman"/>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——土壤中i污染物的标准指数；</w:t>
      </w:r>
    </w:p>
    <w:p w14:paraId="496F2F96">
      <w:pPr>
        <w:pageBreakBefore w:val="0"/>
        <w:kinsoku w:val="0"/>
        <w:wordWrap w:val="0"/>
        <w:overflowPunct/>
        <w:topLinePunct/>
        <w:autoSpaceDE/>
        <w:autoSpaceDN/>
        <w:bidi w:val="0"/>
        <w:adjustRightInd w:val="0"/>
        <w:snapToGrid w:val="0"/>
        <w:spacing w:line="360" w:lineRule="auto"/>
        <w:ind w:firstLine="1200" w:firstLineChars="500"/>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C</w:t>
      </w:r>
      <w:r>
        <w:rPr>
          <w:rFonts w:hint="default" w:ascii="Times New Roman" w:hAnsi="Times New Roman" w:eastAsia="宋体" w:cs="Times New Roman"/>
          <w:caps w:val="0"/>
          <w:smallCaps w:val="0"/>
          <w:color w:val="auto"/>
          <w:spacing w:val="0"/>
          <w:w w:val="100"/>
          <w:position w:val="0"/>
          <w:sz w:val="24"/>
          <w:u w:val="none" w:color="auto"/>
          <w:vertAlign w:val="subscript"/>
        </w:rPr>
        <w:t>i</w:t>
      </w:r>
      <w:r>
        <w:rPr>
          <w:rFonts w:hint="default" w:ascii="Times New Roman" w:hAnsi="Times New Roman" w:eastAsia="宋体" w:cs="Times New Roman"/>
          <w:caps w:val="0"/>
          <w:smallCaps w:val="0"/>
          <w:color w:val="auto"/>
          <w:spacing w:val="0"/>
          <w:w w:val="100"/>
          <w:position w:val="0"/>
          <w:sz w:val="24"/>
          <w:u w:val="none" w:color="auto"/>
        </w:rPr>
        <w:t>——土壤中污染物 i 的实测浓度，mg/kg；</w:t>
      </w:r>
    </w:p>
    <w:p w14:paraId="5D7FE5C9">
      <w:pPr>
        <w:keepNext w:val="0"/>
        <w:keepLines w:val="0"/>
        <w:pageBreakBefore w:val="0"/>
        <w:widowControl w:val="0"/>
        <w:kinsoku w:val="0"/>
        <w:wordWrap w:val="0"/>
        <w:overflowPunct/>
        <w:topLinePunct/>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aps w:val="0"/>
          <w:smallCaps w:val="0"/>
          <w:color w:val="auto"/>
          <w:spacing w:val="0"/>
          <w:w w:val="100"/>
          <w:position w:val="0"/>
          <w:sz w:val="24"/>
          <w:u w:val="none" w:color="auto"/>
        </w:rPr>
      </w:pPr>
      <w:r>
        <w:rPr>
          <w:rFonts w:hint="default" w:ascii="Times New Roman" w:hAnsi="Times New Roman" w:eastAsia="宋体" w:cs="Times New Roman"/>
          <w:caps w:val="0"/>
          <w:smallCaps w:val="0"/>
          <w:color w:val="auto"/>
          <w:spacing w:val="0"/>
          <w:w w:val="100"/>
          <w:position w:val="0"/>
          <w:sz w:val="24"/>
          <w:u w:val="none" w:color="auto"/>
        </w:rPr>
        <w:t>C</w:t>
      </w:r>
      <w:r>
        <w:rPr>
          <w:rFonts w:hint="default" w:ascii="Times New Roman" w:hAnsi="Times New Roman" w:eastAsia="宋体" w:cs="Times New Roman"/>
          <w:caps w:val="0"/>
          <w:smallCaps w:val="0"/>
          <w:color w:val="auto"/>
          <w:spacing w:val="0"/>
          <w:w w:val="100"/>
          <w:position w:val="0"/>
          <w:sz w:val="24"/>
          <w:u w:val="none" w:color="auto"/>
          <w:vertAlign w:val="subscript"/>
        </w:rPr>
        <w:t>oi</w:t>
      </w:r>
      <w:r>
        <w:rPr>
          <w:rFonts w:hint="default" w:ascii="Times New Roman" w:hAnsi="Times New Roman" w:eastAsia="宋体" w:cs="Times New Roman"/>
          <w:caps w:val="0"/>
          <w:smallCaps w:val="0"/>
          <w:color w:val="auto"/>
          <w:spacing w:val="0"/>
          <w:w w:val="100"/>
          <w:position w:val="0"/>
          <w:sz w:val="24"/>
          <w:u w:val="none" w:color="auto"/>
        </w:rPr>
        <w:t>——污染物 i 的评价标准值，mg/kg。</w:t>
      </w:r>
    </w:p>
    <w:p w14:paraId="301AB81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u w:val="none" w:color="auto"/>
          <w:vertAlign w:val="baseline"/>
        </w:rPr>
      </w:pPr>
      <w:r>
        <w:rPr>
          <w:rFonts w:hint="default" w:ascii="Times New Roman" w:hAnsi="Times New Roman" w:eastAsia="宋体" w:cs="Times New Roman"/>
          <w:caps w:val="0"/>
          <w:smallCaps w:val="0"/>
          <w:color w:val="auto"/>
          <w:spacing w:val="0"/>
          <w:w w:val="100"/>
          <w:position w:val="0"/>
          <w:sz w:val="24"/>
          <w:u w:val="none" w:color="auto"/>
        </w:rPr>
        <w:t>土壤污染因子的标准指数大于1，表明该污染物超过了规定的标准限值，标准指数越大，说明超标越严重。</w:t>
      </w:r>
    </w:p>
    <w:p w14:paraId="10393D35">
      <w:pPr>
        <w:keepNext w:val="0"/>
        <w:keepLines w:val="0"/>
        <w:pageBreakBefore w:val="0"/>
        <w:widowControl w:val="0"/>
        <w:kinsoku/>
        <w:wordWrap/>
        <w:overflowPunct/>
        <w:topLinePunct w:val="0"/>
        <w:autoSpaceDE/>
        <w:autoSpaceDN/>
        <w:bidi w:val="0"/>
        <w:adjustRightInd/>
        <w:snapToGrid/>
        <w:spacing w:line="360" w:lineRule="auto"/>
        <w:ind w:left="0" w:firstLine="478"/>
        <w:textAlignment w:val="auto"/>
        <w:rPr>
          <w:rFonts w:hint="default" w:ascii="Times New Roman" w:hAnsi="Times New Roman" w:eastAsia="宋体" w:cs="Times New Roman"/>
          <w:b/>
          <w:bCs/>
          <w:color w:val="auto"/>
          <w:spacing w:val="0"/>
          <w:w w:val="100"/>
          <w:kern w:val="0"/>
          <w:position w:val="0"/>
          <w:sz w:val="24"/>
          <w:u w:val="none" w:color="auto"/>
          <w:lang w:val="en-US" w:eastAsia="zh-CN"/>
        </w:rPr>
      </w:pPr>
      <w:bookmarkStart w:id="184" w:name="_Toc488009101"/>
      <w:r>
        <w:rPr>
          <w:rFonts w:hint="default" w:ascii="Times New Roman" w:hAnsi="Times New Roman" w:eastAsia="宋体" w:cs="Times New Roman"/>
          <w:b/>
          <w:bCs/>
          <w:color w:val="auto"/>
          <w:spacing w:val="0"/>
          <w:w w:val="100"/>
          <w:kern w:val="0"/>
          <w:position w:val="0"/>
          <w:sz w:val="24"/>
          <w:u w:val="none" w:color="auto"/>
          <w:lang w:val="en-US" w:eastAsia="zh-CN"/>
        </w:rPr>
        <w:t>6、监测结果及评价</w:t>
      </w:r>
      <w:bookmarkEnd w:id="184"/>
    </w:p>
    <w:p w14:paraId="59B00D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u w:val="none" w:color="auto"/>
        </w:rPr>
        <w:t>本次评价</w:t>
      </w:r>
      <w:r>
        <w:rPr>
          <w:rFonts w:hint="default" w:ascii="Times New Roman" w:hAnsi="Times New Roman" w:eastAsia="宋体" w:cs="Times New Roman"/>
          <w:caps w:val="0"/>
          <w:smallCaps w:val="0"/>
          <w:color w:val="auto"/>
          <w:spacing w:val="0"/>
          <w:w w:val="100"/>
          <w:position w:val="0"/>
          <w:sz w:val="24"/>
          <w:u w:val="none" w:color="auto"/>
          <w:lang w:val="en-US" w:eastAsia="zh-CN"/>
        </w:rPr>
        <w:t>共</w:t>
      </w:r>
      <w:r>
        <w:rPr>
          <w:rFonts w:hint="default" w:ascii="Times New Roman" w:hAnsi="Times New Roman" w:eastAsia="宋体" w:cs="Times New Roman"/>
          <w:caps w:val="0"/>
          <w:smallCaps w:val="0"/>
          <w:color w:val="auto"/>
          <w:spacing w:val="0"/>
          <w:w w:val="100"/>
          <w:position w:val="0"/>
          <w:sz w:val="24"/>
          <w:u w:val="none" w:color="auto"/>
        </w:rPr>
        <w:t>设置</w:t>
      </w:r>
      <w:r>
        <w:rPr>
          <w:rFonts w:hint="eastAsia" w:ascii="Times New Roman" w:hAnsi="Times New Roman" w:eastAsia="宋体" w:cs="Times New Roman"/>
          <w:caps w:val="0"/>
          <w:smallCaps w:val="0"/>
          <w:color w:val="auto"/>
          <w:spacing w:val="0"/>
          <w:w w:val="100"/>
          <w:position w:val="0"/>
          <w:sz w:val="24"/>
          <w:u w:val="none" w:color="auto"/>
          <w:lang w:val="en-US" w:eastAsia="zh-CN"/>
        </w:rPr>
        <w:t>3</w:t>
      </w:r>
      <w:r>
        <w:rPr>
          <w:rFonts w:hint="default" w:ascii="Times New Roman" w:hAnsi="Times New Roman" w:eastAsia="宋体" w:cs="Times New Roman"/>
          <w:caps w:val="0"/>
          <w:smallCaps w:val="0"/>
          <w:color w:val="auto"/>
          <w:spacing w:val="0"/>
          <w:w w:val="100"/>
          <w:position w:val="0"/>
          <w:sz w:val="24"/>
          <w:u w:val="none" w:color="auto"/>
        </w:rPr>
        <w:t>个土壤</w:t>
      </w:r>
      <w:r>
        <w:rPr>
          <w:rFonts w:hint="default" w:ascii="Times New Roman" w:hAnsi="Times New Roman" w:eastAsia="宋体" w:cs="Times New Roman"/>
          <w:caps w:val="0"/>
          <w:smallCaps w:val="0"/>
          <w:color w:val="auto"/>
          <w:spacing w:val="0"/>
          <w:w w:val="100"/>
          <w:position w:val="0"/>
          <w:sz w:val="24"/>
          <w:u w:val="none" w:color="auto"/>
          <w:lang w:eastAsia="zh-CN"/>
        </w:rPr>
        <w:t>现状监测</w:t>
      </w:r>
      <w:r>
        <w:rPr>
          <w:rFonts w:hint="default" w:ascii="Times New Roman" w:hAnsi="Times New Roman" w:eastAsia="宋体" w:cs="Times New Roman"/>
          <w:caps w:val="0"/>
          <w:smallCaps w:val="0"/>
          <w:color w:val="auto"/>
          <w:spacing w:val="0"/>
          <w:w w:val="100"/>
          <w:position w:val="0"/>
          <w:sz w:val="24"/>
          <w:u w:val="none" w:color="auto"/>
        </w:rPr>
        <w:t>调查点，其调查情况见表</w:t>
      </w:r>
      <w:r>
        <w:rPr>
          <w:rFonts w:hint="default" w:ascii="Times New Roman" w:hAnsi="Times New Roman" w:eastAsia="宋体" w:cs="Times New Roman"/>
          <w:caps w:val="0"/>
          <w:smallCaps w:val="0"/>
          <w:color w:val="auto"/>
          <w:spacing w:val="0"/>
          <w:w w:val="100"/>
          <w:position w:val="0"/>
          <w:sz w:val="24"/>
          <w:u w:val="none" w:color="auto"/>
          <w:lang w:val="en-US" w:eastAsia="zh-CN"/>
        </w:rPr>
        <w:t>3.2-15</w:t>
      </w:r>
      <w:r>
        <w:rPr>
          <w:rFonts w:hint="default" w:ascii="Times New Roman" w:hAnsi="Times New Roman" w:eastAsia="宋体" w:cs="Times New Roman"/>
          <w:caps w:val="0"/>
          <w:smallCaps w:val="0"/>
          <w:color w:val="auto"/>
          <w:spacing w:val="0"/>
          <w:w w:val="100"/>
          <w:position w:val="0"/>
          <w:sz w:val="24"/>
          <w:u w:val="none" w:color="auto"/>
        </w:rPr>
        <w:t>。</w:t>
      </w:r>
    </w:p>
    <w:p w14:paraId="77511F1C">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表3.2-15</w:t>
      </w:r>
      <w:r>
        <w:rPr>
          <w:rFonts w:hint="default" w:ascii="Times New Roman" w:hAnsi="Times New Roman" w:eastAsia="宋体" w:cs="Times New Roman"/>
          <w:b/>
          <w:caps w:val="0"/>
          <w:smallCaps w:val="0"/>
          <w:color w:val="auto"/>
          <w:spacing w:val="0"/>
          <w:w w:val="100"/>
          <w:position w:val="0"/>
          <w:sz w:val="21"/>
          <w:szCs w:val="21"/>
          <w:u w:val="none" w:color="auto"/>
        </w:rPr>
        <w:t xml:space="preserve">  土壤环境质量监测结果与评价一览表  单位：mg/kg（pH为无量纲）</w:t>
      </w:r>
    </w:p>
    <w:tbl>
      <w:tblPr>
        <w:tblStyle w:val="4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712"/>
        <w:gridCol w:w="1774"/>
        <w:gridCol w:w="1560"/>
        <w:gridCol w:w="1560"/>
        <w:gridCol w:w="1585"/>
      </w:tblGrid>
      <w:tr w14:paraId="69CDC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35" w:type="dxa"/>
            <w:vMerge w:val="restart"/>
            <w:tcBorders>
              <w:tl2br w:val="nil"/>
              <w:tr2bl w:val="nil"/>
            </w:tcBorders>
            <w:vAlign w:val="center"/>
          </w:tcPr>
          <w:p w14:paraId="7CB98EB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采样点位</w:t>
            </w:r>
          </w:p>
        </w:tc>
        <w:tc>
          <w:tcPr>
            <w:tcW w:w="2486" w:type="dxa"/>
            <w:gridSpan w:val="2"/>
            <w:tcBorders>
              <w:tl2br w:val="nil"/>
              <w:tr2bl w:val="nil"/>
            </w:tcBorders>
            <w:vAlign w:val="center"/>
          </w:tcPr>
          <w:p w14:paraId="2F6D013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检测项目</w:t>
            </w:r>
          </w:p>
        </w:tc>
        <w:tc>
          <w:tcPr>
            <w:tcW w:w="1560" w:type="dxa"/>
            <w:tcBorders>
              <w:tl2br w:val="nil"/>
              <w:tr2bl w:val="nil"/>
            </w:tcBorders>
            <w:vAlign w:val="center"/>
          </w:tcPr>
          <w:p w14:paraId="404E7D6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监测结果</w:t>
            </w:r>
          </w:p>
        </w:tc>
        <w:tc>
          <w:tcPr>
            <w:tcW w:w="1560" w:type="dxa"/>
            <w:tcBorders>
              <w:tl2br w:val="nil"/>
              <w:tr2bl w:val="nil"/>
            </w:tcBorders>
            <w:vAlign w:val="center"/>
          </w:tcPr>
          <w:p w14:paraId="143CE68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标准值</w:t>
            </w:r>
          </w:p>
        </w:tc>
        <w:tc>
          <w:tcPr>
            <w:tcW w:w="1585" w:type="dxa"/>
            <w:tcBorders>
              <w:tl2br w:val="nil"/>
              <w:tr2bl w:val="nil"/>
            </w:tcBorders>
            <w:vAlign w:val="center"/>
          </w:tcPr>
          <w:p w14:paraId="2A86138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达标情况</w:t>
            </w:r>
          </w:p>
        </w:tc>
      </w:tr>
      <w:tr w14:paraId="5F059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restart"/>
            <w:tcBorders>
              <w:tl2br w:val="nil"/>
              <w:tr2bl w:val="nil"/>
            </w:tcBorders>
            <w:vAlign w:val="center"/>
          </w:tcPr>
          <w:p w14:paraId="5AB77B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T1</w:t>
            </w:r>
            <w:r>
              <w:rPr>
                <w:rFonts w:hint="eastAsia" w:ascii="Times New Roman" w:hAnsi="Times New Roman" w:eastAsia="宋体" w:cs="Times New Roman"/>
                <w:color w:val="auto"/>
                <w:sz w:val="21"/>
                <w:szCs w:val="21"/>
                <w:u w:val="none" w:color="auto"/>
                <w:lang w:val="en-US" w:eastAsia="zh-CN"/>
              </w:rPr>
              <w:t>北汊水库主</w:t>
            </w:r>
            <w:r>
              <w:rPr>
                <w:rFonts w:hint="default" w:ascii="Times New Roman" w:hAnsi="Times New Roman" w:eastAsia="宋体" w:cs="Times New Roman"/>
                <w:color w:val="auto"/>
                <w:sz w:val="21"/>
                <w:szCs w:val="21"/>
                <w:u w:val="none" w:color="auto"/>
                <w:lang w:val="en-US" w:eastAsia="zh-CN"/>
              </w:rPr>
              <w:t>坝</w:t>
            </w:r>
          </w:p>
        </w:tc>
        <w:tc>
          <w:tcPr>
            <w:tcW w:w="2486" w:type="dxa"/>
            <w:gridSpan w:val="2"/>
            <w:tcBorders>
              <w:tl2br w:val="nil"/>
              <w:tr2bl w:val="nil"/>
            </w:tcBorders>
            <w:vAlign w:val="center"/>
          </w:tcPr>
          <w:p w14:paraId="678EE9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560" w:type="dxa"/>
            <w:tcBorders>
              <w:tl2br w:val="nil"/>
              <w:tr2bl w:val="nil"/>
            </w:tcBorders>
            <w:vAlign w:val="center"/>
          </w:tcPr>
          <w:p w14:paraId="13E9A2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7.25</w:t>
            </w:r>
          </w:p>
        </w:tc>
        <w:tc>
          <w:tcPr>
            <w:tcW w:w="1560" w:type="dxa"/>
            <w:tcBorders>
              <w:tl2br w:val="nil"/>
              <w:tr2bl w:val="nil"/>
            </w:tcBorders>
            <w:vAlign w:val="center"/>
          </w:tcPr>
          <w:p w14:paraId="38BB45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585" w:type="dxa"/>
            <w:tcBorders>
              <w:tl2br w:val="nil"/>
              <w:tr2bl w:val="nil"/>
            </w:tcBorders>
            <w:vAlign w:val="center"/>
          </w:tcPr>
          <w:p w14:paraId="3FF664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14:paraId="327B2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1FBC3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DC7FA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镉</w:t>
            </w:r>
          </w:p>
        </w:tc>
        <w:tc>
          <w:tcPr>
            <w:tcW w:w="1560" w:type="dxa"/>
            <w:tcBorders>
              <w:tl2br w:val="nil"/>
              <w:tr2bl w:val="nil"/>
            </w:tcBorders>
            <w:vAlign w:val="center"/>
          </w:tcPr>
          <w:p w14:paraId="6FE3FD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1560" w:type="dxa"/>
            <w:tcBorders>
              <w:tl2br w:val="nil"/>
              <w:tr2bl w:val="nil"/>
            </w:tcBorders>
            <w:vAlign w:val="center"/>
          </w:tcPr>
          <w:p w14:paraId="7DCBD8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585" w:type="dxa"/>
            <w:tcBorders>
              <w:tl2br w:val="nil"/>
              <w:tr2bl w:val="nil"/>
            </w:tcBorders>
            <w:vAlign w:val="center"/>
          </w:tcPr>
          <w:p w14:paraId="7861B9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5506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612020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8A176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汞</w:t>
            </w:r>
          </w:p>
        </w:tc>
        <w:tc>
          <w:tcPr>
            <w:tcW w:w="1560" w:type="dxa"/>
            <w:tcBorders>
              <w:tl2br w:val="nil"/>
              <w:tr2bl w:val="nil"/>
            </w:tcBorders>
            <w:vAlign w:val="center"/>
          </w:tcPr>
          <w:p w14:paraId="772FD1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0.312</w:t>
            </w:r>
          </w:p>
        </w:tc>
        <w:tc>
          <w:tcPr>
            <w:tcW w:w="1560" w:type="dxa"/>
            <w:tcBorders>
              <w:tl2br w:val="nil"/>
              <w:tr2bl w:val="nil"/>
            </w:tcBorders>
            <w:vAlign w:val="center"/>
          </w:tcPr>
          <w:p w14:paraId="4A849F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585" w:type="dxa"/>
            <w:tcBorders>
              <w:tl2br w:val="nil"/>
              <w:tr2bl w:val="nil"/>
            </w:tcBorders>
            <w:vAlign w:val="center"/>
          </w:tcPr>
          <w:p w14:paraId="7E69FE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4AD1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86C48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945A3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砷</w:t>
            </w:r>
          </w:p>
        </w:tc>
        <w:tc>
          <w:tcPr>
            <w:tcW w:w="1560" w:type="dxa"/>
            <w:tcBorders>
              <w:tl2br w:val="nil"/>
              <w:tr2bl w:val="nil"/>
            </w:tcBorders>
            <w:vAlign w:val="center"/>
          </w:tcPr>
          <w:p w14:paraId="70B744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17.8</w:t>
            </w:r>
          </w:p>
        </w:tc>
        <w:tc>
          <w:tcPr>
            <w:tcW w:w="1560" w:type="dxa"/>
            <w:tcBorders>
              <w:tl2br w:val="nil"/>
              <w:tr2bl w:val="nil"/>
            </w:tcBorders>
            <w:vAlign w:val="center"/>
          </w:tcPr>
          <w:p w14:paraId="3D98EC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60①</w:t>
            </w:r>
          </w:p>
        </w:tc>
        <w:tc>
          <w:tcPr>
            <w:tcW w:w="1585" w:type="dxa"/>
            <w:tcBorders>
              <w:tl2br w:val="nil"/>
              <w:tr2bl w:val="nil"/>
            </w:tcBorders>
            <w:vAlign w:val="center"/>
          </w:tcPr>
          <w:p w14:paraId="14AFE4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B578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7DA3E4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CA3B0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铅</w:t>
            </w:r>
          </w:p>
        </w:tc>
        <w:tc>
          <w:tcPr>
            <w:tcW w:w="1560" w:type="dxa"/>
            <w:tcBorders>
              <w:tl2br w:val="nil"/>
              <w:tr2bl w:val="nil"/>
            </w:tcBorders>
            <w:vAlign w:val="center"/>
          </w:tcPr>
          <w:p w14:paraId="73DC98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46</w:t>
            </w:r>
          </w:p>
        </w:tc>
        <w:tc>
          <w:tcPr>
            <w:tcW w:w="1560" w:type="dxa"/>
            <w:tcBorders>
              <w:tl2br w:val="nil"/>
              <w:tr2bl w:val="nil"/>
            </w:tcBorders>
            <w:vAlign w:val="center"/>
          </w:tcPr>
          <w:p w14:paraId="3020BA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85" w:type="dxa"/>
            <w:tcBorders>
              <w:tl2br w:val="nil"/>
              <w:tr2bl w:val="nil"/>
            </w:tcBorders>
            <w:vAlign w:val="center"/>
          </w:tcPr>
          <w:p w14:paraId="54E1EB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AC6A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E4448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FA4BD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铜</w:t>
            </w:r>
          </w:p>
        </w:tc>
        <w:tc>
          <w:tcPr>
            <w:tcW w:w="1560" w:type="dxa"/>
            <w:tcBorders>
              <w:tl2br w:val="nil"/>
              <w:tr2bl w:val="nil"/>
            </w:tcBorders>
            <w:vAlign w:val="center"/>
          </w:tcPr>
          <w:p w14:paraId="17AFA9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52</w:t>
            </w:r>
          </w:p>
        </w:tc>
        <w:tc>
          <w:tcPr>
            <w:tcW w:w="1560" w:type="dxa"/>
            <w:tcBorders>
              <w:tl2br w:val="nil"/>
              <w:tr2bl w:val="nil"/>
            </w:tcBorders>
            <w:vAlign w:val="center"/>
          </w:tcPr>
          <w:p w14:paraId="713105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18000</w:t>
            </w:r>
          </w:p>
        </w:tc>
        <w:tc>
          <w:tcPr>
            <w:tcW w:w="1585" w:type="dxa"/>
            <w:tcBorders>
              <w:tl2br w:val="nil"/>
              <w:tr2bl w:val="nil"/>
            </w:tcBorders>
            <w:vAlign w:val="center"/>
          </w:tcPr>
          <w:p w14:paraId="549706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EC3F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E917B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7F792B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镍</w:t>
            </w:r>
          </w:p>
        </w:tc>
        <w:tc>
          <w:tcPr>
            <w:tcW w:w="1560" w:type="dxa"/>
            <w:tcBorders>
              <w:tl2br w:val="nil"/>
              <w:tr2bl w:val="nil"/>
            </w:tcBorders>
            <w:vAlign w:val="center"/>
          </w:tcPr>
          <w:p w14:paraId="52BBBC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51</w:t>
            </w:r>
          </w:p>
        </w:tc>
        <w:tc>
          <w:tcPr>
            <w:tcW w:w="1560" w:type="dxa"/>
            <w:tcBorders>
              <w:tl2br w:val="nil"/>
              <w:tr2bl w:val="nil"/>
            </w:tcBorders>
            <w:vAlign w:val="center"/>
          </w:tcPr>
          <w:p w14:paraId="3E9C85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585" w:type="dxa"/>
            <w:tcBorders>
              <w:tl2br w:val="nil"/>
              <w:tr2bl w:val="nil"/>
            </w:tcBorders>
            <w:vAlign w:val="center"/>
          </w:tcPr>
          <w:p w14:paraId="43F1A4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557D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FFB8E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B6414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含盐量</w:t>
            </w:r>
          </w:p>
        </w:tc>
        <w:tc>
          <w:tcPr>
            <w:tcW w:w="1560" w:type="dxa"/>
            <w:tcBorders>
              <w:tl2br w:val="nil"/>
              <w:tr2bl w:val="nil"/>
            </w:tcBorders>
            <w:vAlign w:val="center"/>
          </w:tcPr>
          <w:p w14:paraId="0A17EE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1560" w:type="dxa"/>
            <w:tcBorders>
              <w:tl2br w:val="nil"/>
              <w:tr2bl w:val="nil"/>
            </w:tcBorders>
            <w:vAlign w:val="center"/>
          </w:tcPr>
          <w:p w14:paraId="204C14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585" w:type="dxa"/>
            <w:tcBorders>
              <w:tl2br w:val="nil"/>
              <w:tr2bl w:val="nil"/>
            </w:tcBorders>
            <w:vAlign w:val="center"/>
          </w:tcPr>
          <w:p w14:paraId="26FF82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1E13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F8CDD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014E5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lang w:val="en-US" w:eastAsia="zh-CN" w:bidi="ar"/>
              </w:rPr>
              <w:t>六价铬</w:t>
            </w:r>
          </w:p>
        </w:tc>
        <w:tc>
          <w:tcPr>
            <w:tcW w:w="1560" w:type="dxa"/>
            <w:tcBorders>
              <w:tl2br w:val="nil"/>
              <w:tr2bl w:val="nil"/>
            </w:tcBorders>
            <w:vAlign w:val="center"/>
          </w:tcPr>
          <w:p w14:paraId="3E7CA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0.5L</w:t>
            </w:r>
          </w:p>
        </w:tc>
        <w:tc>
          <w:tcPr>
            <w:tcW w:w="1560" w:type="dxa"/>
            <w:tcBorders>
              <w:tl2br w:val="nil"/>
              <w:tr2bl w:val="nil"/>
            </w:tcBorders>
            <w:vAlign w:val="center"/>
          </w:tcPr>
          <w:p w14:paraId="63D98F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585" w:type="dxa"/>
            <w:tcBorders>
              <w:tl2br w:val="nil"/>
              <w:tr2bl w:val="nil"/>
            </w:tcBorders>
            <w:vAlign w:val="center"/>
          </w:tcPr>
          <w:p w14:paraId="773E33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003B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0998A1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782F1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四氯化碳</w:t>
            </w:r>
          </w:p>
        </w:tc>
        <w:tc>
          <w:tcPr>
            <w:tcW w:w="1560" w:type="dxa"/>
            <w:tcBorders>
              <w:tl2br w:val="nil"/>
              <w:tr2bl w:val="nil"/>
            </w:tcBorders>
            <w:vAlign w:val="center"/>
          </w:tcPr>
          <w:p w14:paraId="367366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2.1×10</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L</w:t>
            </w:r>
          </w:p>
        </w:tc>
        <w:tc>
          <w:tcPr>
            <w:tcW w:w="1560" w:type="dxa"/>
            <w:tcBorders>
              <w:tl2br w:val="nil"/>
              <w:tr2bl w:val="nil"/>
            </w:tcBorders>
            <w:vAlign w:val="center"/>
          </w:tcPr>
          <w:p w14:paraId="6C09BE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585" w:type="dxa"/>
            <w:tcBorders>
              <w:tl2br w:val="nil"/>
              <w:tr2bl w:val="nil"/>
            </w:tcBorders>
            <w:vAlign w:val="center"/>
          </w:tcPr>
          <w:p w14:paraId="4B262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u w:val="none" w:color="auto"/>
                <w:lang w:val="en-US" w:eastAsia="zh-CN"/>
              </w:rPr>
              <w:t>达标</w:t>
            </w:r>
          </w:p>
        </w:tc>
      </w:tr>
      <w:tr w14:paraId="1602A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CFCC6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37081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氯仿</w:t>
            </w:r>
          </w:p>
        </w:tc>
        <w:tc>
          <w:tcPr>
            <w:tcW w:w="1560" w:type="dxa"/>
            <w:tcBorders>
              <w:tl2br w:val="nil"/>
              <w:tr2bl w:val="nil"/>
            </w:tcBorders>
            <w:vAlign w:val="center"/>
          </w:tcPr>
          <w:p w14:paraId="085681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L</w:t>
            </w:r>
          </w:p>
        </w:tc>
        <w:tc>
          <w:tcPr>
            <w:tcW w:w="1560" w:type="dxa"/>
            <w:tcBorders>
              <w:tl2br w:val="nil"/>
              <w:tr2bl w:val="nil"/>
            </w:tcBorders>
            <w:vAlign w:val="center"/>
          </w:tcPr>
          <w:p w14:paraId="33A367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w:t>
            </w:r>
          </w:p>
        </w:tc>
        <w:tc>
          <w:tcPr>
            <w:tcW w:w="1585" w:type="dxa"/>
            <w:tcBorders>
              <w:tl2br w:val="nil"/>
              <w:tr2bl w:val="nil"/>
            </w:tcBorders>
            <w:vAlign w:val="center"/>
          </w:tcPr>
          <w:p w14:paraId="5D8C5B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u w:val="none" w:color="auto"/>
                <w:lang w:val="en-US" w:eastAsia="zh-CN"/>
              </w:rPr>
              <w:t>达标</w:t>
            </w:r>
          </w:p>
        </w:tc>
      </w:tr>
      <w:tr w14:paraId="40BEB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BF164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9AD77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氯甲烷</w:t>
            </w:r>
          </w:p>
        </w:tc>
        <w:tc>
          <w:tcPr>
            <w:tcW w:w="1560" w:type="dxa"/>
            <w:tcBorders>
              <w:tl2br w:val="nil"/>
              <w:tr2bl w:val="nil"/>
            </w:tcBorders>
            <w:vAlign w:val="center"/>
          </w:tcPr>
          <w:p w14:paraId="5A1184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3.0×10</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L</w:t>
            </w:r>
          </w:p>
        </w:tc>
        <w:tc>
          <w:tcPr>
            <w:tcW w:w="1560" w:type="dxa"/>
            <w:tcBorders>
              <w:tl2br w:val="nil"/>
              <w:tr2bl w:val="nil"/>
            </w:tcBorders>
            <w:vAlign w:val="center"/>
          </w:tcPr>
          <w:p w14:paraId="2A08BD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w:t>
            </w:r>
          </w:p>
        </w:tc>
        <w:tc>
          <w:tcPr>
            <w:tcW w:w="1585" w:type="dxa"/>
            <w:tcBorders>
              <w:tl2br w:val="nil"/>
              <w:tr2bl w:val="nil"/>
            </w:tcBorders>
            <w:vAlign w:val="center"/>
          </w:tcPr>
          <w:p w14:paraId="41FEB1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u w:val="none" w:color="auto"/>
                <w:lang w:val="en-US" w:eastAsia="zh-CN"/>
              </w:rPr>
              <w:t>达标</w:t>
            </w:r>
          </w:p>
        </w:tc>
      </w:tr>
      <w:tr w14:paraId="407A6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7D97E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541324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二氯乙烷</w:t>
            </w:r>
          </w:p>
        </w:tc>
        <w:tc>
          <w:tcPr>
            <w:tcW w:w="1774" w:type="dxa"/>
            <w:tcBorders>
              <w:tl2br w:val="nil"/>
              <w:tr2bl w:val="nil"/>
            </w:tcBorders>
            <w:vAlign w:val="center"/>
          </w:tcPr>
          <w:p w14:paraId="5B3643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1二氯乙烷</w:t>
            </w:r>
          </w:p>
        </w:tc>
        <w:tc>
          <w:tcPr>
            <w:tcW w:w="1560" w:type="dxa"/>
            <w:tcBorders>
              <w:tl2br w:val="nil"/>
              <w:tr2bl w:val="nil"/>
            </w:tcBorders>
            <w:vAlign w:val="center"/>
          </w:tcPr>
          <w:p w14:paraId="3C91D5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vertAlign w:val="baseline"/>
                <w:lang w:val="en-US" w:eastAsia="zh-CN"/>
              </w:rPr>
              <w:t>L</w:t>
            </w:r>
          </w:p>
        </w:tc>
        <w:tc>
          <w:tcPr>
            <w:tcW w:w="1560" w:type="dxa"/>
            <w:tcBorders>
              <w:tl2br w:val="nil"/>
              <w:tr2bl w:val="nil"/>
            </w:tcBorders>
            <w:vAlign w:val="center"/>
          </w:tcPr>
          <w:p w14:paraId="43143ED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9</w:t>
            </w:r>
          </w:p>
        </w:tc>
        <w:tc>
          <w:tcPr>
            <w:tcW w:w="1585" w:type="dxa"/>
            <w:tcBorders>
              <w:tl2br w:val="nil"/>
              <w:tr2bl w:val="nil"/>
            </w:tcBorders>
            <w:vAlign w:val="center"/>
          </w:tcPr>
          <w:p w14:paraId="35DA71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2D4B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FD05C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473583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736A20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2二氯乙烷</w:t>
            </w:r>
          </w:p>
        </w:tc>
        <w:tc>
          <w:tcPr>
            <w:tcW w:w="1560" w:type="dxa"/>
            <w:tcBorders>
              <w:tl2br w:val="nil"/>
              <w:tr2bl w:val="nil"/>
            </w:tcBorders>
            <w:vAlign w:val="center"/>
          </w:tcPr>
          <w:p w14:paraId="10AA6F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1.3×10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7547CD1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w:t>
            </w:r>
          </w:p>
        </w:tc>
        <w:tc>
          <w:tcPr>
            <w:tcW w:w="1585" w:type="dxa"/>
            <w:tcBorders>
              <w:tl2br w:val="nil"/>
              <w:tr2bl w:val="nil"/>
            </w:tcBorders>
            <w:vAlign w:val="center"/>
          </w:tcPr>
          <w:p w14:paraId="0A2245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F7BE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9E611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577784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二氯乙烯</w:t>
            </w:r>
          </w:p>
        </w:tc>
        <w:tc>
          <w:tcPr>
            <w:tcW w:w="1774" w:type="dxa"/>
            <w:tcBorders>
              <w:tl2br w:val="nil"/>
              <w:tr2bl w:val="nil"/>
            </w:tcBorders>
            <w:vAlign w:val="center"/>
          </w:tcPr>
          <w:p w14:paraId="368322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1-二氯乙烯</w:t>
            </w:r>
          </w:p>
        </w:tc>
        <w:tc>
          <w:tcPr>
            <w:tcW w:w="1560" w:type="dxa"/>
            <w:tcBorders>
              <w:tl2br w:val="nil"/>
              <w:tr2bl w:val="nil"/>
            </w:tcBorders>
            <w:vAlign w:val="center"/>
          </w:tcPr>
          <w:p w14:paraId="768184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0.8×10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vertAlign w:val="baseline"/>
                <w:lang w:val="en-US" w:eastAsia="zh-CN"/>
              </w:rPr>
              <w:t>L</w:t>
            </w:r>
          </w:p>
        </w:tc>
        <w:tc>
          <w:tcPr>
            <w:tcW w:w="1560" w:type="dxa"/>
            <w:tcBorders>
              <w:tl2br w:val="nil"/>
              <w:tr2bl w:val="nil"/>
            </w:tcBorders>
            <w:vAlign w:val="center"/>
          </w:tcPr>
          <w:p w14:paraId="38A8344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66</w:t>
            </w:r>
          </w:p>
        </w:tc>
        <w:tc>
          <w:tcPr>
            <w:tcW w:w="1585" w:type="dxa"/>
            <w:tcBorders>
              <w:tl2br w:val="nil"/>
              <w:tr2bl w:val="nil"/>
            </w:tcBorders>
            <w:vAlign w:val="center"/>
          </w:tcPr>
          <w:p w14:paraId="683B48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604D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35238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6A6BB7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3AB0BD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顺-1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2-二氯乙烯</w:t>
            </w:r>
          </w:p>
        </w:tc>
        <w:tc>
          <w:tcPr>
            <w:tcW w:w="1560" w:type="dxa"/>
            <w:tcBorders>
              <w:tl2br w:val="nil"/>
              <w:tr2bl w:val="nil"/>
            </w:tcBorders>
            <w:vAlign w:val="center"/>
          </w:tcPr>
          <w:p w14:paraId="57AD95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6E83DBE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596</w:t>
            </w:r>
          </w:p>
        </w:tc>
        <w:tc>
          <w:tcPr>
            <w:tcW w:w="1585" w:type="dxa"/>
            <w:tcBorders>
              <w:tl2br w:val="nil"/>
              <w:tr2bl w:val="nil"/>
            </w:tcBorders>
            <w:vAlign w:val="center"/>
          </w:tcPr>
          <w:p w14:paraId="0B58DB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D381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E8EE5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427453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05D11D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反-1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2-二氯乙烯</w:t>
            </w:r>
          </w:p>
        </w:tc>
        <w:tc>
          <w:tcPr>
            <w:tcW w:w="1560" w:type="dxa"/>
            <w:tcBorders>
              <w:tl2br w:val="nil"/>
              <w:tr2bl w:val="nil"/>
            </w:tcBorders>
            <w:vAlign w:val="center"/>
          </w:tcPr>
          <w:p w14:paraId="441189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2A7009C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54</w:t>
            </w:r>
          </w:p>
        </w:tc>
        <w:tc>
          <w:tcPr>
            <w:tcW w:w="1585" w:type="dxa"/>
            <w:tcBorders>
              <w:tl2br w:val="nil"/>
              <w:tr2bl w:val="nil"/>
            </w:tcBorders>
            <w:vAlign w:val="center"/>
          </w:tcPr>
          <w:p w14:paraId="3B05E3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046B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0880E8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52CD9D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二氯甲烷</w:t>
            </w:r>
          </w:p>
        </w:tc>
        <w:tc>
          <w:tcPr>
            <w:tcW w:w="1560" w:type="dxa"/>
            <w:tcBorders>
              <w:tl2br w:val="nil"/>
              <w:tr2bl w:val="nil"/>
            </w:tcBorders>
            <w:vAlign w:val="center"/>
          </w:tcPr>
          <w:p w14:paraId="3DFB97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38BA882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616</w:t>
            </w:r>
          </w:p>
        </w:tc>
        <w:tc>
          <w:tcPr>
            <w:tcW w:w="1585" w:type="dxa"/>
            <w:tcBorders>
              <w:tl2br w:val="nil"/>
              <w:tr2bl w:val="nil"/>
            </w:tcBorders>
            <w:vAlign w:val="center"/>
          </w:tcPr>
          <w:p w14:paraId="6DC382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达标</w:t>
            </w:r>
          </w:p>
        </w:tc>
      </w:tr>
      <w:tr w14:paraId="3B944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39074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FBF16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2-二氯丙烷</w:t>
            </w:r>
          </w:p>
        </w:tc>
        <w:tc>
          <w:tcPr>
            <w:tcW w:w="1560" w:type="dxa"/>
            <w:tcBorders>
              <w:tl2br w:val="nil"/>
              <w:tr2bl w:val="nil"/>
            </w:tcBorders>
            <w:vAlign w:val="center"/>
          </w:tcPr>
          <w:p w14:paraId="4D3AB4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5AAFEA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w:t>
            </w:r>
          </w:p>
        </w:tc>
        <w:tc>
          <w:tcPr>
            <w:tcW w:w="1585" w:type="dxa"/>
            <w:tcBorders>
              <w:tl2br w:val="nil"/>
              <w:tr2bl w:val="nil"/>
            </w:tcBorders>
            <w:vAlign w:val="center"/>
          </w:tcPr>
          <w:p w14:paraId="336327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0F27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35E8B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5842B3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四氯乙烷</w:t>
            </w:r>
          </w:p>
        </w:tc>
        <w:tc>
          <w:tcPr>
            <w:tcW w:w="1774" w:type="dxa"/>
            <w:tcBorders>
              <w:tl2br w:val="nil"/>
              <w:tr2bl w:val="nil"/>
            </w:tcBorders>
            <w:vAlign w:val="center"/>
          </w:tcPr>
          <w:p w14:paraId="405B72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2-四氯乙烷</w:t>
            </w:r>
          </w:p>
        </w:tc>
        <w:tc>
          <w:tcPr>
            <w:tcW w:w="1560" w:type="dxa"/>
            <w:tcBorders>
              <w:tl2br w:val="nil"/>
              <w:tr2bl w:val="nil"/>
            </w:tcBorders>
            <w:vAlign w:val="center"/>
          </w:tcPr>
          <w:p w14:paraId="38B5B2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214418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10</w:t>
            </w:r>
          </w:p>
        </w:tc>
        <w:tc>
          <w:tcPr>
            <w:tcW w:w="1585" w:type="dxa"/>
            <w:tcBorders>
              <w:tl2br w:val="nil"/>
              <w:tr2bl w:val="nil"/>
            </w:tcBorders>
            <w:vAlign w:val="center"/>
          </w:tcPr>
          <w:p w14:paraId="21E4CD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BFD3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88C5B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551130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01CA75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2-四氯乙烷</w:t>
            </w:r>
          </w:p>
        </w:tc>
        <w:tc>
          <w:tcPr>
            <w:tcW w:w="1560" w:type="dxa"/>
            <w:tcBorders>
              <w:tl2br w:val="nil"/>
              <w:tr2bl w:val="nil"/>
            </w:tcBorders>
            <w:vAlign w:val="center"/>
          </w:tcPr>
          <w:p w14:paraId="55201C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BDA847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6.8</w:t>
            </w:r>
          </w:p>
        </w:tc>
        <w:tc>
          <w:tcPr>
            <w:tcW w:w="1585" w:type="dxa"/>
            <w:tcBorders>
              <w:tl2br w:val="nil"/>
              <w:tr2bl w:val="nil"/>
            </w:tcBorders>
            <w:vAlign w:val="center"/>
          </w:tcPr>
          <w:p w14:paraId="64EAC7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960B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0FD37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51D518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四氯乙烯</w:t>
            </w:r>
          </w:p>
        </w:tc>
        <w:tc>
          <w:tcPr>
            <w:tcW w:w="1560" w:type="dxa"/>
            <w:tcBorders>
              <w:tl2br w:val="nil"/>
              <w:tr2bl w:val="nil"/>
            </w:tcBorders>
            <w:vAlign w:val="center"/>
          </w:tcPr>
          <w:p w14:paraId="1078C9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0.8×10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4E60667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53</w:t>
            </w:r>
          </w:p>
        </w:tc>
        <w:tc>
          <w:tcPr>
            <w:tcW w:w="1585" w:type="dxa"/>
            <w:tcBorders>
              <w:tl2br w:val="nil"/>
              <w:tr2bl w:val="nil"/>
            </w:tcBorders>
            <w:vAlign w:val="center"/>
          </w:tcPr>
          <w:p w14:paraId="501D70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D8F1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0AC7A0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5C96A5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三氯乙烷</w:t>
            </w:r>
          </w:p>
        </w:tc>
        <w:tc>
          <w:tcPr>
            <w:tcW w:w="1774" w:type="dxa"/>
            <w:tcBorders>
              <w:tl2br w:val="nil"/>
              <w:tr2bl w:val="nil"/>
            </w:tcBorders>
            <w:vAlign w:val="center"/>
          </w:tcPr>
          <w:p w14:paraId="6E84B2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1-三氯乙烷</w:t>
            </w:r>
          </w:p>
        </w:tc>
        <w:tc>
          <w:tcPr>
            <w:tcW w:w="1560" w:type="dxa"/>
            <w:tcBorders>
              <w:tl2br w:val="nil"/>
              <w:tr2bl w:val="nil"/>
            </w:tcBorders>
            <w:vAlign w:val="center"/>
          </w:tcPr>
          <w:p w14:paraId="15538E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55F25D9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840</w:t>
            </w:r>
          </w:p>
        </w:tc>
        <w:tc>
          <w:tcPr>
            <w:tcW w:w="1585" w:type="dxa"/>
            <w:tcBorders>
              <w:tl2br w:val="nil"/>
              <w:tr2bl w:val="nil"/>
            </w:tcBorders>
            <w:vAlign w:val="center"/>
          </w:tcPr>
          <w:p w14:paraId="307FDC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44D3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75137E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5FD97C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0584F1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2-三氯乙烷</w:t>
            </w:r>
          </w:p>
        </w:tc>
        <w:tc>
          <w:tcPr>
            <w:tcW w:w="1560" w:type="dxa"/>
            <w:tcBorders>
              <w:tl2br w:val="nil"/>
              <w:tr2bl w:val="nil"/>
            </w:tcBorders>
            <w:vAlign w:val="center"/>
          </w:tcPr>
          <w:p w14:paraId="3C179D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1.4×10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05C436E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2.8</w:t>
            </w:r>
          </w:p>
        </w:tc>
        <w:tc>
          <w:tcPr>
            <w:tcW w:w="1585" w:type="dxa"/>
            <w:tcBorders>
              <w:tl2br w:val="nil"/>
              <w:tr2bl w:val="nil"/>
            </w:tcBorders>
            <w:vAlign w:val="center"/>
          </w:tcPr>
          <w:p w14:paraId="7841F7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2800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EE653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7CC63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三氯乙烯</w:t>
            </w:r>
          </w:p>
        </w:tc>
        <w:tc>
          <w:tcPr>
            <w:tcW w:w="1560" w:type="dxa"/>
            <w:tcBorders>
              <w:tl2br w:val="nil"/>
              <w:tr2bl w:val="nil"/>
            </w:tcBorders>
            <w:vAlign w:val="center"/>
          </w:tcPr>
          <w:p w14:paraId="5CAB4D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0.9×10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21C8D95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2.8</w:t>
            </w:r>
          </w:p>
        </w:tc>
        <w:tc>
          <w:tcPr>
            <w:tcW w:w="1585" w:type="dxa"/>
            <w:tcBorders>
              <w:tl2br w:val="nil"/>
              <w:tr2bl w:val="nil"/>
            </w:tcBorders>
            <w:vAlign w:val="center"/>
          </w:tcPr>
          <w:p w14:paraId="762D75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7CFF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3E116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6412C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3-三氯丙烷</w:t>
            </w:r>
          </w:p>
        </w:tc>
        <w:tc>
          <w:tcPr>
            <w:tcW w:w="1560" w:type="dxa"/>
            <w:tcBorders>
              <w:tl2br w:val="nil"/>
              <w:tr2bl w:val="nil"/>
            </w:tcBorders>
            <w:vAlign w:val="center"/>
          </w:tcPr>
          <w:p w14:paraId="6EA528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2469094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1585" w:type="dxa"/>
            <w:tcBorders>
              <w:tl2br w:val="nil"/>
              <w:tr2bl w:val="nil"/>
            </w:tcBorders>
            <w:vAlign w:val="center"/>
          </w:tcPr>
          <w:p w14:paraId="2C8A5B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7423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60A7F7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5C06C9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氯乙烯</w:t>
            </w:r>
          </w:p>
        </w:tc>
        <w:tc>
          <w:tcPr>
            <w:tcW w:w="1560" w:type="dxa"/>
            <w:tcBorders>
              <w:tl2br w:val="nil"/>
              <w:tr2bl w:val="nil"/>
            </w:tcBorders>
            <w:vAlign w:val="center"/>
          </w:tcPr>
          <w:p w14:paraId="179CAC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3807BD8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0.43</w:t>
            </w:r>
          </w:p>
        </w:tc>
        <w:tc>
          <w:tcPr>
            <w:tcW w:w="1585" w:type="dxa"/>
            <w:tcBorders>
              <w:tl2br w:val="nil"/>
              <w:tr2bl w:val="nil"/>
            </w:tcBorders>
            <w:vAlign w:val="center"/>
          </w:tcPr>
          <w:p w14:paraId="72D695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129E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E3D50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08283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w:t>
            </w:r>
          </w:p>
        </w:tc>
        <w:tc>
          <w:tcPr>
            <w:tcW w:w="1560" w:type="dxa"/>
            <w:tcBorders>
              <w:tl2br w:val="nil"/>
              <w:tr2bl w:val="nil"/>
            </w:tcBorders>
            <w:vAlign w:val="center"/>
          </w:tcPr>
          <w:p w14:paraId="28F651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845B20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4</w:t>
            </w:r>
          </w:p>
        </w:tc>
        <w:tc>
          <w:tcPr>
            <w:tcW w:w="1585" w:type="dxa"/>
            <w:tcBorders>
              <w:tl2br w:val="nil"/>
              <w:tr2bl w:val="nil"/>
            </w:tcBorders>
            <w:vAlign w:val="center"/>
          </w:tcPr>
          <w:p w14:paraId="15B6AD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9400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22C71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0B508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氯苯</w:t>
            </w:r>
          </w:p>
        </w:tc>
        <w:tc>
          <w:tcPr>
            <w:tcW w:w="1560" w:type="dxa"/>
            <w:tcBorders>
              <w:tl2br w:val="nil"/>
              <w:tr2bl w:val="nil"/>
            </w:tcBorders>
            <w:vAlign w:val="center"/>
          </w:tcPr>
          <w:p w14:paraId="2BA4E6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454E610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270</w:t>
            </w:r>
          </w:p>
        </w:tc>
        <w:tc>
          <w:tcPr>
            <w:tcW w:w="1585" w:type="dxa"/>
            <w:tcBorders>
              <w:tl2br w:val="nil"/>
              <w:tr2bl w:val="nil"/>
            </w:tcBorders>
            <w:vAlign w:val="center"/>
          </w:tcPr>
          <w:p w14:paraId="5613F2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00D7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95BD3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4D0866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二氯苯</w:t>
            </w:r>
          </w:p>
        </w:tc>
        <w:tc>
          <w:tcPr>
            <w:tcW w:w="1774" w:type="dxa"/>
            <w:tcBorders>
              <w:tl2br w:val="nil"/>
              <w:tr2bl w:val="nil"/>
            </w:tcBorders>
            <w:vAlign w:val="center"/>
          </w:tcPr>
          <w:p w14:paraId="538D5F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2-二氯苯</w:t>
            </w:r>
          </w:p>
        </w:tc>
        <w:tc>
          <w:tcPr>
            <w:tcW w:w="1560" w:type="dxa"/>
            <w:tcBorders>
              <w:tl2br w:val="nil"/>
              <w:tr2bl w:val="nil"/>
            </w:tcBorders>
            <w:vAlign w:val="center"/>
          </w:tcPr>
          <w:p w14:paraId="6F9EF8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D3D1CC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560</w:t>
            </w:r>
          </w:p>
        </w:tc>
        <w:tc>
          <w:tcPr>
            <w:tcW w:w="1585" w:type="dxa"/>
            <w:tcBorders>
              <w:tl2br w:val="nil"/>
              <w:tr2bl w:val="nil"/>
            </w:tcBorders>
            <w:vAlign w:val="center"/>
          </w:tcPr>
          <w:p w14:paraId="1A892A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0F81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0B682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70CFD5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039882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4-二氯苯</w:t>
            </w:r>
          </w:p>
        </w:tc>
        <w:tc>
          <w:tcPr>
            <w:tcW w:w="1560" w:type="dxa"/>
            <w:tcBorders>
              <w:tl2br w:val="nil"/>
              <w:tr2bl w:val="nil"/>
            </w:tcBorders>
            <w:vAlign w:val="center"/>
          </w:tcPr>
          <w:p w14:paraId="35FF67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73C6856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20</w:t>
            </w:r>
          </w:p>
        </w:tc>
        <w:tc>
          <w:tcPr>
            <w:tcW w:w="1585" w:type="dxa"/>
            <w:tcBorders>
              <w:tl2br w:val="nil"/>
              <w:tr2bl w:val="nil"/>
            </w:tcBorders>
            <w:vAlign w:val="center"/>
          </w:tcPr>
          <w:p w14:paraId="42F80B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E266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8B508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540CD8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乙苯</w:t>
            </w:r>
          </w:p>
        </w:tc>
        <w:tc>
          <w:tcPr>
            <w:tcW w:w="1560" w:type="dxa"/>
            <w:tcBorders>
              <w:tl2br w:val="nil"/>
              <w:tr2bl w:val="nil"/>
            </w:tcBorders>
            <w:vAlign w:val="center"/>
          </w:tcPr>
          <w:p w14:paraId="6462A1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38B055E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28</w:t>
            </w:r>
          </w:p>
        </w:tc>
        <w:tc>
          <w:tcPr>
            <w:tcW w:w="1585" w:type="dxa"/>
            <w:tcBorders>
              <w:tl2br w:val="nil"/>
              <w:tr2bl w:val="nil"/>
            </w:tcBorders>
            <w:vAlign w:val="center"/>
          </w:tcPr>
          <w:p w14:paraId="19773E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3839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E27AB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E433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苯乙烯</w:t>
            </w:r>
          </w:p>
        </w:tc>
        <w:tc>
          <w:tcPr>
            <w:tcW w:w="1560" w:type="dxa"/>
            <w:tcBorders>
              <w:tl2br w:val="nil"/>
              <w:tr2bl w:val="nil"/>
            </w:tcBorders>
            <w:vAlign w:val="center"/>
          </w:tcPr>
          <w:p w14:paraId="57171D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1E36D19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1290</w:t>
            </w:r>
          </w:p>
        </w:tc>
        <w:tc>
          <w:tcPr>
            <w:tcW w:w="1585" w:type="dxa"/>
            <w:tcBorders>
              <w:tl2br w:val="nil"/>
              <w:tr2bl w:val="nil"/>
            </w:tcBorders>
            <w:vAlign w:val="center"/>
          </w:tcPr>
          <w:p w14:paraId="7B2B9B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0D3E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69E1F3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414A5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甲苯</w:t>
            </w:r>
          </w:p>
        </w:tc>
        <w:tc>
          <w:tcPr>
            <w:tcW w:w="1560" w:type="dxa"/>
            <w:tcBorders>
              <w:tl2br w:val="nil"/>
              <w:tr2bl w:val="nil"/>
            </w:tcBorders>
            <w:vAlign w:val="center"/>
          </w:tcPr>
          <w:p w14:paraId="47AF10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32085E8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1200</w:t>
            </w:r>
          </w:p>
        </w:tc>
        <w:tc>
          <w:tcPr>
            <w:tcW w:w="1585" w:type="dxa"/>
            <w:tcBorders>
              <w:tl2br w:val="nil"/>
              <w:tr2bl w:val="nil"/>
            </w:tcBorders>
            <w:vAlign w:val="center"/>
          </w:tcPr>
          <w:p w14:paraId="2DCE91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35E1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A89E3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restart"/>
            <w:tcBorders>
              <w:tl2br w:val="nil"/>
              <w:tr2bl w:val="nil"/>
            </w:tcBorders>
            <w:vAlign w:val="center"/>
          </w:tcPr>
          <w:p w14:paraId="1A5BCE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二甲苯</w:t>
            </w:r>
          </w:p>
        </w:tc>
        <w:tc>
          <w:tcPr>
            <w:tcW w:w="1774" w:type="dxa"/>
            <w:tcBorders>
              <w:tl2br w:val="nil"/>
              <w:tr2bl w:val="nil"/>
            </w:tcBorders>
            <w:vAlign w:val="center"/>
          </w:tcPr>
          <w:p w14:paraId="07F853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间</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对二甲苯</w:t>
            </w:r>
          </w:p>
        </w:tc>
        <w:tc>
          <w:tcPr>
            <w:tcW w:w="1560" w:type="dxa"/>
            <w:tcBorders>
              <w:tl2br w:val="nil"/>
              <w:tr2bl w:val="nil"/>
            </w:tcBorders>
            <w:vAlign w:val="center"/>
          </w:tcPr>
          <w:p w14:paraId="1FD2CE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3.6×10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4F8DA3F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570</w:t>
            </w:r>
          </w:p>
        </w:tc>
        <w:tc>
          <w:tcPr>
            <w:tcW w:w="1585" w:type="dxa"/>
            <w:tcBorders>
              <w:tl2br w:val="nil"/>
              <w:tr2bl w:val="nil"/>
            </w:tcBorders>
            <w:vAlign w:val="center"/>
          </w:tcPr>
          <w:p w14:paraId="06D5AE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29AA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A9C30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712" w:type="dxa"/>
            <w:vMerge w:val="continue"/>
            <w:tcBorders>
              <w:tl2br w:val="nil"/>
              <w:tr2bl w:val="nil"/>
            </w:tcBorders>
            <w:vAlign w:val="center"/>
          </w:tcPr>
          <w:p w14:paraId="325068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774" w:type="dxa"/>
            <w:tcBorders>
              <w:tl2br w:val="nil"/>
              <w:tr2bl w:val="nil"/>
            </w:tcBorders>
            <w:vAlign w:val="center"/>
          </w:tcPr>
          <w:p w14:paraId="3C1090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邻二甲苯</w:t>
            </w:r>
          </w:p>
        </w:tc>
        <w:tc>
          <w:tcPr>
            <w:tcW w:w="1560" w:type="dxa"/>
            <w:tcBorders>
              <w:tl2br w:val="nil"/>
              <w:tr2bl w:val="nil"/>
            </w:tcBorders>
            <w:vAlign w:val="center"/>
          </w:tcPr>
          <w:p w14:paraId="42CAA9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1.3×10</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L</w:t>
            </w:r>
          </w:p>
        </w:tc>
        <w:tc>
          <w:tcPr>
            <w:tcW w:w="1560" w:type="dxa"/>
            <w:tcBorders>
              <w:tl2br w:val="nil"/>
              <w:tr2bl w:val="nil"/>
            </w:tcBorders>
            <w:vAlign w:val="center"/>
          </w:tcPr>
          <w:p w14:paraId="7EFA264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640</w:t>
            </w:r>
          </w:p>
        </w:tc>
        <w:tc>
          <w:tcPr>
            <w:tcW w:w="1585" w:type="dxa"/>
            <w:tcBorders>
              <w:tl2br w:val="nil"/>
              <w:tr2bl w:val="nil"/>
            </w:tcBorders>
            <w:vAlign w:val="center"/>
          </w:tcPr>
          <w:p w14:paraId="04B1F7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F207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66960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252C3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硝基苯</w:t>
            </w:r>
          </w:p>
        </w:tc>
        <w:tc>
          <w:tcPr>
            <w:tcW w:w="1560" w:type="dxa"/>
            <w:tcBorders>
              <w:tl2br w:val="nil"/>
              <w:tr2bl w:val="nil"/>
            </w:tcBorders>
            <w:vAlign w:val="center"/>
          </w:tcPr>
          <w:p w14:paraId="47AAAB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0.09L</w:t>
            </w:r>
          </w:p>
        </w:tc>
        <w:tc>
          <w:tcPr>
            <w:tcW w:w="1560" w:type="dxa"/>
            <w:tcBorders>
              <w:tl2br w:val="nil"/>
              <w:tr2bl w:val="nil"/>
            </w:tcBorders>
            <w:vAlign w:val="center"/>
          </w:tcPr>
          <w:p w14:paraId="01CD23E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76</w:t>
            </w:r>
          </w:p>
        </w:tc>
        <w:tc>
          <w:tcPr>
            <w:tcW w:w="1585" w:type="dxa"/>
            <w:tcBorders>
              <w:tl2br w:val="nil"/>
              <w:tr2bl w:val="nil"/>
            </w:tcBorders>
            <w:vAlign w:val="center"/>
          </w:tcPr>
          <w:p w14:paraId="4B914E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2629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79C468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785DE3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苯胺</w:t>
            </w:r>
          </w:p>
        </w:tc>
        <w:tc>
          <w:tcPr>
            <w:tcW w:w="1560" w:type="dxa"/>
            <w:tcBorders>
              <w:tl2br w:val="nil"/>
              <w:tr2bl w:val="nil"/>
            </w:tcBorders>
            <w:vAlign w:val="center"/>
          </w:tcPr>
          <w:p w14:paraId="23A9A5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0.66L</w:t>
            </w:r>
          </w:p>
        </w:tc>
        <w:tc>
          <w:tcPr>
            <w:tcW w:w="1560" w:type="dxa"/>
            <w:tcBorders>
              <w:tl2br w:val="nil"/>
              <w:tr2bl w:val="nil"/>
            </w:tcBorders>
            <w:vAlign w:val="center"/>
          </w:tcPr>
          <w:p w14:paraId="1420C12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260</w:t>
            </w:r>
          </w:p>
        </w:tc>
        <w:tc>
          <w:tcPr>
            <w:tcW w:w="1585" w:type="dxa"/>
            <w:tcBorders>
              <w:tl2br w:val="nil"/>
              <w:tr2bl w:val="nil"/>
            </w:tcBorders>
            <w:vAlign w:val="center"/>
          </w:tcPr>
          <w:p w14:paraId="1E0CB5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31FF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DAF80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1E1E8C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2-氯酚</w:t>
            </w:r>
          </w:p>
        </w:tc>
        <w:tc>
          <w:tcPr>
            <w:tcW w:w="1560" w:type="dxa"/>
            <w:tcBorders>
              <w:tl2br w:val="nil"/>
              <w:tr2bl w:val="nil"/>
            </w:tcBorders>
            <w:vAlign w:val="center"/>
          </w:tcPr>
          <w:p w14:paraId="6316B6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0.06L</w:t>
            </w:r>
          </w:p>
        </w:tc>
        <w:tc>
          <w:tcPr>
            <w:tcW w:w="1560" w:type="dxa"/>
            <w:tcBorders>
              <w:tl2br w:val="nil"/>
              <w:tr2bl w:val="nil"/>
            </w:tcBorders>
            <w:vAlign w:val="center"/>
          </w:tcPr>
          <w:p w14:paraId="4E7CBC4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2256</w:t>
            </w:r>
          </w:p>
        </w:tc>
        <w:tc>
          <w:tcPr>
            <w:tcW w:w="1585" w:type="dxa"/>
            <w:tcBorders>
              <w:tl2br w:val="nil"/>
              <w:tr2bl w:val="nil"/>
            </w:tcBorders>
            <w:vAlign w:val="center"/>
          </w:tcPr>
          <w:p w14:paraId="29ADD0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340B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BDD6B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00F09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蒽</w:t>
            </w:r>
          </w:p>
        </w:tc>
        <w:tc>
          <w:tcPr>
            <w:tcW w:w="1560" w:type="dxa"/>
            <w:tcBorders>
              <w:tl2br w:val="nil"/>
              <w:tr2bl w:val="nil"/>
            </w:tcBorders>
            <w:vAlign w:val="center"/>
          </w:tcPr>
          <w:p w14:paraId="1F684E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08D35F3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1585" w:type="dxa"/>
            <w:tcBorders>
              <w:tl2br w:val="nil"/>
              <w:tr2bl w:val="nil"/>
            </w:tcBorders>
            <w:vAlign w:val="center"/>
          </w:tcPr>
          <w:p w14:paraId="1427AB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F1E3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19482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084284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芘</w:t>
            </w:r>
          </w:p>
        </w:tc>
        <w:tc>
          <w:tcPr>
            <w:tcW w:w="1560" w:type="dxa"/>
            <w:tcBorders>
              <w:tl2br w:val="nil"/>
              <w:tr2bl w:val="nil"/>
            </w:tcBorders>
            <w:vAlign w:val="center"/>
          </w:tcPr>
          <w:p w14:paraId="3ABA62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5E82174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1585" w:type="dxa"/>
            <w:tcBorders>
              <w:tl2br w:val="nil"/>
              <w:tr2bl w:val="nil"/>
            </w:tcBorders>
            <w:vAlign w:val="center"/>
          </w:tcPr>
          <w:p w14:paraId="661C87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826F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67CCB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87ACB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b</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荧蒽</w:t>
            </w:r>
          </w:p>
        </w:tc>
        <w:tc>
          <w:tcPr>
            <w:tcW w:w="1560" w:type="dxa"/>
            <w:tcBorders>
              <w:tl2br w:val="nil"/>
              <w:tr2bl w:val="nil"/>
            </w:tcBorders>
            <w:vAlign w:val="center"/>
          </w:tcPr>
          <w:p w14:paraId="57C9FF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0.2L</w:t>
            </w:r>
          </w:p>
        </w:tc>
        <w:tc>
          <w:tcPr>
            <w:tcW w:w="1560" w:type="dxa"/>
            <w:tcBorders>
              <w:tl2br w:val="nil"/>
              <w:tr2bl w:val="nil"/>
            </w:tcBorders>
            <w:vAlign w:val="center"/>
          </w:tcPr>
          <w:p w14:paraId="2F9BD58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1585" w:type="dxa"/>
            <w:tcBorders>
              <w:tl2br w:val="nil"/>
              <w:tr2bl w:val="nil"/>
            </w:tcBorders>
            <w:vAlign w:val="center"/>
          </w:tcPr>
          <w:p w14:paraId="57FC55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C199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16B8E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75A3D0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k</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荧蒽</w:t>
            </w:r>
          </w:p>
        </w:tc>
        <w:tc>
          <w:tcPr>
            <w:tcW w:w="1560" w:type="dxa"/>
            <w:tcBorders>
              <w:tl2br w:val="nil"/>
              <w:tr2bl w:val="nil"/>
            </w:tcBorders>
            <w:vAlign w:val="center"/>
          </w:tcPr>
          <w:p w14:paraId="1886C1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0C193F6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151</w:t>
            </w:r>
          </w:p>
        </w:tc>
        <w:tc>
          <w:tcPr>
            <w:tcW w:w="1585" w:type="dxa"/>
            <w:tcBorders>
              <w:tl2br w:val="nil"/>
              <w:tr2bl w:val="nil"/>
            </w:tcBorders>
            <w:vAlign w:val="center"/>
          </w:tcPr>
          <w:p w14:paraId="3F8D53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4623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FCF15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06BE71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䓛</w:t>
            </w:r>
          </w:p>
        </w:tc>
        <w:tc>
          <w:tcPr>
            <w:tcW w:w="1560" w:type="dxa"/>
            <w:tcBorders>
              <w:tl2br w:val="nil"/>
              <w:tr2bl w:val="nil"/>
            </w:tcBorders>
            <w:vAlign w:val="center"/>
          </w:tcPr>
          <w:p w14:paraId="13EC04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5F6F7A9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1293</w:t>
            </w:r>
          </w:p>
        </w:tc>
        <w:tc>
          <w:tcPr>
            <w:tcW w:w="1585" w:type="dxa"/>
            <w:tcBorders>
              <w:tl2br w:val="nil"/>
              <w:tr2bl w:val="nil"/>
            </w:tcBorders>
            <w:vAlign w:val="center"/>
          </w:tcPr>
          <w:p w14:paraId="372392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0FB6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EEB63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66009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二苯并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h</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蒽</w:t>
            </w:r>
          </w:p>
        </w:tc>
        <w:tc>
          <w:tcPr>
            <w:tcW w:w="1560" w:type="dxa"/>
            <w:tcBorders>
              <w:tl2br w:val="nil"/>
              <w:tr2bl w:val="nil"/>
            </w:tcBorders>
            <w:vAlign w:val="center"/>
          </w:tcPr>
          <w:p w14:paraId="3789C6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6CDC560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1585" w:type="dxa"/>
            <w:tcBorders>
              <w:tl2br w:val="nil"/>
              <w:tr2bl w:val="nil"/>
            </w:tcBorders>
            <w:vAlign w:val="center"/>
          </w:tcPr>
          <w:p w14:paraId="26EEC1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9A09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34348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1610EB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茚并</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3-cd</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芘</w:t>
            </w:r>
          </w:p>
        </w:tc>
        <w:tc>
          <w:tcPr>
            <w:tcW w:w="1560" w:type="dxa"/>
            <w:tcBorders>
              <w:tl2br w:val="nil"/>
              <w:tr2bl w:val="nil"/>
            </w:tcBorders>
            <w:vAlign w:val="center"/>
          </w:tcPr>
          <w:p w14:paraId="6D3B43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0.1L</w:t>
            </w:r>
          </w:p>
        </w:tc>
        <w:tc>
          <w:tcPr>
            <w:tcW w:w="1560" w:type="dxa"/>
            <w:tcBorders>
              <w:tl2br w:val="nil"/>
              <w:tr2bl w:val="nil"/>
            </w:tcBorders>
            <w:vAlign w:val="center"/>
          </w:tcPr>
          <w:p w14:paraId="755FC65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1585" w:type="dxa"/>
            <w:tcBorders>
              <w:tl2br w:val="nil"/>
              <w:tr2bl w:val="nil"/>
            </w:tcBorders>
            <w:vAlign w:val="center"/>
          </w:tcPr>
          <w:p w14:paraId="0B3BC2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2FA4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029E45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805F6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萘</w:t>
            </w:r>
          </w:p>
        </w:tc>
        <w:tc>
          <w:tcPr>
            <w:tcW w:w="1560" w:type="dxa"/>
            <w:tcBorders>
              <w:tl2br w:val="nil"/>
              <w:tr2bl w:val="nil"/>
            </w:tcBorders>
            <w:vAlign w:val="center"/>
          </w:tcPr>
          <w:p w14:paraId="426689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0.09L</w:t>
            </w:r>
          </w:p>
        </w:tc>
        <w:tc>
          <w:tcPr>
            <w:tcW w:w="1560" w:type="dxa"/>
            <w:tcBorders>
              <w:tl2br w:val="nil"/>
              <w:tr2bl w:val="nil"/>
            </w:tcBorders>
            <w:vAlign w:val="center"/>
          </w:tcPr>
          <w:p w14:paraId="7DA694D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70</w:t>
            </w:r>
          </w:p>
        </w:tc>
        <w:tc>
          <w:tcPr>
            <w:tcW w:w="1585" w:type="dxa"/>
            <w:tcBorders>
              <w:tl2br w:val="nil"/>
              <w:tr2bl w:val="nil"/>
            </w:tcBorders>
            <w:vAlign w:val="center"/>
          </w:tcPr>
          <w:p w14:paraId="0F09AE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023F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restart"/>
            <w:tcBorders>
              <w:tl2br w:val="nil"/>
              <w:tr2bl w:val="nil"/>
            </w:tcBorders>
            <w:vAlign w:val="center"/>
          </w:tcPr>
          <w:p w14:paraId="541B99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T2</w:t>
            </w:r>
            <w:r>
              <w:rPr>
                <w:rFonts w:hint="default" w:ascii="Times New Roman" w:hAnsi="Times New Roman" w:eastAsia="宋体" w:cs="Times New Roman"/>
                <w:color w:val="auto"/>
                <w:kern w:val="2"/>
                <w:sz w:val="21"/>
                <w:szCs w:val="21"/>
                <w:u w:val="none" w:color="auto"/>
                <w:lang w:val="en-US" w:eastAsia="zh-CN" w:bidi="ar-SA"/>
              </w:rPr>
              <w:t>大坝下游农田</w:t>
            </w:r>
          </w:p>
        </w:tc>
        <w:tc>
          <w:tcPr>
            <w:tcW w:w="2486" w:type="dxa"/>
            <w:gridSpan w:val="2"/>
            <w:tcBorders>
              <w:tl2br w:val="nil"/>
              <w:tr2bl w:val="nil"/>
            </w:tcBorders>
            <w:vAlign w:val="center"/>
          </w:tcPr>
          <w:p w14:paraId="35FFF9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560" w:type="dxa"/>
            <w:tcBorders>
              <w:tl2br w:val="nil"/>
              <w:tr2bl w:val="nil"/>
            </w:tcBorders>
            <w:vAlign w:val="center"/>
          </w:tcPr>
          <w:p w14:paraId="6C0026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7.12</w:t>
            </w:r>
          </w:p>
        </w:tc>
        <w:tc>
          <w:tcPr>
            <w:tcW w:w="1560" w:type="dxa"/>
            <w:tcBorders>
              <w:tl2br w:val="nil"/>
              <w:tr2bl w:val="nil"/>
            </w:tcBorders>
            <w:vAlign w:val="center"/>
          </w:tcPr>
          <w:p w14:paraId="446E0C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585" w:type="dxa"/>
            <w:tcBorders>
              <w:tl2br w:val="nil"/>
              <w:tr2bl w:val="nil"/>
            </w:tcBorders>
            <w:vAlign w:val="center"/>
          </w:tcPr>
          <w:p w14:paraId="3ADDAF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19DD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34FA6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F6FA2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镉</w:t>
            </w:r>
          </w:p>
        </w:tc>
        <w:tc>
          <w:tcPr>
            <w:tcW w:w="1560" w:type="dxa"/>
            <w:tcBorders>
              <w:tl2br w:val="nil"/>
              <w:tr2bl w:val="nil"/>
            </w:tcBorders>
            <w:vAlign w:val="center"/>
          </w:tcPr>
          <w:p w14:paraId="0A3F2A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1560" w:type="dxa"/>
            <w:tcBorders>
              <w:tl2br w:val="nil"/>
              <w:tr2bl w:val="nil"/>
            </w:tcBorders>
            <w:vAlign w:val="center"/>
          </w:tcPr>
          <w:p w14:paraId="4D0576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585" w:type="dxa"/>
            <w:tcBorders>
              <w:tl2br w:val="nil"/>
              <w:tr2bl w:val="nil"/>
            </w:tcBorders>
            <w:vAlign w:val="center"/>
          </w:tcPr>
          <w:p w14:paraId="725FA2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028D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BD5A5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1C7F7E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汞</w:t>
            </w:r>
          </w:p>
        </w:tc>
        <w:tc>
          <w:tcPr>
            <w:tcW w:w="1560" w:type="dxa"/>
            <w:tcBorders>
              <w:tl2br w:val="nil"/>
              <w:tr2bl w:val="nil"/>
            </w:tcBorders>
            <w:vAlign w:val="center"/>
          </w:tcPr>
          <w:p w14:paraId="2E13AD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0.323</w:t>
            </w:r>
          </w:p>
        </w:tc>
        <w:tc>
          <w:tcPr>
            <w:tcW w:w="1560" w:type="dxa"/>
            <w:tcBorders>
              <w:tl2br w:val="nil"/>
              <w:tr2bl w:val="nil"/>
            </w:tcBorders>
            <w:vAlign w:val="center"/>
          </w:tcPr>
          <w:p w14:paraId="559559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585" w:type="dxa"/>
            <w:tcBorders>
              <w:tl2br w:val="nil"/>
              <w:tr2bl w:val="nil"/>
            </w:tcBorders>
            <w:vAlign w:val="center"/>
          </w:tcPr>
          <w:p w14:paraId="0ED208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B219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D5B6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47842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砷</w:t>
            </w:r>
          </w:p>
        </w:tc>
        <w:tc>
          <w:tcPr>
            <w:tcW w:w="1560" w:type="dxa"/>
            <w:tcBorders>
              <w:tl2br w:val="nil"/>
              <w:tr2bl w:val="nil"/>
            </w:tcBorders>
            <w:vAlign w:val="center"/>
          </w:tcPr>
          <w:p w14:paraId="3942F8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15.4</w:t>
            </w:r>
          </w:p>
        </w:tc>
        <w:tc>
          <w:tcPr>
            <w:tcW w:w="1560" w:type="dxa"/>
            <w:tcBorders>
              <w:tl2br w:val="nil"/>
              <w:tr2bl w:val="nil"/>
            </w:tcBorders>
            <w:vAlign w:val="center"/>
          </w:tcPr>
          <w:p w14:paraId="53DD7B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585" w:type="dxa"/>
            <w:tcBorders>
              <w:tl2br w:val="nil"/>
              <w:tr2bl w:val="nil"/>
            </w:tcBorders>
            <w:vAlign w:val="center"/>
          </w:tcPr>
          <w:p w14:paraId="2EB615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AD00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0A3A3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08FFF4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铅</w:t>
            </w:r>
          </w:p>
        </w:tc>
        <w:tc>
          <w:tcPr>
            <w:tcW w:w="1560" w:type="dxa"/>
            <w:tcBorders>
              <w:tl2br w:val="nil"/>
              <w:tr2bl w:val="nil"/>
            </w:tcBorders>
            <w:vAlign w:val="center"/>
          </w:tcPr>
          <w:p w14:paraId="0E1D6C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60" w:type="dxa"/>
            <w:tcBorders>
              <w:tl2br w:val="nil"/>
              <w:tr2bl w:val="nil"/>
            </w:tcBorders>
            <w:vAlign w:val="center"/>
          </w:tcPr>
          <w:p w14:paraId="2D609F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1585" w:type="dxa"/>
            <w:tcBorders>
              <w:tl2br w:val="nil"/>
              <w:tr2bl w:val="nil"/>
            </w:tcBorders>
            <w:vAlign w:val="center"/>
          </w:tcPr>
          <w:p w14:paraId="74464D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3946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A6D5F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11A2A1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铬</w:t>
            </w:r>
          </w:p>
        </w:tc>
        <w:tc>
          <w:tcPr>
            <w:tcW w:w="1560" w:type="dxa"/>
            <w:tcBorders>
              <w:tl2br w:val="nil"/>
              <w:tr2bl w:val="nil"/>
            </w:tcBorders>
            <w:vAlign w:val="center"/>
          </w:tcPr>
          <w:p w14:paraId="1A1170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w:t>
            </w:r>
          </w:p>
        </w:tc>
        <w:tc>
          <w:tcPr>
            <w:tcW w:w="1560" w:type="dxa"/>
            <w:tcBorders>
              <w:tl2br w:val="nil"/>
              <w:tr2bl w:val="nil"/>
            </w:tcBorders>
            <w:vAlign w:val="center"/>
          </w:tcPr>
          <w:p w14:paraId="420CFF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585" w:type="dxa"/>
            <w:tcBorders>
              <w:tl2br w:val="nil"/>
              <w:tr2bl w:val="nil"/>
            </w:tcBorders>
            <w:vAlign w:val="center"/>
          </w:tcPr>
          <w:p w14:paraId="5E4AE9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4319C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682A07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6908D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铜</w:t>
            </w:r>
          </w:p>
        </w:tc>
        <w:tc>
          <w:tcPr>
            <w:tcW w:w="1560" w:type="dxa"/>
            <w:tcBorders>
              <w:tl2br w:val="nil"/>
              <w:tr2bl w:val="nil"/>
            </w:tcBorders>
            <w:vAlign w:val="center"/>
          </w:tcPr>
          <w:p w14:paraId="085EB9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560" w:type="dxa"/>
            <w:tcBorders>
              <w:tl2br w:val="nil"/>
              <w:tr2bl w:val="nil"/>
            </w:tcBorders>
            <w:vAlign w:val="center"/>
          </w:tcPr>
          <w:p w14:paraId="4C1295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85" w:type="dxa"/>
            <w:tcBorders>
              <w:tl2br w:val="nil"/>
              <w:tr2bl w:val="nil"/>
            </w:tcBorders>
            <w:vAlign w:val="center"/>
          </w:tcPr>
          <w:p w14:paraId="0B33D4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5E17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D5F5C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73C161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锌</w:t>
            </w:r>
          </w:p>
        </w:tc>
        <w:tc>
          <w:tcPr>
            <w:tcW w:w="1560" w:type="dxa"/>
            <w:tcBorders>
              <w:tl2br w:val="nil"/>
              <w:tr2bl w:val="nil"/>
            </w:tcBorders>
            <w:vAlign w:val="center"/>
          </w:tcPr>
          <w:p w14:paraId="309384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196</w:t>
            </w:r>
          </w:p>
        </w:tc>
        <w:tc>
          <w:tcPr>
            <w:tcW w:w="1560" w:type="dxa"/>
            <w:tcBorders>
              <w:tl2br w:val="nil"/>
              <w:tr2bl w:val="nil"/>
            </w:tcBorders>
            <w:vAlign w:val="center"/>
          </w:tcPr>
          <w:p w14:paraId="3FB241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1585" w:type="dxa"/>
            <w:tcBorders>
              <w:tl2br w:val="nil"/>
              <w:tr2bl w:val="nil"/>
            </w:tcBorders>
            <w:vAlign w:val="center"/>
          </w:tcPr>
          <w:p w14:paraId="467E52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73060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1E1CD6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6FA7B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镍</w:t>
            </w:r>
          </w:p>
        </w:tc>
        <w:tc>
          <w:tcPr>
            <w:tcW w:w="1560" w:type="dxa"/>
            <w:tcBorders>
              <w:tl2br w:val="nil"/>
              <w:tr2bl w:val="nil"/>
            </w:tcBorders>
            <w:vAlign w:val="center"/>
          </w:tcPr>
          <w:p w14:paraId="2C70C2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w:t>
            </w:r>
          </w:p>
        </w:tc>
        <w:tc>
          <w:tcPr>
            <w:tcW w:w="1560" w:type="dxa"/>
            <w:tcBorders>
              <w:tl2br w:val="nil"/>
              <w:tr2bl w:val="nil"/>
            </w:tcBorders>
            <w:vAlign w:val="center"/>
          </w:tcPr>
          <w:p w14:paraId="7C505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85" w:type="dxa"/>
            <w:tcBorders>
              <w:tl2br w:val="nil"/>
              <w:tr2bl w:val="nil"/>
            </w:tcBorders>
            <w:vAlign w:val="center"/>
          </w:tcPr>
          <w:p w14:paraId="79D1F8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0B2A0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BF7A3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35300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含盐量</w:t>
            </w:r>
          </w:p>
        </w:tc>
        <w:tc>
          <w:tcPr>
            <w:tcW w:w="1560" w:type="dxa"/>
            <w:tcBorders>
              <w:tl2br w:val="nil"/>
              <w:tr2bl w:val="nil"/>
            </w:tcBorders>
            <w:vAlign w:val="center"/>
          </w:tcPr>
          <w:p w14:paraId="77A8E6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0.94</w:t>
            </w:r>
          </w:p>
        </w:tc>
        <w:tc>
          <w:tcPr>
            <w:tcW w:w="1560" w:type="dxa"/>
            <w:tcBorders>
              <w:tl2br w:val="nil"/>
              <w:tr2bl w:val="nil"/>
            </w:tcBorders>
            <w:vAlign w:val="center"/>
          </w:tcPr>
          <w:p w14:paraId="6336CB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585" w:type="dxa"/>
            <w:tcBorders>
              <w:tl2br w:val="nil"/>
              <w:tr2bl w:val="nil"/>
            </w:tcBorders>
            <w:vAlign w:val="center"/>
          </w:tcPr>
          <w:p w14:paraId="649CE3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D628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restart"/>
            <w:tcBorders>
              <w:tl2br w:val="nil"/>
              <w:tr2bl w:val="nil"/>
            </w:tcBorders>
            <w:vAlign w:val="center"/>
          </w:tcPr>
          <w:p w14:paraId="23F6C2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T3</w:t>
            </w:r>
            <w:r>
              <w:rPr>
                <w:rFonts w:hint="eastAsia" w:ascii="Times New Roman" w:hAnsi="Times New Roman" w:eastAsia="宋体" w:cs="Times New Roman"/>
                <w:color w:val="auto"/>
                <w:sz w:val="21"/>
                <w:szCs w:val="21"/>
                <w:u w:val="none" w:color="auto"/>
                <w:lang w:val="en-US" w:eastAsia="zh-CN"/>
              </w:rPr>
              <w:t>何家湾林地</w:t>
            </w:r>
          </w:p>
        </w:tc>
        <w:tc>
          <w:tcPr>
            <w:tcW w:w="2486" w:type="dxa"/>
            <w:gridSpan w:val="2"/>
            <w:tcBorders>
              <w:tl2br w:val="nil"/>
              <w:tr2bl w:val="nil"/>
            </w:tcBorders>
            <w:vAlign w:val="center"/>
          </w:tcPr>
          <w:p w14:paraId="2B825F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560" w:type="dxa"/>
            <w:tcBorders>
              <w:tl2br w:val="nil"/>
              <w:tr2bl w:val="nil"/>
            </w:tcBorders>
            <w:vAlign w:val="center"/>
          </w:tcPr>
          <w:p w14:paraId="78DD01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7.26</w:t>
            </w:r>
          </w:p>
        </w:tc>
        <w:tc>
          <w:tcPr>
            <w:tcW w:w="1560" w:type="dxa"/>
            <w:tcBorders>
              <w:tl2br w:val="nil"/>
              <w:tr2bl w:val="nil"/>
            </w:tcBorders>
            <w:vAlign w:val="center"/>
          </w:tcPr>
          <w:p w14:paraId="261C5C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585" w:type="dxa"/>
            <w:tcBorders>
              <w:tl2br w:val="nil"/>
              <w:tr2bl w:val="nil"/>
            </w:tcBorders>
            <w:vAlign w:val="center"/>
          </w:tcPr>
          <w:p w14:paraId="1660D2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0BD1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B5F6E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079D46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镉</w:t>
            </w:r>
          </w:p>
        </w:tc>
        <w:tc>
          <w:tcPr>
            <w:tcW w:w="1560" w:type="dxa"/>
            <w:tcBorders>
              <w:tl2br w:val="nil"/>
              <w:tr2bl w:val="nil"/>
            </w:tcBorders>
            <w:vAlign w:val="center"/>
          </w:tcPr>
          <w:p w14:paraId="52EC19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1560" w:type="dxa"/>
            <w:tcBorders>
              <w:tl2br w:val="nil"/>
              <w:tr2bl w:val="nil"/>
            </w:tcBorders>
            <w:vAlign w:val="center"/>
          </w:tcPr>
          <w:p w14:paraId="2E1456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585" w:type="dxa"/>
            <w:tcBorders>
              <w:tl2br w:val="nil"/>
              <w:tr2bl w:val="nil"/>
            </w:tcBorders>
            <w:vAlign w:val="center"/>
          </w:tcPr>
          <w:p w14:paraId="5D2B38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E00F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56CB79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42CCD5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汞</w:t>
            </w:r>
          </w:p>
        </w:tc>
        <w:tc>
          <w:tcPr>
            <w:tcW w:w="1560" w:type="dxa"/>
            <w:tcBorders>
              <w:tl2br w:val="nil"/>
              <w:tr2bl w:val="nil"/>
            </w:tcBorders>
            <w:vAlign w:val="center"/>
          </w:tcPr>
          <w:p w14:paraId="48275C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0.364</w:t>
            </w:r>
          </w:p>
        </w:tc>
        <w:tc>
          <w:tcPr>
            <w:tcW w:w="1560" w:type="dxa"/>
            <w:tcBorders>
              <w:tl2br w:val="nil"/>
              <w:tr2bl w:val="nil"/>
            </w:tcBorders>
            <w:vAlign w:val="center"/>
          </w:tcPr>
          <w:p w14:paraId="5F99CE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585" w:type="dxa"/>
            <w:tcBorders>
              <w:tl2br w:val="nil"/>
              <w:tr2bl w:val="nil"/>
            </w:tcBorders>
            <w:vAlign w:val="center"/>
          </w:tcPr>
          <w:p w14:paraId="197EC4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5C4AC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731AAD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55F9C1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砷</w:t>
            </w:r>
          </w:p>
        </w:tc>
        <w:tc>
          <w:tcPr>
            <w:tcW w:w="1560" w:type="dxa"/>
            <w:tcBorders>
              <w:tl2br w:val="nil"/>
              <w:tr2bl w:val="nil"/>
            </w:tcBorders>
            <w:vAlign w:val="center"/>
          </w:tcPr>
          <w:p w14:paraId="5EB5B0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7.23</w:t>
            </w:r>
          </w:p>
        </w:tc>
        <w:tc>
          <w:tcPr>
            <w:tcW w:w="1560" w:type="dxa"/>
            <w:tcBorders>
              <w:tl2br w:val="nil"/>
              <w:tr2bl w:val="nil"/>
            </w:tcBorders>
            <w:vAlign w:val="center"/>
          </w:tcPr>
          <w:p w14:paraId="0C9FFB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585" w:type="dxa"/>
            <w:tcBorders>
              <w:tl2br w:val="nil"/>
              <w:tr2bl w:val="nil"/>
            </w:tcBorders>
            <w:vAlign w:val="center"/>
          </w:tcPr>
          <w:p w14:paraId="7D56AA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6DFE9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6AF650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2A4334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铅</w:t>
            </w:r>
          </w:p>
        </w:tc>
        <w:tc>
          <w:tcPr>
            <w:tcW w:w="1560" w:type="dxa"/>
            <w:tcBorders>
              <w:tl2br w:val="nil"/>
              <w:tr2bl w:val="nil"/>
            </w:tcBorders>
            <w:vAlign w:val="center"/>
          </w:tcPr>
          <w:p w14:paraId="1B5E86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560" w:type="dxa"/>
            <w:tcBorders>
              <w:tl2br w:val="nil"/>
              <w:tr2bl w:val="nil"/>
            </w:tcBorders>
            <w:vAlign w:val="center"/>
          </w:tcPr>
          <w:p w14:paraId="42348C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585" w:type="dxa"/>
            <w:tcBorders>
              <w:tl2br w:val="nil"/>
              <w:tr2bl w:val="nil"/>
            </w:tcBorders>
            <w:vAlign w:val="center"/>
          </w:tcPr>
          <w:p w14:paraId="02C144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986D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356B03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4CABA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铬</w:t>
            </w:r>
          </w:p>
        </w:tc>
        <w:tc>
          <w:tcPr>
            <w:tcW w:w="1560" w:type="dxa"/>
            <w:tcBorders>
              <w:tl2br w:val="nil"/>
              <w:tr2bl w:val="nil"/>
            </w:tcBorders>
            <w:vAlign w:val="center"/>
          </w:tcPr>
          <w:p w14:paraId="197361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560" w:type="dxa"/>
            <w:tcBorders>
              <w:tl2br w:val="nil"/>
              <w:tr2bl w:val="nil"/>
            </w:tcBorders>
            <w:vAlign w:val="center"/>
          </w:tcPr>
          <w:p w14:paraId="0B5CA3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85" w:type="dxa"/>
            <w:tcBorders>
              <w:tl2br w:val="nil"/>
              <w:tr2bl w:val="nil"/>
            </w:tcBorders>
            <w:vAlign w:val="center"/>
          </w:tcPr>
          <w:p w14:paraId="48A4A8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82D3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06FA27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020407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铜</w:t>
            </w:r>
          </w:p>
        </w:tc>
        <w:tc>
          <w:tcPr>
            <w:tcW w:w="1560" w:type="dxa"/>
            <w:tcBorders>
              <w:tl2br w:val="nil"/>
              <w:tr2bl w:val="nil"/>
            </w:tcBorders>
            <w:vAlign w:val="center"/>
          </w:tcPr>
          <w:p w14:paraId="1C408C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37</w:t>
            </w:r>
          </w:p>
        </w:tc>
        <w:tc>
          <w:tcPr>
            <w:tcW w:w="1560" w:type="dxa"/>
            <w:tcBorders>
              <w:tl2br w:val="nil"/>
              <w:tr2bl w:val="nil"/>
            </w:tcBorders>
            <w:vAlign w:val="center"/>
          </w:tcPr>
          <w:p w14:paraId="01A2ED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85" w:type="dxa"/>
            <w:tcBorders>
              <w:tl2br w:val="nil"/>
              <w:tr2bl w:val="nil"/>
            </w:tcBorders>
            <w:vAlign w:val="center"/>
          </w:tcPr>
          <w:p w14:paraId="252BE7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2477C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2DF86B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1E75AF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锌</w:t>
            </w:r>
          </w:p>
        </w:tc>
        <w:tc>
          <w:tcPr>
            <w:tcW w:w="1560" w:type="dxa"/>
            <w:tcBorders>
              <w:tl2br w:val="nil"/>
              <w:tr2bl w:val="nil"/>
            </w:tcBorders>
            <w:vAlign w:val="center"/>
          </w:tcPr>
          <w:p w14:paraId="53907A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187</w:t>
            </w:r>
          </w:p>
        </w:tc>
        <w:tc>
          <w:tcPr>
            <w:tcW w:w="1560" w:type="dxa"/>
            <w:tcBorders>
              <w:tl2br w:val="nil"/>
              <w:tr2bl w:val="nil"/>
            </w:tcBorders>
            <w:vAlign w:val="center"/>
          </w:tcPr>
          <w:p w14:paraId="31EB83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1585" w:type="dxa"/>
            <w:tcBorders>
              <w:tl2br w:val="nil"/>
              <w:tr2bl w:val="nil"/>
            </w:tcBorders>
            <w:vAlign w:val="center"/>
          </w:tcPr>
          <w:p w14:paraId="309EB3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76C7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4A118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62CC5B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镍</w:t>
            </w:r>
          </w:p>
        </w:tc>
        <w:tc>
          <w:tcPr>
            <w:tcW w:w="1560" w:type="dxa"/>
            <w:tcBorders>
              <w:tl2br w:val="nil"/>
              <w:tr2bl w:val="nil"/>
            </w:tcBorders>
            <w:vAlign w:val="center"/>
          </w:tcPr>
          <w:p w14:paraId="72E917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60" w:type="dxa"/>
            <w:tcBorders>
              <w:tl2br w:val="nil"/>
              <w:tr2bl w:val="nil"/>
            </w:tcBorders>
            <w:vAlign w:val="center"/>
          </w:tcPr>
          <w:p w14:paraId="163C3D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85" w:type="dxa"/>
            <w:tcBorders>
              <w:tl2br w:val="nil"/>
              <w:tr2bl w:val="nil"/>
            </w:tcBorders>
            <w:vAlign w:val="center"/>
          </w:tcPr>
          <w:p w14:paraId="7D0F0F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3AC40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vAlign w:val="center"/>
          </w:tcPr>
          <w:p w14:paraId="45AC00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2486" w:type="dxa"/>
            <w:gridSpan w:val="2"/>
            <w:tcBorders>
              <w:tl2br w:val="nil"/>
              <w:tr2bl w:val="nil"/>
            </w:tcBorders>
            <w:vAlign w:val="center"/>
          </w:tcPr>
          <w:p w14:paraId="3CD384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宋体" w:hAnsi="宋体" w:eastAsia="宋体" w:cs="宋体"/>
                <w:i w:val="0"/>
                <w:iCs w:val="0"/>
                <w:color w:val="auto"/>
                <w:kern w:val="0"/>
                <w:sz w:val="21"/>
                <w:szCs w:val="21"/>
                <w:u w:val="none"/>
                <w:lang w:val="en-US" w:eastAsia="zh-CN" w:bidi="ar"/>
              </w:rPr>
              <w:t>含盐量</w:t>
            </w:r>
          </w:p>
        </w:tc>
        <w:tc>
          <w:tcPr>
            <w:tcW w:w="1560" w:type="dxa"/>
            <w:tcBorders>
              <w:tl2br w:val="nil"/>
              <w:tr2bl w:val="nil"/>
            </w:tcBorders>
            <w:vAlign w:val="center"/>
          </w:tcPr>
          <w:p w14:paraId="3998AF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0.84</w:t>
            </w:r>
          </w:p>
        </w:tc>
        <w:tc>
          <w:tcPr>
            <w:tcW w:w="1560" w:type="dxa"/>
            <w:tcBorders>
              <w:tl2br w:val="nil"/>
              <w:tr2bl w:val="nil"/>
            </w:tcBorders>
            <w:vAlign w:val="center"/>
          </w:tcPr>
          <w:p w14:paraId="513488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585" w:type="dxa"/>
            <w:tcBorders>
              <w:tl2br w:val="nil"/>
              <w:tr2bl w:val="nil"/>
            </w:tcBorders>
            <w:vAlign w:val="center"/>
          </w:tcPr>
          <w:p w14:paraId="73F120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w:t>
            </w:r>
          </w:p>
        </w:tc>
      </w:tr>
      <w:tr w14:paraId="152FA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6" w:type="dxa"/>
            <w:gridSpan w:val="6"/>
            <w:tcBorders>
              <w:tl2br w:val="nil"/>
              <w:tr2bl w:val="nil"/>
            </w:tcBorders>
            <w:vAlign w:val="center"/>
          </w:tcPr>
          <w:p w14:paraId="54EEDE7F">
            <w:pPr>
              <w:keepNext w:val="0"/>
              <w:keepLines w:val="0"/>
              <w:widowControl/>
              <w:suppressLineNumbers w:val="0"/>
              <w:spacing w:before="0" w:beforeAutospacing="0" w:after="0" w:afterAutospacing="0" w:line="12" w:lineRule="atLeast"/>
              <w:ind w:left="-105" w:leftChars="-50" w:right="-105" w:rightChars="-50" w:firstLine="210" w:firstLineChars="10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备注：“检出限+L”表示检测结果低于本方法检出限，未检出。</w:t>
            </w:r>
          </w:p>
        </w:tc>
      </w:tr>
    </w:tbl>
    <w:p w14:paraId="415136D5">
      <w:pPr>
        <w:adjustRightInd w:val="0"/>
        <w:snapToGrid w:val="0"/>
        <w:spacing w:line="360" w:lineRule="auto"/>
        <w:ind w:firstLine="480" w:firstLineChars="200"/>
        <w:rPr>
          <w:rFonts w:hint="default" w:ascii="Times New Roman" w:hAnsi="Times New Roman" w:eastAsia="宋体" w:cs="Times New Roman"/>
          <w:color w:val="auto"/>
          <w:spacing w:val="0"/>
          <w:w w:val="100"/>
          <w:position w:val="0"/>
          <w:sz w:val="24"/>
          <w:szCs w:val="24"/>
          <w:u w:val="none" w:color="auto"/>
          <w:lang w:eastAsia="zh-CN"/>
        </w:rPr>
      </w:pPr>
      <w:bookmarkStart w:id="185" w:name="_Toc24809"/>
      <w:bookmarkStart w:id="186" w:name="_Toc13428"/>
      <w:r>
        <w:rPr>
          <w:rFonts w:hint="default" w:ascii="Times New Roman" w:hAnsi="Times New Roman" w:eastAsia="宋体" w:cs="Times New Roman"/>
          <w:color w:val="auto"/>
          <w:sz w:val="24"/>
          <w:highlight w:val="none"/>
          <w:u w:val="none" w:color="auto"/>
          <w:lang w:eastAsia="zh-CN"/>
        </w:rPr>
        <w:t>由上表可知，</w:t>
      </w:r>
      <w:r>
        <w:rPr>
          <w:rFonts w:hint="default" w:ascii="Times New Roman" w:hAnsi="Times New Roman" w:eastAsia="宋体" w:cs="Times New Roman"/>
          <w:color w:val="auto"/>
          <w:sz w:val="24"/>
          <w:highlight w:val="none"/>
          <w:u w:val="none" w:color="auto"/>
          <w:lang w:val="en-US" w:eastAsia="zh-CN"/>
        </w:rPr>
        <w:t>土壤环境影响评价范围内的土壤</w:t>
      </w:r>
      <w:r>
        <w:rPr>
          <w:rFonts w:hint="eastAsia" w:ascii="Times New Roman" w:hAnsi="Times New Roman" w:eastAsia="宋体" w:cs="Times New Roman"/>
          <w:color w:val="auto"/>
          <w:sz w:val="24"/>
          <w:highlight w:val="none"/>
          <w:u w:val="none" w:color="auto"/>
          <w:lang w:val="en-US" w:eastAsia="zh-CN"/>
        </w:rPr>
        <w:t>无</w:t>
      </w:r>
      <w:r>
        <w:rPr>
          <w:rFonts w:hint="default" w:ascii="Times New Roman" w:hAnsi="Times New Roman" w:eastAsia="宋体" w:cs="Times New Roman"/>
          <w:color w:val="auto"/>
          <w:sz w:val="24"/>
          <w:highlight w:val="none"/>
          <w:u w:val="none" w:color="auto"/>
          <w:lang w:val="en-US" w:eastAsia="zh-CN"/>
        </w:rPr>
        <w:t>酸化</w:t>
      </w:r>
      <w:r>
        <w:rPr>
          <w:rFonts w:hint="eastAsia" w:ascii="Times New Roman" w:hAnsi="Times New Roman" w:eastAsia="宋体" w:cs="Times New Roman"/>
          <w:color w:val="auto"/>
          <w:sz w:val="24"/>
          <w:highlight w:val="none"/>
          <w:u w:val="none" w:color="auto"/>
          <w:lang w:val="en-US" w:eastAsia="zh-CN"/>
        </w:rPr>
        <w:t>或</w:t>
      </w:r>
      <w:r>
        <w:rPr>
          <w:rFonts w:hint="default" w:ascii="Times New Roman" w:hAnsi="Times New Roman" w:eastAsia="宋体" w:cs="Times New Roman"/>
          <w:color w:val="auto"/>
          <w:sz w:val="24"/>
          <w:highlight w:val="none"/>
          <w:u w:val="none" w:color="auto"/>
          <w:lang w:val="en-US" w:eastAsia="zh-CN"/>
        </w:rPr>
        <w:t>碱化</w:t>
      </w:r>
      <w:r>
        <w:rPr>
          <w:rFonts w:hint="eastAsia" w:ascii="Times New Roman" w:hAnsi="Times New Roman" w:eastAsia="宋体" w:cs="Times New Roman"/>
          <w:color w:val="auto"/>
          <w:sz w:val="24"/>
          <w:highlight w:val="none"/>
          <w:u w:val="none" w:color="auto"/>
          <w:lang w:val="en-US" w:eastAsia="zh-CN"/>
        </w:rPr>
        <w:t>，轻度</w:t>
      </w:r>
      <w:r>
        <w:rPr>
          <w:rFonts w:hint="default" w:ascii="Times New Roman" w:hAnsi="Times New Roman" w:eastAsia="宋体" w:cs="Times New Roman"/>
          <w:color w:val="auto"/>
          <w:sz w:val="24"/>
          <w:highlight w:val="none"/>
          <w:u w:val="none" w:color="auto"/>
          <w:lang w:val="en-US" w:eastAsia="zh-CN"/>
        </w:rPr>
        <w:t>盐化</w:t>
      </w:r>
      <w:r>
        <w:rPr>
          <w:rFonts w:hint="eastAsia" w:ascii="Times New Roman" w:hAnsi="Times New Roman" w:eastAsia="宋体" w:cs="Times New Roman"/>
          <w:color w:val="auto"/>
          <w:sz w:val="24"/>
          <w:highlight w:val="none"/>
          <w:u w:val="none" w:color="auto"/>
          <w:lang w:val="en-US" w:eastAsia="zh-CN"/>
        </w:rPr>
        <w:t>。同时</w:t>
      </w:r>
      <w:r>
        <w:rPr>
          <w:rFonts w:hint="default" w:ascii="Times New Roman" w:hAnsi="Times New Roman" w:eastAsia="宋体" w:cs="Times New Roman"/>
          <w:color w:val="auto"/>
          <w:spacing w:val="0"/>
          <w:w w:val="100"/>
          <w:position w:val="0"/>
          <w:sz w:val="24"/>
          <w:szCs w:val="24"/>
          <w:u w:val="none" w:color="auto"/>
          <w:lang w:eastAsia="zh-CN"/>
        </w:rPr>
        <w:t>项目大坝</w:t>
      </w:r>
      <w:r>
        <w:rPr>
          <w:rFonts w:hint="default" w:ascii="Times New Roman" w:hAnsi="Times New Roman" w:eastAsia="宋体" w:cs="Times New Roman"/>
          <w:color w:val="auto"/>
          <w:sz w:val="24"/>
          <w:highlight w:val="none"/>
          <w:u w:val="none" w:color="auto"/>
          <w:lang w:eastAsia="zh-CN"/>
        </w:rPr>
        <w:t>土壤各项监测因子均满足《土壤环境质量</w:t>
      </w:r>
      <w:r>
        <w:rPr>
          <w:rFonts w:hint="default" w:ascii="Times New Roman" w:hAnsi="Times New Roman" w:eastAsia="宋体" w:cs="Times New Roman"/>
          <w:color w:val="auto"/>
          <w:sz w:val="24"/>
          <w:highlight w:val="none"/>
          <w:u w:val="none" w:color="auto"/>
          <w:lang w:val="en-US" w:eastAsia="zh-CN"/>
        </w:rPr>
        <w:t xml:space="preserve"> </w:t>
      </w:r>
      <w:r>
        <w:rPr>
          <w:rFonts w:hint="default" w:ascii="Times New Roman" w:hAnsi="Times New Roman" w:eastAsia="宋体" w:cs="Times New Roman"/>
          <w:color w:val="auto"/>
          <w:sz w:val="24"/>
          <w:highlight w:val="none"/>
          <w:u w:val="none" w:color="auto"/>
          <w:lang w:eastAsia="zh-CN"/>
        </w:rPr>
        <w:t>建设用地土壤污染风险管控标准（试行）》GB 36600-2018表</w:t>
      </w:r>
      <w:r>
        <w:rPr>
          <w:rFonts w:hint="default" w:ascii="Times New Roman" w:hAnsi="Times New Roman" w:eastAsia="宋体" w:cs="Times New Roman"/>
          <w:color w:val="auto"/>
          <w:sz w:val="24"/>
          <w:highlight w:val="none"/>
          <w:u w:val="none" w:color="auto"/>
          <w:lang w:val="en-US" w:eastAsia="zh-CN"/>
        </w:rPr>
        <w:t>1</w:t>
      </w:r>
      <w:r>
        <w:rPr>
          <w:rFonts w:hint="default" w:ascii="Times New Roman" w:hAnsi="Times New Roman" w:eastAsia="宋体" w:cs="Times New Roman"/>
          <w:color w:val="auto"/>
          <w:sz w:val="24"/>
          <w:highlight w:val="none"/>
          <w:u w:val="none" w:color="auto"/>
          <w:lang w:eastAsia="zh-CN"/>
        </w:rPr>
        <w:t>第二类用地筛选值要求。</w:t>
      </w:r>
      <w:r>
        <w:rPr>
          <w:rFonts w:hint="default" w:ascii="Times New Roman" w:hAnsi="Times New Roman" w:eastAsia="宋体" w:cs="Times New Roman"/>
          <w:color w:val="auto"/>
          <w:sz w:val="24"/>
          <w:highlight w:val="none"/>
          <w:u w:val="none" w:color="auto"/>
          <w:lang w:val="en-US" w:eastAsia="zh-CN"/>
        </w:rPr>
        <w:t>周边林地、农田和底泥监测因子可达到</w:t>
      </w:r>
      <w:r>
        <w:rPr>
          <w:rFonts w:hint="default" w:ascii="Times New Roman" w:hAnsi="Times New Roman" w:eastAsia="宋体" w:cs="Times New Roman"/>
          <w:b w:val="0"/>
          <w:bCs/>
          <w:caps w:val="0"/>
          <w:smallCaps w:val="0"/>
          <w:color w:val="auto"/>
          <w:spacing w:val="0"/>
          <w:w w:val="100"/>
          <w:position w:val="0"/>
          <w:sz w:val="24"/>
          <w:szCs w:val="24"/>
          <w:u w:val="none" w:color="auto"/>
        </w:rPr>
        <w:t>《土壤环境质量</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b w:val="0"/>
          <w:bCs/>
          <w:caps w:val="0"/>
          <w:smallCaps w:val="0"/>
          <w:color w:val="auto"/>
          <w:spacing w:val="0"/>
          <w:w w:val="100"/>
          <w:position w:val="0"/>
          <w:sz w:val="24"/>
          <w:szCs w:val="24"/>
          <w:u w:val="none" w:color="auto"/>
        </w:rPr>
        <w:t>农用地土壤污染风险管控标准》（GB15618-2018）中表1农用地土壤污染风险筛选值</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要求</w:t>
      </w:r>
      <w:r>
        <w:rPr>
          <w:rFonts w:hint="default" w:ascii="Times New Roman" w:hAnsi="Times New Roman" w:eastAsia="宋体" w:cs="Times New Roman"/>
          <w:b w:val="0"/>
          <w:bCs/>
          <w:caps w:val="0"/>
          <w:smallCaps w:val="0"/>
          <w:color w:val="auto"/>
          <w:spacing w:val="0"/>
          <w:w w:val="100"/>
          <w:position w:val="0"/>
          <w:sz w:val="24"/>
          <w:szCs w:val="24"/>
          <w:u w:val="none" w:color="auto"/>
          <w:lang w:eastAsia="zh-CN"/>
        </w:rPr>
        <w:t>。</w:t>
      </w:r>
      <w:bookmarkEnd w:id="185"/>
      <w:bookmarkEnd w:id="186"/>
    </w:p>
    <w:p w14:paraId="6EE31A9B">
      <w:pPr>
        <w:pStyle w:val="3"/>
        <w:bidi w:val="0"/>
        <w:rPr>
          <w:rFonts w:hint="default" w:ascii="Times New Roman" w:hAnsi="Times New Roman" w:cs="Times New Roman"/>
          <w:color w:val="auto"/>
          <w:u w:val="none" w:color="auto"/>
          <w:lang w:val="en-US" w:eastAsia="zh-CN"/>
        </w:rPr>
      </w:pPr>
      <w:bookmarkStart w:id="187" w:name="_Toc27277"/>
      <w:r>
        <w:rPr>
          <w:rFonts w:hint="default" w:ascii="Times New Roman" w:hAnsi="Times New Roman" w:cs="Times New Roman"/>
          <w:color w:val="auto"/>
          <w:u w:val="none" w:color="auto"/>
          <w:lang w:val="en-US" w:eastAsia="zh-CN"/>
        </w:rPr>
        <w:t>生态环境现状调查与评价</w:t>
      </w:r>
      <w:bookmarkEnd w:id="187"/>
    </w:p>
    <w:p w14:paraId="5C0357FA">
      <w:pPr>
        <w:pStyle w:val="4"/>
        <w:bidi w:val="0"/>
        <w:rPr>
          <w:rFonts w:hint="default" w:ascii="Times New Roman" w:hAnsi="Times New Roman" w:cs="Times New Roman"/>
          <w:color w:val="auto"/>
          <w:u w:val="none" w:color="auto"/>
          <w:lang w:val="en-US" w:eastAsia="zh-CN"/>
        </w:rPr>
      </w:pPr>
      <w:bookmarkStart w:id="188" w:name="_Toc46"/>
      <w:r>
        <w:rPr>
          <w:rFonts w:hint="default" w:ascii="Times New Roman" w:hAnsi="Times New Roman" w:cs="Times New Roman"/>
          <w:color w:val="auto"/>
          <w:u w:val="none" w:color="auto"/>
          <w:lang w:val="en-US" w:eastAsia="zh-CN"/>
        </w:rPr>
        <w:t>主要调查内容和评价方法</w:t>
      </w:r>
      <w:bookmarkEnd w:id="188"/>
    </w:p>
    <w:p w14:paraId="356ED5CD">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陆生植物调查</w:t>
      </w:r>
    </w:p>
    <w:p w14:paraId="23A966B5">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lang w:val="en-US" w:eastAsia="zh-CN"/>
        </w:rPr>
      </w:pPr>
      <w:bookmarkStart w:id="189" w:name="_Hlk42039869"/>
      <w:r>
        <w:rPr>
          <w:rFonts w:hint="default" w:ascii="Times New Roman" w:hAnsi="Times New Roman" w:eastAsia="宋体" w:cs="Times New Roman"/>
          <w:caps w:val="0"/>
          <w:smallCaps w:val="0"/>
          <w:color w:val="auto"/>
          <w:sz w:val="24"/>
          <w:szCs w:val="20"/>
          <w:u w:val="none" w:color="auto"/>
          <w:lang w:eastAsia="zh-CN"/>
        </w:rPr>
        <w:t>（</w:t>
      </w:r>
      <w:r>
        <w:rPr>
          <w:rFonts w:hint="default" w:ascii="Times New Roman" w:hAnsi="Times New Roman" w:eastAsia="宋体" w:cs="Times New Roman"/>
          <w:caps w:val="0"/>
          <w:smallCaps w:val="0"/>
          <w:color w:val="auto"/>
          <w:sz w:val="24"/>
          <w:szCs w:val="20"/>
          <w:u w:val="none" w:color="auto"/>
          <w:lang w:val="en-US" w:eastAsia="zh-CN"/>
        </w:rPr>
        <w:t>1</w:t>
      </w:r>
      <w:r>
        <w:rPr>
          <w:rFonts w:hint="default" w:ascii="Times New Roman" w:hAnsi="Times New Roman" w:eastAsia="宋体" w:cs="Times New Roman"/>
          <w:caps w:val="0"/>
          <w:smallCaps w:val="0"/>
          <w:color w:val="auto"/>
          <w:sz w:val="24"/>
          <w:szCs w:val="20"/>
          <w:u w:val="none" w:color="auto"/>
          <w:lang w:eastAsia="zh-CN"/>
        </w:rPr>
        <w:t>）</w:t>
      </w:r>
      <w:r>
        <w:rPr>
          <w:rFonts w:hint="default" w:ascii="Times New Roman" w:hAnsi="Times New Roman" w:eastAsia="宋体" w:cs="Times New Roman"/>
          <w:caps w:val="0"/>
          <w:smallCaps w:val="0"/>
          <w:color w:val="auto"/>
          <w:sz w:val="24"/>
          <w:szCs w:val="20"/>
          <w:u w:val="none" w:color="auto"/>
          <w:lang w:val="en-US" w:eastAsia="zh-CN"/>
        </w:rPr>
        <w:t>种类调查</w:t>
      </w:r>
    </w:p>
    <w:p w14:paraId="441DB2B4">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在调查过程中，确定评价范围内的植物种类及资源状况、珍稀濒危植物的种类及生存状况等。实地调查采取样线调查与样方调查相结合的方法，对于没有原生植被的区域采取样线调查，在施工区域以及植被状况良好的区域实行样方重点调查；对国家级、省级野生保护植物、珍稀濒危植物、古树名木调查采取资料查询和野外调查相结合的方法进行。采集野外难以辨认的植物标本并拍摄照片，记录项目区的植被现状。</w:t>
      </w:r>
    </w:p>
    <w:p w14:paraId="6AF34208">
      <w:pPr>
        <w:spacing w:line="360" w:lineRule="auto"/>
        <w:ind w:firstLine="480" w:firstLineChars="200"/>
        <w:rPr>
          <w:rFonts w:hint="default" w:ascii="Times New Roman" w:hAnsi="Times New Roman" w:eastAsia="宋体" w:cs="Times New Roman"/>
          <w:caps w:val="0"/>
          <w:smallCaps w:val="0"/>
          <w:color w:val="auto"/>
          <w:sz w:val="24"/>
          <w:szCs w:val="21"/>
          <w:u w:val="none" w:color="auto"/>
        </w:rPr>
      </w:pPr>
      <w:r>
        <w:rPr>
          <w:rFonts w:hint="default" w:ascii="Times New Roman" w:hAnsi="Times New Roman" w:eastAsia="宋体" w:cs="Times New Roman"/>
          <w:caps w:val="0"/>
          <w:smallCaps w:val="0"/>
          <w:color w:val="auto"/>
          <w:sz w:val="24"/>
          <w:szCs w:val="21"/>
          <w:u w:val="none" w:color="auto"/>
          <w:lang w:eastAsia="zh-CN"/>
        </w:rPr>
        <w:t>（</w:t>
      </w:r>
      <w:r>
        <w:rPr>
          <w:rFonts w:hint="default" w:ascii="Times New Roman" w:hAnsi="Times New Roman" w:eastAsia="宋体" w:cs="Times New Roman"/>
          <w:caps w:val="0"/>
          <w:smallCaps w:val="0"/>
          <w:color w:val="auto"/>
          <w:sz w:val="24"/>
          <w:szCs w:val="21"/>
          <w:u w:val="none" w:color="auto"/>
          <w:lang w:val="en-US" w:eastAsia="zh-CN"/>
        </w:rPr>
        <w:t>2</w:t>
      </w:r>
      <w:r>
        <w:rPr>
          <w:rFonts w:hint="default" w:ascii="Times New Roman" w:hAnsi="Times New Roman" w:eastAsia="宋体" w:cs="Times New Roman"/>
          <w:caps w:val="0"/>
          <w:smallCaps w:val="0"/>
          <w:color w:val="auto"/>
          <w:sz w:val="24"/>
          <w:szCs w:val="21"/>
          <w:u w:val="none" w:color="auto"/>
          <w:lang w:eastAsia="zh-CN"/>
        </w:rPr>
        <w:t>）</w:t>
      </w:r>
      <w:r>
        <w:rPr>
          <w:rFonts w:hint="default" w:ascii="Times New Roman" w:hAnsi="Times New Roman" w:eastAsia="宋体" w:cs="Times New Roman"/>
          <w:caps w:val="0"/>
          <w:smallCaps w:val="0"/>
          <w:color w:val="auto"/>
          <w:sz w:val="24"/>
          <w:szCs w:val="21"/>
          <w:u w:val="none" w:color="auto"/>
        </w:rPr>
        <w:t>植被调查</w:t>
      </w:r>
    </w:p>
    <w:bookmarkEnd w:id="189"/>
    <w:p w14:paraId="2DCDDCC7">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植被调查取样的目的是要通过样方的研究准确地推测评价区域植被的总体，所选取的样方具有代表性，能通过尽可能少的抽样获得较为准确的有关总体的特征。在对评价区域的植被进行样方调查中，样方布设的原则是：</w:t>
      </w:r>
    </w:p>
    <w:p w14:paraId="402C5EAF">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①尽量在拟建地设置样地，并考虑布设的均匀性，山地区域还应结合海拔段、坡位、坡向进行布设。</w:t>
      </w:r>
    </w:p>
    <w:p w14:paraId="08398E12">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②所选取的样方植被为评价区域内分布较广具有代表性的植被类型。</w:t>
      </w:r>
    </w:p>
    <w:p w14:paraId="72A262B0">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③记录样方植被类型（以群系为单位），应涵盖评价范围内不同的植被类型及生境类型。</w:t>
      </w:r>
    </w:p>
    <w:p w14:paraId="47067293">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④尽量避免非取样误差：避免选择路边易到之处；两人以上进行观察记录，消除主观因素。</w:t>
      </w:r>
    </w:p>
    <w:p w14:paraId="375A7C63">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本次调查主要踏勘了项目用地范围内及周边区域，通过边踏勘边汇总边调整的方式，根据评价区总体植被类型分布情况，着重选取项目用地范围内及生态保护目标所在区域的主要植被群系开展样方调查，保证选取的植被群系一定是评价区分布最广，并且受到项目直接影响的群系。对选取的植被群系尽量在项目用地范围内或临近区域拉设植物样方，样方点位尽量布置在项目主要工程区域，每种群系均设置3个样方，以使样方无论在调查对象、点位布置还是数量上，均具有规范性和代表性。</w:t>
      </w:r>
    </w:p>
    <w:p w14:paraId="184D0751">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陆生动物调查</w:t>
      </w:r>
    </w:p>
    <w:p w14:paraId="33531E37">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动物资源调查主要采用资料查询和现场调查相结合的方法。陆生野生动物调查，根据资料整理归纳的基础上，走访当地林业部门与周边村民了解评价区的陆生野生动物类群分布</w:t>
      </w:r>
      <w:r>
        <w:rPr>
          <w:rFonts w:hint="default" w:ascii="Times New Roman" w:hAnsi="Times New Roman" w:eastAsia="宋体" w:cs="Times New Roman"/>
          <w:caps w:val="0"/>
          <w:smallCaps w:val="0"/>
          <w:color w:val="auto"/>
          <w:sz w:val="24"/>
          <w:szCs w:val="20"/>
          <w:u w:val="none" w:color="auto"/>
          <w:lang w:val="en-US" w:eastAsia="zh-CN"/>
        </w:rPr>
        <w:t>情况、</w:t>
      </w:r>
      <w:r>
        <w:rPr>
          <w:rFonts w:hint="default" w:ascii="Times New Roman" w:hAnsi="Times New Roman" w:eastAsia="宋体" w:cs="Times New Roman"/>
          <w:caps w:val="0"/>
          <w:smallCaps w:val="0"/>
          <w:color w:val="auto"/>
          <w:sz w:val="24"/>
          <w:szCs w:val="20"/>
          <w:u w:val="none" w:color="auto"/>
        </w:rPr>
        <w:t>种群数量以及出现频率；在拟建地采取实地调查，</w:t>
      </w:r>
      <w:r>
        <w:rPr>
          <w:rFonts w:hint="default" w:ascii="Times New Roman" w:hAnsi="Times New Roman" w:eastAsia="宋体" w:cs="Times New Roman"/>
          <w:caps w:val="0"/>
          <w:smallCaps w:val="0"/>
          <w:color w:val="auto"/>
          <w:sz w:val="24"/>
          <w:szCs w:val="20"/>
          <w:u w:val="none" w:color="auto"/>
          <w:lang w:val="en-US" w:eastAsia="zh-CN"/>
        </w:rPr>
        <w:t>根据</w:t>
      </w:r>
      <w:r>
        <w:rPr>
          <w:rFonts w:hint="default" w:ascii="Times New Roman" w:hAnsi="Times New Roman" w:eastAsia="宋体" w:cs="Times New Roman"/>
          <w:caps w:val="0"/>
          <w:smallCaps w:val="0"/>
          <w:color w:val="auto"/>
          <w:sz w:val="24"/>
          <w:szCs w:val="20"/>
          <w:u w:val="none" w:color="auto"/>
        </w:rPr>
        <w:t>生境类型，</w:t>
      </w:r>
      <w:r>
        <w:rPr>
          <w:rFonts w:hint="default" w:ascii="Times New Roman" w:hAnsi="Times New Roman" w:eastAsia="宋体" w:cs="Times New Roman"/>
          <w:caps w:val="0"/>
          <w:smallCaps w:val="0"/>
          <w:color w:val="auto"/>
          <w:sz w:val="24"/>
          <w:szCs w:val="20"/>
          <w:u w:val="none" w:color="auto"/>
          <w:lang w:val="en-US" w:eastAsia="zh-CN"/>
        </w:rPr>
        <w:t>每类</w:t>
      </w:r>
      <w:r>
        <w:rPr>
          <w:rFonts w:hint="default" w:ascii="Times New Roman" w:hAnsi="Times New Roman" w:eastAsia="宋体" w:cs="Times New Roman"/>
          <w:caps w:val="0"/>
          <w:smallCaps w:val="0"/>
          <w:color w:val="auto"/>
          <w:sz w:val="24"/>
          <w:szCs w:val="20"/>
          <w:highlight w:val="none"/>
          <w:u w:val="none" w:color="auto"/>
        </w:rPr>
        <w:t>设置</w:t>
      </w:r>
      <w:r>
        <w:rPr>
          <w:rFonts w:hint="default" w:ascii="Times New Roman" w:hAnsi="Times New Roman" w:eastAsia="宋体" w:cs="Times New Roman"/>
          <w:caps w:val="0"/>
          <w:smallCaps w:val="0"/>
          <w:color w:val="auto"/>
          <w:sz w:val="24"/>
          <w:szCs w:val="20"/>
          <w:highlight w:val="none"/>
          <w:u w:val="none" w:color="auto"/>
          <w:lang w:val="en-US" w:eastAsia="zh-CN"/>
        </w:rPr>
        <w:t>3</w:t>
      </w:r>
      <w:r>
        <w:rPr>
          <w:rFonts w:hint="default" w:ascii="Times New Roman" w:hAnsi="Times New Roman" w:eastAsia="宋体" w:cs="Times New Roman"/>
          <w:caps w:val="0"/>
          <w:smallCaps w:val="0"/>
          <w:color w:val="auto"/>
          <w:sz w:val="24"/>
          <w:szCs w:val="20"/>
          <w:highlight w:val="none"/>
          <w:u w:val="none" w:color="auto"/>
        </w:rPr>
        <w:t>条样线</w:t>
      </w:r>
      <w:r>
        <w:rPr>
          <w:rFonts w:hint="default" w:ascii="Times New Roman" w:hAnsi="Times New Roman" w:eastAsia="宋体" w:cs="Times New Roman"/>
          <w:caps w:val="0"/>
          <w:smallCaps w:val="0"/>
          <w:color w:val="auto"/>
          <w:sz w:val="24"/>
          <w:szCs w:val="20"/>
          <w:u w:val="none" w:color="auto"/>
        </w:rPr>
        <w:t>，以进一步核实资料和走访结果的可靠性。</w:t>
      </w:r>
    </w:p>
    <w:p w14:paraId="0324DC57">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水生生物调查</w:t>
      </w:r>
    </w:p>
    <w:p w14:paraId="591FCEC0">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水生生物调查主要参照《内陆水域渔业自然资源调查手册》、《水库渔业资源调查规范》（SL167-2014）和《淡水浮游生物研究方法》等的相关技术和要求进行。调查内容包括：浮游藻类、浮游动物、底栖动物、鱼类。</w:t>
      </w:r>
    </w:p>
    <w:p w14:paraId="0F48F87B">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（1）野外调查和采集</w:t>
      </w:r>
    </w:p>
    <w:p w14:paraId="7DED12BF">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由于工程影响区域为藏区，鱼类捕捞管理严格，主要依据收集历史上有关本项目所在流域的资料和访问当地渔政部门等，了解工程所在河段水生生物的多样性及资源现状。鱼类“三场”主要通过河段生境和鱼类繁殖特性来进行初步确定。</w:t>
      </w:r>
    </w:p>
    <w:p w14:paraId="591BA77E">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（2）业内分析</w:t>
      </w:r>
    </w:p>
    <w:p w14:paraId="2D8BA107">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在实验室根据所取得的调查数据和文献资料进行报告编写。内业分析工作主要包括以下几个方面：</w:t>
      </w:r>
    </w:p>
    <w:p w14:paraId="291CBC3A">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①查阅有关文献资源，摸清工程影响区的本底现状。</w:t>
      </w:r>
    </w:p>
    <w:p w14:paraId="6E553FD6">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②根据工程基本情况及运行特点、工程与周围环境的关系以及调查结果，综合分析项目运行后对水生生态的影响情况。</w:t>
      </w:r>
    </w:p>
    <w:p w14:paraId="2EF2D93B">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制图及数据处理</w:t>
      </w:r>
    </w:p>
    <w:p w14:paraId="574F6FC4">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在现场调查和群落样地调查的基础上，采用GPS、RS和GIS相结合的地理信息技术，进行地面类型的数字化判读，完成数字化的植被图和土地利用类型图，进行生态环境质量的定性和定量评价。对监督分类产生的植被初图，结合路线调查记录和</w:t>
      </w:r>
      <w:r>
        <w:rPr>
          <w:rFonts w:hint="default" w:ascii="Times New Roman" w:hAnsi="Times New Roman" w:eastAsia="宋体" w:cs="Times New Roman"/>
          <w:caps w:val="0"/>
          <w:smallCaps w:val="0"/>
          <w:color w:val="auto"/>
          <w:sz w:val="24"/>
          <w:szCs w:val="20"/>
          <w:u w:val="none" w:color="auto"/>
          <w:lang w:val="en-US" w:eastAsia="zh-CN"/>
        </w:rPr>
        <w:t>海拔</w:t>
      </w:r>
      <w:r>
        <w:rPr>
          <w:rFonts w:hint="default" w:ascii="Times New Roman" w:hAnsi="Times New Roman" w:eastAsia="宋体" w:cs="Times New Roman"/>
          <w:caps w:val="0"/>
          <w:smallCaps w:val="0"/>
          <w:color w:val="auto"/>
          <w:sz w:val="24"/>
          <w:szCs w:val="20"/>
          <w:u w:val="none" w:color="auto"/>
        </w:rPr>
        <w:t>、坡度、坡向等信息，对植被图进行目视解译校正，得到符合精度要求的植被图。在植被图的基础上，进一步合并有关地面类型，得到生态系统类型图和土地利用现状图。利用RS软件进行卫片数据汇总，得出评价区生态系统分布、土地利用现状数据及植被分类面积数据。本报告</w:t>
      </w:r>
      <w:r>
        <w:rPr>
          <w:rFonts w:hint="default" w:ascii="Times New Roman" w:hAnsi="Times New Roman" w:eastAsia="宋体" w:cs="Times New Roman"/>
          <w:caps w:val="0"/>
          <w:smallCaps w:val="0"/>
          <w:color w:val="auto"/>
          <w:sz w:val="24"/>
          <w:szCs w:val="20"/>
          <w:u w:val="none" w:color="auto"/>
          <w:lang w:eastAsia="zh-CN"/>
        </w:rPr>
        <w:t>遥感数据使用</w:t>
      </w:r>
      <w:r>
        <w:rPr>
          <w:rFonts w:hint="default" w:ascii="Times New Roman" w:hAnsi="Times New Roman" w:eastAsia="宋体" w:cs="Times New Roman"/>
          <w:caps w:val="0"/>
          <w:smallCaps w:val="0"/>
          <w:color w:val="auto"/>
          <w:sz w:val="24"/>
          <w:szCs w:val="20"/>
          <w:u w:val="none" w:color="auto"/>
        </w:rPr>
        <w:t>Sentinel-2</w:t>
      </w:r>
      <w:r>
        <w:rPr>
          <w:rFonts w:hint="default" w:ascii="Times New Roman" w:hAnsi="Times New Roman" w:eastAsia="宋体" w:cs="Times New Roman"/>
          <w:caps w:val="0"/>
          <w:smallCaps w:val="0"/>
          <w:color w:val="auto"/>
          <w:sz w:val="24"/>
          <w:szCs w:val="20"/>
          <w:u w:val="none" w:color="auto"/>
          <w:lang w:eastAsia="zh-CN"/>
        </w:rPr>
        <w:t>卫星</w:t>
      </w:r>
      <w:r>
        <w:rPr>
          <w:rFonts w:hint="default" w:ascii="Times New Roman" w:hAnsi="Times New Roman" w:eastAsia="宋体" w:cs="Times New Roman"/>
          <w:caps w:val="0"/>
          <w:smallCaps w:val="0"/>
          <w:color w:val="auto"/>
          <w:sz w:val="24"/>
          <w:szCs w:val="20"/>
          <w:u w:val="none" w:color="auto"/>
        </w:rPr>
        <w:t>影像数据（</w:t>
      </w:r>
      <w:r>
        <w:rPr>
          <w:rFonts w:hint="default" w:ascii="Times New Roman" w:hAnsi="Times New Roman" w:eastAsia="宋体" w:cs="Times New Roman"/>
          <w:caps w:val="0"/>
          <w:smallCaps w:val="0"/>
          <w:color w:val="auto"/>
          <w:sz w:val="24"/>
          <w:szCs w:val="20"/>
          <w:highlight w:val="none"/>
          <w:u w:val="none" w:color="auto"/>
        </w:rPr>
        <w:t>成像时间202</w:t>
      </w:r>
      <w:r>
        <w:rPr>
          <w:rFonts w:hint="default" w:ascii="Times New Roman" w:hAnsi="Times New Roman" w:eastAsia="宋体" w:cs="Times New Roman"/>
          <w:caps w:val="0"/>
          <w:smallCaps w:val="0"/>
          <w:color w:val="auto"/>
          <w:sz w:val="24"/>
          <w:szCs w:val="20"/>
          <w:highlight w:val="none"/>
          <w:u w:val="none" w:color="auto"/>
          <w:lang w:val="en-US" w:eastAsia="zh-CN"/>
        </w:rPr>
        <w:t>3</w:t>
      </w:r>
      <w:r>
        <w:rPr>
          <w:rFonts w:hint="default" w:ascii="Times New Roman" w:hAnsi="Times New Roman" w:eastAsia="宋体" w:cs="Times New Roman"/>
          <w:caps w:val="0"/>
          <w:smallCaps w:val="0"/>
          <w:color w:val="auto"/>
          <w:sz w:val="24"/>
          <w:szCs w:val="20"/>
          <w:highlight w:val="none"/>
          <w:u w:val="none" w:color="auto"/>
        </w:rPr>
        <w:t>年</w:t>
      </w:r>
      <w:r>
        <w:rPr>
          <w:rFonts w:hint="default" w:ascii="Times New Roman" w:hAnsi="Times New Roman" w:eastAsia="宋体" w:cs="Times New Roman"/>
          <w:caps w:val="0"/>
          <w:smallCaps w:val="0"/>
          <w:color w:val="auto"/>
          <w:sz w:val="24"/>
          <w:szCs w:val="20"/>
          <w:highlight w:val="none"/>
          <w:u w:val="none" w:color="auto"/>
          <w:lang w:val="en-US" w:eastAsia="zh-CN"/>
        </w:rPr>
        <w:t>4-10</w:t>
      </w:r>
      <w:r>
        <w:rPr>
          <w:rFonts w:hint="default" w:ascii="Times New Roman" w:hAnsi="Times New Roman" w:eastAsia="宋体" w:cs="Times New Roman"/>
          <w:caps w:val="0"/>
          <w:smallCaps w:val="0"/>
          <w:color w:val="auto"/>
          <w:sz w:val="24"/>
          <w:szCs w:val="20"/>
          <w:highlight w:val="none"/>
          <w:u w:val="none" w:color="auto"/>
        </w:rPr>
        <w:t>月</w:t>
      </w:r>
      <w:r>
        <w:rPr>
          <w:rFonts w:hint="default" w:ascii="Times New Roman" w:hAnsi="Times New Roman" w:eastAsia="宋体" w:cs="Times New Roman"/>
          <w:caps w:val="0"/>
          <w:smallCaps w:val="0"/>
          <w:color w:val="auto"/>
          <w:sz w:val="24"/>
          <w:szCs w:val="20"/>
          <w:u w:val="none" w:color="auto"/>
        </w:rPr>
        <w:t>）</w:t>
      </w:r>
      <w:r>
        <w:rPr>
          <w:rFonts w:hint="default" w:ascii="Times New Roman" w:hAnsi="Times New Roman" w:eastAsia="宋体" w:cs="Times New Roman"/>
          <w:caps w:val="0"/>
          <w:smallCaps w:val="0"/>
          <w:color w:val="auto"/>
          <w:sz w:val="24"/>
          <w:szCs w:val="20"/>
          <w:u w:val="none" w:color="auto"/>
          <w:lang w:eastAsia="zh-CN"/>
        </w:rPr>
        <w:t>、天地图影像数据</w:t>
      </w:r>
      <w:r>
        <w:rPr>
          <w:rFonts w:hint="default" w:ascii="Times New Roman" w:hAnsi="Times New Roman" w:eastAsia="宋体" w:cs="Times New Roman"/>
          <w:caps w:val="0"/>
          <w:smallCaps w:val="0"/>
          <w:color w:val="auto"/>
          <w:sz w:val="24"/>
          <w:szCs w:val="20"/>
          <w:u w:val="none" w:color="auto"/>
          <w:lang w:val="en-US" w:eastAsia="zh-CN"/>
        </w:rPr>
        <w:t>等</w:t>
      </w:r>
      <w:r>
        <w:rPr>
          <w:rFonts w:hint="default" w:ascii="Times New Roman" w:hAnsi="Times New Roman" w:eastAsia="宋体" w:cs="Times New Roman"/>
          <w:caps w:val="0"/>
          <w:smallCaps w:val="0"/>
          <w:color w:val="auto"/>
          <w:sz w:val="24"/>
          <w:szCs w:val="20"/>
          <w:u w:val="none" w:color="auto"/>
        </w:rPr>
        <w:t>。</w:t>
      </w:r>
    </w:p>
    <w:p w14:paraId="75959276">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生物量和生产力的估算</w:t>
      </w:r>
    </w:p>
    <w:p w14:paraId="377A5047">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0"/>
          <w:u w:val="none" w:color="auto"/>
        </w:rPr>
      </w:pPr>
      <w:r>
        <w:rPr>
          <w:rFonts w:hint="default" w:ascii="Times New Roman" w:hAnsi="Times New Roman" w:eastAsia="宋体" w:cs="Times New Roman"/>
          <w:caps w:val="0"/>
          <w:smallCaps w:val="0"/>
          <w:color w:val="auto"/>
          <w:sz w:val="24"/>
          <w:szCs w:val="20"/>
          <w:u w:val="none" w:color="auto"/>
        </w:rPr>
        <w:t>参考国内外有关生产量</w:t>
      </w:r>
      <w:r>
        <w:rPr>
          <w:rFonts w:hint="default" w:ascii="Times New Roman" w:hAnsi="Times New Roman" w:eastAsia="宋体" w:cs="Times New Roman"/>
          <w:caps w:val="0"/>
          <w:smallCaps w:val="0"/>
          <w:color w:val="auto"/>
          <w:sz w:val="24"/>
          <w:szCs w:val="20"/>
          <w:u w:val="none" w:color="auto"/>
          <w:lang w:eastAsia="zh-CN"/>
        </w:rPr>
        <w:t>的研究</w:t>
      </w:r>
      <w:r>
        <w:rPr>
          <w:rFonts w:hint="default" w:ascii="Times New Roman" w:hAnsi="Times New Roman" w:eastAsia="宋体" w:cs="Times New Roman"/>
          <w:caps w:val="0"/>
          <w:smallCaps w:val="0"/>
          <w:color w:val="auto"/>
          <w:sz w:val="24"/>
          <w:szCs w:val="20"/>
          <w:u w:val="none" w:color="auto"/>
        </w:rPr>
        <w:t>资料，并根据当地的实际情况作适当调查，估算出评价范围域区的植被类型</w:t>
      </w:r>
      <w:r>
        <w:rPr>
          <w:rFonts w:hint="default" w:ascii="Times New Roman" w:hAnsi="Times New Roman" w:eastAsia="宋体" w:cs="Times New Roman"/>
          <w:caps w:val="0"/>
          <w:smallCaps w:val="0"/>
          <w:color w:val="auto"/>
          <w:sz w:val="24"/>
          <w:szCs w:val="20"/>
          <w:u w:val="none" w:color="auto"/>
          <w:lang w:eastAsia="zh-CN"/>
        </w:rPr>
        <w:t>生物量</w:t>
      </w:r>
      <w:r>
        <w:rPr>
          <w:rFonts w:hint="default" w:ascii="Times New Roman" w:hAnsi="Times New Roman" w:eastAsia="宋体" w:cs="Times New Roman"/>
          <w:caps w:val="0"/>
          <w:smallCaps w:val="0"/>
          <w:color w:val="auto"/>
          <w:sz w:val="24"/>
          <w:szCs w:val="20"/>
          <w:u w:val="none" w:color="auto"/>
        </w:rPr>
        <w:t>。</w:t>
      </w:r>
    </w:p>
    <w:p w14:paraId="2E941B45">
      <w:pPr>
        <w:spacing w:line="360" w:lineRule="auto"/>
        <w:ind w:firstLine="480" w:firstLineChars="200"/>
        <w:rPr>
          <w:rFonts w:hint="default" w:ascii="Times New Roman" w:hAnsi="Times New Roman" w:eastAsia="宋体" w:cs="Times New Roman"/>
          <w:caps w:val="0"/>
          <w:smallCaps w:val="0"/>
          <w:color w:val="auto"/>
          <w:sz w:val="24"/>
          <w:szCs w:val="21"/>
          <w:u w:val="none" w:color="auto"/>
        </w:rPr>
      </w:pPr>
      <w:r>
        <w:rPr>
          <w:rFonts w:hint="default" w:ascii="Times New Roman" w:hAnsi="Times New Roman" w:eastAsia="宋体" w:cs="Times New Roman"/>
          <w:caps w:val="0"/>
          <w:smallCaps w:val="0"/>
          <w:color w:val="auto"/>
          <w:sz w:val="24"/>
          <w:szCs w:val="21"/>
          <w:u w:val="none" w:color="auto"/>
        </w:rPr>
        <w:t>生产力估算采用导则推荐模型—Miami模型估算评价区本底自然生产力。</w:t>
      </w:r>
    </w:p>
    <w:p w14:paraId="071434AA">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调查记录</w:t>
      </w:r>
    </w:p>
    <w:p w14:paraId="67AD5D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aps w:val="0"/>
          <w:smallCaps w:val="0"/>
          <w:color w:val="auto"/>
          <w:kern w:val="2"/>
          <w:sz w:val="24"/>
          <w:szCs w:val="21"/>
          <w:u w:val="none" w:color="auto"/>
          <w:lang w:val="en-US" w:eastAsia="zh-CN" w:bidi="ar-SA"/>
        </w:rPr>
      </w:pPr>
      <w:r>
        <w:rPr>
          <w:rFonts w:hint="default" w:ascii="Times New Roman" w:hAnsi="Times New Roman" w:eastAsia="宋体" w:cs="Times New Roman"/>
          <w:caps w:val="0"/>
          <w:smallCaps w:val="0"/>
          <w:color w:val="auto"/>
          <w:kern w:val="2"/>
          <w:sz w:val="24"/>
          <w:szCs w:val="21"/>
          <w:u w:val="none" w:color="auto"/>
          <w:lang w:val="en-US" w:eastAsia="zh-CN" w:bidi="ar-SA"/>
        </w:rPr>
        <w:t>本次评价共开展1次现场调查，调查时间为：2024年</w:t>
      </w:r>
      <w:r>
        <w:rPr>
          <w:rFonts w:hint="eastAsia" w:ascii="Times New Roman" w:hAnsi="Times New Roman" w:eastAsia="宋体" w:cs="Times New Roman"/>
          <w:caps w:val="0"/>
          <w:smallCaps w:val="0"/>
          <w:color w:val="auto"/>
          <w:kern w:val="2"/>
          <w:sz w:val="24"/>
          <w:szCs w:val="21"/>
          <w:u w:val="none" w:color="auto"/>
          <w:lang w:val="en-US" w:eastAsia="zh-CN" w:bidi="ar-SA"/>
        </w:rPr>
        <w:t>9</w:t>
      </w:r>
      <w:r>
        <w:rPr>
          <w:rFonts w:hint="default" w:ascii="Times New Roman" w:hAnsi="Times New Roman" w:eastAsia="宋体" w:cs="Times New Roman"/>
          <w:caps w:val="0"/>
          <w:smallCaps w:val="0"/>
          <w:color w:val="auto"/>
          <w:kern w:val="2"/>
          <w:sz w:val="24"/>
          <w:szCs w:val="21"/>
          <w:u w:val="none" w:color="auto"/>
          <w:lang w:val="en-US" w:eastAsia="zh-CN" w:bidi="ar-SA"/>
        </w:rPr>
        <w:t>月1</w:t>
      </w:r>
      <w:r>
        <w:rPr>
          <w:rFonts w:hint="eastAsia" w:ascii="Times New Roman" w:hAnsi="Times New Roman" w:eastAsia="宋体" w:cs="Times New Roman"/>
          <w:caps w:val="0"/>
          <w:smallCaps w:val="0"/>
          <w:color w:val="auto"/>
          <w:kern w:val="2"/>
          <w:sz w:val="24"/>
          <w:szCs w:val="21"/>
          <w:u w:val="none" w:color="auto"/>
          <w:lang w:val="en-US" w:eastAsia="zh-CN" w:bidi="ar-SA"/>
        </w:rPr>
        <w:t>5</w:t>
      </w:r>
      <w:r>
        <w:rPr>
          <w:rFonts w:hint="default" w:ascii="Times New Roman" w:hAnsi="Times New Roman" w:eastAsia="宋体" w:cs="Times New Roman"/>
          <w:caps w:val="0"/>
          <w:smallCaps w:val="0"/>
          <w:color w:val="auto"/>
          <w:kern w:val="2"/>
          <w:sz w:val="24"/>
          <w:szCs w:val="21"/>
          <w:u w:val="none" w:color="auto"/>
          <w:lang w:val="en-US" w:eastAsia="zh-CN" w:bidi="ar-SA"/>
        </w:rPr>
        <w:t>日-1</w:t>
      </w:r>
      <w:r>
        <w:rPr>
          <w:rFonts w:hint="eastAsia" w:ascii="Times New Roman" w:hAnsi="Times New Roman" w:eastAsia="宋体" w:cs="Times New Roman"/>
          <w:caps w:val="0"/>
          <w:smallCaps w:val="0"/>
          <w:color w:val="auto"/>
          <w:kern w:val="2"/>
          <w:sz w:val="24"/>
          <w:szCs w:val="21"/>
          <w:u w:val="none" w:color="auto"/>
          <w:lang w:val="en-US" w:eastAsia="zh-CN" w:bidi="ar-SA"/>
        </w:rPr>
        <w:t>6</w:t>
      </w:r>
      <w:r>
        <w:rPr>
          <w:rFonts w:hint="default" w:ascii="Times New Roman" w:hAnsi="Times New Roman" w:eastAsia="宋体" w:cs="Times New Roman"/>
          <w:caps w:val="0"/>
          <w:smallCaps w:val="0"/>
          <w:color w:val="auto"/>
          <w:kern w:val="2"/>
          <w:sz w:val="24"/>
          <w:szCs w:val="21"/>
          <w:u w:val="none" w:color="auto"/>
          <w:lang w:val="en-US" w:eastAsia="zh-CN" w:bidi="ar-SA"/>
        </w:rPr>
        <w:t>日。同时收集了地方林业、农业部门近年的观测资料。</w:t>
      </w:r>
    </w:p>
    <w:p w14:paraId="5D0E79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color w:val="auto"/>
          <w:sz w:val="24"/>
          <w:szCs w:val="20"/>
          <w:u w:val="none" w:color="auto"/>
          <w:lang w:val="en-US" w:eastAsia="zh-CN"/>
        </w:rPr>
        <w:t>调查人员：匡阳正（林学）、</w:t>
      </w:r>
      <w:r>
        <w:rPr>
          <w:rFonts w:hint="default" w:ascii="Times New Roman" w:hAnsi="Times New Roman" w:eastAsia="宋体" w:cs="Times New Roman"/>
          <w:caps w:val="0"/>
          <w:smallCaps w:val="0"/>
          <w:color w:val="auto"/>
          <w:sz w:val="24"/>
          <w:szCs w:val="20"/>
          <w:highlight w:val="none"/>
          <w:u w:val="none" w:color="auto"/>
          <w:lang w:val="en-US" w:eastAsia="zh-CN"/>
        </w:rPr>
        <w:t xml:space="preserve"> 张益彰（生态学）</w:t>
      </w:r>
      <w:r>
        <w:rPr>
          <w:rFonts w:hint="default" w:ascii="Times New Roman" w:hAnsi="Times New Roman" w:eastAsia="宋体" w:cs="Times New Roman"/>
          <w:caps w:val="0"/>
          <w:smallCaps w:val="0"/>
          <w:color w:val="auto"/>
          <w:sz w:val="24"/>
          <w:szCs w:val="20"/>
          <w:u w:val="none" w:color="auto"/>
          <w:lang w:val="en-US" w:eastAsia="zh-CN"/>
        </w:rPr>
        <w:t>。</w:t>
      </w:r>
    </w:p>
    <w:p w14:paraId="6144A886">
      <w:pPr>
        <w:pStyle w:val="4"/>
        <w:bidi w:val="0"/>
        <w:rPr>
          <w:rFonts w:hint="default" w:ascii="Times New Roman" w:hAnsi="Times New Roman" w:cs="Times New Roman"/>
          <w:color w:val="auto"/>
          <w:u w:val="none" w:color="auto"/>
          <w:lang w:val="en-US" w:eastAsia="zh-CN"/>
        </w:rPr>
      </w:pPr>
      <w:bookmarkStart w:id="190" w:name="_Toc469741864"/>
      <w:bookmarkStart w:id="191" w:name="_Toc488758322"/>
      <w:bookmarkStart w:id="192" w:name="_Toc19336"/>
      <w:bookmarkStart w:id="193" w:name="_Toc29035"/>
      <w:bookmarkStart w:id="194" w:name="_Toc20273"/>
      <w:bookmarkStart w:id="195" w:name="_Toc27965"/>
      <w:bookmarkStart w:id="196" w:name="_Toc1988"/>
      <w:bookmarkStart w:id="197" w:name="_Toc26437"/>
      <w:bookmarkStart w:id="198" w:name="_Toc8129"/>
      <w:r>
        <w:rPr>
          <w:rFonts w:hint="default" w:ascii="Times New Roman" w:hAnsi="Times New Roman" w:cs="Times New Roman"/>
          <w:color w:val="auto"/>
          <w:u w:val="none" w:color="auto"/>
          <w:lang w:val="en-US" w:eastAsia="zh-CN"/>
        </w:rPr>
        <w:t>生态功能区划</w:t>
      </w:r>
      <w:bookmarkEnd w:id="190"/>
      <w:bookmarkEnd w:id="191"/>
      <w:r>
        <w:rPr>
          <w:rFonts w:hint="default" w:ascii="Times New Roman" w:hAnsi="Times New Roman" w:cs="Times New Roman"/>
          <w:color w:val="auto"/>
          <w:u w:val="none" w:color="auto"/>
          <w:lang w:val="en-US" w:eastAsia="zh-CN"/>
        </w:rPr>
        <w:t>及主要生态问题</w:t>
      </w:r>
      <w:bookmarkEnd w:id="192"/>
      <w:bookmarkEnd w:id="193"/>
    </w:p>
    <w:p w14:paraId="4AA1D510">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全国生态功能区划</w:t>
      </w:r>
    </w:p>
    <w:p w14:paraId="5A5BB103">
      <w:pPr>
        <w:autoSpaceDE w:val="0"/>
        <w:autoSpaceDN w:val="0"/>
        <w:adjustRightInd w:val="0"/>
        <w:spacing w:line="360" w:lineRule="auto"/>
        <w:ind w:firstLine="480" w:firstLineChars="200"/>
        <w:rPr>
          <w:rFonts w:hint="default" w:ascii="Times New Roman" w:hAnsi="Times New Roman" w:eastAsia="宋体" w:cs="Times New Roman"/>
          <w:caps w:val="0"/>
          <w:smallCaps w:val="0"/>
          <w:color w:val="auto"/>
          <w:sz w:val="24"/>
          <w:szCs w:val="22"/>
          <w:u w:val="none" w:color="auto"/>
        </w:rPr>
      </w:pPr>
      <w:r>
        <w:rPr>
          <w:rFonts w:hint="default" w:ascii="Times New Roman" w:hAnsi="Times New Roman" w:eastAsia="宋体" w:cs="Times New Roman"/>
          <w:caps w:val="0"/>
          <w:smallCaps w:val="0"/>
          <w:color w:val="auto"/>
          <w:sz w:val="24"/>
          <w:szCs w:val="22"/>
          <w:u w:val="none" w:color="auto"/>
        </w:rPr>
        <w:t>根据《全国生态功能区划（修编版）》（环境保护部 中国科学院，2015），评价区属</w:t>
      </w:r>
      <w:r>
        <w:rPr>
          <w:rFonts w:hint="default" w:ascii="Times New Roman" w:hAnsi="Times New Roman" w:eastAsia="宋体" w:cs="Times New Roman"/>
          <w:caps w:val="0"/>
          <w:smallCaps w:val="0"/>
          <w:color w:val="auto"/>
          <w:sz w:val="24"/>
          <w:szCs w:val="22"/>
          <w:u w:val="none" w:color="auto"/>
          <w:lang w:eastAsia="zh-CN"/>
        </w:rPr>
        <w:t>生态调节功能区——洪水调蓄功能区——</w:t>
      </w:r>
      <w:r>
        <w:rPr>
          <w:rFonts w:hint="default" w:ascii="Times New Roman" w:hAnsi="Times New Roman" w:eastAsia="宋体" w:cs="Times New Roman"/>
          <w:caps w:val="0"/>
          <w:smallCaps w:val="0"/>
          <w:color w:val="auto"/>
          <w:sz w:val="24"/>
          <w:szCs w:val="22"/>
          <w:u w:val="none" w:color="auto"/>
        </w:rPr>
        <w:t>洞庭湖洪水调蓄与生物多样性保护功能区。该区是长江中游的天然洪水调蓄库，对长江流域的生态安全具有十分重要的作用；同时还是我国重要的水产品生产区。此外，区域内洲滩及湿地植物发育，是迁徙鸟类重要的越冬地，对生物多样性保护具有重要意义。</w:t>
      </w:r>
    </w:p>
    <w:p w14:paraId="4789AD19">
      <w:pPr>
        <w:pStyle w:val="5"/>
        <w:bidi w:val="0"/>
        <w:rPr>
          <w:rFonts w:hint="default" w:ascii="Times New Roman" w:hAnsi="Times New Roman" w:cs="Times New Roman"/>
          <w:color w:val="auto"/>
          <w:u w:val="none" w:color="auto"/>
          <w:lang w:val="en-US" w:eastAsia="zh-CN"/>
        </w:rPr>
      </w:pPr>
      <w:bookmarkStart w:id="199" w:name="_Toc470013431"/>
      <w:r>
        <w:rPr>
          <w:rFonts w:hint="default" w:ascii="Times New Roman" w:hAnsi="Times New Roman" w:cs="Times New Roman"/>
          <w:color w:val="auto"/>
          <w:u w:val="none" w:color="auto"/>
          <w:lang w:val="en-US" w:eastAsia="zh-CN"/>
        </w:rPr>
        <w:t>湖南生态功能区划</w:t>
      </w:r>
    </w:p>
    <w:p w14:paraId="1667CC7A">
      <w:pPr>
        <w:autoSpaceDE w:val="0"/>
        <w:autoSpaceDN w:val="0"/>
        <w:adjustRightInd w:val="0"/>
        <w:spacing w:line="360" w:lineRule="auto"/>
        <w:ind w:firstLine="480" w:firstLineChars="200"/>
        <w:rPr>
          <w:rFonts w:hint="default" w:ascii="Times New Roman" w:hAnsi="Times New Roman" w:eastAsia="宋体" w:cs="Times New Roman"/>
          <w:caps w:val="0"/>
          <w:smallCaps w:val="0"/>
          <w:color w:val="auto"/>
          <w:sz w:val="24"/>
          <w:szCs w:val="22"/>
          <w:u w:val="none" w:color="auto"/>
        </w:rPr>
      </w:pPr>
      <w:r>
        <w:rPr>
          <w:rFonts w:hint="default" w:ascii="Times New Roman" w:hAnsi="Times New Roman" w:eastAsia="宋体" w:cs="Times New Roman"/>
          <w:caps w:val="0"/>
          <w:smallCaps w:val="0"/>
          <w:color w:val="auto"/>
          <w:sz w:val="24"/>
          <w:szCs w:val="22"/>
          <w:u w:val="none" w:color="auto"/>
        </w:rPr>
        <w:t>根据《湖南省生态功能区划研究报告》（湖南省环境保护局 等，2005年），项目评价区属于洞庭湖平原农业生态区</w:t>
      </w:r>
      <w:r>
        <w:rPr>
          <w:rFonts w:hint="default" w:ascii="Times New Roman" w:hAnsi="Times New Roman" w:eastAsia="宋体" w:cs="Times New Roman"/>
          <w:caps w:val="0"/>
          <w:smallCaps w:val="0"/>
          <w:color w:val="auto"/>
          <w:sz w:val="24"/>
          <w:szCs w:val="22"/>
          <w:u w:val="none" w:color="auto"/>
          <w:lang w:eastAsia="zh-CN"/>
        </w:rPr>
        <w:t>——洞庭湖平原湿地与农业生态亚区——荆江南岸洞庭湖平原洪水调蓄与农业生态功能区</w:t>
      </w:r>
      <w:r>
        <w:rPr>
          <w:rFonts w:hint="default" w:ascii="Times New Roman" w:hAnsi="Times New Roman" w:eastAsia="宋体" w:cs="Times New Roman"/>
          <w:caps w:val="0"/>
          <w:smallCaps w:val="0"/>
          <w:color w:val="auto"/>
          <w:sz w:val="24"/>
          <w:szCs w:val="22"/>
          <w:u w:val="none" w:color="auto"/>
        </w:rPr>
        <w:t>。</w:t>
      </w:r>
    </w:p>
    <w:p w14:paraId="5FD93D9D">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区域存在的主要生态问题</w:t>
      </w:r>
    </w:p>
    <w:bookmarkEnd w:id="199"/>
    <w:p w14:paraId="552A3199">
      <w:pPr>
        <w:autoSpaceDE w:val="0"/>
        <w:autoSpaceDN w:val="0"/>
        <w:adjustRightInd w:val="0"/>
        <w:spacing w:line="360" w:lineRule="auto"/>
        <w:ind w:firstLine="480" w:firstLineChars="200"/>
        <w:rPr>
          <w:rFonts w:hint="default" w:ascii="Times New Roman" w:hAnsi="Times New Roman" w:eastAsia="宋体" w:cs="Times New Roman"/>
          <w:caps w:val="0"/>
          <w:smallCaps w:val="0"/>
          <w:color w:val="auto"/>
          <w:sz w:val="24"/>
          <w:szCs w:val="22"/>
          <w:u w:val="none" w:color="auto"/>
        </w:rPr>
      </w:pPr>
      <w:r>
        <w:rPr>
          <w:rFonts w:hint="default" w:ascii="Times New Roman" w:hAnsi="Times New Roman" w:eastAsia="宋体" w:cs="Times New Roman"/>
          <w:caps w:val="0"/>
          <w:smallCaps w:val="0"/>
          <w:color w:val="auto"/>
          <w:sz w:val="24"/>
          <w:szCs w:val="22"/>
          <w:u w:val="none" w:color="auto"/>
          <w:lang w:val="en-US" w:eastAsia="zh-CN"/>
        </w:rPr>
        <w:t>本区</w:t>
      </w:r>
      <w:r>
        <w:rPr>
          <w:rFonts w:hint="default" w:ascii="Times New Roman" w:hAnsi="Times New Roman" w:eastAsia="宋体" w:cs="Times New Roman"/>
          <w:caps w:val="0"/>
          <w:smallCaps w:val="0"/>
          <w:color w:val="auto"/>
          <w:sz w:val="24"/>
          <w:szCs w:val="22"/>
          <w:u w:val="none" w:color="auto"/>
        </w:rPr>
        <w:t>主要</w:t>
      </w:r>
      <w:r>
        <w:rPr>
          <w:rFonts w:hint="default" w:ascii="Times New Roman" w:hAnsi="Times New Roman" w:eastAsia="宋体" w:cs="Times New Roman"/>
          <w:caps w:val="0"/>
          <w:smallCaps w:val="0"/>
          <w:color w:val="auto"/>
          <w:sz w:val="24"/>
          <w:szCs w:val="22"/>
          <w:u w:val="none" w:color="auto"/>
          <w:lang w:val="en-US" w:eastAsia="zh-CN"/>
        </w:rPr>
        <w:t>的生态</w:t>
      </w:r>
      <w:r>
        <w:rPr>
          <w:rFonts w:hint="default" w:ascii="Times New Roman" w:hAnsi="Times New Roman" w:eastAsia="宋体" w:cs="Times New Roman"/>
          <w:caps w:val="0"/>
          <w:smallCaps w:val="0"/>
          <w:color w:val="auto"/>
          <w:sz w:val="24"/>
          <w:szCs w:val="22"/>
          <w:u w:val="none" w:color="auto"/>
        </w:rPr>
        <w:t>问题为</w:t>
      </w:r>
      <w:r>
        <w:rPr>
          <w:rFonts w:hint="default" w:ascii="Times New Roman" w:hAnsi="Times New Roman" w:eastAsia="宋体" w:cs="Times New Roman"/>
          <w:caps w:val="0"/>
          <w:smallCaps w:val="0"/>
          <w:color w:val="auto"/>
          <w:sz w:val="24"/>
          <w:szCs w:val="22"/>
          <w:u w:val="none" w:color="auto"/>
          <w:lang w:eastAsia="zh-CN"/>
        </w:rPr>
        <w:t>：</w:t>
      </w:r>
      <w:r>
        <w:rPr>
          <w:rFonts w:hint="default" w:ascii="Times New Roman" w:hAnsi="Times New Roman" w:eastAsia="宋体" w:cs="Times New Roman"/>
          <w:caps w:val="0"/>
          <w:smallCaps w:val="0"/>
          <w:color w:val="auto"/>
          <w:sz w:val="24"/>
          <w:szCs w:val="22"/>
          <w:u w:val="none" w:color="auto"/>
        </w:rPr>
        <w:t>湖泊围垦和泥沙淤积导致湖泊面积和容积缩小，洪水调蓄能力降低；迁徙鸟类等重要物种的栖息地受到损害；随着洞庭湖流域经济发展与城市化，水环境质量面临威胁。此外，长江干流水利工程建设与运行，对洞庭湖湿地生态系统功能与生物多样性保护的影响初步显现。</w:t>
      </w:r>
    </w:p>
    <w:p w14:paraId="4204D603">
      <w:pPr>
        <w:autoSpaceDE w:val="0"/>
        <w:autoSpaceDN w:val="0"/>
        <w:adjustRightInd w:val="0"/>
        <w:spacing w:line="360" w:lineRule="auto"/>
        <w:ind w:firstLine="480" w:firstLineChars="200"/>
        <w:rPr>
          <w:rFonts w:hint="default" w:ascii="Times New Roman" w:hAnsi="Times New Roman" w:eastAsia="宋体" w:cs="Times New Roman"/>
          <w:caps w:val="0"/>
          <w:smallCaps w:val="0"/>
          <w:color w:val="auto"/>
          <w:sz w:val="24"/>
          <w:szCs w:val="22"/>
          <w:u w:val="none" w:color="auto"/>
          <w:lang w:val="en-US" w:eastAsia="zh-CN"/>
        </w:rPr>
      </w:pPr>
      <w:r>
        <w:rPr>
          <w:rFonts w:hint="default" w:ascii="Times New Roman" w:hAnsi="Times New Roman" w:eastAsia="宋体" w:cs="Times New Roman"/>
          <w:caps w:val="0"/>
          <w:smallCaps w:val="0"/>
          <w:color w:val="auto"/>
          <w:sz w:val="24"/>
          <w:szCs w:val="22"/>
          <w:u w:val="none" w:color="auto"/>
          <w:lang w:val="en-US" w:eastAsia="zh-CN"/>
        </w:rPr>
        <w:t>生态保护措施：实行平垸行洪、退田还湖、移民建镇，扩大湖泊面积，提高其洪水调蓄的能力；以湿地生物多样性保护为核心，加强区内湿地自然保护区的建设与管理，处理好湿地生态保护与经济发展关系，保护渔业资源与水生生物多样性；控制点源和面源污染，加强江湖关系演变的监测和研究，实施长江干流水利工程的生态调度，保护与恢复洞庭湖生态系统结构与功能。</w:t>
      </w:r>
    </w:p>
    <w:p w14:paraId="4F388F45">
      <w:pPr>
        <w:pStyle w:val="4"/>
        <w:bidi w:val="0"/>
        <w:rPr>
          <w:rFonts w:hint="default" w:ascii="Times New Roman" w:hAnsi="Times New Roman" w:cs="Times New Roman"/>
          <w:color w:val="auto"/>
          <w:u w:val="none" w:color="auto"/>
          <w:lang w:val="en-US" w:eastAsia="zh-CN"/>
        </w:rPr>
      </w:pPr>
      <w:bookmarkStart w:id="200" w:name="_Toc28713"/>
      <w:bookmarkStart w:id="201" w:name="_Toc15539"/>
      <w:r>
        <w:rPr>
          <w:rFonts w:hint="default" w:ascii="Times New Roman" w:hAnsi="Times New Roman" w:cs="Times New Roman"/>
          <w:color w:val="auto"/>
          <w:u w:val="none" w:color="auto"/>
          <w:lang w:val="en-US" w:eastAsia="zh-CN"/>
        </w:rPr>
        <w:t>非生物因子现状</w:t>
      </w:r>
      <w:bookmarkEnd w:id="194"/>
      <w:bookmarkEnd w:id="200"/>
      <w:bookmarkEnd w:id="201"/>
    </w:p>
    <w:p w14:paraId="0198717A">
      <w:pPr>
        <w:spacing w:line="360" w:lineRule="auto"/>
        <w:ind w:firstLine="480" w:firstLineChars="200"/>
        <w:rPr>
          <w:rFonts w:hint="default" w:ascii="Times New Roman" w:hAnsi="Times New Roman" w:eastAsia="宋体" w:cs="Times New Roman"/>
          <w:caps w:val="0"/>
          <w:smallCaps w:val="0"/>
          <w:color w:val="auto"/>
          <w:sz w:val="24"/>
          <w:szCs w:val="21"/>
          <w:u w:val="none" w:color="auto"/>
        </w:rPr>
      </w:pPr>
      <w:r>
        <w:rPr>
          <w:rFonts w:hint="eastAsia" w:ascii="Times New Roman" w:hAnsi="Times New Roman" w:eastAsia="宋体" w:cs="Times New Roman"/>
          <w:caps w:val="0"/>
          <w:smallCaps w:val="0"/>
          <w:color w:val="auto"/>
          <w:sz w:val="24"/>
          <w:szCs w:val="21"/>
          <w:u w:val="none" w:color="auto"/>
          <w:lang w:eastAsia="zh-CN"/>
        </w:rPr>
        <w:t>北汊水库</w:t>
      </w:r>
      <w:r>
        <w:rPr>
          <w:rFonts w:hint="default" w:ascii="Times New Roman" w:hAnsi="Times New Roman" w:eastAsia="宋体" w:cs="Times New Roman"/>
          <w:caps w:val="0"/>
          <w:smallCaps w:val="0"/>
          <w:color w:val="auto"/>
          <w:sz w:val="24"/>
          <w:szCs w:val="21"/>
          <w:u w:val="none" w:color="auto"/>
        </w:rPr>
        <w:t>库区属中亚热带季风湿润气候，具有“气候温和，四季分明，热量丰富，雨水充沛”的特点。根据库区原有的洪山头站气象资料统计，多年平均降雨量1262.3mm，多年平均降雨天数183.1天，降雨量年内分布极不均匀，4～6月降雨量523.2mm，占全年的41.37%。而农作物需水高峰期的7～9月多年平均降雨量仅336.6mm，只占年降雨量的26.61%。多年平均气温16.7～17.4℃，极端最低气温为零下12.6℃，极端最高气温40.0℃，无霜期273～283d，冰冻期一般从12月下旬开始至元月底结束，结冰厚度一般为5～10mm，最大积雪厚300mm。年平均日照时数为1800h。年平均蒸发量970.9mm。最大风力8级，瞬间最大风速24.5m/s。</w:t>
      </w:r>
    </w:p>
    <w:p w14:paraId="60DE63C3">
      <w:pPr>
        <w:pStyle w:val="4"/>
        <w:bidi w:val="0"/>
        <w:rPr>
          <w:rFonts w:hint="default" w:ascii="Times New Roman" w:hAnsi="Times New Roman" w:cs="Times New Roman"/>
          <w:color w:val="auto"/>
          <w:u w:val="none" w:color="auto"/>
          <w:lang w:val="en-US" w:eastAsia="zh-CN"/>
        </w:rPr>
      </w:pPr>
      <w:bookmarkStart w:id="202" w:name="_Toc18521"/>
      <w:bookmarkStart w:id="203" w:name="_Toc18363"/>
      <w:r>
        <w:rPr>
          <w:rFonts w:hint="default" w:ascii="Times New Roman" w:hAnsi="Times New Roman" w:cs="Times New Roman"/>
          <w:color w:val="auto"/>
          <w:u w:val="none" w:color="auto"/>
          <w:lang w:val="en-US" w:eastAsia="zh-CN"/>
        </w:rPr>
        <w:t>土地利用现状</w:t>
      </w:r>
      <w:bookmarkEnd w:id="195"/>
      <w:bookmarkEnd w:id="196"/>
      <w:bookmarkEnd w:id="197"/>
      <w:bookmarkEnd w:id="198"/>
      <w:bookmarkEnd w:id="202"/>
      <w:bookmarkEnd w:id="203"/>
    </w:p>
    <w:p w14:paraId="7BA80556">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项目位于岳阳市华容县境内，评价区土地利用现状是在卫片解译的基础上，结合现有资料，运用景观生态法（即以植被作为主导因素），并结合土壤、地貌等因子进行综合分析，根据《土地利用现状分类》（GB/T21010-2017）的分类，将土地利用格局的拼块类型分为林地、草地、耕地等几种类型。</w:t>
      </w:r>
    </w:p>
    <w:p w14:paraId="665D31B4">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1</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评价区土地利用现状</w:t>
      </w:r>
    </w:p>
    <w:tbl>
      <w:tblPr>
        <w:tblStyle w:val="39"/>
        <w:tblW w:w="85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5"/>
        <w:gridCol w:w="2525"/>
        <w:gridCol w:w="1905"/>
        <w:gridCol w:w="1477"/>
        <w:gridCol w:w="1652"/>
      </w:tblGrid>
      <w:tr w14:paraId="3AA7A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4FE32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编号</w:t>
            </w:r>
          </w:p>
        </w:tc>
        <w:tc>
          <w:tcPr>
            <w:tcW w:w="2525" w:type="dxa"/>
            <w:tcBorders>
              <w:tl2br w:val="nil"/>
              <w:tr2bl w:val="nil"/>
            </w:tcBorders>
            <w:shd w:val="clear" w:color="auto" w:fill="auto"/>
            <w:noWrap/>
            <w:vAlign w:val="center"/>
          </w:tcPr>
          <w:p w14:paraId="4D9D9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一级分类</w:t>
            </w:r>
          </w:p>
        </w:tc>
        <w:tc>
          <w:tcPr>
            <w:tcW w:w="1905" w:type="dxa"/>
            <w:tcBorders>
              <w:tl2br w:val="nil"/>
              <w:tr2bl w:val="nil"/>
            </w:tcBorders>
            <w:shd w:val="clear" w:color="auto" w:fill="auto"/>
            <w:noWrap/>
            <w:vAlign w:val="center"/>
          </w:tcPr>
          <w:p w14:paraId="2E29A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二级分类</w:t>
            </w:r>
          </w:p>
        </w:tc>
        <w:tc>
          <w:tcPr>
            <w:tcW w:w="1477" w:type="dxa"/>
            <w:tcBorders>
              <w:tl2br w:val="nil"/>
              <w:tr2bl w:val="nil"/>
            </w:tcBorders>
            <w:shd w:val="clear" w:color="auto" w:fill="auto"/>
            <w:noWrap/>
            <w:vAlign w:val="center"/>
          </w:tcPr>
          <w:p w14:paraId="466F28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面积（公顷）</w:t>
            </w:r>
          </w:p>
        </w:tc>
        <w:tc>
          <w:tcPr>
            <w:tcW w:w="1652" w:type="dxa"/>
            <w:tcBorders>
              <w:tl2br w:val="nil"/>
              <w:tr2bl w:val="nil"/>
            </w:tcBorders>
            <w:shd w:val="clear" w:color="auto" w:fill="auto"/>
            <w:noWrap/>
            <w:vAlign w:val="center"/>
          </w:tcPr>
          <w:p w14:paraId="607F1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占评价区（%）</w:t>
            </w:r>
          </w:p>
        </w:tc>
      </w:tr>
      <w:tr w14:paraId="2E328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5C6A6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2525" w:type="dxa"/>
            <w:tcBorders>
              <w:tl2br w:val="nil"/>
              <w:tr2bl w:val="nil"/>
            </w:tcBorders>
            <w:shd w:val="clear" w:color="auto" w:fill="auto"/>
            <w:noWrap/>
            <w:vAlign w:val="center"/>
          </w:tcPr>
          <w:p w14:paraId="336B20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耕地</w:t>
            </w:r>
          </w:p>
        </w:tc>
        <w:tc>
          <w:tcPr>
            <w:tcW w:w="1905" w:type="dxa"/>
            <w:tcBorders>
              <w:tl2br w:val="nil"/>
              <w:tr2bl w:val="nil"/>
            </w:tcBorders>
            <w:shd w:val="clear" w:color="auto" w:fill="auto"/>
            <w:noWrap/>
            <w:vAlign w:val="center"/>
          </w:tcPr>
          <w:p w14:paraId="34C3D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水田</w:t>
            </w:r>
          </w:p>
        </w:tc>
        <w:tc>
          <w:tcPr>
            <w:tcW w:w="1477" w:type="dxa"/>
            <w:tcBorders>
              <w:tl2br w:val="nil"/>
              <w:tr2bl w:val="nil"/>
            </w:tcBorders>
            <w:shd w:val="clear" w:color="auto" w:fill="auto"/>
            <w:noWrap/>
            <w:vAlign w:val="center"/>
          </w:tcPr>
          <w:p w14:paraId="46BD0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344.2565</w:t>
            </w:r>
          </w:p>
        </w:tc>
        <w:tc>
          <w:tcPr>
            <w:tcW w:w="1652" w:type="dxa"/>
            <w:tcBorders>
              <w:tl2br w:val="nil"/>
              <w:tr2bl w:val="nil"/>
            </w:tcBorders>
            <w:shd w:val="clear" w:color="auto" w:fill="auto"/>
            <w:noWrap/>
            <w:vAlign w:val="center"/>
          </w:tcPr>
          <w:p w14:paraId="396A4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22.18</w:t>
            </w:r>
          </w:p>
        </w:tc>
      </w:tr>
      <w:tr w14:paraId="06362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4CA315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2525" w:type="dxa"/>
            <w:tcBorders>
              <w:tl2br w:val="nil"/>
              <w:tr2bl w:val="nil"/>
            </w:tcBorders>
            <w:shd w:val="clear" w:color="auto" w:fill="auto"/>
            <w:noWrap/>
            <w:vAlign w:val="center"/>
          </w:tcPr>
          <w:p w14:paraId="5307E6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耕地</w:t>
            </w:r>
          </w:p>
        </w:tc>
        <w:tc>
          <w:tcPr>
            <w:tcW w:w="1905" w:type="dxa"/>
            <w:tcBorders>
              <w:tl2br w:val="nil"/>
              <w:tr2bl w:val="nil"/>
            </w:tcBorders>
            <w:shd w:val="clear" w:color="auto" w:fill="auto"/>
            <w:noWrap/>
            <w:vAlign w:val="center"/>
          </w:tcPr>
          <w:p w14:paraId="5F08C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旱地</w:t>
            </w:r>
          </w:p>
        </w:tc>
        <w:tc>
          <w:tcPr>
            <w:tcW w:w="1477" w:type="dxa"/>
            <w:tcBorders>
              <w:tl2br w:val="nil"/>
              <w:tr2bl w:val="nil"/>
            </w:tcBorders>
            <w:shd w:val="clear" w:color="auto" w:fill="auto"/>
            <w:noWrap/>
            <w:vAlign w:val="center"/>
          </w:tcPr>
          <w:p w14:paraId="4807F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326.6993</w:t>
            </w:r>
          </w:p>
        </w:tc>
        <w:tc>
          <w:tcPr>
            <w:tcW w:w="1652" w:type="dxa"/>
            <w:tcBorders>
              <w:tl2br w:val="nil"/>
              <w:tr2bl w:val="nil"/>
            </w:tcBorders>
            <w:shd w:val="clear" w:color="auto" w:fill="auto"/>
            <w:noWrap/>
            <w:vAlign w:val="center"/>
          </w:tcPr>
          <w:p w14:paraId="09680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21.05</w:t>
            </w:r>
          </w:p>
        </w:tc>
      </w:tr>
      <w:tr w14:paraId="205AF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752E8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2525" w:type="dxa"/>
            <w:tcBorders>
              <w:tl2br w:val="nil"/>
              <w:tr2bl w:val="nil"/>
            </w:tcBorders>
            <w:shd w:val="clear" w:color="auto" w:fill="auto"/>
            <w:noWrap/>
            <w:vAlign w:val="center"/>
          </w:tcPr>
          <w:p w14:paraId="16761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园地</w:t>
            </w:r>
          </w:p>
        </w:tc>
        <w:tc>
          <w:tcPr>
            <w:tcW w:w="1905" w:type="dxa"/>
            <w:tcBorders>
              <w:tl2br w:val="nil"/>
              <w:tr2bl w:val="nil"/>
            </w:tcBorders>
            <w:shd w:val="clear" w:color="auto" w:fill="auto"/>
            <w:noWrap/>
            <w:vAlign w:val="center"/>
          </w:tcPr>
          <w:p w14:paraId="5C540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其他园地</w:t>
            </w:r>
          </w:p>
        </w:tc>
        <w:tc>
          <w:tcPr>
            <w:tcW w:w="1477" w:type="dxa"/>
            <w:tcBorders>
              <w:tl2br w:val="nil"/>
              <w:tr2bl w:val="nil"/>
            </w:tcBorders>
            <w:shd w:val="clear" w:color="auto" w:fill="auto"/>
            <w:noWrap/>
            <w:vAlign w:val="center"/>
          </w:tcPr>
          <w:p w14:paraId="44416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40.3430</w:t>
            </w:r>
          </w:p>
        </w:tc>
        <w:tc>
          <w:tcPr>
            <w:tcW w:w="1652" w:type="dxa"/>
            <w:tcBorders>
              <w:tl2br w:val="nil"/>
              <w:tr2bl w:val="nil"/>
            </w:tcBorders>
            <w:shd w:val="clear" w:color="auto" w:fill="auto"/>
            <w:noWrap/>
            <w:vAlign w:val="center"/>
          </w:tcPr>
          <w:p w14:paraId="624B49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2.60</w:t>
            </w:r>
          </w:p>
        </w:tc>
      </w:tr>
      <w:tr w14:paraId="64D0F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59D87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p>
        </w:tc>
        <w:tc>
          <w:tcPr>
            <w:tcW w:w="2525" w:type="dxa"/>
            <w:tcBorders>
              <w:tl2br w:val="nil"/>
              <w:tr2bl w:val="nil"/>
            </w:tcBorders>
            <w:shd w:val="clear" w:color="auto" w:fill="auto"/>
            <w:noWrap/>
            <w:vAlign w:val="center"/>
          </w:tcPr>
          <w:p w14:paraId="35163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林地</w:t>
            </w:r>
          </w:p>
        </w:tc>
        <w:tc>
          <w:tcPr>
            <w:tcW w:w="1905" w:type="dxa"/>
            <w:tcBorders>
              <w:tl2br w:val="nil"/>
              <w:tr2bl w:val="nil"/>
            </w:tcBorders>
            <w:shd w:val="clear" w:color="auto" w:fill="auto"/>
            <w:noWrap/>
            <w:vAlign w:val="center"/>
          </w:tcPr>
          <w:p w14:paraId="37806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乔木林地</w:t>
            </w:r>
          </w:p>
        </w:tc>
        <w:tc>
          <w:tcPr>
            <w:tcW w:w="1477" w:type="dxa"/>
            <w:tcBorders>
              <w:tl2br w:val="nil"/>
              <w:tr2bl w:val="nil"/>
            </w:tcBorders>
            <w:shd w:val="clear" w:color="auto" w:fill="auto"/>
            <w:noWrap/>
            <w:vAlign w:val="center"/>
          </w:tcPr>
          <w:p w14:paraId="1DCD1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224.3256</w:t>
            </w:r>
          </w:p>
        </w:tc>
        <w:tc>
          <w:tcPr>
            <w:tcW w:w="1652" w:type="dxa"/>
            <w:tcBorders>
              <w:tl2br w:val="nil"/>
              <w:tr2bl w:val="nil"/>
            </w:tcBorders>
            <w:shd w:val="clear" w:color="auto" w:fill="auto"/>
            <w:noWrap/>
            <w:vAlign w:val="center"/>
          </w:tcPr>
          <w:p w14:paraId="04E33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14.46</w:t>
            </w:r>
          </w:p>
        </w:tc>
      </w:tr>
      <w:tr w14:paraId="14763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45C8C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w:t>
            </w:r>
          </w:p>
        </w:tc>
        <w:tc>
          <w:tcPr>
            <w:tcW w:w="2525" w:type="dxa"/>
            <w:tcBorders>
              <w:tl2br w:val="nil"/>
              <w:tr2bl w:val="nil"/>
            </w:tcBorders>
            <w:shd w:val="clear" w:color="auto" w:fill="auto"/>
            <w:noWrap/>
            <w:vAlign w:val="center"/>
          </w:tcPr>
          <w:p w14:paraId="42D340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林地</w:t>
            </w:r>
          </w:p>
        </w:tc>
        <w:tc>
          <w:tcPr>
            <w:tcW w:w="1905" w:type="dxa"/>
            <w:tcBorders>
              <w:tl2br w:val="nil"/>
              <w:tr2bl w:val="nil"/>
            </w:tcBorders>
            <w:shd w:val="clear" w:color="auto" w:fill="auto"/>
            <w:noWrap/>
            <w:vAlign w:val="center"/>
          </w:tcPr>
          <w:p w14:paraId="36108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竹林地</w:t>
            </w:r>
          </w:p>
        </w:tc>
        <w:tc>
          <w:tcPr>
            <w:tcW w:w="1477" w:type="dxa"/>
            <w:tcBorders>
              <w:tl2br w:val="nil"/>
              <w:tr2bl w:val="nil"/>
            </w:tcBorders>
            <w:shd w:val="clear" w:color="auto" w:fill="auto"/>
            <w:noWrap/>
            <w:vAlign w:val="center"/>
          </w:tcPr>
          <w:p w14:paraId="0A848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81.8977</w:t>
            </w:r>
          </w:p>
        </w:tc>
        <w:tc>
          <w:tcPr>
            <w:tcW w:w="1652" w:type="dxa"/>
            <w:tcBorders>
              <w:tl2br w:val="nil"/>
              <w:tr2bl w:val="nil"/>
            </w:tcBorders>
            <w:shd w:val="clear" w:color="auto" w:fill="auto"/>
            <w:noWrap/>
            <w:vAlign w:val="center"/>
          </w:tcPr>
          <w:p w14:paraId="22088B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5.28</w:t>
            </w:r>
          </w:p>
        </w:tc>
      </w:tr>
      <w:tr w14:paraId="29828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5C832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w:t>
            </w:r>
          </w:p>
        </w:tc>
        <w:tc>
          <w:tcPr>
            <w:tcW w:w="2525" w:type="dxa"/>
            <w:tcBorders>
              <w:tl2br w:val="nil"/>
              <w:tr2bl w:val="nil"/>
            </w:tcBorders>
            <w:shd w:val="clear" w:color="auto" w:fill="auto"/>
            <w:noWrap/>
            <w:vAlign w:val="center"/>
          </w:tcPr>
          <w:p w14:paraId="58001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林地</w:t>
            </w:r>
          </w:p>
        </w:tc>
        <w:tc>
          <w:tcPr>
            <w:tcW w:w="1905" w:type="dxa"/>
            <w:tcBorders>
              <w:tl2br w:val="nil"/>
              <w:tr2bl w:val="nil"/>
            </w:tcBorders>
            <w:shd w:val="clear" w:color="auto" w:fill="auto"/>
            <w:noWrap/>
            <w:vAlign w:val="center"/>
          </w:tcPr>
          <w:p w14:paraId="7931D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灌木林地</w:t>
            </w:r>
          </w:p>
        </w:tc>
        <w:tc>
          <w:tcPr>
            <w:tcW w:w="1477" w:type="dxa"/>
            <w:tcBorders>
              <w:tl2br w:val="nil"/>
              <w:tr2bl w:val="nil"/>
            </w:tcBorders>
            <w:shd w:val="clear" w:color="auto" w:fill="auto"/>
            <w:noWrap/>
            <w:vAlign w:val="center"/>
          </w:tcPr>
          <w:p w14:paraId="5CCE0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71.3689</w:t>
            </w:r>
          </w:p>
        </w:tc>
        <w:tc>
          <w:tcPr>
            <w:tcW w:w="1652" w:type="dxa"/>
            <w:tcBorders>
              <w:tl2br w:val="nil"/>
              <w:tr2bl w:val="nil"/>
            </w:tcBorders>
            <w:shd w:val="clear" w:color="auto" w:fill="auto"/>
            <w:noWrap/>
            <w:vAlign w:val="center"/>
          </w:tcPr>
          <w:p w14:paraId="394E5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4.60</w:t>
            </w:r>
          </w:p>
        </w:tc>
      </w:tr>
      <w:tr w14:paraId="3AD45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163AF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w:t>
            </w:r>
          </w:p>
        </w:tc>
        <w:tc>
          <w:tcPr>
            <w:tcW w:w="2525" w:type="dxa"/>
            <w:tcBorders>
              <w:tl2br w:val="nil"/>
              <w:tr2bl w:val="nil"/>
            </w:tcBorders>
            <w:shd w:val="clear" w:color="auto" w:fill="auto"/>
            <w:noWrap/>
            <w:vAlign w:val="center"/>
          </w:tcPr>
          <w:p w14:paraId="1AC8D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草地</w:t>
            </w:r>
          </w:p>
        </w:tc>
        <w:tc>
          <w:tcPr>
            <w:tcW w:w="1905" w:type="dxa"/>
            <w:tcBorders>
              <w:tl2br w:val="nil"/>
              <w:tr2bl w:val="nil"/>
            </w:tcBorders>
            <w:shd w:val="clear" w:color="auto" w:fill="auto"/>
            <w:noWrap/>
            <w:vAlign w:val="center"/>
          </w:tcPr>
          <w:p w14:paraId="033C6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其他草地</w:t>
            </w:r>
          </w:p>
        </w:tc>
        <w:tc>
          <w:tcPr>
            <w:tcW w:w="1477" w:type="dxa"/>
            <w:tcBorders>
              <w:tl2br w:val="nil"/>
              <w:tr2bl w:val="nil"/>
            </w:tcBorders>
            <w:shd w:val="clear" w:color="auto" w:fill="auto"/>
            <w:noWrap/>
            <w:vAlign w:val="center"/>
          </w:tcPr>
          <w:p w14:paraId="2FF4C2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31.4958</w:t>
            </w:r>
          </w:p>
        </w:tc>
        <w:tc>
          <w:tcPr>
            <w:tcW w:w="1652" w:type="dxa"/>
            <w:tcBorders>
              <w:tl2br w:val="nil"/>
              <w:tr2bl w:val="nil"/>
            </w:tcBorders>
            <w:shd w:val="clear" w:color="auto" w:fill="auto"/>
            <w:noWrap/>
            <w:vAlign w:val="center"/>
          </w:tcPr>
          <w:p w14:paraId="49FAD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2.03</w:t>
            </w:r>
          </w:p>
        </w:tc>
      </w:tr>
      <w:tr w14:paraId="7A1D1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31058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w:t>
            </w:r>
          </w:p>
        </w:tc>
        <w:tc>
          <w:tcPr>
            <w:tcW w:w="2525" w:type="dxa"/>
            <w:tcBorders>
              <w:tl2br w:val="nil"/>
              <w:tr2bl w:val="nil"/>
            </w:tcBorders>
            <w:shd w:val="clear" w:color="auto" w:fill="auto"/>
            <w:noWrap/>
            <w:vAlign w:val="center"/>
          </w:tcPr>
          <w:p w14:paraId="14CC8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住宅用地</w:t>
            </w:r>
          </w:p>
        </w:tc>
        <w:tc>
          <w:tcPr>
            <w:tcW w:w="1905" w:type="dxa"/>
            <w:tcBorders>
              <w:tl2br w:val="nil"/>
              <w:tr2bl w:val="nil"/>
            </w:tcBorders>
            <w:shd w:val="clear" w:color="auto" w:fill="auto"/>
            <w:noWrap/>
            <w:vAlign w:val="center"/>
          </w:tcPr>
          <w:p w14:paraId="4874B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农村宅基地</w:t>
            </w:r>
          </w:p>
        </w:tc>
        <w:tc>
          <w:tcPr>
            <w:tcW w:w="1477" w:type="dxa"/>
            <w:tcBorders>
              <w:tl2br w:val="nil"/>
              <w:tr2bl w:val="nil"/>
            </w:tcBorders>
            <w:shd w:val="clear" w:color="auto" w:fill="auto"/>
            <w:noWrap/>
            <w:vAlign w:val="center"/>
          </w:tcPr>
          <w:p w14:paraId="4462A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20.0693</w:t>
            </w:r>
          </w:p>
        </w:tc>
        <w:tc>
          <w:tcPr>
            <w:tcW w:w="1652" w:type="dxa"/>
            <w:tcBorders>
              <w:tl2br w:val="nil"/>
              <w:tr2bl w:val="nil"/>
            </w:tcBorders>
            <w:shd w:val="clear" w:color="auto" w:fill="auto"/>
            <w:noWrap/>
            <w:vAlign w:val="center"/>
          </w:tcPr>
          <w:p w14:paraId="291A8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1.29</w:t>
            </w:r>
          </w:p>
        </w:tc>
      </w:tr>
      <w:tr w14:paraId="502D4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01E426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9</w:t>
            </w:r>
          </w:p>
        </w:tc>
        <w:tc>
          <w:tcPr>
            <w:tcW w:w="2525" w:type="dxa"/>
            <w:tcBorders>
              <w:tl2br w:val="nil"/>
              <w:tr2bl w:val="nil"/>
            </w:tcBorders>
            <w:shd w:val="clear" w:color="auto" w:fill="auto"/>
            <w:noWrap/>
            <w:vAlign w:val="center"/>
          </w:tcPr>
          <w:p w14:paraId="79BE98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交通运输用地</w:t>
            </w:r>
          </w:p>
        </w:tc>
        <w:tc>
          <w:tcPr>
            <w:tcW w:w="1905" w:type="dxa"/>
            <w:tcBorders>
              <w:tl2br w:val="nil"/>
              <w:tr2bl w:val="nil"/>
            </w:tcBorders>
            <w:shd w:val="clear" w:color="auto" w:fill="auto"/>
            <w:noWrap/>
            <w:vAlign w:val="center"/>
          </w:tcPr>
          <w:p w14:paraId="1EA2C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公路用地</w:t>
            </w:r>
          </w:p>
        </w:tc>
        <w:tc>
          <w:tcPr>
            <w:tcW w:w="1477" w:type="dxa"/>
            <w:tcBorders>
              <w:tl2br w:val="nil"/>
              <w:tr2bl w:val="nil"/>
            </w:tcBorders>
            <w:shd w:val="clear" w:color="auto" w:fill="auto"/>
            <w:noWrap/>
            <w:vAlign w:val="center"/>
          </w:tcPr>
          <w:p w14:paraId="295CA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0.2530</w:t>
            </w:r>
          </w:p>
        </w:tc>
        <w:tc>
          <w:tcPr>
            <w:tcW w:w="1652" w:type="dxa"/>
            <w:tcBorders>
              <w:tl2br w:val="nil"/>
              <w:tr2bl w:val="nil"/>
            </w:tcBorders>
            <w:shd w:val="clear" w:color="auto" w:fill="auto"/>
            <w:noWrap/>
            <w:vAlign w:val="center"/>
          </w:tcPr>
          <w:p w14:paraId="33D20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0.02</w:t>
            </w:r>
          </w:p>
        </w:tc>
      </w:tr>
      <w:tr w14:paraId="29F75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3461F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w:t>
            </w:r>
          </w:p>
        </w:tc>
        <w:tc>
          <w:tcPr>
            <w:tcW w:w="2525" w:type="dxa"/>
            <w:tcBorders>
              <w:tl2br w:val="nil"/>
              <w:tr2bl w:val="nil"/>
            </w:tcBorders>
            <w:shd w:val="clear" w:color="auto" w:fill="auto"/>
            <w:noWrap/>
            <w:vAlign w:val="center"/>
          </w:tcPr>
          <w:p w14:paraId="7C265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交通运输用地</w:t>
            </w:r>
          </w:p>
        </w:tc>
        <w:tc>
          <w:tcPr>
            <w:tcW w:w="1905" w:type="dxa"/>
            <w:tcBorders>
              <w:tl2br w:val="nil"/>
              <w:tr2bl w:val="nil"/>
            </w:tcBorders>
            <w:shd w:val="clear" w:color="auto" w:fill="auto"/>
            <w:noWrap/>
            <w:vAlign w:val="center"/>
          </w:tcPr>
          <w:p w14:paraId="38FF9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农村道路</w:t>
            </w:r>
          </w:p>
        </w:tc>
        <w:tc>
          <w:tcPr>
            <w:tcW w:w="1477" w:type="dxa"/>
            <w:tcBorders>
              <w:tl2br w:val="nil"/>
              <w:tr2bl w:val="nil"/>
            </w:tcBorders>
            <w:shd w:val="clear" w:color="auto" w:fill="auto"/>
            <w:noWrap/>
            <w:vAlign w:val="center"/>
          </w:tcPr>
          <w:p w14:paraId="5D3CF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37.4706</w:t>
            </w:r>
          </w:p>
        </w:tc>
        <w:tc>
          <w:tcPr>
            <w:tcW w:w="1652" w:type="dxa"/>
            <w:tcBorders>
              <w:tl2br w:val="nil"/>
              <w:tr2bl w:val="nil"/>
            </w:tcBorders>
            <w:shd w:val="clear" w:color="auto" w:fill="auto"/>
            <w:noWrap/>
            <w:vAlign w:val="center"/>
          </w:tcPr>
          <w:p w14:paraId="4B99E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2.41</w:t>
            </w:r>
          </w:p>
        </w:tc>
      </w:tr>
      <w:tr w14:paraId="12226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2BB682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11</w:t>
            </w:r>
          </w:p>
        </w:tc>
        <w:tc>
          <w:tcPr>
            <w:tcW w:w="2525" w:type="dxa"/>
            <w:tcBorders>
              <w:tl2br w:val="nil"/>
              <w:tr2bl w:val="nil"/>
            </w:tcBorders>
            <w:shd w:val="clear" w:color="auto" w:fill="auto"/>
            <w:noWrap/>
            <w:vAlign w:val="center"/>
          </w:tcPr>
          <w:p w14:paraId="03E1F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水域及水利设施用地</w:t>
            </w:r>
          </w:p>
        </w:tc>
        <w:tc>
          <w:tcPr>
            <w:tcW w:w="1905" w:type="dxa"/>
            <w:tcBorders>
              <w:tl2br w:val="nil"/>
              <w:tr2bl w:val="nil"/>
            </w:tcBorders>
            <w:shd w:val="clear" w:color="auto" w:fill="auto"/>
            <w:noWrap/>
            <w:vAlign w:val="center"/>
          </w:tcPr>
          <w:p w14:paraId="28156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湖泊水面</w:t>
            </w:r>
          </w:p>
        </w:tc>
        <w:tc>
          <w:tcPr>
            <w:tcW w:w="1477" w:type="dxa"/>
            <w:tcBorders>
              <w:tl2br w:val="nil"/>
              <w:tr2bl w:val="nil"/>
            </w:tcBorders>
            <w:shd w:val="clear" w:color="auto" w:fill="auto"/>
            <w:noWrap/>
            <w:vAlign w:val="center"/>
          </w:tcPr>
          <w:p w14:paraId="141061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48.9118</w:t>
            </w:r>
          </w:p>
        </w:tc>
        <w:tc>
          <w:tcPr>
            <w:tcW w:w="1652" w:type="dxa"/>
            <w:tcBorders>
              <w:tl2br w:val="nil"/>
              <w:tr2bl w:val="nil"/>
            </w:tcBorders>
            <w:shd w:val="clear" w:color="auto" w:fill="auto"/>
            <w:noWrap/>
            <w:vAlign w:val="center"/>
          </w:tcPr>
          <w:p w14:paraId="51935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3.15</w:t>
            </w:r>
          </w:p>
        </w:tc>
      </w:tr>
      <w:tr w14:paraId="6C911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6A6006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2525" w:type="dxa"/>
            <w:tcBorders>
              <w:tl2br w:val="nil"/>
              <w:tr2bl w:val="nil"/>
            </w:tcBorders>
            <w:shd w:val="clear" w:color="auto" w:fill="auto"/>
            <w:noWrap/>
            <w:vAlign w:val="center"/>
          </w:tcPr>
          <w:p w14:paraId="0993B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水域及水利设施用地</w:t>
            </w:r>
          </w:p>
        </w:tc>
        <w:tc>
          <w:tcPr>
            <w:tcW w:w="1905" w:type="dxa"/>
            <w:tcBorders>
              <w:tl2br w:val="nil"/>
              <w:tr2bl w:val="nil"/>
            </w:tcBorders>
            <w:shd w:val="clear" w:color="auto" w:fill="auto"/>
            <w:noWrap/>
            <w:vAlign w:val="center"/>
          </w:tcPr>
          <w:p w14:paraId="7D750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水库水面</w:t>
            </w:r>
          </w:p>
        </w:tc>
        <w:tc>
          <w:tcPr>
            <w:tcW w:w="1477" w:type="dxa"/>
            <w:tcBorders>
              <w:tl2br w:val="nil"/>
              <w:tr2bl w:val="nil"/>
            </w:tcBorders>
            <w:shd w:val="clear" w:color="auto" w:fill="auto"/>
            <w:noWrap/>
            <w:vAlign w:val="center"/>
          </w:tcPr>
          <w:p w14:paraId="041BA1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255.3673</w:t>
            </w:r>
          </w:p>
        </w:tc>
        <w:tc>
          <w:tcPr>
            <w:tcW w:w="1652" w:type="dxa"/>
            <w:tcBorders>
              <w:tl2br w:val="nil"/>
              <w:tr2bl w:val="nil"/>
            </w:tcBorders>
            <w:shd w:val="clear" w:color="auto" w:fill="auto"/>
            <w:noWrap/>
            <w:vAlign w:val="center"/>
          </w:tcPr>
          <w:p w14:paraId="13BDF4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16.46</w:t>
            </w:r>
          </w:p>
        </w:tc>
      </w:tr>
      <w:tr w14:paraId="78D6B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4EECA4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13</w:t>
            </w:r>
          </w:p>
        </w:tc>
        <w:tc>
          <w:tcPr>
            <w:tcW w:w="2525" w:type="dxa"/>
            <w:tcBorders>
              <w:tl2br w:val="nil"/>
              <w:tr2bl w:val="nil"/>
            </w:tcBorders>
            <w:shd w:val="clear" w:color="auto" w:fill="auto"/>
            <w:noWrap/>
            <w:vAlign w:val="center"/>
          </w:tcPr>
          <w:p w14:paraId="2486DA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水域及水利设施用地</w:t>
            </w:r>
          </w:p>
        </w:tc>
        <w:tc>
          <w:tcPr>
            <w:tcW w:w="1905" w:type="dxa"/>
            <w:tcBorders>
              <w:tl2br w:val="nil"/>
              <w:tr2bl w:val="nil"/>
            </w:tcBorders>
            <w:shd w:val="clear" w:color="auto" w:fill="auto"/>
            <w:noWrap/>
            <w:vAlign w:val="center"/>
          </w:tcPr>
          <w:p w14:paraId="196CD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坑塘水面</w:t>
            </w:r>
          </w:p>
        </w:tc>
        <w:tc>
          <w:tcPr>
            <w:tcW w:w="1477" w:type="dxa"/>
            <w:tcBorders>
              <w:tl2br w:val="nil"/>
              <w:tr2bl w:val="nil"/>
            </w:tcBorders>
            <w:shd w:val="clear" w:color="auto" w:fill="auto"/>
            <w:noWrap/>
            <w:vAlign w:val="center"/>
          </w:tcPr>
          <w:p w14:paraId="525377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41.8485</w:t>
            </w:r>
          </w:p>
        </w:tc>
        <w:tc>
          <w:tcPr>
            <w:tcW w:w="1652" w:type="dxa"/>
            <w:tcBorders>
              <w:tl2br w:val="nil"/>
              <w:tr2bl w:val="nil"/>
            </w:tcBorders>
            <w:shd w:val="clear" w:color="auto" w:fill="auto"/>
            <w:noWrap/>
            <w:vAlign w:val="center"/>
          </w:tcPr>
          <w:p w14:paraId="02AF13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2.70</w:t>
            </w:r>
          </w:p>
        </w:tc>
      </w:tr>
      <w:tr w14:paraId="17210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41EF01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14</w:t>
            </w:r>
          </w:p>
        </w:tc>
        <w:tc>
          <w:tcPr>
            <w:tcW w:w="2525" w:type="dxa"/>
            <w:tcBorders>
              <w:tl2br w:val="nil"/>
              <w:tr2bl w:val="nil"/>
            </w:tcBorders>
            <w:shd w:val="clear" w:color="auto" w:fill="auto"/>
            <w:noWrap/>
            <w:vAlign w:val="center"/>
          </w:tcPr>
          <w:p w14:paraId="3344F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水域及水利设施用地</w:t>
            </w:r>
          </w:p>
        </w:tc>
        <w:tc>
          <w:tcPr>
            <w:tcW w:w="1905" w:type="dxa"/>
            <w:tcBorders>
              <w:tl2br w:val="nil"/>
              <w:tr2bl w:val="nil"/>
            </w:tcBorders>
            <w:shd w:val="clear" w:color="auto" w:fill="auto"/>
            <w:noWrap/>
            <w:vAlign w:val="center"/>
          </w:tcPr>
          <w:p w14:paraId="61FA6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沟渠</w:t>
            </w:r>
          </w:p>
        </w:tc>
        <w:tc>
          <w:tcPr>
            <w:tcW w:w="1477" w:type="dxa"/>
            <w:tcBorders>
              <w:tl2br w:val="nil"/>
              <w:tr2bl w:val="nil"/>
            </w:tcBorders>
            <w:shd w:val="clear" w:color="auto" w:fill="auto"/>
            <w:noWrap/>
            <w:vAlign w:val="center"/>
          </w:tcPr>
          <w:p w14:paraId="6EB90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16.3250</w:t>
            </w:r>
          </w:p>
        </w:tc>
        <w:tc>
          <w:tcPr>
            <w:tcW w:w="1652" w:type="dxa"/>
            <w:tcBorders>
              <w:tl2br w:val="nil"/>
              <w:tr2bl w:val="nil"/>
            </w:tcBorders>
            <w:shd w:val="clear" w:color="auto" w:fill="auto"/>
            <w:noWrap/>
            <w:vAlign w:val="center"/>
          </w:tcPr>
          <w:p w14:paraId="3B6D3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1.05</w:t>
            </w:r>
          </w:p>
        </w:tc>
      </w:tr>
      <w:tr w14:paraId="3114B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023C9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15</w:t>
            </w:r>
          </w:p>
        </w:tc>
        <w:tc>
          <w:tcPr>
            <w:tcW w:w="2525" w:type="dxa"/>
            <w:tcBorders>
              <w:tl2br w:val="nil"/>
              <w:tr2bl w:val="nil"/>
            </w:tcBorders>
            <w:shd w:val="clear" w:color="auto" w:fill="auto"/>
            <w:noWrap/>
            <w:vAlign w:val="center"/>
          </w:tcPr>
          <w:p w14:paraId="6E9EA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水域及水利设施用地</w:t>
            </w:r>
          </w:p>
        </w:tc>
        <w:tc>
          <w:tcPr>
            <w:tcW w:w="1905" w:type="dxa"/>
            <w:tcBorders>
              <w:tl2br w:val="nil"/>
              <w:tr2bl w:val="nil"/>
            </w:tcBorders>
            <w:shd w:val="clear" w:color="auto" w:fill="auto"/>
            <w:noWrap/>
            <w:vAlign w:val="center"/>
          </w:tcPr>
          <w:p w14:paraId="5F9AC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水工建筑用地</w:t>
            </w:r>
          </w:p>
        </w:tc>
        <w:tc>
          <w:tcPr>
            <w:tcW w:w="1477" w:type="dxa"/>
            <w:tcBorders>
              <w:tl2br w:val="nil"/>
              <w:tr2bl w:val="nil"/>
            </w:tcBorders>
            <w:shd w:val="clear" w:color="auto" w:fill="auto"/>
            <w:noWrap/>
            <w:vAlign w:val="center"/>
          </w:tcPr>
          <w:p w14:paraId="24880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9.4598</w:t>
            </w:r>
          </w:p>
        </w:tc>
        <w:tc>
          <w:tcPr>
            <w:tcW w:w="1652" w:type="dxa"/>
            <w:tcBorders>
              <w:tl2br w:val="nil"/>
              <w:tr2bl w:val="nil"/>
            </w:tcBorders>
            <w:shd w:val="clear" w:color="auto" w:fill="auto"/>
            <w:noWrap/>
            <w:vAlign w:val="center"/>
          </w:tcPr>
          <w:p w14:paraId="33B43A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0.61</w:t>
            </w:r>
          </w:p>
        </w:tc>
      </w:tr>
      <w:tr w14:paraId="23A09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 w:type="dxa"/>
            <w:tcBorders>
              <w:tl2br w:val="nil"/>
              <w:tr2bl w:val="nil"/>
            </w:tcBorders>
            <w:shd w:val="clear" w:color="auto" w:fill="auto"/>
            <w:noWrap/>
            <w:vAlign w:val="center"/>
          </w:tcPr>
          <w:p w14:paraId="0047D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16</w:t>
            </w:r>
          </w:p>
        </w:tc>
        <w:tc>
          <w:tcPr>
            <w:tcW w:w="2525" w:type="dxa"/>
            <w:tcBorders>
              <w:tl2br w:val="nil"/>
              <w:tr2bl w:val="nil"/>
            </w:tcBorders>
            <w:shd w:val="clear" w:color="auto" w:fill="auto"/>
            <w:noWrap/>
            <w:vAlign w:val="center"/>
          </w:tcPr>
          <w:p w14:paraId="0D893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其他土地</w:t>
            </w:r>
          </w:p>
        </w:tc>
        <w:tc>
          <w:tcPr>
            <w:tcW w:w="1905" w:type="dxa"/>
            <w:tcBorders>
              <w:tl2br w:val="nil"/>
              <w:tr2bl w:val="nil"/>
            </w:tcBorders>
            <w:shd w:val="clear" w:color="auto" w:fill="auto"/>
            <w:noWrap/>
            <w:vAlign w:val="center"/>
          </w:tcPr>
          <w:p w14:paraId="5A74C5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裸土地</w:t>
            </w:r>
          </w:p>
        </w:tc>
        <w:tc>
          <w:tcPr>
            <w:tcW w:w="1477" w:type="dxa"/>
            <w:tcBorders>
              <w:tl2br w:val="nil"/>
              <w:tr2bl w:val="nil"/>
            </w:tcBorders>
            <w:shd w:val="clear" w:color="auto" w:fill="auto"/>
            <w:noWrap/>
            <w:vAlign w:val="center"/>
          </w:tcPr>
          <w:p w14:paraId="0467B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1.7481</w:t>
            </w:r>
          </w:p>
        </w:tc>
        <w:tc>
          <w:tcPr>
            <w:tcW w:w="1652" w:type="dxa"/>
            <w:tcBorders>
              <w:tl2br w:val="nil"/>
              <w:tr2bl w:val="nil"/>
            </w:tcBorders>
            <w:shd w:val="clear" w:color="auto" w:fill="auto"/>
            <w:noWrap/>
            <w:vAlign w:val="center"/>
          </w:tcPr>
          <w:p w14:paraId="1A54D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0.11</w:t>
            </w:r>
          </w:p>
        </w:tc>
      </w:tr>
      <w:tr w14:paraId="2649E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95" w:type="dxa"/>
            <w:gridSpan w:val="3"/>
            <w:tcBorders>
              <w:tl2br w:val="nil"/>
              <w:tr2bl w:val="nil"/>
            </w:tcBorders>
            <w:shd w:val="clear" w:color="auto" w:fill="auto"/>
            <w:noWrap/>
            <w:vAlign w:val="center"/>
          </w:tcPr>
          <w:p w14:paraId="2B0CA6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合计</w:t>
            </w:r>
          </w:p>
        </w:tc>
        <w:tc>
          <w:tcPr>
            <w:tcW w:w="1477" w:type="dxa"/>
            <w:tcBorders>
              <w:tl2br w:val="nil"/>
              <w:tr2bl w:val="nil"/>
            </w:tcBorders>
            <w:shd w:val="clear" w:color="auto" w:fill="auto"/>
            <w:noWrap/>
            <w:vAlign w:val="center"/>
          </w:tcPr>
          <w:p w14:paraId="44166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1551.8401</w:t>
            </w:r>
          </w:p>
        </w:tc>
        <w:tc>
          <w:tcPr>
            <w:tcW w:w="1652" w:type="dxa"/>
            <w:tcBorders>
              <w:tl2br w:val="nil"/>
              <w:tr2bl w:val="nil"/>
            </w:tcBorders>
            <w:shd w:val="clear" w:color="auto" w:fill="auto"/>
            <w:noWrap/>
            <w:vAlign w:val="center"/>
          </w:tcPr>
          <w:p w14:paraId="5ACBB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100.00</w:t>
            </w:r>
          </w:p>
        </w:tc>
      </w:tr>
    </w:tbl>
    <w:p w14:paraId="13C2ABA4">
      <w:pPr>
        <w:widowControl w:val="0"/>
        <w:spacing w:line="336" w:lineRule="auto"/>
        <w:ind w:firstLine="480" w:firstLineChars="200"/>
        <w:jc w:val="both"/>
        <w:rPr>
          <w:rFonts w:hint="default" w:ascii="Times New Roman" w:hAnsi="Times New Roman" w:eastAsia="宋体" w:cs="Times New Roman"/>
          <w:caps w:val="0"/>
          <w:smallCaps w:val="0"/>
          <w:color w:val="auto"/>
          <w:kern w:val="2"/>
          <w:sz w:val="24"/>
          <w:szCs w:val="21"/>
          <w:u w:val="none" w:color="auto"/>
          <w:lang w:val="en-US" w:eastAsia="zh-CN" w:bidi="ar-SA"/>
        </w:rPr>
      </w:pPr>
      <w:r>
        <w:rPr>
          <w:rFonts w:hint="eastAsia" w:ascii="Times New Roman" w:hAnsi="Times New Roman" w:eastAsia="宋体" w:cs="Times New Roman"/>
          <w:caps w:val="0"/>
          <w:smallCaps w:val="0"/>
          <w:color w:val="auto"/>
          <w:kern w:val="2"/>
          <w:sz w:val="24"/>
          <w:szCs w:val="21"/>
          <w:u w:val="none" w:color="auto"/>
          <w:lang w:val="en-US" w:eastAsia="zh-CN" w:bidi="ar-SA"/>
        </w:rPr>
        <w:t>由上表可知，评价区土地利用类型以耕地为主，面积670.9558hm2，占评价区总面积的43.23%；其他类型如林地、水域、裸地等面积相对较小。根据现场调查，评价区主要为丘陵地形，遍布林地；耕地成片分布，连续性较强；水域主要为大型湖泊、水库、零散分布的坑塘等。</w:t>
      </w:r>
    </w:p>
    <w:p w14:paraId="09AD74C5">
      <w:pPr>
        <w:pStyle w:val="4"/>
        <w:bidi w:val="0"/>
        <w:rPr>
          <w:rFonts w:hint="default" w:ascii="Times New Roman" w:hAnsi="Times New Roman" w:cs="Times New Roman"/>
          <w:color w:val="auto"/>
          <w:u w:val="none" w:color="auto"/>
          <w:lang w:val="en-US" w:eastAsia="zh-CN"/>
        </w:rPr>
      </w:pPr>
      <w:bookmarkStart w:id="204" w:name="_Toc31600"/>
      <w:bookmarkStart w:id="205" w:name="_Toc32326"/>
      <w:bookmarkStart w:id="206" w:name="_Toc17021"/>
      <w:bookmarkStart w:id="207" w:name="_Toc20601"/>
      <w:bookmarkStart w:id="208" w:name="_Toc25279"/>
      <w:bookmarkStart w:id="209" w:name="_Toc23559"/>
      <w:r>
        <w:rPr>
          <w:rFonts w:hint="default" w:ascii="Times New Roman" w:hAnsi="Times New Roman" w:cs="Times New Roman"/>
          <w:color w:val="auto"/>
          <w:u w:val="none" w:color="auto"/>
          <w:lang w:val="en-US" w:eastAsia="zh-CN"/>
        </w:rPr>
        <w:t>生态系统现状</w:t>
      </w:r>
      <w:bookmarkEnd w:id="204"/>
      <w:bookmarkEnd w:id="205"/>
      <w:bookmarkEnd w:id="206"/>
      <w:bookmarkEnd w:id="207"/>
      <w:bookmarkEnd w:id="208"/>
      <w:bookmarkEnd w:id="209"/>
    </w:p>
    <w:p w14:paraId="33236483">
      <w:pPr>
        <w:widowControl w:val="0"/>
        <w:spacing w:line="336" w:lineRule="auto"/>
        <w:ind w:firstLine="480" w:firstLineChars="200"/>
        <w:jc w:val="both"/>
        <w:rPr>
          <w:rFonts w:hint="default" w:ascii="Times New Roman" w:hAnsi="Times New Roman" w:eastAsia="宋体" w:cs="Times New Roman"/>
          <w:caps w:val="0"/>
          <w:smallCaps w:val="0"/>
          <w:color w:val="auto"/>
          <w:kern w:val="2"/>
          <w:sz w:val="24"/>
          <w:szCs w:val="21"/>
          <w:u w:val="none" w:color="auto"/>
          <w:lang w:val="en-US" w:eastAsia="zh-CN" w:bidi="ar-SA"/>
        </w:rPr>
      </w:pPr>
      <w:r>
        <w:rPr>
          <w:rFonts w:hint="default" w:ascii="Times New Roman" w:hAnsi="Times New Roman" w:eastAsia="宋体" w:cs="Times New Roman"/>
          <w:caps w:val="0"/>
          <w:smallCaps w:val="0"/>
          <w:color w:val="auto"/>
          <w:kern w:val="2"/>
          <w:sz w:val="24"/>
          <w:szCs w:val="21"/>
          <w:u w:val="none" w:color="auto"/>
          <w:lang w:val="en-US" w:eastAsia="zh-CN" w:bidi="ar-SA"/>
        </w:rPr>
        <w:t>依据《全国生态状况调查评估技术规范——生态系统遥感解译与野外核查》（HJ 1166）的分类体系，将评价区生态系统分类如下：</w:t>
      </w:r>
    </w:p>
    <w:p w14:paraId="42C92DD4">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2</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生态系统分类体系表</w:t>
      </w:r>
    </w:p>
    <w:tbl>
      <w:tblPr>
        <w:tblStyle w:val="39"/>
        <w:tblW w:w="507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02"/>
        <w:gridCol w:w="783"/>
        <w:gridCol w:w="628"/>
        <w:gridCol w:w="1426"/>
        <w:gridCol w:w="5119"/>
      </w:tblGrid>
      <w:tr w14:paraId="06DB04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tcBorders>
              <w:tl2br w:val="nil"/>
              <w:tr2bl w:val="nil"/>
            </w:tcBorders>
            <w:noWrap w:val="0"/>
            <w:vAlign w:val="center"/>
          </w:tcPr>
          <w:p w14:paraId="6361605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lang w:val="en-US" w:eastAsia="zh-CN"/>
              </w:rPr>
              <w:t>Ⅰ级代码</w:t>
            </w:r>
          </w:p>
        </w:tc>
        <w:tc>
          <w:tcPr>
            <w:tcW w:w="463" w:type="pct"/>
            <w:tcBorders>
              <w:tl2br w:val="nil"/>
              <w:tr2bl w:val="nil"/>
            </w:tcBorders>
            <w:noWrap w:val="0"/>
            <w:vAlign w:val="center"/>
          </w:tcPr>
          <w:p w14:paraId="79E2D88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lang w:val="en-US" w:eastAsia="zh-CN"/>
              </w:rPr>
              <w:t>Ⅰ级分类</w:t>
            </w:r>
          </w:p>
        </w:tc>
        <w:tc>
          <w:tcPr>
            <w:tcW w:w="371" w:type="pct"/>
            <w:tcBorders>
              <w:tl2br w:val="nil"/>
              <w:tr2bl w:val="nil"/>
            </w:tcBorders>
            <w:noWrap w:val="0"/>
            <w:vAlign w:val="center"/>
          </w:tcPr>
          <w:p w14:paraId="17B3FF8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lang w:val="en-US" w:eastAsia="zh-CN"/>
              </w:rPr>
              <w:t>Ⅱ级代码</w:t>
            </w:r>
          </w:p>
        </w:tc>
        <w:tc>
          <w:tcPr>
            <w:tcW w:w="843" w:type="pct"/>
            <w:tcBorders>
              <w:tl2br w:val="nil"/>
              <w:tr2bl w:val="nil"/>
            </w:tcBorders>
            <w:noWrap w:val="0"/>
            <w:vAlign w:val="center"/>
          </w:tcPr>
          <w:p w14:paraId="3FB692C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lang w:val="en-US" w:eastAsia="zh-CN"/>
              </w:rPr>
              <w:t>Ⅱ级分类</w:t>
            </w:r>
          </w:p>
        </w:tc>
        <w:tc>
          <w:tcPr>
            <w:tcW w:w="3022" w:type="pct"/>
            <w:tcBorders>
              <w:tl2br w:val="nil"/>
              <w:tr2bl w:val="nil"/>
            </w:tcBorders>
            <w:noWrap w:val="0"/>
            <w:vAlign w:val="center"/>
          </w:tcPr>
          <w:p w14:paraId="4623143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lang w:val="en-US" w:eastAsia="zh-CN"/>
              </w:rPr>
              <w:t>分类依据</w:t>
            </w:r>
          </w:p>
        </w:tc>
      </w:tr>
      <w:tr w14:paraId="7094EE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07CD16F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w:t>
            </w:r>
          </w:p>
        </w:tc>
        <w:tc>
          <w:tcPr>
            <w:tcW w:w="463" w:type="pct"/>
            <w:vMerge w:val="restart"/>
            <w:tcBorders>
              <w:tl2br w:val="nil"/>
              <w:tr2bl w:val="nil"/>
            </w:tcBorders>
            <w:noWrap w:val="0"/>
            <w:vAlign w:val="center"/>
          </w:tcPr>
          <w:p w14:paraId="002D720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森林生态系统</w:t>
            </w:r>
          </w:p>
        </w:tc>
        <w:tc>
          <w:tcPr>
            <w:tcW w:w="371" w:type="pct"/>
            <w:tcBorders>
              <w:tl2br w:val="nil"/>
              <w:tr2bl w:val="nil"/>
            </w:tcBorders>
            <w:noWrap w:val="0"/>
            <w:vAlign w:val="center"/>
          </w:tcPr>
          <w:p w14:paraId="060B21B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11</w:t>
            </w:r>
          </w:p>
        </w:tc>
        <w:tc>
          <w:tcPr>
            <w:tcW w:w="843" w:type="pct"/>
            <w:tcBorders>
              <w:tl2br w:val="nil"/>
              <w:tr2bl w:val="nil"/>
            </w:tcBorders>
            <w:noWrap w:val="0"/>
            <w:vAlign w:val="center"/>
          </w:tcPr>
          <w:p w14:paraId="41D1B99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阔叶林</w:t>
            </w:r>
          </w:p>
        </w:tc>
        <w:tc>
          <w:tcPr>
            <w:tcW w:w="3022" w:type="pct"/>
            <w:tcBorders>
              <w:tl2br w:val="nil"/>
              <w:tr2bl w:val="nil"/>
            </w:tcBorders>
            <w:noWrap w:val="0"/>
            <w:vAlign w:val="center"/>
          </w:tcPr>
          <w:p w14:paraId="2A69161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H=3～30 m，C≥0.2，阔叶</w:t>
            </w:r>
          </w:p>
        </w:tc>
      </w:tr>
      <w:tr w14:paraId="093728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4F038E0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273A030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314715B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12</w:t>
            </w:r>
          </w:p>
        </w:tc>
        <w:tc>
          <w:tcPr>
            <w:tcW w:w="843" w:type="pct"/>
            <w:tcBorders>
              <w:tl2br w:val="nil"/>
              <w:tr2bl w:val="nil"/>
            </w:tcBorders>
            <w:noWrap w:val="0"/>
            <w:vAlign w:val="center"/>
          </w:tcPr>
          <w:p w14:paraId="66EB4B9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针叶林</w:t>
            </w:r>
          </w:p>
        </w:tc>
        <w:tc>
          <w:tcPr>
            <w:tcW w:w="3022" w:type="pct"/>
            <w:tcBorders>
              <w:tl2br w:val="nil"/>
              <w:tr2bl w:val="nil"/>
            </w:tcBorders>
            <w:noWrap w:val="0"/>
            <w:vAlign w:val="center"/>
          </w:tcPr>
          <w:p w14:paraId="4203AA1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H=3～30 m，C≥0.2，针叶</w:t>
            </w:r>
          </w:p>
        </w:tc>
      </w:tr>
      <w:tr w14:paraId="771ACF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0B7C4E6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09DF1E7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4EFBBB4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13</w:t>
            </w:r>
          </w:p>
        </w:tc>
        <w:tc>
          <w:tcPr>
            <w:tcW w:w="843" w:type="pct"/>
            <w:tcBorders>
              <w:tl2br w:val="nil"/>
              <w:tr2bl w:val="nil"/>
            </w:tcBorders>
            <w:noWrap w:val="0"/>
            <w:vAlign w:val="center"/>
          </w:tcPr>
          <w:p w14:paraId="5A03CB1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针阔混交林</w:t>
            </w:r>
          </w:p>
        </w:tc>
        <w:tc>
          <w:tcPr>
            <w:tcW w:w="3022" w:type="pct"/>
            <w:tcBorders>
              <w:tl2br w:val="nil"/>
              <w:tr2bl w:val="nil"/>
            </w:tcBorders>
            <w:noWrap w:val="0"/>
            <w:vAlign w:val="center"/>
          </w:tcPr>
          <w:p w14:paraId="1FC6E1F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H=3～30 m，C≥0.2，25%＜F＜75%</w:t>
            </w:r>
          </w:p>
        </w:tc>
      </w:tr>
      <w:tr w14:paraId="0EF9F2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29366D5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3EE5EAC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70C8836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14</w:t>
            </w:r>
          </w:p>
        </w:tc>
        <w:tc>
          <w:tcPr>
            <w:tcW w:w="843" w:type="pct"/>
            <w:tcBorders>
              <w:tl2br w:val="nil"/>
              <w:tr2bl w:val="nil"/>
            </w:tcBorders>
            <w:noWrap w:val="0"/>
            <w:vAlign w:val="center"/>
          </w:tcPr>
          <w:p w14:paraId="454D481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稀疏林</w:t>
            </w:r>
          </w:p>
        </w:tc>
        <w:tc>
          <w:tcPr>
            <w:tcW w:w="3022" w:type="pct"/>
            <w:tcBorders>
              <w:tl2br w:val="nil"/>
              <w:tr2bl w:val="nil"/>
            </w:tcBorders>
            <w:noWrap w:val="0"/>
            <w:vAlign w:val="center"/>
          </w:tcPr>
          <w:p w14:paraId="42E819D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H=3～30 m，C=0.04～0.2</w:t>
            </w:r>
          </w:p>
        </w:tc>
      </w:tr>
      <w:tr w14:paraId="206826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77897EF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2</w:t>
            </w:r>
          </w:p>
        </w:tc>
        <w:tc>
          <w:tcPr>
            <w:tcW w:w="463" w:type="pct"/>
            <w:vMerge w:val="restart"/>
            <w:tcBorders>
              <w:tl2br w:val="nil"/>
              <w:tr2bl w:val="nil"/>
            </w:tcBorders>
            <w:noWrap w:val="0"/>
            <w:vAlign w:val="center"/>
          </w:tcPr>
          <w:p w14:paraId="5FE07BC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灌丛生态系统</w:t>
            </w:r>
          </w:p>
        </w:tc>
        <w:tc>
          <w:tcPr>
            <w:tcW w:w="371" w:type="pct"/>
            <w:tcBorders>
              <w:tl2br w:val="nil"/>
              <w:tr2bl w:val="nil"/>
            </w:tcBorders>
            <w:noWrap w:val="0"/>
            <w:vAlign w:val="center"/>
          </w:tcPr>
          <w:p w14:paraId="3D32B350">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21</w:t>
            </w:r>
          </w:p>
        </w:tc>
        <w:tc>
          <w:tcPr>
            <w:tcW w:w="843" w:type="pct"/>
            <w:tcBorders>
              <w:tl2br w:val="nil"/>
              <w:tr2bl w:val="nil"/>
            </w:tcBorders>
            <w:noWrap w:val="0"/>
            <w:vAlign w:val="center"/>
          </w:tcPr>
          <w:p w14:paraId="49F6D52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阔叶灌丛</w:t>
            </w:r>
          </w:p>
        </w:tc>
        <w:tc>
          <w:tcPr>
            <w:tcW w:w="3022" w:type="pct"/>
            <w:tcBorders>
              <w:tl2br w:val="nil"/>
              <w:tr2bl w:val="nil"/>
            </w:tcBorders>
            <w:noWrap w:val="0"/>
            <w:vAlign w:val="center"/>
          </w:tcPr>
          <w:p w14:paraId="38147C0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H=0.3～5 m，C≥0.2，阔叶</w:t>
            </w:r>
          </w:p>
        </w:tc>
      </w:tr>
      <w:tr w14:paraId="2BF3B0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560141A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0D512FA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327ABF7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22</w:t>
            </w:r>
          </w:p>
        </w:tc>
        <w:tc>
          <w:tcPr>
            <w:tcW w:w="843" w:type="pct"/>
            <w:tcBorders>
              <w:tl2br w:val="nil"/>
              <w:tr2bl w:val="nil"/>
            </w:tcBorders>
            <w:noWrap w:val="0"/>
            <w:vAlign w:val="center"/>
          </w:tcPr>
          <w:p w14:paraId="1DD438F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针叶灌丛</w:t>
            </w:r>
          </w:p>
        </w:tc>
        <w:tc>
          <w:tcPr>
            <w:tcW w:w="3022" w:type="pct"/>
            <w:tcBorders>
              <w:tl2br w:val="nil"/>
              <w:tr2bl w:val="nil"/>
            </w:tcBorders>
            <w:noWrap w:val="0"/>
            <w:vAlign w:val="center"/>
          </w:tcPr>
          <w:p w14:paraId="5E96A9D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H=0.3～5 m，C≥0.2，针叶</w:t>
            </w:r>
          </w:p>
        </w:tc>
      </w:tr>
      <w:tr w14:paraId="0077E3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200D5D0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7239814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1027D4C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23</w:t>
            </w:r>
          </w:p>
        </w:tc>
        <w:tc>
          <w:tcPr>
            <w:tcW w:w="843" w:type="pct"/>
            <w:tcBorders>
              <w:tl2br w:val="nil"/>
              <w:tr2bl w:val="nil"/>
            </w:tcBorders>
            <w:noWrap w:val="0"/>
            <w:vAlign w:val="center"/>
          </w:tcPr>
          <w:p w14:paraId="244CFF7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稀疏灌丛</w:t>
            </w:r>
          </w:p>
        </w:tc>
        <w:tc>
          <w:tcPr>
            <w:tcW w:w="3022" w:type="pct"/>
            <w:tcBorders>
              <w:tl2br w:val="nil"/>
              <w:tr2bl w:val="nil"/>
            </w:tcBorders>
            <w:noWrap w:val="0"/>
            <w:vAlign w:val="center"/>
          </w:tcPr>
          <w:p w14:paraId="4C036DA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H=0.3～5 m，C=0.04～0.2</w:t>
            </w:r>
          </w:p>
        </w:tc>
      </w:tr>
      <w:tr w14:paraId="695023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70E2FC4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3</w:t>
            </w:r>
          </w:p>
        </w:tc>
        <w:tc>
          <w:tcPr>
            <w:tcW w:w="463" w:type="pct"/>
            <w:vMerge w:val="restart"/>
            <w:tcBorders>
              <w:tl2br w:val="nil"/>
              <w:tr2bl w:val="nil"/>
            </w:tcBorders>
            <w:noWrap w:val="0"/>
            <w:vAlign w:val="center"/>
          </w:tcPr>
          <w:p w14:paraId="6005C75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草地生态系统</w:t>
            </w:r>
          </w:p>
        </w:tc>
        <w:tc>
          <w:tcPr>
            <w:tcW w:w="371" w:type="pct"/>
            <w:tcBorders>
              <w:tl2br w:val="nil"/>
              <w:tr2bl w:val="nil"/>
            </w:tcBorders>
            <w:noWrap w:val="0"/>
            <w:vAlign w:val="center"/>
          </w:tcPr>
          <w:p w14:paraId="3DEE341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31</w:t>
            </w:r>
          </w:p>
        </w:tc>
        <w:tc>
          <w:tcPr>
            <w:tcW w:w="843" w:type="pct"/>
            <w:tcBorders>
              <w:tl2br w:val="nil"/>
              <w:tr2bl w:val="nil"/>
            </w:tcBorders>
            <w:noWrap w:val="0"/>
            <w:vAlign w:val="center"/>
          </w:tcPr>
          <w:p w14:paraId="5D26820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草甸</w:t>
            </w:r>
          </w:p>
        </w:tc>
        <w:tc>
          <w:tcPr>
            <w:tcW w:w="3022" w:type="pct"/>
            <w:tcBorders>
              <w:tl2br w:val="nil"/>
              <w:tr2bl w:val="nil"/>
            </w:tcBorders>
            <w:noWrap w:val="0"/>
            <w:vAlign w:val="center"/>
          </w:tcPr>
          <w:p w14:paraId="5B4E167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K≥1，土壤湿润，H=0.03～3 m，C≥0.2</w:t>
            </w:r>
          </w:p>
        </w:tc>
      </w:tr>
      <w:tr w14:paraId="703548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1EECA7C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2A572A5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34F3EE7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32</w:t>
            </w:r>
          </w:p>
        </w:tc>
        <w:tc>
          <w:tcPr>
            <w:tcW w:w="843" w:type="pct"/>
            <w:tcBorders>
              <w:tl2br w:val="nil"/>
              <w:tr2bl w:val="nil"/>
            </w:tcBorders>
            <w:noWrap w:val="0"/>
            <w:vAlign w:val="center"/>
          </w:tcPr>
          <w:p w14:paraId="0CDDF5F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草原</w:t>
            </w:r>
          </w:p>
        </w:tc>
        <w:tc>
          <w:tcPr>
            <w:tcW w:w="3022" w:type="pct"/>
            <w:tcBorders>
              <w:tl2br w:val="nil"/>
              <w:tr2bl w:val="nil"/>
            </w:tcBorders>
            <w:noWrap w:val="0"/>
            <w:vAlign w:val="center"/>
          </w:tcPr>
          <w:p w14:paraId="63DE234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K＜1，H=0.03～3 m，C≥0.2</w:t>
            </w:r>
          </w:p>
        </w:tc>
      </w:tr>
      <w:tr w14:paraId="60DF0B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04F960B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45D83EE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64486B4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33</w:t>
            </w:r>
          </w:p>
        </w:tc>
        <w:tc>
          <w:tcPr>
            <w:tcW w:w="843" w:type="pct"/>
            <w:tcBorders>
              <w:tl2br w:val="nil"/>
              <w:tr2bl w:val="nil"/>
            </w:tcBorders>
            <w:noWrap w:val="0"/>
            <w:vAlign w:val="center"/>
          </w:tcPr>
          <w:p w14:paraId="2D38967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草丛</w:t>
            </w:r>
          </w:p>
        </w:tc>
        <w:tc>
          <w:tcPr>
            <w:tcW w:w="3022" w:type="pct"/>
            <w:tcBorders>
              <w:tl2br w:val="nil"/>
              <w:tr2bl w:val="nil"/>
            </w:tcBorders>
            <w:noWrap w:val="0"/>
            <w:vAlign w:val="center"/>
          </w:tcPr>
          <w:p w14:paraId="020BD11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K≥1，H=0.03～3 m，C≥0.2</w:t>
            </w:r>
          </w:p>
        </w:tc>
      </w:tr>
      <w:tr w14:paraId="773C7A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5B28EF7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63AD434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27C504F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34</w:t>
            </w:r>
          </w:p>
        </w:tc>
        <w:tc>
          <w:tcPr>
            <w:tcW w:w="843" w:type="pct"/>
            <w:tcBorders>
              <w:tl2br w:val="nil"/>
              <w:tr2bl w:val="nil"/>
            </w:tcBorders>
            <w:noWrap w:val="0"/>
            <w:vAlign w:val="center"/>
          </w:tcPr>
          <w:p w14:paraId="742D0D8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稀疏草地</w:t>
            </w:r>
          </w:p>
        </w:tc>
        <w:tc>
          <w:tcPr>
            <w:tcW w:w="3022" w:type="pct"/>
            <w:tcBorders>
              <w:tl2br w:val="nil"/>
              <w:tr2bl w:val="nil"/>
            </w:tcBorders>
            <w:noWrap w:val="0"/>
            <w:vAlign w:val="center"/>
          </w:tcPr>
          <w:p w14:paraId="63FA13D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H=0.03～3 m，C=0.04～0.2</w:t>
            </w:r>
          </w:p>
        </w:tc>
      </w:tr>
      <w:tr w14:paraId="73AA5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59C66CA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4</w:t>
            </w:r>
          </w:p>
        </w:tc>
        <w:tc>
          <w:tcPr>
            <w:tcW w:w="463" w:type="pct"/>
            <w:vMerge w:val="restart"/>
            <w:tcBorders>
              <w:tl2br w:val="nil"/>
              <w:tr2bl w:val="nil"/>
            </w:tcBorders>
            <w:noWrap w:val="0"/>
            <w:vAlign w:val="center"/>
          </w:tcPr>
          <w:p w14:paraId="23261C3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湿地生态系统</w:t>
            </w:r>
          </w:p>
        </w:tc>
        <w:tc>
          <w:tcPr>
            <w:tcW w:w="371" w:type="pct"/>
            <w:tcBorders>
              <w:tl2br w:val="nil"/>
              <w:tr2bl w:val="nil"/>
            </w:tcBorders>
            <w:noWrap w:val="0"/>
            <w:vAlign w:val="center"/>
          </w:tcPr>
          <w:p w14:paraId="3E23CB9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41</w:t>
            </w:r>
          </w:p>
        </w:tc>
        <w:tc>
          <w:tcPr>
            <w:tcW w:w="843" w:type="pct"/>
            <w:tcBorders>
              <w:tl2br w:val="nil"/>
              <w:tr2bl w:val="nil"/>
            </w:tcBorders>
            <w:noWrap w:val="0"/>
            <w:vAlign w:val="center"/>
          </w:tcPr>
          <w:p w14:paraId="584002B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沼泽</w:t>
            </w:r>
          </w:p>
        </w:tc>
        <w:tc>
          <w:tcPr>
            <w:tcW w:w="3022" w:type="pct"/>
            <w:tcBorders>
              <w:tl2br w:val="nil"/>
              <w:tr2bl w:val="nil"/>
            </w:tcBorders>
            <w:noWrap w:val="0"/>
            <w:vAlign w:val="center"/>
          </w:tcPr>
          <w:p w14:paraId="7073C03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地表经常过湿或有薄层积水，生长沼泽生和部分湿生、水生或盐生植物，有泥炭积累或明显的浅育层，包括森林沼泽、灌丛沼泽、草本沼泽等</w:t>
            </w:r>
          </w:p>
        </w:tc>
      </w:tr>
      <w:tr w14:paraId="27C5DB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7A1D795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6DDADEF0">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1C1714E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42</w:t>
            </w:r>
          </w:p>
        </w:tc>
        <w:tc>
          <w:tcPr>
            <w:tcW w:w="843" w:type="pct"/>
            <w:tcBorders>
              <w:tl2br w:val="nil"/>
              <w:tr2bl w:val="nil"/>
            </w:tcBorders>
            <w:noWrap w:val="0"/>
            <w:vAlign w:val="center"/>
          </w:tcPr>
          <w:p w14:paraId="7CFDA26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湖泊</w:t>
            </w:r>
          </w:p>
        </w:tc>
        <w:tc>
          <w:tcPr>
            <w:tcW w:w="3022" w:type="pct"/>
            <w:tcBorders>
              <w:tl2br w:val="nil"/>
              <w:tr2bl w:val="nil"/>
            </w:tcBorders>
            <w:noWrap w:val="0"/>
            <w:vAlign w:val="center"/>
          </w:tcPr>
          <w:p w14:paraId="09C3D62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自然水面，静止</w:t>
            </w:r>
          </w:p>
        </w:tc>
      </w:tr>
      <w:tr w14:paraId="4EF0E6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6BC0F44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58874C1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7EC459E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43</w:t>
            </w:r>
          </w:p>
        </w:tc>
        <w:tc>
          <w:tcPr>
            <w:tcW w:w="843" w:type="pct"/>
            <w:tcBorders>
              <w:tl2br w:val="nil"/>
              <w:tr2bl w:val="nil"/>
            </w:tcBorders>
            <w:noWrap w:val="0"/>
            <w:vAlign w:val="center"/>
          </w:tcPr>
          <w:p w14:paraId="5A6AD65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河流</w:t>
            </w:r>
          </w:p>
        </w:tc>
        <w:tc>
          <w:tcPr>
            <w:tcW w:w="3022" w:type="pct"/>
            <w:tcBorders>
              <w:tl2br w:val="nil"/>
              <w:tr2bl w:val="nil"/>
            </w:tcBorders>
            <w:noWrap w:val="0"/>
            <w:vAlign w:val="center"/>
          </w:tcPr>
          <w:p w14:paraId="0BA9BA2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自然水面，流动</w:t>
            </w:r>
          </w:p>
        </w:tc>
      </w:tr>
      <w:tr w14:paraId="5CF272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23A5E7E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5</w:t>
            </w:r>
          </w:p>
        </w:tc>
        <w:tc>
          <w:tcPr>
            <w:tcW w:w="463" w:type="pct"/>
            <w:vMerge w:val="restart"/>
            <w:tcBorders>
              <w:tl2br w:val="nil"/>
              <w:tr2bl w:val="nil"/>
            </w:tcBorders>
            <w:noWrap w:val="0"/>
            <w:vAlign w:val="center"/>
          </w:tcPr>
          <w:p w14:paraId="447AFF9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农田生态系统</w:t>
            </w:r>
          </w:p>
        </w:tc>
        <w:tc>
          <w:tcPr>
            <w:tcW w:w="371" w:type="pct"/>
            <w:tcBorders>
              <w:tl2br w:val="nil"/>
              <w:tr2bl w:val="nil"/>
            </w:tcBorders>
            <w:noWrap w:val="0"/>
            <w:vAlign w:val="center"/>
          </w:tcPr>
          <w:p w14:paraId="07B370E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51</w:t>
            </w:r>
          </w:p>
        </w:tc>
        <w:tc>
          <w:tcPr>
            <w:tcW w:w="843" w:type="pct"/>
            <w:tcBorders>
              <w:tl2br w:val="nil"/>
              <w:tr2bl w:val="nil"/>
            </w:tcBorders>
            <w:noWrap w:val="0"/>
            <w:vAlign w:val="center"/>
          </w:tcPr>
          <w:p w14:paraId="586455F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耕地</w:t>
            </w:r>
          </w:p>
        </w:tc>
        <w:tc>
          <w:tcPr>
            <w:tcW w:w="3022" w:type="pct"/>
            <w:tcBorders>
              <w:tl2br w:val="nil"/>
              <w:tr2bl w:val="nil"/>
            </w:tcBorders>
            <w:noWrap w:val="0"/>
            <w:vAlign w:val="center"/>
          </w:tcPr>
          <w:p w14:paraId="66B223F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人工植被，土地扰动，水生或旱生作物，收割过程</w:t>
            </w:r>
          </w:p>
        </w:tc>
      </w:tr>
      <w:tr w14:paraId="74C62C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7B57C48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4E8AE55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0FF87B2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52</w:t>
            </w:r>
          </w:p>
        </w:tc>
        <w:tc>
          <w:tcPr>
            <w:tcW w:w="843" w:type="pct"/>
            <w:tcBorders>
              <w:tl2br w:val="nil"/>
              <w:tr2bl w:val="nil"/>
            </w:tcBorders>
            <w:noWrap w:val="0"/>
            <w:vAlign w:val="center"/>
          </w:tcPr>
          <w:p w14:paraId="4C78677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园地</w:t>
            </w:r>
          </w:p>
        </w:tc>
        <w:tc>
          <w:tcPr>
            <w:tcW w:w="3022" w:type="pct"/>
            <w:tcBorders>
              <w:tl2br w:val="nil"/>
              <w:tr2bl w:val="nil"/>
            </w:tcBorders>
            <w:noWrap w:val="0"/>
            <w:vAlign w:val="center"/>
          </w:tcPr>
          <w:p w14:paraId="7092DDE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人工植被，C≥0.2，包括经济林等</w:t>
            </w:r>
          </w:p>
        </w:tc>
      </w:tr>
      <w:tr w14:paraId="0F2878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2842353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6</w:t>
            </w:r>
          </w:p>
        </w:tc>
        <w:tc>
          <w:tcPr>
            <w:tcW w:w="463" w:type="pct"/>
            <w:vMerge w:val="restart"/>
            <w:tcBorders>
              <w:tl2br w:val="nil"/>
              <w:tr2bl w:val="nil"/>
            </w:tcBorders>
            <w:noWrap w:val="0"/>
            <w:vAlign w:val="center"/>
          </w:tcPr>
          <w:p w14:paraId="33F24D9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城镇生态系统</w:t>
            </w:r>
          </w:p>
        </w:tc>
        <w:tc>
          <w:tcPr>
            <w:tcW w:w="371" w:type="pct"/>
            <w:tcBorders>
              <w:tl2br w:val="nil"/>
              <w:tr2bl w:val="nil"/>
            </w:tcBorders>
            <w:noWrap w:val="0"/>
            <w:vAlign w:val="center"/>
          </w:tcPr>
          <w:p w14:paraId="430FC9C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61</w:t>
            </w:r>
          </w:p>
        </w:tc>
        <w:tc>
          <w:tcPr>
            <w:tcW w:w="843" w:type="pct"/>
            <w:tcBorders>
              <w:tl2br w:val="nil"/>
              <w:tr2bl w:val="nil"/>
            </w:tcBorders>
            <w:noWrap w:val="0"/>
            <w:vAlign w:val="center"/>
          </w:tcPr>
          <w:p w14:paraId="1A6B6C2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居住地</w:t>
            </w:r>
          </w:p>
        </w:tc>
        <w:tc>
          <w:tcPr>
            <w:tcW w:w="3022" w:type="pct"/>
            <w:tcBorders>
              <w:tl2br w:val="nil"/>
              <w:tr2bl w:val="nil"/>
            </w:tcBorders>
            <w:noWrap w:val="0"/>
            <w:vAlign w:val="center"/>
          </w:tcPr>
          <w:p w14:paraId="4B9B52B0">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城市、镇、村等聚居区</w:t>
            </w:r>
          </w:p>
        </w:tc>
      </w:tr>
      <w:tr w14:paraId="44CE21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13D5375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6A52C2B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193A939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62</w:t>
            </w:r>
          </w:p>
        </w:tc>
        <w:tc>
          <w:tcPr>
            <w:tcW w:w="843" w:type="pct"/>
            <w:tcBorders>
              <w:tl2br w:val="nil"/>
              <w:tr2bl w:val="nil"/>
            </w:tcBorders>
            <w:noWrap w:val="0"/>
            <w:vAlign w:val="center"/>
          </w:tcPr>
          <w:p w14:paraId="6683CFC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城市绿地</w:t>
            </w:r>
          </w:p>
        </w:tc>
        <w:tc>
          <w:tcPr>
            <w:tcW w:w="3022" w:type="pct"/>
            <w:tcBorders>
              <w:tl2br w:val="nil"/>
              <w:tr2bl w:val="nil"/>
            </w:tcBorders>
            <w:noWrap w:val="0"/>
            <w:vAlign w:val="center"/>
          </w:tcPr>
          <w:p w14:paraId="63B93FA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城市的公共绿地、居住区绿地、单位附属绿地、防护绿地、生产绿地以及风景林地等</w:t>
            </w:r>
          </w:p>
        </w:tc>
      </w:tr>
      <w:tr w14:paraId="52DEE4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4CB5B51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555E347A">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559FB61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63</w:t>
            </w:r>
          </w:p>
        </w:tc>
        <w:tc>
          <w:tcPr>
            <w:tcW w:w="843" w:type="pct"/>
            <w:tcBorders>
              <w:tl2br w:val="nil"/>
              <w:tr2bl w:val="nil"/>
            </w:tcBorders>
            <w:noWrap w:val="0"/>
            <w:vAlign w:val="center"/>
          </w:tcPr>
          <w:p w14:paraId="1427FF5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工矿交通</w:t>
            </w:r>
          </w:p>
        </w:tc>
        <w:tc>
          <w:tcPr>
            <w:tcW w:w="3022" w:type="pct"/>
            <w:tcBorders>
              <w:tl2br w:val="nil"/>
              <w:tr2bl w:val="nil"/>
            </w:tcBorders>
            <w:noWrap w:val="0"/>
            <w:vAlign w:val="center"/>
          </w:tcPr>
          <w:p w14:paraId="327E643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人工挖掘表面和人工硬表面，工矿用地、交通用地</w:t>
            </w:r>
          </w:p>
        </w:tc>
      </w:tr>
      <w:tr w14:paraId="39EF3F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1177695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7</w:t>
            </w:r>
          </w:p>
        </w:tc>
        <w:tc>
          <w:tcPr>
            <w:tcW w:w="463" w:type="pct"/>
            <w:vMerge w:val="restart"/>
            <w:tcBorders>
              <w:tl2br w:val="nil"/>
              <w:tr2bl w:val="nil"/>
            </w:tcBorders>
            <w:noWrap w:val="0"/>
            <w:vAlign w:val="center"/>
          </w:tcPr>
          <w:p w14:paraId="1C44FA3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荒漠生态系统</w:t>
            </w:r>
          </w:p>
        </w:tc>
        <w:tc>
          <w:tcPr>
            <w:tcW w:w="371" w:type="pct"/>
            <w:tcBorders>
              <w:tl2br w:val="nil"/>
              <w:tr2bl w:val="nil"/>
            </w:tcBorders>
            <w:noWrap w:val="0"/>
            <w:vAlign w:val="center"/>
          </w:tcPr>
          <w:p w14:paraId="615DAF3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71</w:t>
            </w:r>
          </w:p>
        </w:tc>
        <w:tc>
          <w:tcPr>
            <w:tcW w:w="843" w:type="pct"/>
            <w:tcBorders>
              <w:tl2br w:val="nil"/>
              <w:tr2bl w:val="nil"/>
            </w:tcBorders>
            <w:noWrap w:val="0"/>
            <w:vAlign w:val="center"/>
          </w:tcPr>
          <w:p w14:paraId="07B9395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沙漠</w:t>
            </w:r>
          </w:p>
        </w:tc>
        <w:tc>
          <w:tcPr>
            <w:tcW w:w="3022" w:type="pct"/>
            <w:tcBorders>
              <w:tl2br w:val="nil"/>
              <w:tr2bl w:val="nil"/>
            </w:tcBorders>
            <w:noWrap w:val="0"/>
            <w:vAlign w:val="center"/>
          </w:tcPr>
          <w:p w14:paraId="43D86F8C">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自然，松散表面，沙质，C＜0.04</w:t>
            </w:r>
          </w:p>
        </w:tc>
      </w:tr>
      <w:tr w14:paraId="343DBC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0134907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25032BF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2C1068D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72</w:t>
            </w:r>
          </w:p>
        </w:tc>
        <w:tc>
          <w:tcPr>
            <w:tcW w:w="843" w:type="pct"/>
            <w:tcBorders>
              <w:tl2br w:val="nil"/>
              <w:tr2bl w:val="nil"/>
            </w:tcBorders>
            <w:noWrap w:val="0"/>
            <w:vAlign w:val="center"/>
          </w:tcPr>
          <w:p w14:paraId="48970C8F">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沙地</w:t>
            </w:r>
          </w:p>
        </w:tc>
        <w:tc>
          <w:tcPr>
            <w:tcW w:w="3022" w:type="pct"/>
            <w:tcBorders>
              <w:tl2br w:val="nil"/>
              <w:tr2bl w:val="nil"/>
            </w:tcBorders>
            <w:noWrap w:val="0"/>
            <w:vAlign w:val="center"/>
          </w:tcPr>
          <w:p w14:paraId="018A762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分布在半干旱区及部分半湿润区的沙质土地，C＜0.04</w:t>
            </w:r>
          </w:p>
        </w:tc>
      </w:tr>
      <w:tr w14:paraId="5E3F2B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3CF62883">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42BEEDE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2A8B5CE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73</w:t>
            </w:r>
          </w:p>
        </w:tc>
        <w:tc>
          <w:tcPr>
            <w:tcW w:w="843" w:type="pct"/>
            <w:tcBorders>
              <w:tl2br w:val="nil"/>
              <w:tr2bl w:val="nil"/>
            </w:tcBorders>
            <w:noWrap w:val="0"/>
            <w:vAlign w:val="center"/>
          </w:tcPr>
          <w:p w14:paraId="300DD62E">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盐碱地</w:t>
            </w:r>
          </w:p>
        </w:tc>
        <w:tc>
          <w:tcPr>
            <w:tcW w:w="3022" w:type="pct"/>
            <w:tcBorders>
              <w:tl2br w:val="nil"/>
              <w:tr2bl w:val="nil"/>
            </w:tcBorders>
            <w:noWrap w:val="0"/>
            <w:vAlign w:val="center"/>
          </w:tcPr>
          <w:p w14:paraId="011A0F9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自然，松散表面，高盐分</w:t>
            </w:r>
          </w:p>
        </w:tc>
      </w:tr>
      <w:tr w14:paraId="341DB5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restart"/>
            <w:tcBorders>
              <w:tl2br w:val="nil"/>
              <w:tr2bl w:val="nil"/>
            </w:tcBorders>
            <w:noWrap w:val="0"/>
            <w:vAlign w:val="center"/>
          </w:tcPr>
          <w:p w14:paraId="19B40C49">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8</w:t>
            </w:r>
          </w:p>
        </w:tc>
        <w:tc>
          <w:tcPr>
            <w:tcW w:w="463" w:type="pct"/>
            <w:vMerge w:val="restart"/>
            <w:tcBorders>
              <w:tl2br w:val="nil"/>
              <w:tr2bl w:val="nil"/>
            </w:tcBorders>
            <w:noWrap w:val="0"/>
            <w:vAlign w:val="center"/>
          </w:tcPr>
          <w:p w14:paraId="26D7F0F6">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其他</w:t>
            </w:r>
          </w:p>
        </w:tc>
        <w:tc>
          <w:tcPr>
            <w:tcW w:w="371" w:type="pct"/>
            <w:tcBorders>
              <w:tl2br w:val="nil"/>
              <w:tr2bl w:val="nil"/>
            </w:tcBorders>
            <w:noWrap w:val="0"/>
            <w:vAlign w:val="center"/>
          </w:tcPr>
          <w:p w14:paraId="07C7AB35">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81</w:t>
            </w:r>
          </w:p>
        </w:tc>
        <w:tc>
          <w:tcPr>
            <w:tcW w:w="843" w:type="pct"/>
            <w:tcBorders>
              <w:tl2br w:val="nil"/>
              <w:tr2bl w:val="nil"/>
            </w:tcBorders>
            <w:noWrap w:val="0"/>
            <w:vAlign w:val="center"/>
          </w:tcPr>
          <w:p w14:paraId="5A0227D8">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冰川/永久积雪</w:t>
            </w:r>
          </w:p>
        </w:tc>
        <w:tc>
          <w:tcPr>
            <w:tcW w:w="3022" w:type="pct"/>
            <w:tcBorders>
              <w:tl2br w:val="nil"/>
              <w:tr2bl w:val="nil"/>
            </w:tcBorders>
            <w:noWrap w:val="0"/>
            <w:vAlign w:val="center"/>
          </w:tcPr>
          <w:p w14:paraId="1C1F9621">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自然，水的固态</w:t>
            </w:r>
          </w:p>
        </w:tc>
      </w:tr>
      <w:tr w14:paraId="3E1C36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7" w:type="pct"/>
            <w:vMerge w:val="continue"/>
            <w:tcBorders>
              <w:tl2br w:val="nil"/>
              <w:tr2bl w:val="nil"/>
            </w:tcBorders>
            <w:noWrap w:val="0"/>
            <w:vAlign w:val="center"/>
          </w:tcPr>
          <w:p w14:paraId="7543B1EB">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463" w:type="pct"/>
            <w:vMerge w:val="continue"/>
            <w:tcBorders>
              <w:tl2br w:val="nil"/>
              <w:tr2bl w:val="nil"/>
            </w:tcBorders>
            <w:noWrap w:val="0"/>
            <w:vAlign w:val="center"/>
          </w:tcPr>
          <w:p w14:paraId="6330668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p>
        </w:tc>
        <w:tc>
          <w:tcPr>
            <w:tcW w:w="371" w:type="pct"/>
            <w:tcBorders>
              <w:tl2br w:val="nil"/>
              <w:tr2bl w:val="nil"/>
            </w:tcBorders>
            <w:noWrap w:val="0"/>
            <w:vAlign w:val="center"/>
          </w:tcPr>
          <w:p w14:paraId="7DD00FB2">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82</w:t>
            </w:r>
          </w:p>
        </w:tc>
        <w:tc>
          <w:tcPr>
            <w:tcW w:w="843" w:type="pct"/>
            <w:tcBorders>
              <w:tl2br w:val="nil"/>
              <w:tr2bl w:val="nil"/>
            </w:tcBorders>
            <w:noWrap w:val="0"/>
            <w:vAlign w:val="center"/>
          </w:tcPr>
          <w:p w14:paraId="6F92E047">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裸地</w:t>
            </w:r>
          </w:p>
        </w:tc>
        <w:tc>
          <w:tcPr>
            <w:tcW w:w="3022" w:type="pct"/>
            <w:tcBorders>
              <w:tl2br w:val="nil"/>
              <w:tr2bl w:val="nil"/>
            </w:tcBorders>
            <w:noWrap w:val="0"/>
            <w:vAlign w:val="center"/>
          </w:tcPr>
          <w:p w14:paraId="60E16604">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自然，松散表面或坚硬表面，壤质或石质，C＜0.04</w:t>
            </w:r>
          </w:p>
        </w:tc>
      </w:tr>
      <w:tr w14:paraId="459B81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5"/>
            <w:tcBorders>
              <w:tl2br w:val="nil"/>
              <w:tr2bl w:val="nil"/>
            </w:tcBorders>
            <w:noWrap w:val="0"/>
            <w:vAlign w:val="center"/>
          </w:tcPr>
          <w:p w14:paraId="40C2BC8D">
            <w:pPr>
              <w:keepNext w:val="0"/>
              <w:keepLines w:val="0"/>
              <w:pageBreakBefore w:val="0"/>
              <w:widowControl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注：C：覆盖度/郁闭度；H：植被高度（m）；F：针叶树与阔叶树的比例；K：湿润指数。</w:t>
            </w:r>
          </w:p>
        </w:tc>
      </w:tr>
    </w:tbl>
    <w:p w14:paraId="79E5BA26">
      <w:pPr>
        <w:adjustRightInd w:val="0"/>
        <w:snapToGrid w:val="0"/>
        <w:spacing w:line="460" w:lineRule="exact"/>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bCs/>
          <w:caps w:val="0"/>
          <w:smallCaps w:val="0"/>
          <w:snapToGrid/>
          <w:color w:val="auto"/>
          <w:spacing w:val="0"/>
          <w:kern w:val="0"/>
          <w:sz w:val="24"/>
          <w:szCs w:val="24"/>
          <w:highlight w:val="none"/>
          <w:u w:val="none" w:color="auto"/>
        </w:rPr>
        <w:t>根据遥感解译数据，评价区内各生态系统面积及比例</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统计</w:t>
      </w:r>
      <w:r>
        <w:rPr>
          <w:rFonts w:hint="default" w:ascii="Times New Roman" w:hAnsi="Times New Roman" w:eastAsia="宋体" w:cs="Times New Roman"/>
          <w:bCs/>
          <w:caps w:val="0"/>
          <w:smallCaps w:val="0"/>
          <w:snapToGrid/>
          <w:color w:val="auto"/>
          <w:spacing w:val="0"/>
          <w:kern w:val="0"/>
          <w:sz w:val="24"/>
          <w:szCs w:val="24"/>
          <w:highlight w:val="none"/>
          <w:u w:val="none" w:color="auto"/>
        </w:rPr>
        <w:t>见</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下表</w:t>
      </w:r>
      <w:r>
        <w:rPr>
          <w:rFonts w:hint="default" w:ascii="Times New Roman" w:hAnsi="Times New Roman" w:eastAsia="宋体" w:cs="Times New Roman"/>
          <w:bCs/>
          <w:caps w:val="0"/>
          <w:smallCaps w:val="0"/>
          <w:snapToGrid/>
          <w:color w:val="auto"/>
          <w:spacing w:val="0"/>
          <w:kern w:val="0"/>
          <w:sz w:val="24"/>
          <w:szCs w:val="24"/>
          <w:highlight w:val="none"/>
          <w:u w:val="none" w:color="auto"/>
        </w:rPr>
        <w:t>。</w:t>
      </w:r>
    </w:p>
    <w:p w14:paraId="0D4092D4">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w:t>
      </w:r>
      <w:r>
        <w:rPr>
          <w:rFonts w:hint="eastAsia" w:ascii="Times New Roman" w:hAnsi="Times New Roman" w:eastAsia="宋体" w:cs="Times New Roman"/>
          <w:b/>
          <w:caps w:val="0"/>
          <w:smallCaps w:val="0"/>
          <w:color w:val="auto"/>
          <w:spacing w:val="0"/>
          <w:w w:val="100"/>
          <w:position w:val="0"/>
          <w:sz w:val="21"/>
          <w:szCs w:val="21"/>
          <w:u w:val="none" w:color="auto"/>
          <w:lang w:val="en-US" w:eastAsia="zh-CN"/>
        </w:rPr>
        <w:t xml:space="preserve"> </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评价区生态系统面积及比例</w:t>
      </w:r>
    </w:p>
    <w:tbl>
      <w:tblPr>
        <w:tblStyle w:val="39"/>
        <w:tblW w:w="85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149"/>
        <w:gridCol w:w="1545"/>
        <w:gridCol w:w="2067"/>
        <w:gridCol w:w="1850"/>
      </w:tblGrid>
      <w:tr w14:paraId="020B5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488CF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smallCaps w:val="0"/>
                <w:color w:val="auto"/>
                <w:kern w:val="2"/>
                <w:sz w:val="21"/>
                <w:szCs w:val="21"/>
                <w:lang w:val="en-US" w:eastAsia="zh-CN" w:bidi="ar-SA"/>
              </w:rPr>
            </w:pPr>
            <w:r>
              <w:rPr>
                <w:rFonts w:hint="eastAsia" w:ascii="Times New Roman" w:hAnsi="Times New Roman" w:eastAsia="宋体" w:cs="Times New Roman"/>
                <w:b/>
                <w:bCs/>
                <w:caps w:val="0"/>
                <w:smallCaps w:val="0"/>
                <w:color w:val="auto"/>
                <w:kern w:val="2"/>
                <w:sz w:val="21"/>
                <w:szCs w:val="21"/>
                <w:lang w:val="en-US" w:eastAsia="zh-CN" w:bidi="ar-SA"/>
              </w:rPr>
              <w:t>序号</w:t>
            </w:r>
          </w:p>
        </w:tc>
        <w:tc>
          <w:tcPr>
            <w:tcW w:w="2149" w:type="dxa"/>
            <w:tcBorders>
              <w:tl2br w:val="nil"/>
              <w:tr2bl w:val="nil"/>
            </w:tcBorders>
            <w:noWrap w:val="0"/>
            <w:vAlign w:val="center"/>
          </w:tcPr>
          <w:p w14:paraId="4D36E2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aps w:val="0"/>
                <w:smallCaps w:val="0"/>
                <w:color w:val="auto"/>
                <w:kern w:val="2"/>
                <w:sz w:val="21"/>
                <w:szCs w:val="21"/>
                <w:lang w:val="en-US" w:eastAsia="zh-CN" w:bidi="ar-SA"/>
              </w:rPr>
            </w:pPr>
            <w:r>
              <w:rPr>
                <w:rFonts w:hint="eastAsia" w:ascii="Times New Roman" w:hAnsi="Times New Roman" w:eastAsia="宋体" w:cs="Times New Roman"/>
                <w:b/>
                <w:bCs/>
                <w:caps w:val="0"/>
                <w:smallCaps w:val="0"/>
                <w:color w:val="auto"/>
                <w:kern w:val="2"/>
                <w:sz w:val="21"/>
                <w:szCs w:val="21"/>
                <w:lang w:val="en-US" w:eastAsia="zh-CN" w:bidi="ar-SA"/>
              </w:rPr>
              <w:t>Ⅰ级分类</w:t>
            </w:r>
          </w:p>
        </w:tc>
        <w:tc>
          <w:tcPr>
            <w:tcW w:w="1545" w:type="dxa"/>
            <w:tcBorders>
              <w:tl2br w:val="nil"/>
              <w:tr2bl w:val="nil"/>
            </w:tcBorders>
            <w:noWrap w:val="0"/>
            <w:vAlign w:val="center"/>
          </w:tcPr>
          <w:p w14:paraId="6B158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smallCaps w:val="0"/>
                <w:color w:val="auto"/>
                <w:kern w:val="2"/>
                <w:sz w:val="21"/>
                <w:szCs w:val="21"/>
                <w:lang w:val="en-US" w:eastAsia="zh-CN" w:bidi="ar-SA"/>
              </w:rPr>
            </w:pPr>
            <w:r>
              <w:rPr>
                <w:rFonts w:hint="eastAsia" w:ascii="Times New Roman" w:hAnsi="Times New Roman" w:eastAsia="宋体" w:cs="Times New Roman"/>
                <w:b/>
                <w:bCs/>
                <w:caps w:val="0"/>
                <w:smallCaps w:val="0"/>
                <w:color w:val="auto"/>
                <w:kern w:val="2"/>
                <w:sz w:val="21"/>
                <w:szCs w:val="21"/>
                <w:lang w:val="en-US" w:eastAsia="zh-CN" w:bidi="ar-SA"/>
              </w:rPr>
              <w:t>Ⅱ级分类</w:t>
            </w:r>
          </w:p>
        </w:tc>
        <w:tc>
          <w:tcPr>
            <w:tcW w:w="2067" w:type="dxa"/>
            <w:tcBorders>
              <w:tl2br w:val="nil"/>
              <w:tr2bl w:val="nil"/>
            </w:tcBorders>
            <w:noWrap w:val="0"/>
            <w:vAlign w:val="center"/>
          </w:tcPr>
          <w:p w14:paraId="79ED4A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smallCaps w:val="0"/>
                <w:color w:val="auto"/>
                <w:kern w:val="2"/>
                <w:sz w:val="21"/>
                <w:szCs w:val="21"/>
                <w:highlight w:val="none"/>
                <w:lang w:val="en-US" w:eastAsia="zh-CN" w:bidi="ar-SA"/>
              </w:rPr>
            </w:pPr>
            <w:r>
              <w:rPr>
                <w:rFonts w:hint="eastAsia" w:ascii="Times New Roman" w:hAnsi="Times New Roman" w:eastAsia="宋体" w:cs="Times New Roman"/>
                <w:b/>
                <w:bCs/>
                <w:caps w:val="0"/>
                <w:smallCaps w:val="0"/>
                <w:color w:val="auto"/>
                <w:kern w:val="2"/>
                <w:sz w:val="21"/>
                <w:szCs w:val="21"/>
                <w:highlight w:val="none"/>
                <w:lang w:val="en-US" w:eastAsia="zh-CN" w:bidi="ar-SA"/>
              </w:rPr>
              <w:t>面积（hm</w:t>
            </w:r>
            <w:r>
              <w:rPr>
                <w:rFonts w:hint="default" w:ascii="Times New Roman" w:hAnsi="Times New Roman" w:eastAsia="宋体" w:cs="Times New Roman"/>
                <w:b/>
                <w:bCs/>
                <w:caps w:val="0"/>
                <w:smallCaps w:val="0"/>
                <w:color w:val="auto"/>
                <w:kern w:val="2"/>
                <w:sz w:val="21"/>
                <w:szCs w:val="21"/>
                <w:highlight w:val="none"/>
                <w:vertAlign w:val="superscript"/>
                <w:lang w:val="en-US" w:eastAsia="zh-CN" w:bidi="ar-SA"/>
              </w:rPr>
              <w:t>2</w:t>
            </w:r>
            <w:r>
              <w:rPr>
                <w:rFonts w:hint="eastAsia" w:ascii="Times New Roman" w:hAnsi="Times New Roman" w:eastAsia="宋体" w:cs="Times New Roman"/>
                <w:b/>
                <w:bCs/>
                <w:caps w:val="0"/>
                <w:smallCaps w:val="0"/>
                <w:color w:val="auto"/>
                <w:kern w:val="2"/>
                <w:sz w:val="21"/>
                <w:szCs w:val="21"/>
                <w:highlight w:val="none"/>
                <w:lang w:val="en-US" w:eastAsia="zh-CN" w:bidi="ar-SA"/>
              </w:rPr>
              <w:t>）</w:t>
            </w:r>
          </w:p>
        </w:tc>
        <w:tc>
          <w:tcPr>
            <w:tcW w:w="1850" w:type="dxa"/>
            <w:tcBorders>
              <w:tl2br w:val="nil"/>
              <w:tr2bl w:val="nil"/>
            </w:tcBorders>
            <w:noWrap w:val="0"/>
            <w:vAlign w:val="center"/>
          </w:tcPr>
          <w:p w14:paraId="6D93C7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smallCaps w:val="0"/>
                <w:color w:val="auto"/>
                <w:kern w:val="2"/>
                <w:sz w:val="21"/>
                <w:szCs w:val="21"/>
                <w:highlight w:val="none"/>
                <w:lang w:val="en-US" w:eastAsia="zh-CN" w:bidi="ar-SA"/>
              </w:rPr>
            </w:pPr>
            <w:r>
              <w:rPr>
                <w:rFonts w:hint="eastAsia" w:ascii="Times New Roman" w:hAnsi="Times New Roman" w:eastAsia="宋体" w:cs="Times New Roman"/>
                <w:b/>
                <w:bCs/>
                <w:caps w:val="0"/>
                <w:smallCaps w:val="0"/>
                <w:color w:val="auto"/>
                <w:kern w:val="2"/>
                <w:sz w:val="21"/>
                <w:szCs w:val="21"/>
                <w:highlight w:val="none"/>
                <w:lang w:val="en-US" w:eastAsia="zh-CN" w:bidi="ar-SA"/>
              </w:rPr>
              <w:t>占比（%）</w:t>
            </w:r>
          </w:p>
        </w:tc>
      </w:tr>
      <w:tr w14:paraId="28F5C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5D2CEC27">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5BF55E4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森林生态系统</w:t>
            </w:r>
          </w:p>
        </w:tc>
        <w:tc>
          <w:tcPr>
            <w:tcW w:w="1545" w:type="dxa"/>
            <w:tcBorders>
              <w:tl2br w:val="nil"/>
              <w:tr2bl w:val="nil"/>
            </w:tcBorders>
            <w:noWrap w:val="0"/>
            <w:vAlign w:val="center"/>
          </w:tcPr>
          <w:p w14:paraId="7ECC18E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阔叶林</w:t>
            </w:r>
          </w:p>
        </w:tc>
        <w:tc>
          <w:tcPr>
            <w:tcW w:w="2067" w:type="dxa"/>
            <w:tcBorders>
              <w:tl2br w:val="nil"/>
              <w:tr2bl w:val="nil"/>
            </w:tcBorders>
            <w:noWrap w:val="0"/>
            <w:vAlign w:val="center"/>
          </w:tcPr>
          <w:p w14:paraId="6F8902AA">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269.1080</w:t>
            </w:r>
          </w:p>
        </w:tc>
        <w:tc>
          <w:tcPr>
            <w:tcW w:w="1850" w:type="dxa"/>
            <w:tcBorders>
              <w:tl2br w:val="nil"/>
              <w:tr2bl w:val="nil"/>
            </w:tcBorders>
            <w:noWrap w:val="0"/>
            <w:vAlign w:val="center"/>
          </w:tcPr>
          <w:p w14:paraId="00E7DD78">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17.34</w:t>
            </w:r>
          </w:p>
        </w:tc>
      </w:tr>
      <w:tr w14:paraId="74B6F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72320E90">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550052C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森林生态系统</w:t>
            </w:r>
          </w:p>
        </w:tc>
        <w:tc>
          <w:tcPr>
            <w:tcW w:w="1545" w:type="dxa"/>
            <w:tcBorders>
              <w:tl2br w:val="nil"/>
              <w:tr2bl w:val="nil"/>
            </w:tcBorders>
            <w:noWrap w:val="0"/>
            <w:vAlign w:val="center"/>
          </w:tcPr>
          <w:p w14:paraId="5BD0A8B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针叶林</w:t>
            </w:r>
          </w:p>
        </w:tc>
        <w:tc>
          <w:tcPr>
            <w:tcW w:w="2067" w:type="dxa"/>
            <w:tcBorders>
              <w:tl2br w:val="nil"/>
              <w:tr2bl w:val="nil"/>
            </w:tcBorders>
            <w:noWrap w:val="0"/>
            <w:vAlign w:val="center"/>
          </w:tcPr>
          <w:p w14:paraId="6FB3AD6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37.1153</w:t>
            </w:r>
          </w:p>
        </w:tc>
        <w:tc>
          <w:tcPr>
            <w:tcW w:w="1850" w:type="dxa"/>
            <w:tcBorders>
              <w:tl2br w:val="nil"/>
              <w:tr2bl w:val="nil"/>
            </w:tcBorders>
            <w:noWrap w:val="0"/>
            <w:vAlign w:val="center"/>
          </w:tcPr>
          <w:p w14:paraId="70F883C9">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2.39</w:t>
            </w:r>
          </w:p>
        </w:tc>
      </w:tr>
      <w:tr w14:paraId="58B8C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33698EBC">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3E0B2C0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灌丛生态系统</w:t>
            </w:r>
          </w:p>
        </w:tc>
        <w:tc>
          <w:tcPr>
            <w:tcW w:w="1545" w:type="dxa"/>
            <w:tcBorders>
              <w:tl2br w:val="nil"/>
              <w:tr2bl w:val="nil"/>
            </w:tcBorders>
            <w:noWrap w:val="0"/>
            <w:vAlign w:val="center"/>
          </w:tcPr>
          <w:p w14:paraId="6A9FA64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阔叶灌丛</w:t>
            </w:r>
          </w:p>
        </w:tc>
        <w:tc>
          <w:tcPr>
            <w:tcW w:w="2067" w:type="dxa"/>
            <w:tcBorders>
              <w:tl2br w:val="nil"/>
              <w:tr2bl w:val="nil"/>
            </w:tcBorders>
            <w:noWrap w:val="0"/>
            <w:vAlign w:val="center"/>
          </w:tcPr>
          <w:p w14:paraId="1CD71235">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71.3689</w:t>
            </w:r>
          </w:p>
        </w:tc>
        <w:tc>
          <w:tcPr>
            <w:tcW w:w="1850" w:type="dxa"/>
            <w:tcBorders>
              <w:tl2br w:val="nil"/>
              <w:tr2bl w:val="nil"/>
            </w:tcBorders>
            <w:noWrap w:val="0"/>
            <w:vAlign w:val="center"/>
          </w:tcPr>
          <w:p w14:paraId="69FD2BB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4.60</w:t>
            </w:r>
          </w:p>
        </w:tc>
      </w:tr>
      <w:tr w14:paraId="7ABE5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5AD10B4E">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238AD311">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草地生态系统</w:t>
            </w:r>
          </w:p>
        </w:tc>
        <w:tc>
          <w:tcPr>
            <w:tcW w:w="1545" w:type="dxa"/>
            <w:tcBorders>
              <w:tl2br w:val="nil"/>
              <w:tr2bl w:val="nil"/>
            </w:tcBorders>
            <w:noWrap w:val="0"/>
            <w:vAlign w:val="center"/>
          </w:tcPr>
          <w:p w14:paraId="1547DF6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草丛</w:t>
            </w:r>
          </w:p>
        </w:tc>
        <w:tc>
          <w:tcPr>
            <w:tcW w:w="2067" w:type="dxa"/>
            <w:tcBorders>
              <w:tl2br w:val="nil"/>
              <w:tr2bl w:val="nil"/>
            </w:tcBorders>
            <w:noWrap w:val="0"/>
            <w:vAlign w:val="center"/>
          </w:tcPr>
          <w:p w14:paraId="094B17A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31.4958</w:t>
            </w:r>
          </w:p>
        </w:tc>
        <w:tc>
          <w:tcPr>
            <w:tcW w:w="1850" w:type="dxa"/>
            <w:tcBorders>
              <w:tl2br w:val="nil"/>
              <w:tr2bl w:val="nil"/>
            </w:tcBorders>
            <w:noWrap w:val="0"/>
            <w:vAlign w:val="center"/>
          </w:tcPr>
          <w:p w14:paraId="29A06267">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2.03</w:t>
            </w:r>
          </w:p>
        </w:tc>
      </w:tr>
      <w:tr w14:paraId="41F27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3ABAB07A">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24AFB357">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湿地生态系统</w:t>
            </w:r>
          </w:p>
        </w:tc>
        <w:tc>
          <w:tcPr>
            <w:tcW w:w="1545" w:type="dxa"/>
            <w:tcBorders>
              <w:tl2br w:val="nil"/>
              <w:tr2bl w:val="nil"/>
            </w:tcBorders>
            <w:noWrap w:val="0"/>
            <w:vAlign w:val="center"/>
          </w:tcPr>
          <w:p w14:paraId="67C5F2A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湖泊</w:t>
            </w:r>
          </w:p>
        </w:tc>
        <w:tc>
          <w:tcPr>
            <w:tcW w:w="2067" w:type="dxa"/>
            <w:tcBorders>
              <w:tl2br w:val="nil"/>
              <w:tr2bl w:val="nil"/>
            </w:tcBorders>
            <w:noWrap w:val="0"/>
            <w:vAlign w:val="center"/>
          </w:tcPr>
          <w:p w14:paraId="6B67EAF1">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346.1275</w:t>
            </w:r>
          </w:p>
        </w:tc>
        <w:tc>
          <w:tcPr>
            <w:tcW w:w="1850" w:type="dxa"/>
            <w:tcBorders>
              <w:tl2br w:val="nil"/>
              <w:tr2bl w:val="nil"/>
            </w:tcBorders>
            <w:noWrap w:val="0"/>
            <w:vAlign w:val="center"/>
          </w:tcPr>
          <w:p w14:paraId="6098505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22.30</w:t>
            </w:r>
          </w:p>
        </w:tc>
      </w:tr>
      <w:tr w14:paraId="41C73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08A17E25">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31BA000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湿地生态系统</w:t>
            </w:r>
          </w:p>
        </w:tc>
        <w:tc>
          <w:tcPr>
            <w:tcW w:w="1545" w:type="dxa"/>
            <w:tcBorders>
              <w:tl2br w:val="nil"/>
              <w:tr2bl w:val="nil"/>
            </w:tcBorders>
            <w:noWrap w:val="0"/>
            <w:vAlign w:val="center"/>
          </w:tcPr>
          <w:p w14:paraId="06AFCA78">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河流</w:t>
            </w:r>
          </w:p>
        </w:tc>
        <w:tc>
          <w:tcPr>
            <w:tcW w:w="2067" w:type="dxa"/>
            <w:tcBorders>
              <w:tl2br w:val="nil"/>
              <w:tr2bl w:val="nil"/>
            </w:tcBorders>
            <w:noWrap w:val="0"/>
            <w:vAlign w:val="center"/>
          </w:tcPr>
          <w:p w14:paraId="094F1AF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16.3250</w:t>
            </w:r>
          </w:p>
        </w:tc>
        <w:tc>
          <w:tcPr>
            <w:tcW w:w="1850" w:type="dxa"/>
            <w:tcBorders>
              <w:tl2br w:val="nil"/>
              <w:tr2bl w:val="nil"/>
            </w:tcBorders>
            <w:noWrap w:val="0"/>
            <w:vAlign w:val="center"/>
          </w:tcPr>
          <w:p w14:paraId="537F2ED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1.05</w:t>
            </w:r>
          </w:p>
        </w:tc>
      </w:tr>
      <w:tr w14:paraId="116DF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3B7D077C">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23694C7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农田生态系统</w:t>
            </w:r>
          </w:p>
        </w:tc>
        <w:tc>
          <w:tcPr>
            <w:tcW w:w="1545" w:type="dxa"/>
            <w:tcBorders>
              <w:tl2br w:val="nil"/>
              <w:tr2bl w:val="nil"/>
            </w:tcBorders>
            <w:noWrap w:val="0"/>
            <w:vAlign w:val="center"/>
          </w:tcPr>
          <w:p w14:paraId="09D40BB5">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耕地</w:t>
            </w:r>
          </w:p>
        </w:tc>
        <w:tc>
          <w:tcPr>
            <w:tcW w:w="2067" w:type="dxa"/>
            <w:tcBorders>
              <w:tl2br w:val="nil"/>
              <w:tr2bl w:val="nil"/>
            </w:tcBorders>
            <w:noWrap w:val="0"/>
            <w:vAlign w:val="center"/>
          </w:tcPr>
          <w:p w14:paraId="2562C92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670.9558</w:t>
            </w:r>
          </w:p>
        </w:tc>
        <w:tc>
          <w:tcPr>
            <w:tcW w:w="1850" w:type="dxa"/>
            <w:tcBorders>
              <w:tl2br w:val="nil"/>
              <w:tr2bl w:val="nil"/>
            </w:tcBorders>
            <w:noWrap w:val="0"/>
            <w:vAlign w:val="center"/>
          </w:tcPr>
          <w:p w14:paraId="065C18A4">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43.24</w:t>
            </w:r>
          </w:p>
        </w:tc>
      </w:tr>
      <w:tr w14:paraId="6E3AB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2A5D9AC0">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3D2E4094">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农田生态系统</w:t>
            </w:r>
          </w:p>
        </w:tc>
        <w:tc>
          <w:tcPr>
            <w:tcW w:w="1545" w:type="dxa"/>
            <w:tcBorders>
              <w:tl2br w:val="nil"/>
              <w:tr2bl w:val="nil"/>
            </w:tcBorders>
            <w:noWrap w:val="0"/>
            <w:vAlign w:val="center"/>
          </w:tcPr>
          <w:p w14:paraId="7311004C">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园地</w:t>
            </w:r>
          </w:p>
        </w:tc>
        <w:tc>
          <w:tcPr>
            <w:tcW w:w="2067" w:type="dxa"/>
            <w:tcBorders>
              <w:tl2br w:val="nil"/>
              <w:tr2bl w:val="nil"/>
            </w:tcBorders>
            <w:noWrap w:val="0"/>
            <w:vAlign w:val="center"/>
          </w:tcPr>
          <w:p w14:paraId="08CF04A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40.3430</w:t>
            </w:r>
          </w:p>
        </w:tc>
        <w:tc>
          <w:tcPr>
            <w:tcW w:w="1850" w:type="dxa"/>
            <w:tcBorders>
              <w:tl2br w:val="nil"/>
              <w:tr2bl w:val="nil"/>
            </w:tcBorders>
            <w:noWrap w:val="0"/>
            <w:vAlign w:val="center"/>
          </w:tcPr>
          <w:p w14:paraId="4E4946B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2.60</w:t>
            </w:r>
          </w:p>
        </w:tc>
      </w:tr>
      <w:tr w14:paraId="0F611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3551E54D">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7BFB16C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城镇生态系统</w:t>
            </w:r>
          </w:p>
        </w:tc>
        <w:tc>
          <w:tcPr>
            <w:tcW w:w="1545" w:type="dxa"/>
            <w:tcBorders>
              <w:tl2br w:val="nil"/>
              <w:tr2bl w:val="nil"/>
            </w:tcBorders>
            <w:noWrap w:val="0"/>
            <w:vAlign w:val="center"/>
          </w:tcPr>
          <w:p w14:paraId="0AAB129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居住地</w:t>
            </w:r>
          </w:p>
        </w:tc>
        <w:tc>
          <w:tcPr>
            <w:tcW w:w="2067" w:type="dxa"/>
            <w:tcBorders>
              <w:tl2br w:val="nil"/>
              <w:tr2bl w:val="nil"/>
            </w:tcBorders>
            <w:noWrap w:val="0"/>
            <w:vAlign w:val="center"/>
          </w:tcPr>
          <w:p w14:paraId="762B5164">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20.0693</w:t>
            </w:r>
          </w:p>
        </w:tc>
        <w:tc>
          <w:tcPr>
            <w:tcW w:w="1850" w:type="dxa"/>
            <w:tcBorders>
              <w:tl2br w:val="nil"/>
              <w:tr2bl w:val="nil"/>
            </w:tcBorders>
            <w:noWrap w:val="0"/>
            <w:vAlign w:val="center"/>
          </w:tcPr>
          <w:p w14:paraId="489D7943">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1.29</w:t>
            </w:r>
          </w:p>
        </w:tc>
      </w:tr>
      <w:tr w14:paraId="40FEE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0272CD56">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0B655C7C">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城镇生态系统</w:t>
            </w:r>
          </w:p>
        </w:tc>
        <w:tc>
          <w:tcPr>
            <w:tcW w:w="1545" w:type="dxa"/>
            <w:tcBorders>
              <w:tl2br w:val="nil"/>
              <w:tr2bl w:val="nil"/>
            </w:tcBorders>
            <w:noWrap w:val="0"/>
            <w:vAlign w:val="center"/>
          </w:tcPr>
          <w:p w14:paraId="17449921">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工矿交通</w:t>
            </w:r>
          </w:p>
        </w:tc>
        <w:tc>
          <w:tcPr>
            <w:tcW w:w="2067" w:type="dxa"/>
            <w:tcBorders>
              <w:tl2br w:val="nil"/>
              <w:tr2bl w:val="nil"/>
            </w:tcBorders>
            <w:noWrap w:val="0"/>
            <w:vAlign w:val="center"/>
          </w:tcPr>
          <w:p w14:paraId="1634E4C6">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47.1834</w:t>
            </w:r>
          </w:p>
        </w:tc>
        <w:tc>
          <w:tcPr>
            <w:tcW w:w="1850" w:type="dxa"/>
            <w:tcBorders>
              <w:tl2br w:val="nil"/>
              <w:tr2bl w:val="nil"/>
            </w:tcBorders>
            <w:noWrap w:val="0"/>
            <w:vAlign w:val="center"/>
          </w:tcPr>
          <w:p w14:paraId="0EF255A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3.04</w:t>
            </w:r>
          </w:p>
        </w:tc>
      </w:tr>
      <w:tr w14:paraId="74939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6" w:type="dxa"/>
            <w:tcBorders>
              <w:tl2br w:val="nil"/>
              <w:tr2bl w:val="nil"/>
            </w:tcBorders>
            <w:noWrap w:val="0"/>
            <w:vAlign w:val="center"/>
          </w:tcPr>
          <w:p w14:paraId="733D44DB">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caps w:val="0"/>
                <w:smallCaps w:val="0"/>
                <w:color w:val="auto"/>
                <w:kern w:val="2"/>
                <w:sz w:val="21"/>
                <w:szCs w:val="21"/>
                <w:lang w:val="en-US" w:eastAsia="zh-CN" w:bidi="ar-SA"/>
              </w:rPr>
            </w:pPr>
          </w:p>
        </w:tc>
        <w:tc>
          <w:tcPr>
            <w:tcW w:w="2149" w:type="dxa"/>
            <w:tcBorders>
              <w:tl2br w:val="nil"/>
              <w:tr2bl w:val="nil"/>
            </w:tcBorders>
            <w:noWrap w:val="0"/>
            <w:vAlign w:val="center"/>
          </w:tcPr>
          <w:p w14:paraId="59E1E99A">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其他</w:t>
            </w:r>
          </w:p>
        </w:tc>
        <w:tc>
          <w:tcPr>
            <w:tcW w:w="1545" w:type="dxa"/>
            <w:tcBorders>
              <w:tl2br w:val="nil"/>
              <w:tr2bl w:val="nil"/>
            </w:tcBorders>
            <w:noWrap w:val="0"/>
            <w:vAlign w:val="center"/>
          </w:tcPr>
          <w:p w14:paraId="766AF03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裸地</w:t>
            </w:r>
          </w:p>
        </w:tc>
        <w:tc>
          <w:tcPr>
            <w:tcW w:w="2067" w:type="dxa"/>
            <w:tcBorders>
              <w:tl2br w:val="nil"/>
              <w:tr2bl w:val="nil"/>
            </w:tcBorders>
            <w:noWrap w:val="0"/>
            <w:vAlign w:val="center"/>
          </w:tcPr>
          <w:p w14:paraId="1F6272EA">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1.7481</w:t>
            </w:r>
          </w:p>
        </w:tc>
        <w:tc>
          <w:tcPr>
            <w:tcW w:w="1850" w:type="dxa"/>
            <w:tcBorders>
              <w:tl2br w:val="nil"/>
              <w:tr2bl w:val="nil"/>
            </w:tcBorders>
            <w:noWrap w:val="0"/>
            <w:vAlign w:val="center"/>
          </w:tcPr>
          <w:p w14:paraId="0CF9A75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0.11</w:t>
            </w:r>
          </w:p>
        </w:tc>
      </w:tr>
      <w:tr w14:paraId="7C0AC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0" w:type="dxa"/>
            <w:gridSpan w:val="3"/>
            <w:tcBorders>
              <w:tl2br w:val="nil"/>
              <w:tr2bl w:val="nil"/>
            </w:tcBorders>
            <w:noWrap w:val="0"/>
            <w:vAlign w:val="center"/>
          </w:tcPr>
          <w:p w14:paraId="79343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合计</w:t>
            </w:r>
          </w:p>
        </w:tc>
        <w:tc>
          <w:tcPr>
            <w:tcW w:w="2067" w:type="dxa"/>
            <w:tcBorders>
              <w:tl2br w:val="nil"/>
              <w:tr2bl w:val="nil"/>
            </w:tcBorders>
            <w:noWrap w:val="0"/>
            <w:vAlign w:val="center"/>
          </w:tcPr>
          <w:p w14:paraId="19D664B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1551.8401</w:t>
            </w:r>
          </w:p>
        </w:tc>
        <w:tc>
          <w:tcPr>
            <w:tcW w:w="1850" w:type="dxa"/>
            <w:tcBorders>
              <w:tl2br w:val="nil"/>
              <w:tr2bl w:val="nil"/>
            </w:tcBorders>
            <w:noWrap w:val="0"/>
            <w:vAlign w:val="center"/>
          </w:tcPr>
          <w:p w14:paraId="66358FE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100.00</w:t>
            </w:r>
          </w:p>
        </w:tc>
      </w:tr>
    </w:tbl>
    <w:p w14:paraId="0AA0D909">
      <w:pPr>
        <w:adjustRightInd w:val="0"/>
        <w:snapToGrid w:val="0"/>
        <w:spacing w:line="460" w:lineRule="exact"/>
        <w:ind w:firstLine="480" w:firstLineChars="200"/>
        <w:rPr>
          <w:rFonts w:ascii="Times New Roman" w:hAnsi="Times New Roman" w:eastAsia="宋体" w:cs="Times New Roman"/>
          <w:bCs/>
          <w:caps w:val="0"/>
          <w:smallCaps w:val="0"/>
          <w:snapToGrid/>
          <w:color w:val="auto"/>
          <w:spacing w:val="0"/>
          <w:kern w:val="0"/>
          <w:sz w:val="24"/>
          <w:szCs w:val="24"/>
          <w:highlight w:val="none"/>
          <w:u w:val="none"/>
        </w:rPr>
      </w:pPr>
      <w:r>
        <w:rPr>
          <w:rFonts w:ascii="Times New Roman" w:hAnsi="Times New Roman" w:eastAsia="宋体" w:cs="Times New Roman"/>
          <w:bCs/>
          <w:caps w:val="0"/>
          <w:smallCaps w:val="0"/>
          <w:snapToGrid/>
          <w:color w:val="auto"/>
          <w:spacing w:val="0"/>
          <w:kern w:val="0"/>
          <w:sz w:val="24"/>
          <w:szCs w:val="24"/>
          <w:highlight w:val="none"/>
          <w:u w:val="none"/>
        </w:rPr>
        <w:t>由上表可知，评价区生态系统以</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农田生态系统</w:t>
      </w:r>
      <w:r>
        <w:rPr>
          <w:rFonts w:ascii="Times New Roman" w:hAnsi="Times New Roman" w:eastAsia="宋体" w:cs="Times New Roman"/>
          <w:bCs/>
          <w:caps w:val="0"/>
          <w:smallCaps w:val="0"/>
          <w:snapToGrid/>
          <w:color w:val="auto"/>
          <w:spacing w:val="0"/>
          <w:kern w:val="0"/>
          <w:sz w:val="24"/>
          <w:szCs w:val="24"/>
          <w:highlight w:val="none"/>
          <w:u w:val="none"/>
        </w:rPr>
        <w:t>为主，</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分别占评价区总面积的45.84%，其他</w:t>
      </w:r>
      <w:r>
        <w:rPr>
          <w:rFonts w:ascii="Times New Roman" w:hAnsi="Times New Roman" w:eastAsia="宋体" w:cs="Times New Roman"/>
          <w:bCs/>
          <w:caps w:val="0"/>
          <w:smallCaps w:val="0"/>
          <w:snapToGrid/>
          <w:color w:val="auto"/>
          <w:spacing w:val="0"/>
          <w:kern w:val="0"/>
          <w:sz w:val="24"/>
          <w:szCs w:val="24"/>
          <w:highlight w:val="none"/>
          <w:u w:val="none"/>
        </w:rPr>
        <w:t>生态系统所占面积</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均</w:t>
      </w:r>
      <w:r>
        <w:rPr>
          <w:rFonts w:ascii="Times New Roman" w:hAnsi="Times New Roman" w:eastAsia="宋体" w:cs="Times New Roman"/>
          <w:bCs/>
          <w:caps w:val="0"/>
          <w:smallCaps w:val="0"/>
          <w:snapToGrid/>
          <w:color w:val="auto"/>
          <w:spacing w:val="0"/>
          <w:kern w:val="0"/>
          <w:sz w:val="24"/>
          <w:szCs w:val="24"/>
          <w:highlight w:val="none"/>
          <w:u w:val="none"/>
        </w:rPr>
        <w:t>相对较小。</w:t>
      </w:r>
    </w:p>
    <w:p w14:paraId="232FE4FA">
      <w:pPr>
        <w:adjustRightInd w:val="0"/>
        <w:snapToGrid w:val="0"/>
        <w:spacing w:line="460" w:lineRule="exact"/>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p>
    <w:p w14:paraId="053D35D7">
      <w:pPr>
        <w:pStyle w:val="5"/>
        <w:bidi w:val="0"/>
        <w:rPr>
          <w:rFonts w:hint="default" w:ascii="Times New Roman" w:hAnsi="Times New Roman" w:cs="Times New Roman"/>
          <w:color w:val="auto"/>
          <w:u w:val="none" w:color="auto"/>
          <w:lang w:val="en-US" w:eastAsia="zh-CN"/>
        </w:rPr>
      </w:pPr>
      <w:bookmarkStart w:id="210" w:name="_Toc14988"/>
      <w:r>
        <w:rPr>
          <w:rFonts w:hint="default" w:ascii="Times New Roman" w:hAnsi="Times New Roman" w:cs="Times New Roman"/>
          <w:color w:val="auto"/>
          <w:u w:val="none" w:color="auto"/>
          <w:lang w:val="en-US" w:eastAsia="zh-CN"/>
        </w:rPr>
        <w:t>森林生态系统</w:t>
      </w:r>
      <w:bookmarkEnd w:id="210"/>
    </w:p>
    <w:p w14:paraId="23ABD479">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0117E938">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是</w:t>
      </w:r>
      <w:r>
        <w:rPr>
          <w:rFonts w:hint="default" w:ascii="Times New Roman" w:hAnsi="Times New Roman" w:eastAsia="宋体" w:cs="Times New Roman"/>
          <w:bCs/>
          <w:caps w:val="0"/>
          <w:smallCaps w:val="0"/>
          <w:snapToGrid/>
          <w:color w:val="auto"/>
          <w:spacing w:val="0"/>
          <w:kern w:val="0"/>
          <w:sz w:val="24"/>
          <w:szCs w:val="24"/>
          <w:highlight w:val="none"/>
          <w:u w:val="none" w:color="auto"/>
        </w:rPr>
        <w:t>指以乔木、竹类和灌木等为主要生产者的陆地生态系统</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系统内动植物种类繁多，木本植物和树栖动物种类丰富；层次结构、层片结构和营养结构复杂，形成复杂的食物网，环境空间以及营养物质利用充分；种群的密度和群落的结构能够长期处于较稳定的状态；生产力高，生物量大；生态系统服务功能高，如在调节气候、涵养水源，净化空气，保持水土，防风固沙、吸烟滞尘、改变区域水热状况等方面有着突出的作用。</w:t>
      </w:r>
    </w:p>
    <w:p w14:paraId="31712ABA">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评价区森林</w:t>
      </w:r>
      <w:r>
        <w:rPr>
          <w:rFonts w:hint="eastAsia" w:ascii="Times New Roman" w:hAnsi="Times New Roman" w:eastAsia="宋体" w:cs="Times New Roman"/>
          <w:bCs/>
          <w:caps w:val="0"/>
          <w:smallCaps w:val="0"/>
          <w:snapToGrid/>
          <w:color w:val="auto"/>
          <w:spacing w:val="0"/>
          <w:kern w:val="0"/>
          <w:sz w:val="24"/>
          <w:szCs w:val="24"/>
          <w:highlight w:val="none"/>
          <w:u w:val="none" w:color="auto"/>
          <w:lang w:eastAsia="zh-CN"/>
        </w:rPr>
        <w:t>生态系统构成主要是</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阔叶林和针叶林</w:t>
      </w:r>
      <w:r>
        <w:rPr>
          <w:rFonts w:hint="eastAsia" w:ascii="Times New Roman" w:hAnsi="Times New Roman" w:eastAsia="宋体" w:cs="Times New Roman"/>
          <w:bCs/>
          <w:caps w:val="0"/>
          <w:smallCaps w:val="0"/>
          <w:snapToGrid/>
          <w:color w:val="auto"/>
          <w:spacing w:val="0"/>
          <w:kern w:val="0"/>
          <w:sz w:val="24"/>
          <w:szCs w:val="24"/>
          <w:highlight w:val="none"/>
          <w:u w:val="none" w:color="auto"/>
          <w:lang w:eastAsia="zh-CN"/>
        </w:rPr>
        <w:t>，包括</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杉木林、樟树</w:t>
      </w:r>
      <w:r>
        <w:rPr>
          <w:rFonts w:hint="eastAsia" w:ascii="Times New Roman" w:hAnsi="Times New Roman" w:eastAsia="宋体" w:cs="Times New Roman"/>
          <w:bCs/>
          <w:caps w:val="0"/>
          <w:smallCaps w:val="0"/>
          <w:snapToGrid/>
          <w:color w:val="auto"/>
          <w:spacing w:val="0"/>
          <w:kern w:val="0"/>
          <w:sz w:val="24"/>
          <w:szCs w:val="24"/>
          <w:highlight w:val="none"/>
          <w:u w:val="none" w:color="auto"/>
          <w:lang w:eastAsia="zh-CN"/>
        </w:rPr>
        <w:t>林、</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毛竹林</w:t>
      </w:r>
      <w:r>
        <w:rPr>
          <w:rFonts w:hint="eastAsia" w:ascii="Times New Roman" w:hAnsi="Times New Roman" w:eastAsia="宋体" w:cs="Times New Roman"/>
          <w:bCs/>
          <w:caps w:val="0"/>
          <w:smallCaps w:val="0"/>
          <w:snapToGrid/>
          <w:color w:val="auto"/>
          <w:spacing w:val="0"/>
          <w:kern w:val="0"/>
          <w:sz w:val="24"/>
          <w:szCs w:val="24"/>
          <w:highlight w:val="none"/>
          <w:u w:val="none" w:color="auto"/>
          <w:lang w:eastAsia="zh-CN"/>
        </w:rPr>
        <w:t>等。</w:t>
      </w:r>
      <w:r>
        <w:rPr>
          <w:rFonts w:hint="default" w:ascii="Times New Roman" w:hAnsi="Times New Roman" w:eastAsia="宋体" w:cs="Times New Roman"/>
          <w:caps w:val="0"/>
          <w:smallCaps w:val="0"/>
          <w:snapToGrid/>
          <w:color w:val="auto"/>
          <w:spacing w:val="0"/>
          <w:kern w:val="0"/>
          <w:sz w:val="24"/>
          <w:szCs w:val="24"/>
          <w:highlight w:val="none"/>
          <w:u w:val="none" w:color="auto"/>
        </w:rPr>
        <w:t>森林生态系统中的野生动物种类相对丰富，主要有鸟类，如麻雀</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山斑鸠、渡鸦、啄木鸟</w:t>
      </w:r>
      <w:r>
        <w:rPr>
          <w:rFonts w:hint="default" w:ascii="Times New Roman" w:hAnsi="Times New Roman" w:eastAsia="宋体" w:cs="Times New Roman"/>
          <w:caps w:val="0"/>
          <w:smallCaps w:val="0"/>
          <w:snapToGrid/>
          <w:color w:val="auto"/>
          <w:spacing w:val="0"/>
          <w:kern w:val="0"/>
          <w:sz w:val="24"/>
          <w:szCs w:val="24"/>
          <w:highlight w:val="none"/>
          <w:u w:val="none" w:color="auto"/>
        </w:rPr>
        <w:t>等；兽类如黄鼬</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、褐家鼠</w:t>
      </w:r>
      <w:r>
        <w:rPr>
          <w:rFonts w:hint="default" w:ascii="Times New Roman" w:hAnsi="Times New Roman" w:eastAsia="宋体" w:cs="Times New Roman"/>
          <w:caps w:val="0"/>
          <w:smallCaps w:val="0"/>
          <w:snapToGrid/>
          <w:color w:val="auto"/>
          <w:spacing w:val="0"/>
          <w:kern w:val="0"/>
          <w:sz w:val="24"/>
          <w:szCs w:val="24"/>
          <w:highlight w:val="none"/>
          <w:u w:val="none" w:color="auto"/>
        </w:rPr>
        <w:t>等；两栖类中的蟾蜍、雨蛙等；爬行类的蛇、蜥蜴等。</w:t>
      </w:r>
    </w:p>
    <w:p w14:paraId="7F53CB67">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455237D7">
      <w:pPr>
        <w:adjustRightInd w:val="0"/>
        <w:snapToGrid w:val="0"/>
        <w:spacing w:line="360" w:lineRule="auto"/>
        <w:ind w:firstLine="480" w:firstLineChars="200"/>
        <w:rPr>
          <w:rFonts w:ascii="Times New Roman" w:hAnsi="Times New Roman" w:eastAsia="宋体" w:cs="Times New Roman"/>
          <w:bCs/>
          <w:caps w:val="0"/>
          <w:smallCaps w:val="0"/>
          <w:snapToGrid/>
          <w:color w:val="auto"/>
          <w:spacing w:val="0"/>
          <w:kern w:val="0"/>
          <w:sz w:val="24"/>
          <w:szCs w:val="24"/>
          <w:highlight w:val="none"/>
          <w:u w:val="none"/>
        </w:rPr>
      </w:pPr>
      <w:bookmarkStart w:id="211" w:name="_Toc14636"/>
      <w:r>
        <w:rPr>
          <w:rFonts w:ascii="Times New Roman" w:hAnsi="Times New Roman" w:eastAsia="宋体" w:cs="Times New Roman"/>
          <w:bCs/>
          <w:caps w:val="0"/>
          <w:smallCaps w:val="0"/>
          <w:snapToGrid/>
          <w:color w:val="auto"/>
          <w:spacing w:val="0"/>
          <w:kern w:val="0"/>
          <w:sz w:val="24"/>
          <w:szCs w:val="24"/>
          <w:highlight w:val="none"/>
          <w:u w:val="none"/>
        </w:rPr>
        <w:t>评价区森林生态系统面积为</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306.2233</w:t>
      </w:r>
      <w:r>
        <w:rPr>
          <w:rFonts w:ascii="Times New Roman" w:hAnsi="Times New Roman" w:eastAsia="宋体" w:cs="Times New Roman"/>
          <w:bCs/>
          <w:caps w:val="0"/>
          <w:smallCaps w:val="0"/>
          <w:snapToGrid/>
          <w:color w:val="auto"/>
          <w:spacing w:val="0"/>
          <w:kern w:val="0"/>
          <w:sz w:val="24"/>
          <w:szCs w:val="24"/>
          <w:highlight w:val="none"/>
          <w:u w:val="none"/>
        </w:rPr>
        <w:t>hm</w:t>
      </w:r>
      <w:r>
        <w:rPr>
          <w:rFonts w:ascii="Times New Roman" w:hAnsi="Times New Roman" w:eastAsia="宋体" w:cs="Times New Roman"/>
          <w:bCs/>
          <w:caps w:val="0"/>
          <w:smallCaps w:val="0"/>
          <w:snapToGrid/>
          <w:color w:val="auto"/>
          <w:spacing w:val="0"/>
          <w:kern w:val="0"/>
          <w:sz w:val="24"/>
          <w:szCs w:val="24"/>
          <w:highlight w:val="none"/>
          <w:u w:val="none"/>
          <w:vertAlign w:val="superscript"/>
        </w:rPr>
        <w:t>2</w:t>
      </w:r>
      <w:r>
        <w:rPr>
          <w:rFonts w:ascii="Times New Roman" w:hAnsi="Times New Roman" w:eastAsia="宋体" w:cs="Times New Roman"/>
          <w:bCs/>
          <w:caps w:val="0"/>
          <w:smallCaps w:val="0"/>
          <w:snapToGrid/>
          <w:color w:val="auto"/>
          <w:spacing w:val="0"/>
          <w:kern w:val="0"/>
          <w:sz w:val="24"/>
          <w:szCs w:val="24"/>
          <w:highlight w:val="none"/>
          <w:u w:val="none"/>
        </w:rPr>
        <w:t>，占评价区总面积的</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19.73%</w:t>
      </w:r>
      <w:r>
        <w:rPr>
          <w:rFonts w:ascii="Times New Roman" w:hAnsi="Times New Roman" w:eastAsia="宋体" w:cs="Times New Roman"/>
          <w:bCs/>
          <w:caps w:val="0"/>
          <w:smallCaps w:val="0"/>
          <w:snapToGrid/>
          <w:color w:val="auto"/>
          <w:spacing w:val="0"/>
          <w:kern w:val="0"/>
          <w:sz w:val="24"/>
          <w:szCs w:val="24"/>
          <w:highlight w:val="none"/>
          <w:u w:val="none"/>
        </w:rPr>
        <w:t>。通过现场调查，</w:t>
      </w:r>
      <w:r>
        <w:rPr>
          <w:rFonts w:hint="eastAsia" w:ascii="Times New Roman" w:hAnsi="Times New Roman" w:eastAsia="宋体" w:cs="Times New Roman"/>
          <w:bCs/>
          <w:caps w:val="0"/>
          <w:smallCaps w:val="0"/>
          <w:snapToGrid/>
          <w:color w:val="auto"/>
          <w:spacing w:val="0"/>
          <w:kern w:val="0"/>
          <w:sz w:val="24"/>
          <w:szCs w:val="24"/>
          <w:highlight w:val="none"/>
          <w:u w:val="none"/>
          <w:lang w:eastAsia="zh-CN"/>
        </w:rPr>
        <w:t>该</w:t>
      </w:r>
      <w:r>
        <w:rPr>
          <w:rFonts w:ascii="Times New Roman" w:hAnsi="Times New Roman" w:eastAsia="宋体" w:cs="Times New Roman"/>
          <w:bCs/>
          <w:caps w:val="0"/>
          <w:smallCaps w:val="0"/>
          <w:snapToGrid/>
          <w:color w:val="auto"/>
          <w:spacing w:val="0"/>
          <w:kern w:val="0"/>
          <w:sz w:val="24"/>
          <w:szCs w:val="24"/>
          <w:highlight w:val="none"/>
          <w:u w:val="none"/>
        </w:rPr>
        <w:t>生态系统</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主要</w:t>
      </w:r>
      <w:r>
        <w:rPr>
          <w:rFonts w:ascii="Times New Roman" w:hAnsi="Times New Roman" w:eastAsia="宋体" w:cs="Times New Roman"/>
          <w:bCs/>
          <w:caps w:val="0"/>
          <w:smallCaps w:val="0"/>
          <w:snapToGrid/>
          <w:color w:val="auto"/>
          <w:spacing w:val="0"/>
          <w:kern w:val="0"/>
          <w:sz w:val="24"/>
          <w:szCs w:val="24"/>
          <w:highlight w:val="none"/>
          <w:u w:val="none"/>
        </w:rPr>
        <w:t>分布在</w:t>
      </w:r>
      <w:r>
        <w:rPr>
          <w:rFonts w:hint="eastAsia" w:ascii="Times New Roman" w:hAnsi="Times New Roman" w:eastAsia="宋体" w:cs="Times New Roman"/>
          <w:bCs/>
          <w:caps w:val="0"/>
          <w:smallCaps w:val="0"/>
          <w:snapToGrid/>
          <w:color w:val="auto"/>
          <w:spacing w:val="0"/>
          <w:kern w:val="0"/>
          <w:sz w:val="24"/>
          <w:szCs w:val="24"/>
          <w:highlight w:val="none"/>
          <w:u w:val="none"/>
          <w:lang w:eastAsia="zh-CN"/>
        </w:rPr>
        <w:t>山地丘陵地带，居民点附近也有分布。</w:t>
      </w:r>
    </w:p>
    <w:p w14:paraId="29D7617B">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灌丛生态系统</w:t>
      </w:r>
      <w:bookmarkEnd w:id="211"/>
    </w:p>
    <w:p w14:paraId="42D3183A">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74CFEB0A">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是指以灌木和</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藤本</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植物为主要生产者的陆地生态系统。分布广泛，种类复杂，生态适应性广，既有在自然环境条件下发育的原生类型，也有在人为干扰形成的持久性的次生类型。系统主要由丛生无主干的灌木组成，高度5m以下，盖度大于30%；物种组成、层次结构和营养结构相对简单；种群密度、群落结构和生产力的时空变化较小，不同地区的限制因子不同；生态系统系统服务功能主要体现在涵养水源、保持水土和防风固沙等方面。</w:t>
      </w:r>
    </w:p>
    <w:p w14:paraId="651A1F53">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评价区</w:t>
      </w:r>
      <w:r>
        <w:rPr>
          <w:rFonts w:hint="eastAsia" w:ascii="Times New Roman" w:hAnsi="Times New Roman" w:eastAsia="宋体" w:cs="Times New Roman"/>
          <w:caps w:val="0"/>
          <w:smallCaps w:val="0"/>
          <w:snapToGrid/>
          <w:color w:val="auto"/>
          <w:spacing w:val="0"/>
          <w:kern w:val="0"/>
          <w:sz w:val="24"/>
          <w:szCs w:val="24"/>
          <w:highlight w:val="none"/>
          <w:u w:val="none" w:color="auto"/>
          <w:lang w:val="en-US" w:eastAsia="zh-CN"/>
        </w:rPr>
        <w:t>灌丛生态系统构成主要是构树灌丛、篌竹灌丛等，</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主要分布在</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林下、林缘</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等。灌丛</w:t>
      </w:r>
      <w:r>
        <w:rPr>
          <w:rFonts w:hint="default" w:ascii="Times New Roman" w:hAnsi="Times New Roman" w:eastAsia="宋体" w:cs="Times New Roman"/>
          <w:caps w:val="0"/>
          <w:smallCaps w:val="0"/>
          <w:snapToGrid/>
          <w:color w:val="auto"/>
          <w:spacing w:val="0"/>
          <w:kern w:val="0"/>
          <w:sz w:val="24"/>
          <w:szCs w:val="24"/>
          <w:highlight w:val="none"/>
          <w:u w:val="none" w:color="auto"/>
        </w:rPr>
        <w:t>生态系统中的野生动物种类相对</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贫乏</w:t>
      </w:r>
      <w:r>
        <w:rPr>
          <w:rFonts w:hint="default" w:ascii="Times New Roman" w:hAnsi="Times New Roman" w:eastAsia="宋体" w:cs="Times New Roman"/>
          <w:caps w:val="0"/>
          <w:smallCaps w:val="0"/>
          <w:snapToGrid/>
          <w:color w:val="auto"/>
          <w:spacing w:val="0"/>
          <w:kern w:val="0"/>
          <w:sz w:val="24"/>
          <w:szCs w:val="24"/>
          <w:highlight w:val="none"/>
          <w:u w:val="none" w:color="auto"/>
        </w:rPr>
        <w:t>，主要有鸟类，如</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环颈雉</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山斑鸠</w:t>
      </w:r>
      <w:r>
        <w:rPr>
          <w:rFonts w:hint="default" w:ascii="Times New Roman" w:hAnsi="Times New Roman" w:eastAsia="宋体" w:cs="Times New Roman"/>
          <w:caps w:val="0"/>
          <w:smallCaps w:val="0"/>
          <w:snapToGrid/>
          <w:color w:val="auto"/>
          <w:spacing w:val="0"/>
          <w:kern w:val="0"/>
          <w:sz w:val="24"/>
          <w:szCs w:val="24"/>
          <w:highlight w:val="none"/>
          <w:u w:val="none" w:color="auto"/>
        </w:rPr>
        <w:t>等；陆栖型两栖类如中华蟾蜍、泽陆蛙等</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；石隙型爬行类如中国石龙子等；</w:t>
      </w:r>
      <w:r>
        <w:rPr>
          <w:rFonts w:hint="default" w:ascii="Times New Roman" w:hAnsi="Times New Roman" w:eastAsia="宋体" w:cs="Times New Roman"/>
          <w:caps w:val="0"/>
          <w:smallCaps w:val="0"/>
          <w:snapToGrid/>
          <w:color w:val="auto"/>
          <w:spacing w:val="0"/>
          <w:kern w:val="0"/>
          <w:sz w:val="24"/>
          <w:szCs w:val="24"/>
          <w:highlight w:val="none"/>
          <w:u w:val="none" w:color="auto"/>
        </w:rPr>
        <w:t>兽类如</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黄鼬</w:t>
      </w:r>
      <w:r>
        <w:rPr>
          <w:rFonts w:hint="default" w:ascii="Times New Roman" w:hAnsi="Times New Roman" w:eastAsia="宋体" w:cs="Times New Roman"/>
          <w:caps w:val="0"/>
          <w:smallCaps w:val="0"/>
          <w:snapToGrid/>
          <w:color w:val="auto"/>
          <w:spacing w:val="0"/>
          <w:kern w:val="0"/>
          <w:sz w:val="24"/>
          <w:szCs w:val="24"/>
          <w:highlight w:val="none"/>
          <w:u w:val="none" w:color="auto"/>
        </w:rPr>
        <w:t>等；爬行类的蛇、蜥蜴等。</w:t>
      </w:r>
    </w:p>
    <w:p w14:paraId="15F9BBED">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40DC9C45">
      <w:pPr>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bCs/>
          <w:caps w:val="0"/>
          <w:smallCaps w:val="0"/>
          <w:snapToGrid/>
          <w:color w:val="auto"/>
          <w:spacing w:val="0"/>
          <w:kern w:val="0"/>
          <w:sz w:val="24"/>
          <w:szCs w:val="24"/>
          <w:highlight w:val="none"/>
          <w:u w:val="none" w:color="auto"/>
        </w:rPr>
        <w:t>评价区</w:t>
      </w:r>
      <w:r>
        <w:rPr>
          <w:rFonts w:hint="eastAsia" w:ascii="Times New Roman" w:hAnsi="Times New Roman" w:eastAsia="宋体" w:cs="Times New Roman"/>
          <w:bCs/>
          <w:caps w:val="0"/>
          <w:smallCaps w:val="0"/>
          <w:snapToGrid/>
          <w:color w:val="auto"/>
          <w:spacing w:val="0"/>
          <w:kern w:val="0"/>
          <w:sz w:val="24"/>
          <w:szCs w:val="24"/>
          <w:highlight w:val="none"/>
          <w:u w:val="none" w:color="auto"/>
          <w:lang w:eastAsia="zh-CN"/>
        </w:rPr>
        <w:t>灌丛生态系统</w:t>
      </w:r>
      <w:r>
        <w:rPr>
          <w:rFonts w:hint="default" w:ascii="Times New Roman" w:hAnsi="Times New Roman" w:eastAsia="宋体" w:cs="Times New Roman"/>
          <w:bCs/>
          <w:caps w:val="0"/>
          <w:smallCaps w:val="0"/>
          <w:snapToGrid/>
          <w:color w:val="auto"/>
          <w:spacing w:val="0"/>
          <w:kern w:val="0"/>
          <w:sz w:val="24"/>
          <w:szCs w:val="24"/>
          <w:highlight w:val="none"/>
          <w:u w:val="none" w:color="auto"/>
        </w:rPr>
        <w:t>面积为</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71.3689</w:t>
      </w:r>
      <w:r>
        <w:rPr>
          <w:rFonts w:hint="default" w:ascii="Times New Roman" w:hAnsi="Times New Roman" w:eastAsia="宋体" w:cs="Times New Roman"/>
          <w:bCs/>
          <w:caps w:val="0"/>
          <w:smallCaps w:val="0"/>
          <w:snapToGrid/>
          <w:color w:val="auto"/>
          <w:spacing w:val="0"/>
          <w:kern w:val="0"/>
          <w:sz w:val="24"/>
          <w:szCs w:val="24"/>
          <w:highlight w:val="none"/>
          <w:u w:val="none" w:color="auto"/>
        </w:rPr>
        <w:t>hm2，占评价区总面积的</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4.60%</w:t>
      </w:r>
      <w:r>
        <w:rPr>
          <w:rFonts w:hint="default" w:ascii="Times New Roman" w:hAnsi="Times New Roman" w:eastAsia="宋体" w:cs="Times New Roman"/>
          <w:bCs/>
          <w:caps w:val="0"/>
          <w:smallCaps w:val="0"/>
          <w:snapToGrid/>
          <w:color w:val="auto"/>
          <w:spacing w:val="0"/>
          <w:kern w:val="0"/>
          <w:sz w:val="24"/>
          <w:szCs w:val="24"/>
          <w:highlight w:val="none"/>
          <w:u w:val="none" w:color="auto"/>
        </w:rPr>
        <w:t>。通过现场调查，</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该</w:t>
      </w:r>
      <w:r>
        <w:rPr>
          <w:rFonts w:hint="default" w:ascii="Times New Roman" w:hAnsi="Times New Roman" w:eastAsia="宋体" w:cs="Times New Roman"/>
          <w:bCs/>
          <w:caps w:val="0"/>
          <w:smallCaps w:val="0"/>
          <w:snapToGrid/>
          <w:color w:val="auto"/>
          <w:spacing w:val="0"/>
          <w:kern w:val="0"/>
          <w:sz w:val="24"/>
          <w:szCs w:val="24"/>
          <w:highlight w:val="none"/>
          <w:u w:val="none" w:color="auto"/>
        </w:rPr>
        <w:t>生态系统广泛分布在</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丘陵地带的林下、林缘等。</w:t>
      </w:r>
    </w:p>
    <w:p w14:paraId="601D5440">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草地生态系统</w:t>
      </w:r>
    </w:p>
    <w:p w14:paraId="120FF4DB">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1C28BCB9">
      <w:pPr>
        <w:widowControl w:val="0"/>
        <w:spacing w:line="360" w:lineRule="auto"/>
        <w:ind w:firstLine="480" w:firstLineChars="200"/>
        <w:jc w:val="both"/>
        <w:rPr>
          <w:rFonts w:hint="default" w:ascii="Times New Roman" w:hAnsi="Times New Roman" w:eastAsia="宋体" w:cs="Times New Roman"/>
          <w:caps w:val="0"/>
          <w:smallCaps w:val="0"/>
          <w:color w:val="auto"/>
          <w:kern w:val="2"/>
          <w:sz w:val="24"/>
          <w:szCs w:val="21"/>
          <w:u w:val="none" w:color="auto"/>
          <w:lang w:val="en-US" w:eastAsia="zh-CN" w:bidi="ar-SA"/>
        </w:rPr>
      </w:pPr>
      <w:r>
        <w:rPr>
          <w:rFonts w:hint="default" w:ascii="Times New Roman" w:hAnsi="Times New Roman" w:eastAsia="宋体" w:cs="Times New Roman"/>
          <w:caps w:val="0"/>
          <w:smallCaps w:val="0"/>
          <w:color w:val="auto"/>
          <w:kern w:val="2"/>
          <w:sz w:val="24"/>
          <w:szCs w:val="21"/>
          <w:u w:val="none" w:color="auto"/>
          <w:lang w:val="en-US" w:eastAsia="zh-CN" w:bidi="ar-SA"/>
        </w:rPr>
        <w:t>是指以多年生草本植物为主要生产者的陆地生态系统。主要分布在北部、西北部和西南部的干旱和半干旱区，以及南方湿润区的荒地，是我国陆地面积最大的生态系统类型。系统主要由多年生禾草植物组成，多年生杂类草及半灌木也起到一定的作用；群落结构和营养结构相对简单；种群密度、群落结构和生产力的时空变化较大，主要是受到水分的限制；生态系统系统服务功能主要在于涵养水源、保持水土、防风固沙和改变区域水热状况等方面。</w:t>
      </w:r>
    </w:p>
    <w:p w14:paraId="5F833F44">
      <w:pPr>
        <w:widowControl w:val="0"/>
        <w:spacing w:line="360" w:lineRule="auto"/>
        <w:ind w:firstLine="480" w:firstLineChars="200"/>
        <w:jc w:val="both"/>
        <w:rPr>
          <w:rFonts w:hint="default" w:ascii="Times New Roman" w:hAnsi="Times New Roman" w:eastAsia="宋体" w:cs="Times New Roman"/>
          <w:caps w:val="0"/>
          <w:smallCaps w:val="0"/>
          <w:color w:val="auto"/>
          <w:kern w:val="2"/>
          <w:sz w:val="24"/>
          <w:szCs w:val="21"/>
          <w:u w:val="none" w:color="auto"/>
          <w:lang w:val="en-US" w:eastAsia="zh-CN" w:bidi="ar-SA"/>
        </w:rPr>
      </w:pPr>
      <w:r>
        <w:rPr>
          <w:rFonts w:hint="default" w:ascii="Times New Roman" w:hAnsi="Times New Roman" w:eastAsia="宋体" w:cs="Times New Roman"/>
          <w:caps w:val="0"/>
          <w:smallCaps w:val="0"/>
          <w:color w:val="auto"/>
          <w:kern w:val="2"/>
          <w:sz w:val="24"/>
          <w:szCs w:val="21"/>
          <w:u w:val="none" w:color="auto"/>
          <w:lang w:val="en-US" w:eastAsia="zh-CN" w:bidi="ar-SA"/>
        </w:rPr>
        <w:t>系统中植被类型以草本植物为主，</w:t>
      </w:r>
      <w:r>
        <w:rPr>
          <w:rFonts w:hint="eastAsia" w:ascii="Times New Roman" w:hAnsi="Times New Roman" w:eastAsia="宋体" w:cs="Times New Roman"/>
          <w:caps w:val="0"/>
          <w:smallCaps w:val="0"/>
          <w:color w:val="auto"/>
          <w:kern w:val="2"/>
          <w:sz w:val="24"/>
          <w:szCs w:val="21"/>
          <w:u w:val="none" w:color="auto"/>
          <w:lang w:val="en-US" w:eastAsia="zh-CN" w:bidi="ar-SA"/>
        </w:rPr>
        <w:t>常见的有芒草丛、葛草丛等</w:t>
      </w:r>
      <w:r>
        <w:rPr>
          <w:rFonts w:hint="default" w:ascii="Times New Roman" w:hAnsi="Times New Roman" w:eastAsia="宋体" w:cs="Times New Roman"/>
          <w:caps w:val="0"/>
          <w:smallCaps w:val="0"/>
          <w:color w:val="auto"/>
          <w:kern w:val="2"/>
          <w:sz w:val="24"/>
          <w:szCs w:val="21"/>
          <w:u w:val="none" w:color="auto"/>
          <w:lang w:val="en-US" w:eastAsia="zh-CN" w:bidi="ar-SA"/>
        </w:rPr>
        <w:t>。动物种类主要包括陆栖型两栖类如中华蟾蜍、泽陆蛙等；石隙型爬行类如中国石龙子、赤链蛇等；半地下生活型哺乳类如华南兔、黄鼬等。</w:t>
      </w:r>
    </w:p>
    <w:p w14:paraId="3AF62222">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4E5D8CE3">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eastAsia="zh-CN"/>
        </w:rPr>
      </w:pPr>
      <w:r>
        <w:rPr>
          <w:rFonts w:hint="eastAsia" w:ascii="Times New Roman" w:hAnsi="Times New Roman" w:eastAsia="宋体" w:cs="Times New Roman"/>
          <w:caps w:val="0"/>
          <w:smallCaps w:val="0"/>
          <w:color w:val="auto"/>
          <w:kern w:val="2"/>
          <w:sz w:val="24"/>
          <w:szCs w:val="21"/>
          <w:u w:val="none" w:color="auto"/>
          <w:lang w:val="en-US" w:eastAsia="zh-CN" w:bidi="ar-SA"/>
        </w:rPr>
        <w:t>评价区草地生态系统面积为31.4958hm</w:t>
      </w:r>
      <w:r>
        <w:rPr>
          <w:rFonts w:hint="eastAsia" w:ascii="Times New Roman" w:hAnsi="Times New Roman" w:eastAsia="宋体" w:cs="Times New Roman"/>
          <w:caps w:val="0"/>
          <w:smallCaps w:val="0"/>
          <w:color w:val="auto"/>
          <w:kern w:val="2"/>
          <w:sz w:val="24"/>
          <w:szCs w:val="21"/>
          <w:u w:val="none" w:color="auto"/>
          <w:vertAlign w:val="superscript"/>
          <w:lang w:val="en-US" w:eastAsia="zh-CN" w:bidi="ar-SA"/>
        </w:rPr>
        <w:t>2</w:t>
      </w:r>
      <w:r>
        <w:rPr>
          <w:rFonts w:hint="eastAsia" w:ascii="Times New Roman" w:hAnsi="Times New Roman" w:eastAsia="宋体" w:cs="Times New Roman"/>
          <w:caps w:val="0"/>
          <w:smallCaps w:val="0"/>
          <w:color w:val="auto"/>
          <w:kern w:val="2"/>
          <w:sz w:val="24"/>
          <w:szCs w:val="21"/>
          <w:u w:val="none" w:color="auto"/>
          <w:lang w:val="en-US" w:eastAsia="zh-CN" w:bidi="ar-SA"/>
        </w:rPr>
        <w:t>，占评价区总面积的2.03%。</w:t>
      </w:r>
      <w:r>
        <w:rPr>
          <w:rFonts w:hint="default" w:ascii="Times New Roman" w:hAnsi="Times New Roman" w:eastAsia="宋体" w:cs="Times New Roman"/>
          <w:caps w:val="0"/>
          <w:smallCaps w:val="0"/>
          <w:color w:val="auto"/>
          <w:sz w:val="24"/>
          <w:szCs w:val="21"/>
          <w:u w:val="none" w:color="auto"/>
          <w:lang w:eastAsia="zh-CN"/>
        </w:rPr>
        <w:t>通过现场调查，评价范围内的草地生态系统主要分布于</w:t>
      </w:r>
      <w:r>
        <w:rPr>
          <w:rFonts w:hint="default" w:ascii="Times New Roman" w:hAnsi="Times New Roman" w:eastAsia="宋体" w:cs="Times New Roman"/>
          <w:caps w:val="0"/>
          <w:smallCaps w:val="0"/>
          <w:color w:val="auto"/>
          <w:sz w:val="24"/>
          <w:szCs w:val="21"/>
          <w:u w:val="none" w:color="auto"/>
          <w:lang w:val="en-US" w:eastAsia="zh-CN"/>
        </w:rPr>
        <w:t>疏林地、</w:t>
      </w:r>
      <w:r>
        <w:rPr>
          <w:rFonts w:hint="default" w:ascii="Times New Roman" w:hAnsi="Times New Roman" w:eastAsia="宋体" w:cs="Times New Roman"/>
          <w:caps w:val="0"/>
          <w:smallCaps w:val="0"/>
          <w:color w:val="auto"/>
          <w:sz w:val="24"/>
          <w:szCs w:val="21"/>
          <w:u w:val="none" w:color="auto"/>
          <w:lang w:eastAsia="zh-CN"/>
        </w:rPr>
        <w:t>林缘。</w:t>
      </w:r>
    </w:p>
    <w:p w14:paraId="3941F9EB">
      <w:pPr>
        <w:pStyle w:val="5"/>
        <w:bidi w:val="0"/>
        <w:rPr>
          <w:rFonts w:hint="default" w:ascii="Times New Roman" w:hAnsi="Times New Roman" w:cs="Times New Roman"/>
          <w:color w:val="auto"/>
          <w:u w:val="none" w:color="auto"/>
          <w:lang w:val="en-US" w:eastAsia="zh-CN"/>
        </w:rPr>
      </w:pPr>
      <w:bookmarkStart w:id="212" w:name="_Toc12838"/>
      <w:r>
        <w:rPr>
          <w:rFonts w:hint="default" w:ascii="Times New Roman" w:hAnsi="Times New Roman" w:cs="Times New Roman"/>
          <w:color w:val="auto"/>
          <w:u w:val="none" w:color="auto"/>
          <w:lang w:val="en-US" w:eastAsia="zh-CN"/>
        </w:rPr>
        <w:t>湿地生态系统</w:t>
      </w:r>
      <w:bookmarkEnd w:id="212"/>
    </w:p>
    <w:p w14:paraId="34164260">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1C357335">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是指所有的陆地淡水生态系统，如河流、湖泊、沼泽，以及作为河流归宿地的内陆河尾闾湖泊、陆地和海洋过渡地带的滨海湿地生态系统，是陆地，水域共同与大气相互作用，相互影响，相互渗透，是兼有水陆双重特征的特殊生态系统。系统兼具陆生与水生动植物类群，生物多样性丰富；结构复杂，生产力高，在水文情势影响下，生态系统随之出现同步波动，强弱互替；生态系统服务功能高，主要在于径流调节、蓄水抗旱、防洪排涝、废弃物降解、调节气候、净化空气等方面。</w:t>
      </w:r>
    </w:p>
    <w:p w14:paraId="2451437B">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湿地生态系统的植被主要分布于</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水陆交接带</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，植被类型以河滩的灌草为主，</w:t>
      </w:r>
      <w:r>
        <w:rPr>
          <w:rFonts w:hint="default" w:ascii="Times New Roman" w:hAnsi="Times New Roman" w:eastAsia="宋体" w:cs="Times New Roman"/>
          <w:bCs/>
          <w:caps w:val="0"/>
          <w:smallCaps w:val="0"/>
          <w:color w:val="auto"/>
          <w:sz w:val="24"/>
          <w:szCs w:val="24"/>
          <w:highlight w:val="none"/>
          <w:u w:val="none" w:color="auto"/>
        </w:rPr>
        <w:t>常见的湿生植物有</w:t>
      </w:r>
      <w:r>
        <w:rPr>
          <w:rFonts w:hint="default" w:ascii="Times New Roman" w:hAnsi="Times New Roman" w:eastAsia="宋体" w:cs="Times New Roman"/>
          <w:caps w:val="0"/>
          <w:smallCaps w:val="0"/>
          <w:color w:val="auto"/>
          <w:sz w:val="24"/>
          <w:szCs w:val="24"/>
          <w:highlight w:val="none"/>
          <w:u w:val="none" w:color="auto"/>
          <w:lang w:val="en-US" w:eastAsia="zh-CN"/>
        </w:rPr>
        <w:t>拉拉藤、芦苇</w:t>
      </w:r>
      <w:r>
        <w:rPr>
          <w:rFonts w:hint="default" w:ascii="Times New Roman" w:hAnsi="Times New Roman" w:eastAsia="宋体" w:cs="Times New Roman"/>
          <w:bCs/>
          <w:caps w:val="0"/>
          <w:smallCaps w:val="0"/>
          <w:color w:val="auto"/>
          <w:sz w:val="24"/>
          <w:szCs w:val="24"/>
          <w:highlight w:val="none"/>
          <w:u w:val="none" w:color="auto"/>
        </w:rPr>
        <w:t>等</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。动物种类主要包括常见的两栖类黑斑侧褶蛙、沼蛙及溪流型的花臭蛙、华南湍蛙等；爬行类有水栖型的中华鳖以及林栖傍水型的</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灰鼠蛇、中国水蛇</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等；哺乳类也常在湿地生态系统内饮水。</w:t>
      </w:r>
    </w:p>
    <w:p w14:paraId="77D138F8">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177BDE6E">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lang w:eastAsia="zh-CN"/>
        </w:rPr>
        <w:t>评价范围内的水体与湿地生态系统主要分布于</w:t>
      </w:r>
      <w:r>
        <w:rPr>
          <w:rFonts w:hint="default" w:ascii="Times New Roman" w:hAnsi="Times New Roman" w:eastAsia="宋体" w:cs="Times New Roman"/>
          <w:caps w:val="0"/>
          <w:smallCaps w:val="0"/>
          <w:snapToGrid/>
          <w:color w:val="auto"/>
          <w:spacing w:val="0"/>
          <w:kern w:val="0"/>
          <w:sz w:val="24"/>
          <w:szCs w:val="24"/>
          <w:highlight w:val="none"/>
          <w:u w:val="none"/>
          <w:lang w:val="en-US" w:eastAsia="zh-CN"/>
        </w:rPr>
        <w:t>大型湖泊、水库边缘、</w:t>
      </w:r>
      <w:r>
        <w:rPr>
          <w:rFonts w:hint="default" w:ascii="Times New Roman" w:hAnsi="Times New Roman" w:eastAsia="宋体" w:cs="Times New Roman"/>
          <w:caps w:val="0"/>
          <w:smallCaps w:val="0"/>
          <w:snapToGrid/>
          <w:color w:val="auto"/>
          <w:spacing w:val="0"/>
          <w:kern w:val="0"/>
          <w:sz w:val="24"/>
          <w:szCs w:val="24"/>
          <w:highlight w:val="none"/>
          <w:u w:val="none"/>
          <w:lang w:eastAsia="zh-CN"/>
        </w:rPr>
        <w:t>散布的水塘、小型</w:t>
      </w:r>
      <w:r>
        <w:rPr>
          <w:rFonts w:hint="default" w:ascii="Times New Roman" w:hAnsi="Times New Roman" w:eastAsia="宋体" w:cs="Times New Roman"/>
          <w:caps w:val="0"/>
          <w:smallCaps w:val="0"/>
          <w:snapToGrid/>
          <w:color w:val="auto"/>
          <w:spacing w:val="0"/>
          <w:kern w:val="0"/>
          <w:sz w:val="24"/>
          <w:szCs w:val="24"/>
          <w:highlight w:val="none"/>
          <w:u w:val="none"/>
          <w:lang w:val="en-US" w:eastAsia="zh-CN"/>
        </w:rPr>
        <w:t>沟渠内</w:t>
      </w:r>
      <w:r>
        <w:rPr>
          <w:rFonts w:hint="default" w:ascii="Times New Roman" w:hAnsi="Times New Roman" w:eastAsia="宋体" w:cs="Times New Roman"/>
          <w:caps w:val="0"/>
          <w:smallCaps w:val="0"/>
          <w:snapToGrid/>
          <w:color w:val="auto"/>
          <w:spacing w:val="0"/>
          <w:kern w:val="0"/>
          <w:sz w:val="24"/>
          <w:szCs w:val="24"/>
          <w:highlight w:val="none"/>
          <w:u w:val="none"/>
          <w:lang w:eastAsia="zh-CN"/>
        </w:rPr>
        <w:t>，面积为</w:t>
      </w:r>
      <w:r>
        <w:rPr>
          <w:rFonts w:hint="default" w:ascii="Times New Roman" w:hAnsi="Times New Roman" w:eastAsia="宋体" w:cs="Times New Roman"/>
          <w:caps w:val="0"/>
          <w:smallCaps w:val="0"/>
          <w:snapToGrid/>
          <w:color w:val="auto"/>
          <w:spacing w:val="0"/>
          <w:kern w:val="0"/>
          <w:sz w:val="24"/>
          <w:szCs w:val="24"/>
          <w:highlight w:val="none"/>
          <w:u w:val="none"/>
          <w:lang w:val="en-US" w:eastAsia="zh-CN"/>
        </w:rPr>
        <w:t>362.4525</w:t>
      </w:r>
      <w:r>
        <w:rPr>
          <w:rFonts w:hint="default" w:ascii="Times New Roman" w:hAnsi="Times New Roman" w:eastAsia="宋体" w:cs="Times New Roman"/>
          <w:caps w:val="0"/>
          <w:smallCaps w:val="0"/>
          <w:snapToGrid/>
          <w:color w:val="auto"/>
          <w:spacing w:val="0"/>
          <w:kern w:val="0"/>
          <w:sz w:val="24"/>
          <w:szCs w:val="24"/>
          <w:highlight w:val="none"/>
          <w:u w:val="none"/>
          <w:lang w:eastAsia="zh-CN"/>
        </w:rPr>
        <w:t>hm</w:t>
      </w:r>
      <w:r>
        <w:rPr>
          <w:rFonts w:hint="default" w:ascii="Times New Roman" w:hAnsi="Times New Roman" w:eastAsia="宋体" w:cs="Times New Roman"/>
          <w:caps w:val="0"/>
          <w:smallCaps w:val="0"/>
          <w:snapToGrid/>
          <w:color w:val="auto"/>
          <w:spacing w:val="0"/>
          <w:kern w:val="0"/>
          <w:sz w:val="24"/>
          <w:szCs w:val="24"/>
          <w:highlight w:val="none"/>
          <w:u w:val="none"/>
          <w:vertAlign w:val="superscript"/>
          <w:lang w:eastAsia="zh-CN"/>
        </w:rPr>
        <w:t>2</w:t>
      </w:r>
      <w:r>
        <w:rPr>
          <w:rFonts w:hint="default" w:ascii="Times New Roman" w:hAnsi="Times New Roman" w:eastAsia="宋体" w:cs="Times New Roman"/>
          <w:caps w:val="0"/>
          <w:smallCaps w:val="0"/>
          <w:snapToGrid/>
          <w:color w:val="auto"/>
          <w:spacing w:val="0"/>
          <w:kern w:val="0"/>
          <w:sz w:val="24"/>
          <w:szCs w:val="24"/>
          <w:highlight w:val="none"/>
          <w:u w:val="none"/>
          <w:lang w:eastAsia="zh-CN"/>
        </w:rPr>
        <w:t>，占评价范围总面积的</w:t>
      </w:r>
      <w:r>
        <w:rPr>
          <w:rFonts w:hint="default" w:ascii="Times New Roman" w:hAnsi="Times New Roman" w:eastAsia="宋体" w:cs="Times New Roman"/>
          <w:caps w:val="0"/>
          <w:smallCaps w:val="0"/>
          <w:snapToGrid/>
          <w:color w:val="auto"/>
          <w:spacing w:val="0"/>
          <w:kern w:val="0"/>
          <w:sz w:val="24"/>
          <w:szCs w:val="24"/>
          <w:highlight w:val="none"/>
          <w:u w:val="none"/>
          <w:lang w:val="en-US" w:eastAsia="zh-CN"/>
        </w:rPr>
        <w:t>23.37%</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p>
    <w:p w14:paraId="5D96BAE4">
      <w:pPr>
        <w:pStyle w:val="5"/>
        <w:bidi w:val="0"/>
        <w:rPr>
          <w:rFonts w:hint="default" w:ascii="Times New Roman" w:hAnsi="Times New Roman" w:cs="Times New Roman"/>
          <w:color w:val="auto"/>
          <w:u w:val="none" w:color="auto"/>
          <w:lang w:val="en-US" w:eastAsia="zh-CN"/>
        </w:rPr>
      </w:pPr>
      <w:bookmarkStart w:id="213" w:name="_Toc11933"/>
      <w:bookmarkStart w:id="214" w:name="_Toc28650"/>
      <w:bookmarkStart w:id="215" w:name="_Toc3759"/>
      <w:r>
        <w:rPr>
          <w:rFonts w:hint="default" w:ascii="Times New Roman" w:hAnsi="Times New Roman" w:cs="Times New Roman"/>
          <w:color w:val="auto"/>
          <w:u w:val="none" w:color="auto"/>
          <w:lang w:val="en-US" w:eastAsia="zh-CN"/>
        </w:rPr>
        <w:t>农田生态系统</w:t>
      </w:r>
      <w:bookmarkEnd w:id="213"/>
      <w:bookmarkEnd w:id="214"/>
      <w:bookmarkEnd w:id="215"/>
    </w:p>
    <w:p w14:paraId="307CCACF">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632C9137">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是</w:t>
      </w:r>
      <w:r>
        <w:rPr>
          <w:rFonts w:hint="default" w:ascii="Times New Roman" w:hAnsi="Times New Roman" w:eastAsia="宋体" w:cs="Times New Roman"/>
          <w:bCs/>
          <w:caps w:val="0"/>
          <w:smallCaps w:val="0"/>
          <w:snapToGrid/>
          <w:color w:val="auto"/>
          <w:spacing w:val="0"/>
          <w:kern w:val="0"/>
          <w:sz w:val="24"/>
          <w:szCs w:val="24"/>
          <w:highlight w:val="none"/>
          <w:u w:val="none" w:color="auto"/>
        </w:rPr>
        <w:t>指以作物为主要生产者的陆地生态系统。生物群落结构较简单，常为单优群落，伴生有杂草、昆虫、土壤微生物、鼠、鸟等其他小动物；由于大部分生产力随收获而被移出系统，养分循环主要靠系统外投入而保持平衡；农田生态系统的稳定有赖于一系列耕作栽培措施的人工养地，在相似的自然条件下，土地生产力远高于自然生态系统；其生态系统服务功能主要在于提供食品，其他服务功能较低。</w:t>
      </w:r>
    </w:p>
    <w:p w14:paraId="7F067BA8">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评价区农田生态系统</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主要为耕地，</w:t>
      </w:r>
      <w:r>
        <w:rPr>
          <w:rFonts w:hint="default" w:ascii="Times New Roman" w:hAnsi="Times New Roman" w:eastAsia="宋体" w:cs="Times New Roman"/>
          <w:caps w:val="0"/>
          <w:smallCaps w:val="0"/>
          <w:snapToGrid/>
          <w:color w:val="auto"/>
          <w:spacing w:val="0"/>
          <w:kern w:val="0"/>
          <w:sz w:val="24"/>
          <w:szCs w:val="24"/>
          <w:highlight w:val="none"/>
          <w:u w:val="none" w:color="auto"/>
        </w:rPr>
        <w:t>植被以农作物为主，</w:t>
      </w:r>
      <w:r>
        <w:rPr>
          <w:rFonts w:hint="default" w:ascii="Times New Roman" w:hAnsi="Times New Roman" w:eastAsia="宋体" w:cs="Times New Roman"/>
          <w:bCs/>
          <w:caps w:val="0"/>
          <w:smallCaps w:val="0"/>
          <w:snapToGrid/>
          <w:color w:val="auto"/>
          <w:spacing w:val="0"/>
          <w:kern w:val="0"/>
          <w:sz w:val="24"/>
          <w:szCs w:val="24"/>
          <w:highlight w:val="none"/>
          <w:u w:val="none" w:color="auto"/>
        </w:rPr>
        <w:t>被较简单，主要是以</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大豆、花生</w:t>
      </w:r>
      <w:r>
        <w:rPr>
          <w:rFonts w:hint="default" w:ascii="Times New Roman" w:hAnsi="Times New Roman" w:eastAsia="宋体" w:cs="Times New Roman"/>
          <w:bCs/>
          <w:caps w:val="0"/>
          <w:smallCaps w:val="0"/>
          <w:snapToGrid/>
          <w:color w:val="auto"/>
          <w:spacing w:val="0"/>
          <w:kern w:val="0"/>
          <w:sz w:val="24"/>
          <w:szCs w:val="24"/>
          <w:highlight w:val="none"/>
          <w:u w:val="none" w:color="auto"/>
        </w:rPr>
        <w:t>等为主的作物，属于人工控制的生态系统，评价区内主要分布在居民点附近。农田生态系统内的动物种类包括鸟类如家燕、喜鹊等，啮齿类动物如褐家鼠、小家鼠等。</w:t>
      </w:r>
    </w:p>
    <w:p w14:paraId="40615AB6">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6B3F1477">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bCs/>
          <w:caps w:val="0"/>
          <w:smallCaps w:val="0"/>
          <w:snapToGrid/>
          <w:color w:val="auto"/>
          <w:spacing w:val="0"/>
          <w:kern w:val="0"/>
          <w:sz w:val="24"/>
          <w:szCs w:val="24"/>
          <w:highlight w:val="none"/>
          <w:u w:val="none" w:color="auto"/>
        </w:rPr>
        <w:t>评价区</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农田生态系统</w:t>
      </w:r>
      <w:r>
        <w:rPr>
          <w:rFonts w:hint="default" w:ascii="Times New Roman" w:hAnsi="Times New Roman" w:eastAsia="宋体" w:cs="Times New Roman"/>
          <w:bCs/>
          <w:caps w:val="0"/>
          <w:smallCaps w:val="0"/>
          <w:snapToGrid/>
          <w:color w:val="auto"/>
          <w:spacing w:val="0"/>
          <w:kern w:val="0"/>
          <w:sz w:val="24"/>
          <w:szCs w:val="24"/>
          <w:highlight w:val="none"/>
          <w:u w:val="none" w:color="auto"/>
        </w:rPr>
        <w:t>面积为</w:t>
      </w:r>
      <w:r>
        <w:rPr>
          <w:rFonts w:hint="default" w:ascii="Times New Roman" w:hAnsi="Times New Roman" w:cs="Times New Roman"/>
          <w:bCs/>
          <w:caps w:val="0"/>
          <w:smallCaps w:val="0"/>
          <w:snapToGrid/>
          <w:color w:val="auto"/>
          <w:spacing w:val="0"/>
          <w:kern w:val="0"/>
          <w:sz w:val="24"/>
          <w:szCs w:val="24"/>
          <w:highlight w:val="none"/>
          <w:u w:val="none"/>
          <w:lang w:val="en-US" w:eastAsia="zh-CN"/>
        </w:rPr>
        <w:t>711.2988</w:t>
      </w:r>
      <w:r>
        <w:rPr>
          <w:rFonts w:hint="default" w:ascii="Times New Roman" w:hAnsi="Times New Roman" w:eastAsia="宋体" w:cs="Times New Roman"/>
          <w:bCs/>
          <w:caps w:val="0"/>
          <w:smallCaps w:val="0"/>
          <w:snapToGrid/>
          <w:color w:val="auto"/>
          <w:spacing w:val="0"/>
          <w:kern w:val="0"/>
          <w:sz w:val="24"/>
          <w:szCs w:val="24"/>
          <w:highlight w:val="none"/>
          <w:u w:val="none" w:color="auto"/>
        </w:rPr>
        <w:t>hm</w:t>
      </w:r>
      <w:r>
        <w:rPr>
          <w:rFonts w:hint="default" w:ascii="Times New Roman" w:hAnsi="Times New Roman" w:eastAsia="宋体" w:cs="Times New Roman"/>
          <w:bCs/>
          <w:caps w:val="0"/>
          <w:smallCaps w:val="0"/>
          <w:snapToGrid/>
          <w:color w:val="auto"/>
          <w:spacing w:val="0"/>
          <w:kern w:val="0"/>
          <w:sz w:val="24"/>
          <w:szCs w:val="24"/>
          <w:highlight w:val="none"/>
          <w:u w:val="none" w:color="auto"/>
          <w:vertAlign w:val="superscript"/>
        </w:rPr>
        <w:t>2</w:t>
      </w:r>
      <w:r>
        <w:rPr>
          <w:rFonts w:hint="default" w:ascii="Times New Roman" w:hAnsi="Times New Roman" w:eastAsia="宋体" w:cs="Times New Roman"/>
          <w:bCs/>
          <w:caps w:val="0"/>
          <w:smallCaps w:val="0"/>
          <w:snapToGrid/>
          <w:color w:val="auto"/>
          <w:spacing w:val="0"/>
          <w:kern w:val="0"/>
          <w:sz w:val="24"/>
          <w:szCs w:val="24"/>
          <w:highlight w:val="none"/>
          <w:u w:val="none" w:color="auto"/>
        </w:rPr>
        <w:t>，占评价区总面积的</w:t>
      </w:r>
      <w:r>
        <w:rPr>
          <w:rFonts w:hint="eastAsia" w:ascii="Times New Roman" w:hAnsi="Times New Roman" w:cs="Times New Roman"/>
          <w:bCs/>
          <w:caps w:val="0"/>
          <w:smallCaps w:val="0"/>
          <w:snapToGrid/>
          <w:color w:val="auto"/>
          <w:spacing w:val="0"/>
          <w:kern w:val="0"/>
          <w:sz w:val="24"/>
          <w:szCs w:val="24"/>
          <w:highlight w:val="none"/>
          <w:u w:val="none"/>
          <w:lang w:val="en-US" w:eastAsia="zh-CN"/>
        </w:rPr>
        <w:t>45.84</w:t>
      </w:r>
      <w:r>
        <w:rPr>
          <w:rFonts w:hint="default" w:ascii="Times New Roman" w:hAnsi="Times New Roman" w:eastAsia="宋体" w:cs="Times New Roman"/>
          <w:bCs/>
          <w:caps w:val="0"/>
          <w:smallCaps w:val="0"/>
          <w:snapToGrid/>
          <w:color w:val="auto"/>
          <w:spacing w:val="0"/>
          <w:kern w:val="0"/>
          <w:sz w:val="24"/>
          <w:szCs w:val="24"/>
          <w:highlight w:val="none"/>
          <w:u w:val="none" w:color="auto"/>
          <w:lang w:val="en-US" w:eastAsia="zh-CN"/>
        </w:rPr>
        <w:t>%</w:t>
      </w:r>
      <w:r>
        <w:rPr>
          <w:rFonts w:hint="default" w:ascii="Times New Roman" w:hAnsi="Times New Roman" w:eastAsia="宋体" w:cs="Times New Roman"/>
          <w:bCs/>
          <w:caps w:val="0"/>
          <w:smallCaps w:val="0"/>
          <w:snapToGrid/>
          <w:color w:val="auto"/>
          <w:spacing w:val="0"/>
          <w:kern w:val="0"/>
          <w:sz w:val="24"/>
          <w:szCs w:val="24"/>
          <w:highlight w:val="none"/>
          <w:u w:val="none" w:color="auto"/>
        </w:rPr>
        <w:t>。通过现场调查，结合评价区</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土地利用</w:t>
      </w:r>
      <w:r>
        <w:rPr>
          <w:rFonts w:hint="default" w:ascii="Times New Roman" w:hAnsi="Times New Roman" w:eastAsia="宋体" w:cs="Times New Roman"/>
          <w:bCs/>
          <w:caps w:val="0"/>
          <w:smallCaps w:val="0"/>
          <w:snapToGrid/>
          <w:color w:val="auto"/>
          <w:spacing w:val="0"/>
          <w:kern w:val="0"/>
          <w:sz w:val="24"/>
          <w:szCs w:val="24"/>
          <w:highlight w:val="none"/>
          <w:u w:val="none" w:color="auto"/>
        </w:rPr>
        <w:t>类型图，</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该</w:t>
      </w:r>
      <w:r>
        <w:rPr>
          <w:rFonts w:hint="default" w:ascii="Times New Roman" w:hAnsi="Times New Roman" w:eastAsia="宋体" w:cs="Times New Roman"/>
          <w:bCs/>
          <w:caps w:val="0"/>
          <w:smallCaps w:val="0"/>
          <w:snapToGrid/>
          <w:color w:val="auto"/>
          <w:spacing w:val="0"/>
          <w:kern w:val="0"/>
          <w:sz w:val="24"/>
          <w:szCs w:val="24"/>
          <w:highlight w:val="none"/>
          <w:u w:val="none" w:color="auto"/>
        </w:rPr>
        <w:t>生态系统</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广泛分布在道路、河渠和居民点附近的地势平坦区域。</w:t>
      </w:r>
    </w:p>
    <w:p w14:paraId="62D614D5">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城镇生态系统</w:t>
      </w:r>
    </w:p>
    <w:p w14:paraId="009737BB">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rPr>
      </w:pPr>
      <w:r>
        <w:rPr>
          <w:rFonts w:hint="default" w:ascii="Times New Roman" w:hAnsi="Times New Roman" w:eastAsia="宋体" w:cs="Times New Roman"/>
          <w:b/>
          <w:caps w:val="0"/>
          <w:smallCaps w:val="0"/>
          <w:color w:val="auto"/>
          <w:kern w:val="0"/>
          <w:sz w:val="24"/>
          <w:szCs w:val="24"/>
          <w:u w:val="none" w:color="auto"/>
          <w:lang w:val="en-US" w:eastAsia="zh-CN"/>
        </w:rPr>
        <w:t>1</w:t>
      </w:r>
      <w:r>
        <w:rPr>
          <w:rFonts w:hint="default" w:ascii="Times New Roman" w:hAnsi="Times New Roman" w:eastAsia="宋体" w:cs="Times New Roman"/>
          <w:b/>
          <w:caps w:val="0"/>
          <w:smallCaps w:val="0"/>
          <w:color w:val="auto"/>
          <w:kern w:val="0"/>
          <w:sz w:val="24"/>
          <w:szCs w:val="24"/>
          <w:u w:val="none" w:color="auto"/>
        </w:rPr>
        <w:t>、结构与功能状况</w:t>
      </w:r>
    </w:p>
    <w:p w14:paraId="69F1826C">
      <w:pPr>
        <w:adjustRightInd w:val="0"/>
        <w:snapToGrid w:val="0"/>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1"/>
          <w:highlight w:val="none"/>
          <w:u w:val="none" w:color="auto"/>
        </w:rPr>
        <w:t>是人类对自然环境的适应、加工、改造而建设起来的特殊的人工生态系统。它不仅有生物组成要素</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植物、动物和细菌、真菌、病毒</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和非生物组成要素</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光、热、水、大气等</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，还包括人类和社会经济要素，这些要素通过能量流动、生物地球化学循环以及物资供应与废物处理系统，形成一个具有内在联系的统一整体。</w:t>
      </w:r>
    </w:p>
    <w:p w14:paraId="65C8D5E5">
      <w:pPr>
        <w:widowControl w:val="0"/>
        <w:bidi w:val="0"/>
        <w:spacing w:beforeLines="0" w:afterLines="0" w:line="360" w:lineRule="auto"/>
        <w:ind w:firstLine="480" w:firstLineChars="200"/>
        <w:jc w:val="both"/>
        <w:rPr>
          <w:rFonts w:hint="default" w:ascii="Times New Roman" w:hAnsi="Times New Roman" w:eastAsia="宋体" w:cs="Times New Roman"/>
          <w:caps w:val="0"/>
          <w:smallCaps w:val="0"/>
          <w:color w:val="auto"/>
          <w:kern w:val="2"/>
          <w:sz w:val="24"/>
          <w:szCs w:val="24"/>
          <w:u w:val="none" w:color="auto"/>
          <w:lang w:val="en-US" w:eastAsia="zh-CN" w:bidi="ar-SA"/>
        </w:rPr>
      </w:pPr>
      <w:r>
        <w:rPr>
          <w:rFonts w:hint="default" w:ascii="Times New Roman" w:hAnsi="Times New Roman" w:eastAsia="宋体" w:cs="Times New Roman"/>
          <w:caps w:val="0"/>
          <w:smallCaps w:val="0"/>
          <w:color w:val="auto"/>
          <w:kern w:val="2"/>
          <w:sz w:val="24"/>
          <w:szCs w:val="24"/>
          <w:u w:val="none" w:color="auto"/>
          <w:lang w:val="en-US" w:eastAsia="zh-CN" w:bidi="ar-SA"/>
        </w:rPr>
        <w:t>评价区居住地生态系统内人为活动频繁，植物多零星分布，常见的植物有樟、李、桃、柚、柑橘、木樨等。评价区居住地生态系统内植物多以经济树种为主，常零星分布于村落附近、路旁。喜与人类伴居的动物多活动于此，如赤链蛇、喜鹊、家燕、褐家鼠、黄胸鼠等。</w:t>
      </w:r>
    </w:p>
    <w:p w14:paraId="1B70AF30">
      <w:pPr>
        <w:tabs>
          <w:tab w:val="left" w:pos="480"/>
        </w:tabs>
        <w:adjustRightInd w:val="0"/>
        <w:snapToGrid w:val="0"/>
        <w:spacing w:line="360" w:lineRule="auto"/>
        <w:ind w:firstLine="482" w:firstLineChars="200"/>
        <w:rPr>
          <w:rFonts w:hint="default" w:ascii="Times New Roman" w:hAnsi="Times New Roman" w:eastAsia="宋体" w:cs="Times New Roman"/>
          <w:b/>
          <w:caps w:val="0"/>
          <w:smallCaps w:val="0"/>
          <w:color w:val="auto"/>
          <w:kern w:val="0"/>
          <w:sz w:val="24"/>
          <w:szCs w:val="21"/>
          <w:u w:val="none" w:color="auto"/>
        </w:rPr>
      </w:pPr>
      <w:r>
        <w:rPr>
          <w:rFonts w:hint="default" w:ascii="Times New Roman" w:hAnsi="Times New Roman" w:eastAsia="宋体" w:cs="Times New Roman"/>
          <w:b/>
          <w:caps w:val="0"/>
          <w:smallCaps w:val="0"/>
          <w:color w:val="auto"/>
          <w:kern w:val="0"/>
          <w:sz w:val="24"/>
          <w:szCs w:val="21"/>
          <w:u w:val="none" w:color="auto"/>
          <w:lang w:val="en-US" w:eastAsia="zh-CN"/>
        </w:rPr>
        <w:t>2</w:t>
      </w:r>
      <w:r>
        <w:rPr>
          <w:rFonts w:hint="default" w:ascii="Times New Roman" w:hAnsi="Times New Roman" w:eastAsia="宋体" w:cs="Times New Roman"/>
          <w:b/>
          <w:caps w:val="0"/>
          <w:smallCaps w:val="0"/>
          <w:color w:val="auto"/>
          <w:kern w:val="0"/>
          <w:sz w:val="24"/>
          <w:szCs w:val="21"/>
          <w:u w:val="none" w:color="auto"/>
        </w:rPr>
        <w:t>、分布情况</w:t>
      </w:r>
    </w:p>
    <w:p w14:paraId="37B7E52F">
      <w:pPr>
        <w:spacing w:line="360" w:lineRule="auto"/>
        <w:ind w:firstLine="480" w:firstLineChars="200"/>
        <w:rPr>
          <w:rFonts w:hint="default" w:ascii="Times New Roman" w:hAnsi="Times New Roman" w:eastAsia="宋体" w:cs="Times New Roman"/>
          <w:caps w:val="0"/>
          <w:smallCaps w:val="0"/>
          <w:color w:val="auto"/>
          <w:kern w:val="2"/>
          <w:sz w:val="24"/>
          <w:szCs w:val="24"/>
          <w:u w:val="none" w:color="auto"/>
          <w:lang w:val="sq-AL" w:eastAsia="zh-CN" w:bidi="ar-SA"/>
        </w:rPr>
      </w:pPr>
      <w:r>
        <w:rPr>
          <w:rFonts w:hint="default" w:ascii="Times New Roman" w:hAnsi="Times New Roman" w:eastAsia="宋体" w:cs="Times New Roman"/>
          <w:caps w:val="0"/>
          <w:smallCaps w:val="0"/>
          <w:snapToGrid/>
          <w:color w:val="auto"/>
          <w:spacing w:val="0"/>
          <w:kern w:val="0"/>
          <w:sz w:val="24"/>
          <w:szCs w:val="21"/>
          <w:highlight w:val="none"/>
          <w:u w:val="none" w:color="auto"/>
        </w:rPr>
        <w:t>评价区</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城镇生态系统主要以</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居住地</w:t>
      </w:r>
      <w:r>
        <w:rPr>
          <w:rFonts w:hint="default" w:ascii="Times New Roman" w:hAnsi="Times New Roman" w:eastAsia="宋体" w:cs="Times New Roman"/>
          <w:caps w:val="0"/>
          <w:smallCaps w:val="0"/>
          <w:snapToGrid/>
          <w:color w:val="auto"/>
          <w:spacing w:val="0"/>
          <w:kern w:val="0"/>
          <w:sz w:val="24"/>
          <w:szCs w:val="21"/>
          <w:highlight w:val="none"/>
          <w:u w:val="none" w:color="auto"/>
        </w:rPr>
        <w:t>生态系统</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为主，</w:t>
      </w:r>
      <w:r>
        <w:rPr>
          <w:rFonts w:hint="default" w:ascii="Times New Roman" w:hAnsi="Times New Roman" w:eastAsia="宋体" w:cs="Times New Roman"/>
          <w:caps w:val="0"/>
          <w:smallCaps w:val="0"/>
          <w:snapToGrid/>
          <w:color w:val="auto"/>
          <w:spacing w:val="0"/>
          <w:kern w:val="0"/>
          <w:sz w:val="24"/>
          <w:szCs w:val="21"/>
          <w:highlight w:val="none"/>
          <w:u w:val="none" w:color="auto"/>
        </w:rPr>
        <w:t>面积</w:t>
      </w:r>
      <w:r>
        <w:rPr>
          <w:rFonts w:hint="default" w:ascii="Times New Roman" w:hAnsi="Times New Roman" w:eastAsia="宋体" w:cs="Times New Roman"/>
          <w:bCs/>
          <w:caps w:val="0"/>
          <w:smallCaps w:val="0"/>
          <w:snapToGrid/>
          <w:color w:val="auto"/>
          <w:spacing w:val="0"/>
          <w:kern w:val="0"/>
          <w:sz w:val="24"/>
          <w:szCs w:val="24"/>
          <w:highlight w:val="none"/>
          <w:u w:val="none" w:color="auto"/>
        </w:rPr>
        <w:t>为</w:t>
      </w:r>
      <w:r>
        <w:rPr>
          <w:rFonts w:hint="default" w:ascii="Times New Roman" w:hAnsi="Times New Roman" w:cs="Times New Roman"/>
          <w:bCs/>
          <w:caps w:val="0"/>
          <w:smallCaps w:val="0"/>
          <w:snapToGrid/>
          <w:color w:val="auto"/>
          <w:spacing w:val="0"/>
          <w:kern w:val="0"/>
          <w:sz w:val="24"/>
          <w:szCs w:val="24"/>
          <w:highlight w:val="none"/>
          <w:u w:val="none"/>
          <w:lang w:val="en-US" w:eastAsia="zh-CN"/>
        </w:rPr>
        <w:t>67.2528</w:t>
      </w:r>
      <w:r>
        <w:rPr>
          <w:rFonts w:hint="default" w:ascii="Times New Roman" w:hAnsi="Times New Roman" w:eastAsia="宋体" w:cs="Times New Roman"/>
          <w:bCs/>
          <w:caps w:val="0"/>
          <w:smallCaps w:val="0"/>
          <w:snapToGrid/>
          <w:color w:val="auto"/>
          <w:spacing w:val="0"/>
          <w:kern w:val="0"/>
          <w:sz w:val="24"/>
          <w:szCs w:val="24"/>
          <w:highlight w:val="none"/>
          <w:u w:val="none" w:color="auto"/>
        </w:rPr>
        <w:t>hm</w:t>
      </w:r>
      <w:r>
        <w:rPr>
          <w:rFonts w:hint="default" w:ascii="Times New Roman" w:hAnsi="Times New Roman" w:eastAsia="宋体" w:cs="Times New Roman"/>
          <w:bCs/>
          <w:caps w:val="0"/>
          <w:smallCaps w:val="0"/>
          <w:snapToGrid/>
          <w:color w:val="auto"/>
          <w:spacing w:val="0"/>
          <w:kern w:val="0"/>
          <w:sz w:val="24"/>
          <w:szCs w:val="24"/>
          <w:highlight w:val="none"/>
          <w:u w:val="none" w:color="auto"/>
          <w:vertAlign w:val="superscript"/>
        </w:rPr>
        <w:t>2</w:t>
      </w:r>
      <w:r>
        <w:rPr>
          <w:rFonts w:hint="default" w:ascii="Times New Roman" w:hAnsi="Times New Roman" w:eastAsia="宋体" w:cs="Times New Roman"/>
          <w:bCs/>
          <w:caps w:val="0"/>
          <w:smallCaps w:val="0"/>
          <w:snapToGrid/>
          <w:color w:val="auto"/>
          <w:spacing w:val="0"/>
          <w:kern w:val="0"/>
          <w:sz w:val="24"/>
          <w:szCs w:val="24"/>
          <w:highlight w:val="none"/>
          <w:u w:val="none" w:color="auto"/>
        </w:rPr>
        <w:t>，占评价区面积的</w:t>
      </w:r>
      <w:r>
        <w:rPr>
          <w:rFonts w:hint="default" w:ascii="Times New Roman" w:hAnsi="Times New Roman" w:eastAsia="宋体" w:cs="Times New Roman"/>
          <w:bCs/>
          <w:caps w:val="0"/>
          <w:smallCaps w:val="0"/>
          <w:snapToGrid/>
          <w:color w:val="auto"/>
          <w:spacing w:val="0"/>
          <w:kern w:val="0"/>
          <w:sz w:val="24"/>
          <w:szCs w:val="24"/>
          <w:highlight w:val="none"/>
          <w:u w:val="none" w:color="auto"/>
          <w:lang w:val="en-US" w:eastAsia="zh-CN"/>
        </w:rPr>
        <w:t>4.</w:t>
      </w:r>
      <w:r>
        <w:rPr>
          <w:rFonts w:hint="eastAsia" w:ascii="Times New Roman" w:hAnsi="Times New Roman" w:eastAsia="宋体" w:cs="Times New Roman"/>
          <w:bCs/>
          <w:caps w:val="0"/>
          <w:smallCaps w:val="0"/>
          <w:snapToGrid/>
          <w:color w:val="auto"/>
          <w:spacing w:val="0"/>
          <w:kern w:val="0"/>
          <w:sz w:val="24"/>
          <w:szCs w:val="24"/>
          <w:highlight w:val="none"/>
          <w:u w:val="none" w:color="auto"/>
          <w:lang w:val="en-US" w:eastAsia="zh-CN"/>
        </w:rPr>
        <w:t>33</w:t>
      </w:r>
      <w:r>
        <w:rPr>
          <w:rFonts w:hint="default" w:ascii="Times New Roman" w:hAnsi="Times New Roman" w:eastAsia="宋体" w:cs="Times New Roman"/>
          <w:bCs/>
          <w:caps w:val="0"/>
          <w:smallCaps w:val="0"/>
          <w:snapToGrid/>
          <w:color w:val="auto"/>
          <w:spacing w:val="0"/>
          <w:kern w:val="0"/>
          <w:sz w:val="24"/>
          <w:szCs w:val="24"/>
          <w:highlight w:val="none"/>
          <w:u w:val="none" w:color="auto"/>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根据现场调查并结合评价区土地利用类型图，</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该</w:t>
      </w:r>
      <w:r>
        <w:rPr>
          <w:rFonts w:hint="default" w:ascii="Times New Roman" w:hAnsi="Times New Roman" w:eastAsia="宋体" w:cs="Times New Roman"/>
          <w:caps w:val="0"/>
          <w:smallCaps w:val="0"/>
          <w:snapToGrid/>
          <w:color w:val="auto"/>
          <w:spacing w:val="0"/>
          <w:kern w:val="0"/>
          <w:sz w:val="24"/>
          <w:szCs w:val="21"/>
          <w:highlight w:val="none"/>
          <w:u w:val="none" w:color="auto"/>
        </w:rPr>
        <w:t>生态系统</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主要集中在道路两侧</w:t>
      </w:r>
      <w:r>
        <w:rPr>
          <w:rFonts w:hint="default" w:ascii="Times New Roman" w:hAnsi="Times New Roman" w:eastAsia="宋体" w:cs="Times New Roman"/>
          <w:caps w:val="0"/>
          <w:smallCaps w:val="0"/>
          <w:snapToGrid/>
          <w:color w:val="auto"/>
          <w:spacing w:val="0"/>
          <w:kern w:val="0"/>
          <w:sz w:val="24"/>
          <w:szCs w:val="21"/>
          <w:highlight w:val="none"/>
          <w:u w:val="none" w:color="auto"/>
        </w:rPr>
        <w:t>。</w:t>
      </w:r>
    </w:p>
    <w:p w14:paraId="2C3FBA56">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植被覆盖度</w:t>
      </w:r>
    </w:p>
    <w:p w14:paraId="0347200E">
      <w:pPr>
        <w:widowControl/>
        <w:spacing w:line="480" w:lineRule="exact"/>
        <w:ind w:firstLine="480" w:firstLineChars="200"/>
        <w:rPr>
          <w:rFonts w:hint="default" w:ascii="Times New Roman" w:hAnsi="Times New Roman" w:eastAsia="宋体" w:cs="Times New Roman"/>
          <w:caps w:val="0"/>
          <w:smallCaps w:val="0"/>
          <w:color w:val="auto"/>
          <w:sz w:val="24"/>
          <w:szCs w:val="21"/>
          <w:highlight w:val="none"/>
          <w:u w:val="none" w:color="auto"/>
          <w:lang w:eastAsia="zh-CN"/>
        </w:rPr>
      </w:pPr>
      <w:r>
        <w:rPr>
          <w:rFonts w:hint="default" w:ascii="Times New Roman" w:hAnsi="Times New Roman" w:eastAsia="宋体" w:cs="Times New Roman"/>
          <w:caps w:val="0"/>
          <w:smallCaps w:val="0"/>
          <w:color w:val="auto"/>
          <w:sz w:val="24"/>
          <w:szCs w:val="22"/>
          <w:highlight w:val="none"/>
          <w:u w:val="none" w:color="auto"/>
        </w:rPr>
        <w:t>为调查项目评价区的植被</w:t>
      </w:r>
      <w:r>
        <w:rPr>
          <w:rFonts w:hint="default" w:ascii="Times New Roman" w:hAnsi="Times New Roman" w:eastAsia="宋体" w:cs="Times New Roman"/>
          <w:caps w:val="0"/>
          <w:smallCaps w:val="0"/>
          <w:color w:val="auto"/>
          <w:sz w:val="24"/>
          <w:szCs w:val="22"/>
          <w:highlight w:val="none"/>
          <w:u w:val="none" w:color="auto"/>
          <w:lang w:eastAsia="zh-CN"/>
        </w:rPr>
        <w:t>覆盖</w:t>
      </w:r>
      <w:r>
        <w:rPr>
          <w:rFonts w:hint="default" w:ascii="Times New Roman" w:hAnsi="Times New Roman" w:eastAsia="宋体" w:cs="Times New Roman"/>
          <w:caps w:val="0"/>
          <w:smallCaps w:val="0"/>
          <w:color w:val="auto"/>
          <w:sz w:val="24"/>
          <w:szCs w:val="22"/>
          <w:highlight w:val="none"/>
          <w:u w:val="none" w:color="auto"/>
        </w:rPr>
        <w:t>情况，本次评价运用遥感软件，通过卫片解译评价区的NDVI值（植被归一化指数），</w:t>
      </w:r>
      <w:r>
        <w:rPr>
          <w:rFonts w:hint="default" w:ascii="Times New Roman" w:hAnsi="Times New Roman" w:eastAsia="宋体" w:cs="Times New Roman"/>
          <w:caps w:val="0"/>
          <w:smallCaps w:val="0"/>
          <w:color w:val="auto"/>
          <w:sz w:val="24"/>
          <w:szCs w:val="22"/>
          <w:highlight w:val="none"/>
          <w:u w:val="none" w:color="auto"/>
          <w:lang w:eastAsia="zh-CN"/>
        </w:rPr>
        <w:t>确定</w:t>
      </w:r>
      <w:r>
        <w:rPr>
          <w:rFonts w:hint="default" w:ascii="Times New Roman" w:hAnsi="Times New Roman" w:eastAsia="宋体" w:cs="Times New Roman"/>
          <w:caps w:val="0"/>
          <w:smallCaps w:val="0"/>
          <w:color w:val="auto"/>
          <w:sz w:val="24"/>
          <w:szCs w:val="21"/>
          <w:highlight w:val="none"/>
          <w:u w:val="none" w:color="auto"/>
        </w:rPr>
        <w:t>本项目</w:t>
      </w:r>
      <w:r>
        <w:rPr>
          <w:rFonts w:hint="default" w:ascii="Times New Roman" w:hAnsi="Times New Roman" w:eastAsia="宋体" w:cs="Times New Roman"/>
          <w:caps w:val="0"/>
          <w:smallCaps w:val="0"/>
          <w:color w:val="auto"/>
          <w:sz w:val="24"/>
          <w:szCs w:val="21"/>
          <w:highlight w:val="none"/>
          <w:u w:val="none" w:color="auto"/>
          <w:lang w:eastAsia="zh-CN"/>
        </w:rPr>
        <w:t>评价</w:t>
      </w:r>
      <w:r>
        <w:rPr>
          <w:rFonts w:hint="default" w:ascii="Times New Roman" w:hAnsi="Times New Roman" w:eastAsia="宋体" w:cs="Times New Roman"/>
          <w:caps w:val="0"/>
          <w:smallCaps w:val="0"/>
          <w:color w:val="auto"/>
          <w:sz w:val="24"/>
          <w:szCs w:val="21"/>
          <w:highlight w:val="none"/>
          <w:u w:val="none" w:color="auto"/>
        </w:rPr>
        <w:t>范围内</w:t>
      </w:r>
      <w:r>
        <w:rPr>
          <w:rFonts w:hint="default" w:ascii="Times New Roman" w:hAnsi="Times New Roman" w:eastAsia="宋体" w:cs="Times New Roman"/>
          <w:caps w:val="0"/>
          <w:smallCaps w:val="0"/>
          <w:color w:val="auto"/>
          <w:sz w:val="24"/>
          <w:szCs w:val="21"/>
          <w:highlight w:val="none"/>
          <w:u w:val="none" w:color="auto"/>
          <w:lang w:eastAsia="zh-CN"/>
        </w:rPr>
        <w:t>植被覆盖</w:t>
      </w:r>
      <w:r>
        <w:rPr>
          <w:rFonts w:hint="default" w:ascii="Times New Roman" w:hAnsi="Times New Roman" w:eastAsia="宋体" w:cs="Times New Roman"/>
          <w:caps w:val="0"/>
          <w:smallCaps w:val="0"/>
          <w:color w:val="auto"/>
          <w:sz w:val="24"/>
          <w:szCs w:val="21"/>
          <w:highlight w:val="none"/>
          <w:u w:val="none" w:color="auto"/>
        </w:rPr>
        <w:t>面积约</w:t>
      </w:r>
      <w:r>
        <w:rPr>
          <w:rFonts w:hint="eastAsia" w:ascii="Times New Roman" w:hAnsi="Times New Roman" w:eastAsia="宋体" w:cs="Times New Roman"/>
          <w:caps w:val="0"/>
          <w:smallCaps w:val="0"/>
          <w:color w:val="auto"/>
          <w:sz w:val="24"/>
          <w:szCs w:val="21"/>
          <w:highlight w:val="none"/>
          <w:u w:val="none" w:color="auto"/>
          <w:lang w:eastAsia="zh-CN"/>
        </w:rPr>
        <w:t>为</w:t>
      </w:r>
      <w:r>
        <w:rPr>
          <w:rFonts w:hint="eastAsia" w:ascii="Times New Roman" w:hAnsi="Times New Roman" w:eastAsia="宋体" w:cs="Times New Roman"/>
          <w:caps w:val="0"/>
          <w:smallCaps w:val="0"/>
          <w:color w:val="auto"/>
          <w:sz w:val="24"/>
          <w:szCs w:val="21"/>
          <w:highlight w:val="none"/>
          <w:u w:val="none" w:color="auto"/>
          <w:lang w:val="en-US" w:eastAsia="zh-CN"/>
        </w:rPr>
        <w:t>1120.39</w:t>
      </w:r>
      <w:r>
        <w:rPr>
          <w:rFonts w:hint="default" w:ascii="Times New Roman" w:hAnsi="Times New Roman" w:eastAsia="宋体" w:cs="Times New Roman"/>
          <w:caps w:val="0"/>
          <w:smallCaps w:val="0"/>
          <w:color w:val="auto"/>
          <w:sz w:val="24"/>
          <w:szCs w:val="21"/>
          <w:highlight w:val="none"/>
          <w:u w:val="none" w:color="auto"/>
          <w:lang w:eastAsia="zh-CN"/>
        </w:rPr>
        <w:t>h</w:t>
      </w:r>
      <w:r>
        <w:rPr>
          <w:rFonts w:hint="eastAsia" w:ascii="Times New Roman" w:hAnsi="Times New Roman" w:eastAsia="宋体" w:cs="Times New Roman"/>
          <w:caps w:val="0"/>
          <w:smallCaps w:val="0"/>
          <w:color w:val="auto"/>
          <w:sz w:val="24"/>
          <w:szCs w:val="21"/>
          <w:highlight w:val="none"/>
          <w:u w:val="none" w:color="auto"/>
          <w:lang w:eastAsia="zh-CN"/>
        </w:rPr>
        <w:t>m</w:t>
      </w:r>
      <w:r>
        <w:rPr>
          <w:rFonts w:hint="eastAsia" w:ascii="Times New Roman" w:hAnsi="Times New Roman" w:eastAsia="宋体" w:cs="Times New Roman"/>
          <w:caps w:val="0"/>
          <w:smallCaps w:val="0"/>
          <w:color w:val="auto"/>
          <w:sz w:val="24"/>
          <w:szCs w:val="21"/>
          <w:highlight w:val="none"/>
          <w:u w:val="none" w:color="auto"/>
          <w:vertAlign w:val="superscript"/>
          <w:lang w:eastAsia="zh-CN"/>
        </w:rPr>
        <w:t>2</w:t>
      </w:r>
      <w:r>
        <w:rPr>
          <w:rFonts w:hint="eastAsia" w:ascii="Times New Roman" w:hAnsi="Times New Roman" w:eastAsia="宋体" w:cs="Times New Roman"/>
          <w:caps w:val="0"/>
          <w:smallCaps w:val="0"/>
          <w:color w:val="auto"/>
          <w:sz w:val="24"/>
          <w:szCs w:val="21"/>
          <w:highlight w:val="none"/>
          <w:u w:val="none" w:color="auto"/>
          <w:lang w:eastAsia="zh-CN"/>
        </w:rPr>
        <w:t>，占评价总区域的</w:t>
      </w:r>
      <w:r>
        <w:rPr>
          <w:rFonts w:hint="eastAsia" w:ascii="Times New Roman" w:hAnsi="Times New Roman" w:eastAsia="宋体" w:cs="Times New Roman"/>
          <w:caps w:val="0"/>
          <w:smallCaps w:val="0"/>
          <w:color w:val="auto"/>
          <w:sz w:val="24"/>
          <w:szCs w:val="21"/>
          <w:highlight w:val="none"/>
          <w:u w:val="none" w:color="auto"/>
          <w:lang w:val="en-US" w:eastAsia="zh-CN"/>
        </w:rPr>
        <w:t>72.20</w:t>
      </w:r>
      <w:r>
        <w:rPr>
          <w:rFonts w:hint="eastAsia" w:ascii="Times New Roman" w:hAnsi="Times New Roman" w:eastAsia="宋体" w:cs="Times New Roman"/>
          <w:caps w:val="0"/>
          <w:smallCaps w:val="0"/>
          <w:color w:val="auto"/>
          <w:sz w:val="24"/>
          <w:szCs w:val="21"/>
          <w:highlight w:val="none"/>
          <w:u w:val="none" w:color="auto"/>
          <w:lang w:eastAsia="zh-CN"/>
        </w:rPr>
        <w:t>%；无植被区域占评价总面积的</w:t>
      </w:r>
      <w:r>
        <w:rPr>
          <w:rFonts w:hint="eastAsia" w:ascii="Times New Roman" w:hAnsi="Times New Roman" w:eastAsia="宋体" w:cs="Times New Roman"/>
          <w:caps w:val="0"/>
          <w:smallCaps w:val="0"/>
          <w:color w:val="auto"/>
          <w:sz w:val="24"/>
          <w:szCs w:val="21"/>
          <w:highlight w:val="none"/>
          <w:u w:val="none" w:color="auto"/>
          <w:lang w:val="en-US" w:eastAsia="zh-CN"/>
        </w:rPr>
        <w:t>27.80</w:t>
      </w:r>
      <w:r>
        <w:rPr>
          <w:rFonts w:hint="eastAsia" w:ascii="Times New Roman" w:hAnsi="Times New Roman" w:eastAsia="宋体" w:cs="Times New Roman"/>
          <w:caps w:val="0"/>
          <w:smallCaps w:val="0"/>
          <w:color w:val="auto"/>
          <w:sz w:val="24"/>
          <w:szCs w:val="21"/>
          <w:highlight w:val="none"/>
          <w:u w:val="none" w:color="auto"/>
          <w:lang w:eastAsia="zh-CN"/>
        </w:rPr>
        <w:t>%，</w:t>
      </w:r>
      <w:r>
        <w:rPr>
          <w:rFonts w:hint="default" w:ascii="Times New Roman" w:hAnsi="Times New Roman" w:eastAsia="宋体" w:cs="Times New Roman"/>
          <w:caps w:val="0"/>
          <w:smallCaps w:val="0"/>
          <w:color w:val="auto"/>
          <w:sz w:val="24"/>
          <w:szCs w:val="21"/>
          <w:highlight w:val="none"/>
          <w:u w:val="none" w:color="auto"/>
        </w:rPr>
        <w:t>主要为</w:t>
      </w:r>
      <w:r>
        <w:rPr>
          <w:rFonts w:hint="default" w:ascii="Times New Roman" w:hAnsi="Times New Roman" w:eastAsia="宋体" w:cs="Times New Roman"/>
          <w:caps w:val="0"/>
          <w:smallCaps w:val="0"/>
          <w:color w:val="auto"/>
          <w:sz w:val="24"/>
          <w:szCs w:val="21"/>
          <w:highlight w:val="none"/>
          <w:u w:val="none" w:color="auto"/>
          <w:lang w:eastAsia="zh-CN"/>
        </w:rPr>
        <w:t>水域、</w:t>
      </w:r>
      <w:r>
        <w:rPr>
          <w:rFonts w:hint="default" w:ascii="Times New Roman" w:hAnsi="Times New Roman" w:eastAsia="宋体" w:cs="Times New Roman"/>
          <w:caps w:val="0"/>
          <w:smallCaps w:val="0"/>
          <w:color w:val="auto"/>
          <w:sz w:val="24"/>
          <w:szCs w:val="21"/>
          <w:highlight w:val="none"/>
          <w:u w:val="none" w:color="auto"/>
        </w:rPr>
        <w:t>建筑、交通、</w:t>
      </w:r>
      <w:r>
        <w:rPr>
          <w:rFonts w:hint="default" w:ascii="Times New Roman" w:hAnsi="Times New Roman" w:eastAsia="宋体" w:cs="Times New Roman"/>
          <w:caps w:val="0"/>
          <w:smallCaps w:val="0"/>
          <w:color w:val="auto"/>
          <w:sz w:val="24"/>
          <w:szCs w:val="21"/>
          <w:highlight w:val="none"/>
          <w:u w:val="none" w:color="auto"/>
          <w:lang w:val="en-US" w:eastAsia="zh-CN"/>
        </w:rPr>
        <w:t>裸地</w:t>
      </w:r>
      <w:r>
        <w:rPr>
          <w:rFonts w:hint="default" w:ascii="Times New Roman" w:hAnsi="Times New Roman" w:eastAsia="宋体" w:cs="Times New Roman"/>
          <w:caps w:val="0"/>
          <w:smallCaps w:val="0"/>
          <w:color w:val="auto"/>
          <w:sz w:val="24"/>
          <w:szCs w:val="21"/>
          <w:highlight w:val="none"/>
          <w:u w:val="none" w:color="auto"/>
        </w:rPr>
        <w:t>等用地。</w:t>
      </w:r>
      <w:r>
        <w:rPr>
          <w:rFonts w:hint="default" w:ascii="Times New Roman" w:hAnsi="Times New Roman" w:eastAsia="宋体" w:cs="Times New Roman"/>
          <w:caps w:val="0"/>
          <w:smallCaps w:val="0"/>
          <w:color w:val="auto"/>
          <w:sz w:val="24"/>
          <w:szCs w:val="21"/>
          <w:highlight w:val="none"/>
          <w:u w:val="none" w:color="auto"/>
          <w:lang w:eastAsia="zh-CN"/>
        </w:rPr>
        <w:t>综合可知，项目评价范围内的植被覆盖度</w:t>
      </w:r>
      <w:r>
        <w:rPr>
          <w:rFonts w:hint="eastAsia" w:ascii="Times New Roman" w:hAnsi="Times New Roman" w:eastAsia="宋体" w:cs="Times New Roman"/>
          <w:caps w:val="0"/>
          <w:smallCaps w:val="0"/>
          <w:color w:val="auto"/>
          <w:sz w:val="24"/>
          <w:szCs w:val="21"/>
          <w:highlight w:val="none"/>
          <w:u w:val="none" w:color="auto"/>
          <w:lang w:eastAsia="zh-CN"/>
        </w:rPr>
        <w:t>较</w:t>
      </w:r>
      <w:r>
        <w:rPr>
          <w:rFonts w:hint="default" w:ascii="Times New Roman" w:hAnsi="Times New Roman" w:eastAsia="宋体" w:cs="Times New Roman"/>
          <w:caps w:val="0"/>
          <w:smallCaps w:val="0"/>
          <w:color w:val="auto"/>
          <w:sz w:val="24"/>
          <w:szCs w:val="21"/>
          <w:highlight w:val="none"/>
          <w:u w:val="none" w:color="auto"/>
          <w:lang w:eastAsia="zh-CN"/>
        </w:rPr>
        <w:t>高。</w:t>
      </w:r>
    </w:p>
    <w:p w14:paraId="09514F1D">
      <w:pPr>
        <w:pStyle w:val="5"/>
        <w:bidi w:val="0"/>
        <w:rPr>
          <w:rFonts w:hint="default" w:ascii="Times New Roman" w:hAnsi="Times New Roman" w:cs="Times New Roman"/>
          <w:color w:val="auto"/>
          <w:u w:val="none" w:color="auto"/>
          <w:lang w:val="en-US" w:eastAsia="zh-CN"/>
        </w:rPr>
      </w:pPr>
      <w:bookmarkStart w:id="216" w:name="_Toc4094"/>
      <w:bookmarkStart w:id="217" w:name="_Toc30742"/>
      <w:bookmarkStart w:id="218" w:name="_Toc21153"/>
      <w:bookmarkStart w:id="219" w:name="_Toc10241"/>
      <w:r>
        <w:rPr>
          <w:rFonts w:hint="default" w:ascii="Times New Roman" w:hAnsi="Times New Roman" w:cs="Times New Roman"/>
          <w:color w:val="auto"/>
          <w:u w:val="none" w:color="auto"/>
          <w:lang w:val="en-US" w:eastAsia="zh-CN"/>
        </w:rPr>
        <w:t>生物量现状</w:t>
      </w:r>
      <w:bookmarkEnd w:id="216"/>
      <w:bookmarkEnd w:id="217"/>
      <w:bookmarkEnd w:id="218"/>
      <w:bookmarkEnd w:id="219"/>
    </w:p>
    <w:p w14:paraId="733BBF1D">
      <w:pPr>
        <w:spacing w:line="360" w:lineRule="auto"/>
        <w:ind w:firstLine="480" w:firstLineChars="200"/>
        <w:rPr>
          <w:rFonts w:hint="default" w:ascii="Times New Roman" w:hAnsi="Times New Roman" w:eastAsia="宋体" w:cs="Times New Roman"/>
          <w:bCs/>
          <w:caps w:val="0"/>
          <w:smallCaps w:val="0"/>
          <w:snapToGrid/>
          <w:color w:val="auto"/>
          <w:spacing w:val="0"/>
          <w:kern w:val="0"/>
          <w:sz w:val="24"/>
          <w:szCs w:val="24"/>
          <w:highlight w:val="none"/>
          <w:u w:val="none" w:color="auto"/>
        </w:rPr>
      </w:pPr>
      <w:r>
        <w:rPr>
          <w:rFonts w:hint="default" w:ascii="Times New Roman" w:hAnsi="Times New Roman" w:eastAsia="宋体" w:cs="Times New Roman"/>
          <w:bCs/>
          <w:caps w:val="0"/>
          <w:smallCaps w:val="0"/>
          <w:snapToGrid/>
          <w:color w:val="auto"/>
          <w:spacing w:val="0"/>
          <w:kern w:val="0"/>
          <w:sz w:val="24"/>
          <w:szCs w:val="24"/>
          <w:highlight w:val="none"/>
          <w:u w:val="none" w:color="auto"/>
        </w:rPr>
        <w:t>根据现场调查和卫片解译，结合评价区地表植被立地</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和</w:t>
      </w:r>
      <w:r>
        <w:rPr>
          <w:rFonts w:hint="default" w:ascii="Times New Roman" w:hAnsi="Times New Roman" w:eastAsia="宋体" w:cs="Times New Roman"/>
          <w:bCs/>
          <w:caps w:val="0"/>
          <w:smallCaps w:val="0"/>
          <w:snapToGrid/>
          <w:color w:val="auto"/>
          <w:spacing w:val="0"/>
          <w:kern w:val="0"/>
          <w:sz w:val="24"/>
          <w:szCs w:val="24"/>
          <w:highlight w:val="none"/>
          <w:u w:val="none" w:color="auto"/>
          <w:lang w:val="en-US" w:eastAsia="zh-CN"/>
        </w:rPr>
        <w:t>NDVI</w:t>
      </w:r>
      <w:r>
        <w:rPr>
          <w:rFonts w:hint="default" w:ascii="Times New Roman" w:hAnsi="Times New Roman" w:eastAsia="宋体" w:cs="Times New Roman"/>
          <w:bCs/>
          <w:caps w:val="0"/>
          <w:smallCaps w:val="0"/>
          <w:snapToGrid/>
          <w:color w:val="auto"/>
          <w:spacing w:val="0"/>
          <w:kern w:val="0"/>
          <w:sz w:val="24"/>
          <w:szCs w:val="24"/>
          <w:highlight w:val="none"/>
          <w:u w:val="none" w:color="auto"/>
        </w:rPr>
        <w:t>情况，将评价区</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自然体系</w:t>
      </w:r>
      <w:r>
        <w:rPr>
          <w:rFonts w:hint="default" w:ascii="Times New Roman" w:hAnsi="Times New Roman" w:eastAsia="宋体" w:cs="Times New Roman"/>
          <w:bCs/>
          <w:caps w:val="0"/>
          <w:smallCaps w:val="0"/>
          <w:snapToGrid/>
          <w:color w:val="auto"/>
          <w:spacing w:val="0"/>
          <w:kern w:val="0"/>
          <w:sz w:val="24"/>
          <w:szCs w:val="24"/>
          <w:highlight w:val="none"/>
          <w:u w:val="none" w:color="auto"/>
        </w:rPr>
        <w:t>化分为</w:t>
      </w:r>
      <w:r>
        <w:rPr>
          <w:rFonts w:hint="default" w:ascii="Times New Roman" w:hAnsi="Times New Roman" w:eastAsia="宋体" w:cs="Times New Roman"/>
          <w:bCs/>
          <w:caps w:val="0"/>
          <w:smallCaps w:val="0"/>
          <w:snapToGrid/>
          <w:color w:val="auto"/>
          <w:spacing w:val="0"/>
          <w:kern w:val="0"/>
          <w:sz w:val="24"/>
          <w:szCs w:val="24"/>
          <w:highlight w:val="none"/>
          <w:u w:val="none" w:color="auto"/>
          <w:lang w:val="en-US" w:eastAsia="zh-CN"/>
        </w:rPr>
        <w:t>几</w:t>
      </w:r>
      <w:r>
        <w:rPr>
          <w:rFonts w:hint="default" w:ascii="Times New Roman" w:hAnsi="Times New Roman" w:eastAsia="宋体" w:cs="Times New Roman"/>
          <w:bCs/>
          <w:caps w:val="0"/>
          <w:smallCaps w:val="0"/>
          <w:snapToGrid/>
          <w:color w:val="auto"/>
          <w:spacing w:val="0"/>
          <w:kern w:val="0"/>
          <w:sz w:val="24"/>
          <w:szCs w:val="24"/>
          <w:highlight w:val="none"/>
          <w:u w:val="none" w:color="auto"/>
        </w:rPr>
        <w:t>类</w:t>
      </w:r>
      <w:r>
        <w:rPr>
          <w:rFonts w:hint="default" w:ascii="Times New Roman" w:hAnsi="Times New Roman" w:eastAsia="宋体" w:cs="Times New Roman"/>
          <w:bCs/>
          <w:caps w:val="0"/>
          <w:smallCaps w:val="0"/>
          <w:snapToGrid/>
          <w:color w:val="auto"/>
          <w:spacing w:val="0"/>
          <w:kern w:val="0"/>
          <w:sz w:val="24"/>
          <w:szCs w:val="24"/>
          <w:highlight w:val="none"/>
          <w:u w:val="none" w:color="auto"/>
          <w:lang w:eastAsia="zh-CN"/>
        </w:rPr>
        <w:t>，统计情况如下</w:t>
      </w:r>
      <w:r>
        <w:rPr>
          <w:rFonts w:hint="default" w:ascii="Times New Roman" w:hAnsi="Times New Roman" w:eastAsia="宋体" w:cs="Times New Roman"/>
          <w:bCs/>
          <w:caps w:val="0"/>
          <w:smallCaps w:val="0"/>
          <w:snapToGrid/>
          <w:color w:val="auto"/>
          <w:spacing w:val="0"/>
          <w:kern w:val="0"/>
          <w:sz w:val="24"/>
          <w:szCs w:val="24"/>
          <w:highlight w:val="none"/>
          <w:u w:val="none" w:color="auto"/>
        </w:rPr>
        <w:t>。</w:t>
      </w:r>
    </w:p>
    <w:p w14:paraId="4239FBD7">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4</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评价区植被生物量现状表</w:t>
      </w:r>
    </w:p>
    <w:tbl>
      <w:tblPr>
        <w:tblStyle w:val="39"/>
        <w:tblW w:w="851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853"/>
        <w:gridCol w:w="1157"/>
        <w:gridCol w:w="993"/>
        <w:gridCol w:w="1069"/>
        <w:gridCol w:w="1057"/>
        <w:gridCol w:w="1213"/>
      </w:tblGrid>
      <w:tr w14:paraId="71281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61BE9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aps w:val="0"/>
                <w:smallCaps w:val="0"/>
                <w:color w:val="auto"/>
                <w:sz w:val="21"/>
                <w:szCs w:val="21"/>
                <w:lang w:eastAsia="zh-CN"/>
              </w:rPr>
            </w:pPr>
            <w:r>
              <w:rPr>
                <w:rFonts w:hint="eastAsia" w:ascii="Times New Roman" w:hAnsi="Times New Roman" w:eastAsia="宋体" w:cs="Times New Roman"/>
                <w:b/>
                <w:bCs/>
                <w:caps w:val="0"/>
                <w:smallCaps w:val="0"/>
                <w:color w:val="auto"/>
                <w:sz w:val="21"/>
                <w:szCs w:val="21"/>
                <w:lang w:val="en-US" w:eastAsia="zh-CN"/>
              </w:rPr>
              <w:t>植被类型</w:t>
            </w:r>
          </w:p>
        </w:tc>
        <w:tc>
          <w:tcPr>
            <w:tcW w:w="1853" w:type="dxa"/>
            <w:tcBorders>
              <w:tl2br w:val="nil"/>
              <w:tr2bl w:val="nil"/>
            </w:tcBorders>
            <w:noWrap w:val="0"/>
            <w:vAlign w:val="center"/>
          </w:tcPr>
          <w:p w14:paraId="4778F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代表植物</w:t>
            </w:r>
          </w:p>
        </w:tc>
        <w:tc>
          <w:tcPr>
            <w:tcW w:w="1157" w:type="dxa"/>
            <w:tcBorders>
              <w:tl2br w:val="nil"/>
              <w:tr2bl w:val="nil"/>
            </w:tcBorders>
            <w:noWrap w:val="0"/>
            <w:vAlign w:val="center"/>
          </w:tcPr>
          <w:p w14:paraId="035EF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面积（hm</w:t>
            </w:r>
            <w:r>
              <w:rPr>
                <w:rFonts w:hint="default" w:ascii="Times New Roman" w:hAnsi="Times New Roman" w:eastAsia="宋体" w:cs="Times New Roman"/>
                <w:b/>
                <w:bCs/>
                <w:caps w:val="0"/>
                <w:smallCaps w:val="0"/>
                <w:color w:val="auto"/>
                <w:sz w:val="21"/>
                <w:szCs w:val="21"/>
                <w:vertAlign w:val="superscript"/>
              </w:rPr>
              <w:t>2</w:t>
            </w:r>
            <w:r>
              <w:rPr>
                <w:rFonts w:hint="default" w:ascii="Times New Roman" w:hAnsi="Times New Roman" w:eastAsia="宋体" w:cs="Times New Roman"/>
                <w:b/>
                <w:bCs/>
                <w:caps w:val="0"/>
                <w:smallCaps w:val="0"/>
                <w:color w:val="auto"/>
                <w:sz w:val="21"/>
                <w:szCs w:val="21"/>
              </w:rPr>
              <w:t>）</w:t>
            </w:r>
          </w:p>
        </w:tc>
        <w:tc>
          <w:tcPr>
            <w:tcW w:w="993" w:type="dxa"/>
            <w:tcBorders>
              <w:tl2br w:val="nil"/>
              <w:tr2bl w:val="nil"/>
            </w:tcBorders>
            <w:noWrap w:val="0"/>
            <w:vAlign w:val="center"/>
          </w:tcPr>
          <w:p w14:paraId="6C160F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占评价区比例（%）</w:t>
            </w:r>
          </w:p>
        </w:tc>
        <w:tc>
          <w:tcPr>
            <w:tcW w:w="1069" w:type="dxa"/>
            <w:tcBorders>
              <w:tl2br w:val="nil"/>
              <w:tr2bl w:val="nil"/>
            </w:tcBorders>
            <w:noWrap w:val="0"/>
            <w:vAlign w:val="center"/>
          </w:tcPr>
          <w:p w14:paraId="21C5B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lang w:val="de-DE"/>
              </w:rPr>
            </w:pPr>
            <w:r>
              <w:rPr>
                <w:rFonts w:hint="default" w:ascii="Times New Roman" w:hAnsi="Times New Roman" w:eastAsia="宋体" w:cs="Times New Roman"/>
                <w:b/>
                <w:bCs/>
                <w:caps w:val="0"/>
                <w:smallCaps w:val="0"/>
                <w:color w:val="auto"/>
                <w:sz w:val="21"/>
                <w:szCs w:val="21"/>
              </w:rPr>
              <w:t>平均生物量</w:t>
            </w:r>
            <w:r>
              <w:rPr>
                <w:rFonts w:hint="default" w:ascii="Times New Roman" w:hAnsi="Times New Roman" w:eastAsia="宋体" w:cs="Times New Roman"/>
                <w:b/>
                <w:bCs/>
                <w:caps w:val="0"/>
                <w:smallCaps w:val="0"/>
                <w:color w:val="auto"/>
                <w:sz w:val="21"/>
                <w:szCs w:val="21"/>
                <w:lang w:val="de-DE"/>
              </w:rPr>
              <w:t>（t/hm</w:t>
            </w:r>
            <w:r>
              <w:rPr>
                <w:rFonts w:hint="default" w:ascii="Times New Roman" w:hAnsi="Times New Roman" w:eastAsia="宋体" w:cs="Times New Roman"/>
                <w:b/>
                <w:bCs/>
                <w:caps w:val="0"/>
                <w:smallCaps w:val="0"/>
                <w:color w:val="auto"/>
                <w:sz w:val="21"/>
                <w:szCs w:val="21"/>
                <w:vertAlign w:val="superscript"/>
                <w:lang w:val="de-DE"/>
              </w:rPr>
              <w:t>2</w:t>
            </w:r>
            <w:r>
              <w:rPr>
                <w:rFonts w:hint="default" w:ascii="Times New Roman" w:hAnsi="Times New Roman" w:eastAsia="宋体" w:cs="Times New Roman"/>
                <w:b/>
                <w:bCs/>
                <w:caps w:val="0"/>
                <w:smallCaps w:val="0"/>
                <w:color w:val="auto"/>
                <w:sz w:val="21"/>
                <w:szCs w:val="21"/>
                <w:lang w:val="de-DE"/>
              </w:rPr>
              <w:t>）</w:t>
            </w:r>
          </w:p>
        </w:tc>
        <w:tc>
          <w:tcPr>
            <w:tcW w:w="1057" w:type="dxa"/>
            <w:tcBorders>
              <w:tl2br w:val="nil"/>
              <w:tr2bl w:val="nil"/>
            </w:tcBorders>
            <w:noWrap w:val="0"/>
            <w:vAlign w:val="center"/>
          </w:tcPr>
          <w:p w14:paraId="73115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总生物量（t）</w:t>
            </w:r>
          </w:p>
        </w:tc>
        <w:tc>
          <w:tcPr>
            <w:tcW w:w="1213" w:type="dxa"/>
            <w:tcBorders>
              <w:tl2br w:val="nil"/>
              <w:tr2bl w:val="nil"/>
            </w:tcBorders>
            <w:noWrap w:val="0"/>
            <w:vAlign w:val="center"/>
          </w:tcPr>
          <w:p w14:paraId="68D2A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占评价区总生物量比例（%）</w:t>
            </w:r>
          </w:p>
        </w:tc>
      </w:tr>
      <w:tr w14:paraId="74DCB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63925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lang w:val="en-US" w:eastAsia="zh-CN"/>
              </w:rPr>
              <w:t>农作物</w:t>
            </w:r>
          </w:p>
        </w:tc>
        <w:tc>
          <w:tcPr>
            <w:tcW w:w="1853" w:type="dxa"/>
            <w:tcBorders>
              <w:tl2br w:val="nil"/>
              <w:tr2bl w:val="nil"/>
            </w:tcBorders>
            <w:noWrap w:val="0"/>
            <w:vAlign w:val="center"/>
          </w:tcPr>
          <w:p w14:paraId="19CF07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lang w:eastAsia="zh-CN"/>
              </w:rPr>
              <w:t>大豆、花生</w:t>
            </w:r>
          </w:p>
        </w:tc>
        <w:tc>
          <w:tcPr>
            <w:tcW w:w="1157" w:type="dxa"/>
            <w:tcBorders>
              <w:tl2br w:val="nil"/>
              <w:tr2bl w:val="nil"/>
            </w:tcBorders>
            <w:noWrap w:val="0"/>
            <w:vAlign w:val="center"/>
          </w:tcPr>
          <w:p w14:paraId="69B5C82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670.9558</w:t>
            </w:r>
          </w:p>
        </w:tc>
        <w:tc>
          <w:tcPr>
            <w:tcW w:w="993" w:type="dxa"/>
            <w:tcBorders>
              <w:tl2br w:val="nil"/>
              <w:tr2bl w:val="nil"/>
            </w:tcBorders>
            <w:noWrap w:val="0"/>
            <w:vAlign w:val="center"/>
          </w:tcPr>
          <w:p w14:paraId="54329A54">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59.89</w:t>
            </w:r>
          </w:p>
        </w:tc>
        <w:tc>
          <w:tcPr>
            <w:tcW w:w="1069" w:type="dxa"/>
            <w:tcBorders>
              <w:tl2br w:val="nil"/>
              <w:tr2bl w:val="nil"/>
            </w:tcBorders>
            <w:noWrap w:val="0"/>
            <w:vAlign w:val="center"/>
          </w:tcPr>
          <w:p w14:paraId="05D5933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13.58</w:t>
            </w:r>
          </w:p>
        </w:tc>
        <w:tc>
          <w:tcPr>
            <w:tcW w:w="1057" w:type="dxa"/>
            <w:tcBorders>
              <w:tl2br w:val="nil"/>
              <w:tr2bl w:val="nil"/>
            </w:tcBorders>
            <w:noWrap w:val="0"/>
            <w:vAlign w:val="center"/>
          </w:tcPr>
          <w:p w14:paraId="6A2F102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9111.58</w:t>
            </w:r>
          </w:p>
        </w:tc>
        <w:tc>
          <w:tcPr>
            <w:tcW w:w="1213" w:type="dxa"/>
            <w:tcBorders>
              <w:tl2br w:val="nil"/>
              <w:tr2bl w:val="nil"/>
            </w:tcBorders>
            <w:noWrap w:val="0"/>
            <w:vAlign w:val="center"/>
          </w:tcPr>
          <w:p w14:paraId="1EC37CC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30.70</w:t>
            </w:r>
          </w:p>
        </w:tc>
      </w:tr>
      <w:tr w14:paraId="5A4F9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5D498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经济林</w:t>
            </w:r>
          </w:p>
        </w:tc>
        <w:tc>
          <w:tcPr>
            <w:tcW w:w="1853" w:type="dxa"/>
            <w:tcBorders>
              <w:tl2br w:val="nil"/>
              <w:tr2bl w:val="nil"/>
            </w:tcBorders>
            <w:noWrap w:val="0"/>
            <w:vAlign w:val="center"/>
          </w:tcPr>
          <w:p w14:paraId="5D120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油茶、柑橘</w:t>
            </w:r>
          </w:p>
        </w:tc>
        <w:tc>
          <w:tcPr>
            <w:tcW w:w="1157" w:type="dxa"/>
            <w:tcBorders>
              <w:tl2br w:val="nil"/>
              <w:tr2bl w:val="nil"/>
            </w:tcBorders>
            <w:noWrap w:val="0"/>
            <w:vAlign w:val="center"/>
          </w:tcPr>
          <w:p w14:paraId="7742D882">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40.3430</w:t>
            </w:r>
          </w:p>
        </w:tc>
        <w:tc>
          <w:tcPr>
            <w:tcW w:w="993" w:type="dxa"/>
            <w:tcBorders>
              <w:tl2br w:val="nil"/>
              <w:tr2bl w:val="nil"/>
            </w:tcBorders>
            <w:noWrap w:val="0"/>
            <w:vAlign w:val="center"/>
          </w:tcPr>
          <w:p w14:paraId="79E71ED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3.60</w:t>
            </w:r>
          </w:p>
        </w:tc>
        <w:tc>
          <w:tcPr>
            <w:tcW w:w="1069" w:type="dxa"/>
            <w:tcBorders>
              <w:tl2br w:val="nil"/>
              <w:tr2bl w:val="nil"/>
            </w:tcBorders>
            <w:noWrap w:val="0"/>
            <w:vAlign w:val="center"/>
          </w:tcPr>
          <w:p w14:paraId="609ED65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22.66</w:t>
            </w:r>
          </w:p>
        </w:tc>
        <w:tc>
          <w:tcPr>
            <w:tcW w:w="1057" w:type="dxa"/>
            <w:tcBorders>
              <w:tl2br w:val="nil"/>
              <w:tr2bl w:val="nil"/>
            </w:tcBorders>
            <w:noWrap w:val="0"/>
            <w:vAlign w:val="center"/>
          </w:tcPr>
          <w:p w14:paraId="7148AB20">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914.17</w:t>
            </w:r>
          </w:p>
        </w:tc>
        <w:tc>
          <w:tcPr>
            <w:tcW w:w="1213" w:type="dxa"/>
            <w:tcBorders>
              <w:tl2br w:val="nil"/>
              <w:tr2bl w:val="nil"/>
            </w:tcBorders>
            <w:noWrap w:val="0"/>
            <w:vAlign w:val="center"/>
          </w:tcPr>
          <w:p w14:paraId="6F6F0856">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3.08</w:t>
            </w:r>
          </w:p>
        </w:tc>
      </w:tr>
      <w:tr w14:paraId="4F0C1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06742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针叶林</w:t>
            </w:r>
          </w:p>
        </w:tc>
        <w:tc>
          <w:tcPr>
            <w:tcW w:w="1853" w:type="dxa"/>
            <w:tcBorders>
              <w:tl2br w:val="nil"/>
              <w:tr2bl w:val="nil"/>
            </w:tcBorders>
            <w:noWrap w:val="0"/>
            <w:vAlign w:val="center"/>
          </w:tcPr>
          <w:p w14:paraId="7B212A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杉木、湿地松</w:t>
            </w:r>
          </w:p>
        </w:tc>
        <w:tc>
          <w:tcPr>
            <w:tcW w:w="1157" w:type="dxa"/>
            <w:tcBorders>
              <w:tl2br w:val="nil"/>
              <w:tr2bl w:val="nil"/>
            </w:tcBorders>
            <w:noWrap w:val="0"/>
            <w:vAlign w:val="center"/>
          </w:tcPr>
          <w:p w14:paraId="2BDA0EFE">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37.1153</w:t>
            </w:r>
          </w:p>
        </w:tc>
        <w:tc>
          <w:tcPr>
            <w:tcW w:w="993" w:type="dxa"/>
            <w:tcBorders>
              <w:tl2br w:val="nil"/>
              <w:tr2bl w:val="nil"/>
            </w:tcBorders>
            <w:noWrap w:val="0"/>
            <w:vAlign w:val="center"/>
          </w:tcPr>
          <w:p w14:paraId="57A47073">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3.31</w:t>
            </w:r>
          </w:p>
        </w:tc>
        <w:tc>
          <w:tcPr>
            <w:tcW w:w="1069" w:type="dxa"/>
            <w:tcBorders>
              <w:tl2br w:val="nil"/>
              <w:tr2bl w:val="nil"/>
            </w:tcBorders>
            <w:noWrap w:val="0"/>
            <w:vAlign w:val="center"/>
          </w:tcPr>
          <w:p w14:paraId="524CDCB9">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30.19</w:t>
            </w:r>
          </w:p>
        </w:tc>
        <w:tc>
          <w:tcPr>
            <w:tcW w:w="1057" w:type="dxa"/>
            <w:tcBorders>
              <w:tl2br w:val="nil"/>
              <w:tr2bl w:val="nil"/>
            </w:tcBorders>
            <w:noWrap w:val="0"/>
            <w:vAlign w:val="center"/>
          </w:tcPr>
          <w:p w14:paraId="244C1D7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1120.51</w:t>
            </w:r>
          </w:p>
        </w:tc>
        <w:tc>
          <w:tcPr>
            <w:tcW w:w="1213" w:type="dxa"/>
            <w:tcBorders>
              <w:tl2br w:val="nil"/>
              <w:tr2bl w:val="nil"/>
            </w:tcBorders>
            <w:noWrap w:val="0"/>
            <w:vAlign w:val="center"/>
          </w:tcPr>
          <w:p w14:paraId="776E83AC">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3.78</w:t>
            </w:r>
          </w:p>
        </w:tc>
      </w:tr>
      <w:tr w14:paraId="656D9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10E30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阔叶林</w:t>
            </w:r>
          </w:p>
        </w:tc>
        <w:tc>
          <w:tcPr>
            <w:tcW w:w="1853" w:type="dxa"/>
            <w:tcBorders>
              <w:tl2br w:val="nil"/>
              <w:tr2bl w:val="nil"/>
            </w:tcBorders>
            <w:noWrap w:val="0"/>
            <w:vAlign w:val="center"/>
          </w:tcPr>
          <w:p w14:paraId="1008B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香樟、构树</w:t>
            </w:r>
          </w:p>
        </w:tc>
        <w:tc>
          <w:tcPr>
            <w:tcW w:w="1157" w:type="dxa"/>
            <w:tcBorders>
              <w:tl2br w:val="nil"/>
              <w:tr2bl w:val="nil"/>
            </w:tcBorders>
            <w:noWrap w:val="0"/>
            <w:vAlign w:val="center"/>
          </w:tcPr>
          <w:p w14:paraId="3F4026A3">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187.2103</w:t>
            </w:r>
          </w:p>
        </w:tc>
        <w:tc>
          <w:tcPr>
            <w:tcW w:w="993" w:type="dxa"/>
            <w:tcBorders>
              <w:tl2br w:val="nil"/>
              <w:tr2bl w:val="nil"/>
            </w:tcBorders>
            <w:noWrap w:val="0"/>
            <w:vAlign w:val="center"/>
          </w:tcPr>
          <w:p w14:paraId="7B0F4F37">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16.71</w:t>
            </w:r>
          </w:p>
        </w:tc>
        <w:tc>
          <w:tcPr>
            <w:tcW w:w="1069" w:type="dxa"/>
            <w:tcBorders>
              <w:tl2br w:val="nil"/>
              <w:tr2bl w:val="nil"/>
            </w:tcBorders>
            <w:noWrap w:val="0"/>
            <w:vAlign w:val="center"/>
          </w:tcPr>
          <w:p w14:paraId="538F4609">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65.7</w:t>
            </w:r>
          </w:p>
        </w:tc>
        <w:tc>
          <w:tcPr>
            <w:tcW w:w="1057" w:type="dxa"/>
            <w:tcBorders>
              <w:tl2br w:val="nil"/>
              <w:tr2bl w:val="nil"/>
            </w:tcBorders>
            <w:noWrap w:val="0"/>
            <w:vAlign w:val="center"/>
          </w:tcPr>
          <w:p w14:paraId="63C7C89F">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12299.72</w:t>
            </w:r>
          </w:p>
        </w:tc>
        <w:tc>
          <w:tcPr>
            <w:tcW w:w="1213" w:type="dxa"/>
            <w:tcBorders>
              <w:tl2br w:val="nil"/>
              <w:tr2bl w:val="nil"/>
            </w:tcBorders>
            <w:noWrap w:val="0"/>
            <w:vAlign w:val="center"/>
          </w:tcPr>
          <w:p w14:paraId="1572D12A">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41.44</w:t>
            </w:r>
          </w:p>
        </w:tc>
      </w:tr>
      <w:tr w14:paraId="5429E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6C343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竹林</w:t>
            </w:r>
          </w:p>
        </w:tc>
        <w:tc>
          <w:tcPr>
            <w:tcW w:w="1853" w:type="dxa"/>
            <w:tcBorders>
              <w:tl2br w:val="nil"/>
              <w:tr2bl w:val="nil"/>
            </w:tcBorders>
            <w:noWrap w:val="0"/>
            <w:vAlign w:val="center"/>
          </w:tcPr>
          <w:p w14:paraId="28EB1E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毛竹、篌竹</w:t>
            </w:r>
          </w:p>
        </w:tc>
        <w:tc>
          <w:tcPr>
            <w:tcW w:w="1157" w:type="dxa"/>
            <w:tcBorders>
              <w:tl2br w:val="nil"/>
              <w:tr2bl w:val="nil"/>
            </w:tcBorders>
            <w:noWrap w:val="0"/>
            <w:vAlign w:val="center"/>
          </w:tcPr>
          <w:p w14:paraId="30111579">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81.8977</w:t>
            </w:r>
          </w:p>
        </w:tc>
        <w:tc>
          <w:tcPr>
            <w:tcW w:w="993" w:type="dxa"/>
            <w:tcBorders>
              <w:tl2br w:val="nil"/>
              <w:tr2bl w:val="nil"/>
            </w:tcBorders>
            <w:noWrap w:val="0"/>
            <w:vAlign w:val="center"/>
          </w:tcPr>
          <w:p w14:paraId="261C6DE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7.31</w:t>
            </w:r>
          </w:p>
        </w:tc>
        <w:tc>
          <w:tcPr>
            <w:tcW w:w="1069" w:type="dxa"/>
            <w:tcBorders>
              <w:tl2br w:val="nil"/>
              <w:tr2bl w:val="nil"/>
            </w:tcBorders>
            <w:noWrap w:val="0"/>
            <w:vAlign w:val="center"/>
          </w:tcPr>
          <w:p w14:paraId="65139780">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57.72</w:t>
            </w:r>
          </w:p>
        </w:tc>
        <w:tc>
          <w:tcPr>
            <w:tcW w:w="1057" w:type="dxa"/>
            <w:tcBorders>
              <w:tl2br w:val="nil"/>
              <w:tr2bl w:val="nil"/>
            </w:tcBorders>
            <w:noWrap w:val="0"/>
            <w:vAlign w:val="center"/>
          </w:tcPr>
          <w:p w14:paraId="455DE038">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4727.13</w:t>
            </w:r>
          </w:p>
        </w:tc>
        <w:tc>
          <w:tcPr>
            <w:tcW w:w="1213" w:type="dxa"/>
            <w:tcBorders>
              <w:tl2br w:val="nil"/>
              <w:tr2bl w:val="nil"/>
            </w:tcBorders>
            <w:noWrap w:val="0"/>
            <w:vAlign w:val="center"/>
          </w:tcPr>
          <w:p w14:paraId="1636084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15.93</w:t>
            </w:r>
          </w:p>
        </w:tc>
      </w:tr>
      <w:tr w14:paraId="46D78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3A51E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灌丛</w:t>
            </w:r>
          </w:p>
        </w:tc>
        <w:tc>
          <w:tcPr>
            <w:tcW w:w="1853" w:type="dxa"/>
            <w:tcBorders>
              <w:tl2br w:val="nil"/>
              <w:tr2bl w:val="nil"/>
            </w:tcBorders>
            <w:noWrap w:val="0"/>
            <w:vAlign w:val="center"/>
          </w:tcPr>
          <w:p w14:paraId="64F03F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构树、葛</w:t>
            </w:r>
          </w:p>
        </w:tc>
        <w:tc>
          <w:tcPr>
            <w:tcW w:w="1157" w:type="dxa"/>
            <w:tcBorders>
              <w:tl2br w:val="nil"/>
              <w:tr2bl w:val="nil"/>
            </w:tcBorders>
            <w:noWrap w:val="0"/>
            <w:vAlign w:val="center"/>
          </w:tcPr>
          <w:p w14:paraId="782FC401">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71.3689</w:t>
            </w:r>
          </w:p>
        </w:tc>
        <w:tc>
          <w:tcPr>
            <w:tcW w:w="993" w:type="dxa"/>
            <w:tcBorders>
              <w:tl2br w:val="nil"/>
              <w:tr2bl w:val="nil"/>
            </w:tcBorders>
            <w:noWrap w:val="0"/>
            <w:vAlign w:val="center"/>
          </w:tcPr>
          <w:p w14:paraId="7CC7E0A6">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6.37</w:t>
            </w:r>
          </w:p>
        </w:tc>
        <w:tc>
          <w:tcPr>
            <w:tcW w:w="1069" w:type="dxa"/>
            <w:tcBorders>
              <w:tl2br w:val="nil"/>
              <w:tr2bl w:val="nil"/>
            </w:tcBorders>
            <w:noWrap w:val="0"/>
            <w:vAlign w:val="center"/>
          </w:tcPr>
          <w:p w14:paraId="448FAFED">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19.75</w:t>
            </w:r>
          </w:p>
        </w:tc>
        <w:tc>
          <w:tcPr>
            <w:tcW w:w="1057" w:type="dxa"/>
            <w:tcBorders>
              <w:tl2br w:val="nil"/>
              <w:tr2bl w:val="nil"/>
            </w:tcBorders>
            <w:noWrap w:val="0"/>
            <w:vAlign w:val="center"/>
          </w:tcPr>
          <w:p w14:paraId="34D01938">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1409.53</w:t>
            </w:r>
          </w:p>
        </w:tc>
        <w:tc>
          <w:tcPr>
            <w:tcW w:w="1213" w:type="dxa"/>
            <w:tcBorders>
              <w:tl2br w:val="nil"/>
              <w:tr2bl w:val="nil"/>
            </w:tcBorders>
            <w:noWrap w:val="0"/>
            <w:vAlign w:val="center"/>
          </w:tcPr>
          <w:p w14:paraId="2A2EA4DA">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4.75</w:t>
            </w:r>
          </w:p>
        </w:tc>
      </w:tr>
      <w:tr w14:paraId="1831D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9" w:type="dxa"/>
            <w:tcBorders>
              <w:tl2br w:val="nil"/>
              <w:tr2bl w:val="nil"/>
            </w:tcBorders>
            <w:noWrap w:val="0"/>
            <w:vAlign w:val="center"/>
          </w:tcPr>
          <w:p w14:paraId="5EC2C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草丛</w:t>
            </w:r>
          </w:p>
        </w:tc>
        <w:tc>
          <w:tcPr>
            <w:tcW w:w="1853" w:type="dxa"/>
            <w:tcBorders>
              <w:tl2br w:val="nil"/>
              <w:tr2bl w:val="nil"/>
            </w:tcBorders>
            <w:noWrap w:val="0"/>
            <w:vAlign w:val="center"/>
          </w:tcPr>
          <w:p w14:paraId="6025A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芒、葛</w:t>
            </w:r>
          </w:p>
        </w:tc>
        <w:tc>
          <w:tcPr>
            <w:tcW w:w="1157" w:type="dxa"/>
            <w:tcBorders>
              <w:tl2br w:val="nil"/>
              <w:tr2bl w:val="nil"/>
            </w:tcBorders>
            <w:noWrap w:val="0"/>
            <w:vAlign w:val="center"/>
          </w:tcPr>
          <w:p w14:paraId="35848FD7">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31.4958</w:t>
            </w:r>
          </w:p>
        </w:tc>
        <w:tc>
          <w:tcPr>
            <w:tcW w:w="993" w:type="dxa"/>
            <w:tcBorders>
              <w:tl2br w:val="nil"/>
              <w:tr2bl w:val="nil"/>
            </w:tcBorders>
            <w:noWrap w:val="0"/>
            <w:vAlign w:val="center"/>
          </w:tcPr>
          <w:p w14:paraId="0A39EB7A">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2.81</w:t>
            </w:r>
          </w:p>
        </w:tc>
        <w:tc>
          <w:tcPr>
            <w:tcW w:w="1069" w:type="dxa"/>
            <w:tcBorders>
              <w:tl2br w:val="nil"/>
              <w:tr2bl w:val="nil"/>
            </w:tcBorders>
            <w:noWrap w:val="0"/>
            <w:vAlign w:val="center"/>
          </w:tcPr>
          <w:p w14:paraId="48ACE5A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3.15</w:t>
            </w:r>
          </w:p>
        </w:tc>
        <w:tc>
          <w:tcPr>
            <w:tcW w:w="1057" w:type="dxa"/>
            <w:tcBorders>
              <w:tl2br w:val="nil"/>
              <w:tr2bl w:val="nil"/>
            </w:tcBorders>
            <w:noWrap w:val="0"/>
            <w:vAlign w:val="center"/>
          </w:tcPr>
          <w:p w14:paraId="171499C6">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99.21</w:t>
            </w:r>
          </w:p>
        </w:tc>
        <w:tc>
          <w:tcPr>
            <w:tcW w:w="1213" w:type="dxa"/>
            <w:tcBorders>
              <w:tl2br w:val="nil"/>
              <w:tr2bl w:val="nil"/>
            </w:tcBorders>
            <w:noWrap w:val="0"/>
            <w:vAlign w:val="center"/>
          </w:tcPr>
          <w:p w14:paraId="4281FA27">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0.33</w:t>
            </w:r>
          </w:p>
        </w:tc>
      </w:tr>
      <w:tr w14:paraId="5E927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22" w:type="dxa"/>
            <w:gridSpan w:val="2"/>
            <w:tcBorders>
              <w:tl2br w:val="nil"/>
              <w:tr2bl w:val="nil"/>
            </w:tcBorders>
            <w:noWrap w:val="0"/>
            <w:vAlign w:val="center"/>
          </w:tcPr>
          <w:p w14:paraId="382BB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合计</w:t>
            </w:r>
          </w:p>
        </w:tc>
        <w:tc>
          <w:tcPr>
            <w:tcW w:w="1157" w:type="dxa"/>
            <w:tcBorders>
              <w:tl2br w:val="nil"/>
              <w:tr2bl w:val="nil"/>
            </w:tcBorders>
            <w:noWrap w:val="0"/>
            <w:vAlign w:val="center"/>
          </w:tcPr>
          <w:p w14:paraId="62FE8DD0">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1120.3868</w:t>
            </w:r>
          </w:p>
        </w:tc>
        <w:tc>
          <w:tcPr>
            <w:tcW w:w="993" w:type="dxa"/>
            <w:tcBorders>
              <w:tl2br w:val="nil"/>
              <w:tr2bl w:val="nil"/>
            </w:tcBorders>
            <w:noWrap w:val="0"/>
            <w:vAlign w:val="center"/>
          </w:tcPr>
          <w:p w14:paraId="1F00DE3F">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100.00</w:t>
            </w:r>
          </w:p>
        </w:tc>
        <w:tc>
          <w:tcPr>
            <w:tcW w:w="1069" w:type="dxa"/>
            <w:tcBorders>
              <w:tl2br w:val="nil"/>
              <w:tr2bl w:val="nil"/>
            </w:tcBorders>
            <w:noWrap w:val="0"/>
            <w:vAlign w:val="center"/>
          </w:tcPr>
          <w:p w14:paraId="2AEB15CB">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w:t>
            </w:r>
          </w:p>
        </w:tc>
        <w:tc>
          <w:tcPr>
            <w:tcW w:w="1057" w:type="dxa"/>
            <w:tcBorders>
              <w:tl2br w:val="nil"/>
              <w:tr2bl w:val="nil"/>
            </w:tcBorders>
            <w:noWrap w:val="0"/>
            <w:vAlign w:val="center"/>
          </w:tcPr>
          <w:p w14:paraId="6CF4BE38">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29681.86</w:t>
            </w:r>
          </w:p>
        </w:tc>
        <w:tc>
          <w:tcPr>
            <w:tcW w:w="1213" w:type="dxa"/>
            <w:tcBorders>
              <w:tl2br w:val="nil"/>
              <w:tr2bl w:val="nil"/>
            </w:tcBorders>
            <w:noWrap w:val="0"/>
            <w:vAlign w:val="center"/>
          </w:tcPr>
          <w:p w14:paraId="61D70815">
            <w:pPr>
              <w:keepNext w:val="0"/>
              <w:keepLines w:val="0"/>
              <w:widowControl w:val="0"/>
              <w:suppressLineNumbers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100.00</w:t>
            </w:r>
          </w:p>
        </w:tc>
      </w:tr>
    </w:tbl>
    <w:p w14:paraId="53FFFB8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aps w:val="0"/>
          <w:smallCaps w:val="0"/>
          <w:color w:val="auto"/>
          <w:sz w:val="21"/>
          <w:szCs w:val="18"/>
          <w:highlight w:val="none"/>
          <w:u w:val="none" w:color="auto"/>
          <w:lang w:bidi="ar"/>
        </w:rPr>
        <w:t>注：各植被类型平均生物量数据参考①《我国森林植被的生物量和净生产量》（方精云等，1996）；②《中国草地植被生物量及其空间分布格局》（朴世龙等，2004年）；③《镇域尺度农田生态系统地上生物量遥感估算及地表有机碳储量研究》（张文龙，2011年）等计算得出。</w:t>
      </w:r>
    </w:p>
    <w:p w14:paraId="43C66D40">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aps w:val="0"/>
          <w:smallCaps w:val="0"/>
          <w:snapToGrid/>
          <w:color w:val="auto"/>
          <w:spacing w:val="0"/>
          <w:kern w:val="0"/>
          <w:sz w:val="24"/>
          <w:szCs w:val="21"/>
          <w:highlight w:val="none"/>
          <w:u w:val="none" w:color="auto"/>
        </w:rPr>
        <w:t>经计算，评价区总生物量为</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3</w:t>
      </w:r>
      <w:r>
        <w:rPr>
          <w:rFonts w:hint="default" w:ascii="Times New Roman" w:hAnsi="Times New Roman" w:eastAsia="宋体" w:cs="Times New Roman"/>
          <w:caps w:val="0"/>
          <w:smallCaps w:val="0"/>
          <w:snapToGrid/>
          <w:color w:val="auto"/>
          <w:spacing w:val="0"/>
          <w:kern w:val="0"/>
          <w:sz w:val="24"/>
          <w:szCs w:val="21"/>
          <w:highlight w:val="none"/>
          <w:u w:val="none" w:color="auto"/>
        </w:rPr>
        <w:t>×10</w:t>
      </w:r>
      <w:r>
        <w:rPr>
          <w:rFonts w:hint="default" w:ascii="Times New Roman" w:hAnsi="Times New Roman" w:eastAsia="宋体" w:cs="Times New Roman"/>
          <w:caps w:val="0"/>
          <w:smallCaps w:val="0"/>
          <w:snapToGrid/>
          <w:color w:val="auto"/>
          <w:spacing w:val="0"/>
          <w:kern w:val="0"/>
          <w:sz w:val="24"/>
          <w:szCs w:val="21"/>
          <w:highlight w:val="none"/>
          <w:u w:val="none" w:color="auto"/>
          <w:vertAlign w:val="superscript"/>
          <w:lang w:val="en-US" w:eastAsia="zh-CN"/>
        </w:rPr>
        <w:t>4</w:t>
      </w:r>
      <w:r>
        <w:rPr>
          <w:rFonts w:hint="default" w:ascii="Times New Roman" w:hAnsi="Times New Roman" w:eastAsia="宋体" w:cs="Times New Roman"/>
          <w:caps w:val="0"/>
          <w:smallCaps w:val="0"/>
          <w:snapToGrid/>
          <w:color w:val="auto"/>
          <w:spacing w:val="0"/>
          <w:kern w:val="0"/>
          <w:sz w:val="24"/>
          <w:szCs w:val="21"/>
          <w:highlight w:val="none"/>
          <w:u w:val="none" w:color="auto"/>
        </w:rPr>
        <w:t>t，</w:t>
      </w:r>
      <w:r>
        <w:rPr>
          <w:rFonts w:hint="default" w:ascii="Times New Roman" w:hAnsi="Times New Roman" w:eastAsia="宋体" w:cs="Times New Roman"/>
          <w:bCs/>
          <w:caps w:val="0"/>
          <w:smallCaps w:val="0"/>
          <w:snapToGrid/>
          <w:color w:val="auto"/>
          <w:spacing w:val="0"/>
          <w:kern w:val="0"/>
          <w:sz w:val="24"/>
          <w:szCs w:val="24"/>
          <w:highlight w:val="none"/>
          <w:u w:val="none" w:color="auto"/>
        </w:rPr>
        <w:t>以</w:t>
      </w:r>
      <w:r>
        <w:rPr>
          <w:rFonts w:hint="default" w:ascii="Times New Roman" w:hAnsi="Times New Roman" w:eastAsia="宋体" w:cs="Times New Roman"/>
          <w:bCs/>
          <w:caps w:val="0"/>
          <w:smallCaps w:val="0"/>
          <w:snapToGrid/>
          <w:color w:val="auto"/>
          <w:spacing w:val="0"/>
          <w:kern w:val="0"/>
          <w:sz w:val="24"/>
          <w:szCs w:val="24"/>
          <w:highlight w:val="none"/>
          <w:u w:val="none" w:color="auto"/>
          <w:lang w:val="en-US" w:eastAsia="zh-CN"/>
        </w:rPr>
        <w:t>阔叶林</w:t>
      </w:r>
      <w:r>
        <w:rPr>
          <w:rFonts w:hint="default" w:ascii="Times New Roman" w:hAnsi="Times New Roman" w:eastAsia="宋体" w:cs="Times New Roman"/>
          <w:bCs/>
          <w:caps w:val="0"/>
          <w:smallCaps w:val="0"/>
          <w:snapToGrid/>
          <w:color w:val="auto"/>
          <w:spacing w:val="0"/>
          <w:kern w:val="0"/>
          <w:sz w:val="24"/>
          <w:szCs w:val="24"/>
          <w:highlight w:val="none"/>
          <w:u w:val="none" w:color="auto"/>
        </w:rPr>
        <w:t>为主，其他植被类型生物量占的比例较小</w:t>
      </w:r>
      <w:r>
        <w:rPr>
          <w:rFonts w:hint="default" w:ascii="Times New Roman" w:hAnsi="Times New Roman" w:eastAsia="宋体" w:cs="Times New Roman"/>
          <w:caps w:val="0"/>
          <w:smallCaps w:val="0"/>
          <w:snapToGrid/>
          <w:color w:val="auto"/>
          <w:spacing w:val="0"/>
          <w:kern w:val="0"/>
          <w:sz w:val="24"/>
          <w:szCs w:val="24"/>
          <w:highlight w:val="none"/>
          <w:u w:val="none" w:color="auto"/>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从生物量数值看，</w:t>
      </w:r>
      <w:r>
        <w:rPr>
          <w:rFonts w:hint="eastAsia" w:ascii="Times New Roman" w:hAnsi="Times New Roman" w:eastAsia="宋体" w:cs="Times New Roman"/>
          <w:caps w:val="0"/>
          <w:smallCaps w:val="0"/>
          <w:snapToGrid/>
          <w:color w:val="auto"/>
          <w:spacing w:val="0"/>
          <w:kern w:val="0"/>
          <w:sz w:val="24"/>
          <w:szCs w:val="21"/>
          <w:highlight w:val="none"/>
          <w:u w:val="none" w:color="auto"/>
          <w:lang w:eastAsia="zh-CN"/>
        </w:rPr>
        <w:t>阔</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叶林</w:t>
      </w:r>
      <w:r>
        <w:rPr>
          <w:rFonts w:hint="default" w:ascii="Times New Roman" w:hAnsi="Times New Roman" w:eastAsia="宋体" w:cs="Times New Roman"/>
          <w:caps w:val="0"/>
          <w:smallCaps w:val="0"/>
          <w:snapToGrid/>
          <w:color w:val="auto"/>
          <w:spacing w:val="0"/>
          <w:kern w:val="0"/>
          <w:sz w:val="24"/>
          <w:szCs w:val="21"/>
          <w:highlight w:val="none"/>
          <w:u w:val="none" w:color="auto"/>
        </w:rPr>
        <w:t>为评价区的主要</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自然植被</w:t>
      </w:r>
      <w:r>
        <w:rPr>
          <w:rFonts w:hint="default" w:ascii="Times New Roman" w:hAnsi="Times New Roman" w:eastAsia="宋体" w:cs="Times New Roman"/>
          <w:caps w:val="0"/>
          <w:smallCaps w:val="0"/>
          <w:snapToGrid/>
          <w:color w:val="auto"/>
          <w:spacing w:val="0"/>
          <w:kern w:val="0"/>
          <w:sz w:val="24"/>
          <w:szCs w:val="21"/>
          <w:highlight w:val="none"/>
          <w:u w:val="none" w:color="auto"/>
        </w:rPr>
        <w:t>类型，对生态系统的稳定和变化起到很重要的作用。</w:t>
      </w:r>
    </w:p>
    <w:p w14:paraId="451CB229">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生产力现状</w:t>
      </w:r>
    </w:p>
    <w:p w14:paraId="579483A5">
      <w:pPr>
        <w:tabs>
          <w:tab w:val="left" w:pos="1021"/>
        </w:tabs>
        <w:spacing w:line="336" w:lineRule="auto"/>
        <w:ind w:firstLine="480" w:firstLineChars="200"/>
        <w:rPr>
          <w:rFonts w:hint="default" w:ascii="Times New Roman" w:hAnsi="Times New Roman" w:eastAsia="宋体" w:cs="Times New Roman"/>
          <w:color w:val="auto"/>
          <w:sz w:val="24"/>
          <w:szCs w:val="20"/>
          <w:u w:val="none" w:color="auto"/>
        </w:rPr>
      </w:pPr>
      <w:r>
        <w:rPr>
          <w:rFonts w:hint="default" w:ascii="Times New Roman" w:hAnsi="Times New Roman" w:eastAsia="宋体" w:cs="Times New Roman"/>
          <w:color w:val="auto"/>
          <w:sz w:val="24"/>
          <w:szCs w:val="20"/>
          <w:u w:val="none" w:color="auto"/>
        </w:rPr>
        <w:t>本次采用导则推荐模型—Miami模型估算评价区土地本底自然生产力：</w:t>
      </w:r>
    </w:p>
    <w:p w14:paraId="76DDE173">
      <w:pPr>
        <w:tabs>
          <w:tab w:val="left" w:pos="1021"/>
        </w:tabs>
        <w:spacing w:line="336" w:lineRule="auto"/>
        <w:ind w:firstLine="0" w:firstLineChars="0"/>
        <w:jc w:val="center"/>
        <w:rPr>
          <w:rFonts w:hint="default" w:ascii="Times New Roman" w:hAnsi="Times New Roman" w:eastAsia="宋体" w:cs="Times New Roman"/>
          <w:color w:val="auto"/>
          <w:sz w:val="24"/>
          <w:szCs w:val="20"/>
          <w:u w:val="none" w:color="auto"/>
        </w:rPr>
      </w:pPr>
      <w:r>
        <w:rPr>
          <w:rFonts w:hint="default" w:ascii="Times New Roman" w:hAnsi="Times New Roman" w:eastAsia="宋体" w:cs="Times New Roman"/>
          <w:color w:val="auto"/>
          <w:sz w:val="24"/>
          <w:szCs w:val="20"/>
          <w:u w:val="none" w:color="auto"/>
        </w:rPr>
        <w:drawing>
          <wp:inline distT="0" distB="0" distL="114300" distR="114300">
            <wp:extent cx="1914525" cy="562610"/>
            <wp:effectExtent l="0" t="0" r="0" b="8890"/>
            <wp:docPr id="9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0"/>
                    <pic:cNvPicPr>
                      <a:picLocks noChangeAspect="1"/>
                    </pic:cNvPicPr>
                  </pic:nvPicPr>
                  <pic:blipFill>
                    <a:blip r:embed="rId51"/>
                    <a:stretch>
                      <a:fillRect/>
                    </a:stretch>
                  </pic:blipFill>
                  <pic:spPr>
                    <a:xfrm>
                      <a:off x="0" y="0"/>
                      <a:ext cx="1914525" cy="562610"/>
                    </a:xfrm>
                    <a:prstGeom prst="rect">
                      <a:avLst/>
                    </a:prstGeom>
                    <a:noFill/>
                    <a:ln>
                      <a:noFill/>
                    </a:ln>
                  </pic:spPr>
                </pic:pic>
              </a:graphicData>
            </a:graphic>
          </wp:inline>
        </w:drawing>
      </w:r>
    </w:p>
    <w:p w14:paraId="609AE1DB">
      <w:pPr>
        <w:spacing w:line="336" w:lineRule="auto"/>
        <w:ind w:firstLine="480" w:firstLineChars="200"/>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sz w:val="24"/>
          <w:szCs w:val="21"/>
          <w:u w:val="none" w:color="auto"/>
        </w:rPr>
        <w:t>NPPt—根据多年平均温度(t，℃)估算的热量生产力(g/m</w:t>
      </w:r>
      <w:r>
        <w:rPr>
          <w:rFonts w:hint="default" w:ascii="Times New Roman" w:hAnsi="Times New Roman" w:eastAsia="宋体" w:cs="Times New Roman"/>
          <w:color w:val="auto"/>
          <w:sz w:val="24"/>
          <w:szCs w:val="21"/>
          <w:u w:val="none" w:color="auto"/>
          <w:vertAlign w:val="superscript"/>
        </w:rPr>
        <w:t>2</w:t>
      </w:r>
      <w:r>
        <w:rPr>
          <w:rFonts w:hint="default" w:ascii="Times New Roman" w:hAnsi="Times New Roman" w:eastAsia="宋体" w:cs="Times New Roman"/>
          <w:color w:val="auto"/>
          <w:sz w:val="24"/>
          <w:szCs w:val="21"/>
          <w:u w:val="none" w:color="auto"/>
        </w:rPr>
        <w:t>.a)；</w:t>
      </w:r>
    </w:p>
    <w:p w14:paraId="4AC1C933">
      <w:pPr>
        <w:tabs>
          <w:tab w:val="left" w:pos="1021"/>
        </w:tabs>
        <w:spacing w:line="336" w:lineRule="auto"/>
        <w:ind w:firstLine="480" w:firstLineChars="200"/>
        <w:rPr>
          <w:rFonts w:hint="default" w:ascii="Times New Roman" w:hAnsi="Times New Roman" w:eastAsia="宋体" w:cs="Times New Roman"/>
          <w:color w:val="auto"/>
          <w:sz w:val="24"/>
          <w:szCs w:val="20"/>
          <w:u w:val="none" w:color="auto"/>
        </w:rPr>
      </w:pPr>
      <w:r>
        <w:rPr>
          <w:rFonts w:hint="default" w:ascii="Times New Roman" w:hAnsi="Times New Roman" w:eastAsia="宋体" w:cs="Times New Roman"/>
          <w:color w:val="auto"/>
          <w:sz w:val="24"/>
          <w:szCs w:val="20"/>
          <w:u w:val="none" w:color="auto"/>
        </w:rPr>
        <w:t>NPPr—根据多年平均降水量(p，mm)估算的水分生产力(g/m</w:t>
      </w:r>
      <w:r>
        <w:rPr>
          <w:rFonts w:hint="default" w:ascii="Times New Roman" w:hAnsi="Times New Roman" w:eastAsia="宋体" w:cs="Times New Roman"/>
          <w:color w:val="auto"/>
          <w:sz w:val="24"/>
          <w:szCs w:val="20"/>
          <w:u w:val="none" w:color="auto"/>
          <w:vertAlign w:val="superscript"/>
        </w:rPr>
        <w:t>2</w:t>
      </w:r>
      <w:r>
        <w:rPr>
          <w:rFonts w:hint="default" w:ascii="Times New Roman" w:hAnsi="Times New Roman" w:eastAsia="宋体" w:cs="Times New Roman"/>
          <w:color w:val="auto"/>
          <w:sz w:val="24"/>
          <w:szCs w:val="20"/>
          <w:u w:val="none" w:color="auto"/>
        </w:rPr>
        <w:t>.a)。</w:t>
      </w:r>
    </w:p>
    <w:p w14:paraId="3B318DD5">
      <w:pPr>
        <w:spacing w:line="336" w:lineRule="auto"/>
        <w:ind w:firstLine="480" w:firstLineChars="200"/>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sz w:val="24"/>
          <w:szCs w:val="21"/>
          <w:u w:val="none" w:color="auto"/>
        </w:rPr>
        <w:t>根据资料显示，评价区多</w:t>
      </w:r>
      <w:r>
        <w:rPr>
          <w:rFonts w:hint="default" w:ascii="Times New Roman" w:hAnsi="Times New Roman" w:eastAsia="宋体" w:cs="Times New Roman"/>
          <w:color w:val="auto"/>
          <w:sz w:val="24"/>
          <w:szCs w:val="21"/>
          <w:highlight w:val="none"/>
          <w:u w:val="none" w:color="auto"/>
        </w:rPr>
        <w:t>年平均温度</w:t>
      </w:r>
      <w:r>
        <w:rPr>
          <w:rFonts w:hint="default" w:ascii="Times New Roman" w:hAnsi="Times New Roman" w:eastAsia="宋体" w:cs="Times New Roman"/>
          <w:color w:val="auto"/>
          <w:sz w:val="24"/>
          <w:szCs w:val="21"/>
          <w:highlight w:val="none"/>
          <w:u w:val="none" w:color="auto"/>
          <w:lang w:val="en-US" w:eastAsia="zh-CN"/>
        </w:rPr>
        <w:t>16.7~17.4</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1"/>
          <w:highlight w:val="none"/>
          <w:u w:val="none" w:color="auto"/>
        </w:rPr>
        <w:t>；多年平均降水量</w:t>
      </w:r>
      <w:r>
        <w:rPr>
          <w:rFonts w:hint="default" w:ascii="Times New Roman" w:hAnsi="Times New Roman" w:eastAsia="宋体" w:cs="Times New Roman"/>
          <w:color w:val="auto"/>
          <w:sz w:val="24"/>
          <w:szCs w:val="21"/>
          <w:highlight w:val="none"/>
          <w:u w:val="none" w:color="auto"/>
          <w:lang w:val="en-US" w:eastAsia="zh-CN"/>
        </w:rPr>
        <w:t>1262.3</w:t>
      </w:r>
      <w:r>
        <w:rPr>
          <w:rFonts w:hint="default" w:ascii="Times New Roman" w:hAnsi="Times New Roman" w:eastAsia="宋体" w:cs="Times New Roman"/>
          <w:color w:val="auto"/>
          <w:sz w:val="24"/>
          <w:szCs w:val="24"/>
          <w:highlight w:val="none"/>
          <w:u w:val="none" w:color="auto"/>
        </w:rPr>
        <w:t>mm</w:t>
      </w:r>
      <w:r>
        <w:rPr>
          <w:rFonts w:hint="default" w:ascii="Times New Roman" w:hAnsi="Times New Roman" w:eastAsia="宋体" w:cs="Times New Roman"/>
          <w:color w:val="auto"/>
          <w:sz w:val="24"/>
          <w:szCs w:val="21"/>
          <w:highlight w:val="none"/>
          <w:u w:val="none" w:color="auto"/>
        </w:rPr>
        <w:t>。</w:t>
      </w:r>
    </w:p>
    <w:p w14:paraId="13E8592D">
      <w:pPr>
        <w:tabs>
          <w:tab w:val="left" w:pos="1021"/>
        </w:tabs>
        <w:spacing w:line="336" w:lineRule="auto"/>
        <w:ind w:firstLine="480" w:firstLineChars="200"/>
        <w:rPr>
          <w:rFonts w:hint="default" w:ascii="Times New Roman" w:hAnsi="Times New Roman" w:eastAsia="宋体" w:cs="Times New Roman"/>
          <w:color w:val="auto"/>
          <w:sz w:val="24"/>
          <w:szCs w:val="20"/>
          <w:u w:val="none" w:color="auto"/>
        </w:rPr>
      </w:pPr>
      <w:r>
        <w:rPr>
          <w:rFonts w:hint="default" w:ascii="Times New Roman" w:hAnsi="Times New Roman" w:eastAsia="宋体" w:cs="Times New Roman"/>
          <w:color w:val="auto"/>
          <w:sz w:val="24"/>
          <w:szCs w:val="20"/>
          <w:u w:val="none" w:color="auto"/>
        </w:rPr>
        <w:t>计算得到NPPt=</w:t>
      </w:r>
      <w:r>
        <w:rPr>
          <w:rFonts w:hint="default" w:ascii="Times New Roman" w:hAnsi="Times New Roman" w:eastAsia="宋体" w:cs="Times New Roman"/>
          <w:color w:val="auto"/>
          <w:sz w:val="24"/>
          <w:szCs w:val="20"/>
          <w:u w:val="none" w:color="auto"/>
          <w:lang w:val="en-US" w:eastAsia="zh-CN"/>
        </w:rPr>
        <w:t>1986.05~2041.19</w:t>
      </w:r>
      <w:r>
        <w:rPr>
          <w:rFonts w:hint="default" w:ascii="Times New Roman" w:hAnsi="Times New Roman" w:eastAsia="宋体" w:cs="Times New Roman"/>
          <w:color w:val="auto"/>
          <w:sz w:val="24"/>
          <w:szCs w:val="20"/>
          <w:u w:val="none" w:color="auto"/>
        </w:rPr>
        <w:t>g/m</w:t>
      </w:r>
      <w:r>
        <w:rPr>
          <w:rFonts w:hint="default" w:ascii="Times New Roman" w:hAnsi="Times New Roman" w:eastAsia="宋体" w:cs="Times New Roman"/>
          <w:color w:val="auto"/>
          <w:sz w:val="24"/>
          <w:szCs w:val="20"/>
          <w:u w:val="none" w:color="auto"/>
          <w:vertAlign w:val="superscript"/>
        </w:rPr>
        <w:t>2</w:t>
      </w:r>
      <w:r>
        <w:rPr>
          <w:rFonts w:hint="default" w:ascii="Times New Roman" w:hAnsi="Times New Roman" w:eastAsia="宋体" w:cs="Times New Roman"/>
          <w:color w:val="auto"/>
          <w:sz w:val="24"/>
          <w:szCs w:val="20"/>
          <w:u w:val="none" w:color="auto"/>
        </w:rPr>
        <w:t>.a；NPPr=</w:t>
      </w:r>
      <w:r>
        <w:rPr>
          <w:rFonts w:hint="default" w:ascii="Times New Roman" w:hAnsi="Times New Roman" w:eastAsia="宋体" w:cs="Times New Roman"/>
          <w:color w:val="auto"/>
          <w:sz w:val="24"/>
          <w:szCs w:val="20"/>
          <w:u w:val="none" w:color="auto"/>
          <w:lang w:val="en-US" w:eastAsia="zh-CN"/>
        </w:rPr>
        <w:t>1702.49</w:t>
      </w:r>
      <w:r>
        <w:rPr>
          <w:rFonts w:hint="default" w:ascii="Times New Roman" w:hAnsi="Times New Roman" w:eastAsia="宋体" w:cs="Times New Roman"/>
          <w:color w:val="auto"/>
          <w:sz w:val="24"/>
          <w:szCs w:val="20"/>
          <w:u w:val="none" w:color="auto"/>
        </w:rPr>
        <w:t>g/m</w:t>
      </w:r>
      <w:r>
        <w:rPr>
          <w:rFonts w:hint="default" w:ascii="Times New Roman" w:hAnsi="Times New Roman" w:eastAsia="宋体" w:cs="Times New Roman"/>
          <w:color w:val="auto"/>
          <w:sz w:val="24"/>
          <w:szCs w:val="20"/>
          <w:u w:val="none" w:color="auto"/>
          <w:vertAlign w:val="superscript"/>
        </w:rPr>
        <w:t>2</w:t>
      </w:r>
      <w:r>
        <w:rPr>
          <w:rFonts w:hint="default" w:ascii="Times New Roman" w:hAnsi="Times New Roman" w:eastAsia="宋体" w:cs="Times New Roman"/>
          <w:color w:val="auto"/>
          <w:sz w:val="24"/>
          <w:szCs w:val="20"/>
          <w:u w:val="none" w:color="auto"/>
        </w:rPr>
        <w:t>.a。</w:t>
      </w:r>
    </w:p>
    <w:p w14:paraId="092925E0">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olor w:val="auto"/>
          <w:sz w:val="24"/>
          <w:szCs w:val="21"/>
          <w:u w:val="none" w:color="auto"/>
        </w:rPr>
        <w:t>根据Liebig最小因子定律，选择由温度和降水所计算出的自然植被NPP中的较低者</w:t>
      </w:r>
      <w:r>
        <w:rPr>
          <w:rFonts w:hint="default" w:ascii="Times New Roman" w:hAnsi="Times New Roman" w:eastAsia="宋体" w:cs="Times New Roman"/>
          <w:color w:val="auto"/>
          <w:sz w:val="24"/>
          <w:szCs w:val="21"/>
          <w:u w:val="none" w:color="auto"/>
          <w:lang w:eastAsia="zh-CN"/>
        </w:rPr>
        <w:t>为</w:t>
      </w:r>
      <w:r>
        <w:rPr>
          <w:rFonts w:hint="default" w:ascii="Times New Roman" w:hAnsi="Times New Roman" w:eastAsia="宋体" w:cs="Times New Roman"/>
          <w:color w:val="auto"/>
          <w:sz w:val="24"/>
          <w:szCs w:val="21"/>
          <w:u w:val="none" w:color="auto"/>
        </w:rPr>
        <w:t>某地的自然植被的NPP。则评价区</w:t>
      </w:r>
      <w:r>
        <w:rPr>
          <w:rFonts w:hint="default" w:ascii="Times New Roman" w:hAnsi="Times New Roman" w:eastAsia="宋体" w:cs="Times New Roman"/>
          <w:color w:val="auto"/>
          <w:sz w:val="24"/>
          <w:szCs w:val="21"/>
          <w:u w:val="none" w:color="auto"/>
          <w:lang w:eastAsia="zh-CN"/>
        </w:rPr>
        <w:t>本地</w:t>
      </w:r>
      <w:r>
        <w:rPr>
          <w:rFonts w:hint="default" w:ascii="Times New Roman" w:hAnsi="Times New Roman" w:eastAsia="宋体" w:cs="Times New Roman"/>
          <w:color w:val="auto"/>
          <w:sz w:val="24"/>
          <w:szCs w:val="21"/>
          <w:u w:val="none" w:color="auto"/>
        </w:rPr>
        <w:t>自然生产力为</w:t>
      </w:r>
      <w:r>
        <w:rPr>
          <w:rFonts w:hint="default" w:ascii="Times New Roman" w:hAnsi="Times New Roman" w:eastAsia="宋体" w:cs="Times New Roman"/>
          <w:color w:val="auto"/>
          <w:sz w:val="24"/>
          <w:szCs w:val="21"/>
          <w:u w:val="none" w:color="auto"/>
          <w:lang w:val="en-US" w:eastAsia="zh-CN"/>
        </w:rPr>
        <w:t>1702.49</w:t>
      </w:r>
      <w:r>
        <w:rPr>
          <w:rFonts w:hint="default" w:ascii="Times New Roman" w:hAnsi="Times New Roman" w:eastAsia="宋体" w:cs="Times New Roman"/>
          <w:color w:val="auto"/>
          <w:sz w:val="24"/>
          <w:szCs w:val="21"/>
          <w:u w:val="none" w:color="auto"/>
        </w:rPr>
        <w:t>g/m</w:t>
      </w:r>
      <w:r>
        <w:rPr>
          <w:rFonts w:hint="default" w:ascii="Times New Roman" w:hAnsi="Times New Roman" w:eastAsia="宋体" w:cs="Times New Roman"/>
          <w:color w:val="auto"/>
          <w:sz w:val="24"/>
          <w:szCs w:val="21"/>
          <w:u w:val="none" w:color="auto"/>
          <w:vertAlign w:val="superscript"/>
        </w:rPr>
        <w:t>2</w:t>
      </w:r>
      <w:r>
        <w:rPr>
          <w:rFonts w:hint="default" w:ascii="Times New Roman" w:hAnsi="Times New Roman" w:eastAsia="宋体" w:cs="Times New Roman"/>
          <w:color w:val="auto"/>
          <w:sz w:val="24"/>
          <w:szCs w:val="21"/>
          <w:u w:val="none" w:color="auto"/>
        </w:rPr>
        <w:t>.a。</w:t>
      </w:r>
    </w:p>
    <w:p w14:paraId="4AC5AEC3">
      <w:pPr>
        <w:pStyle w:val="4"/>
        <w:bidi w:val="0"/>
        <w:rPr>
          <w:rFonts w:hint="default" w:ascii="Times New Roman" w:hAnsi="Times New Roman" w:cs="Times New Roman"/>
          <w:color w:val="auto"/>
          <w:u w:val="none" w:color="auto"/>
          <w:lang w:val="en-US" w:eastAsia="zh-CN"/>
        </w:rPr>
      </w:pPr>
      <w:bookmarkStart w:id="220" w:name="_Toc30432"/>
      <w:bookmarkStart w:id="221" w:name="_Toc5912"/>
      <w:bookmarkStart w:id="222" w:name="_Toc28545"/>
      <w:bookmarkStart w:id="223" w:name="_Toc14271"/>
      <w:bookmarkStart w:id="224" w:name="_Toc7226"/>
      <w:bookmarkStart w:id="225" w:name="_Toc6229"/>
      <w:r>
        <w:rPr>
          <w:rFonts w:hint="default" w:ascii="Times New Roman" w:hAnsi="Times New Roman" w:cs="Times New Roman"/>
          <w:color w:val="auto"/>
          <w:u w:val="none" w:color="auto"/>
          <w:lang w:val="en-US" w:eastAsia="zh-CN"/>
        </w:rPr>
        <w:t>陆生</w:t>
      </w:r>
      <w:bookmarkEnd w:id="220"/>
      <w:bookmarkEnd w:id="221"/>
      <w:bookmarkEnd w:id="222"/>
      <w:bookmarkEnd w:id="223"/>
      <w:r>
        <w:rPr>
          <w:rFonts w:hint="default" w:ascii="Times New Roman" w:hAnsi="Times New Roman" w:cs="Times New Roman"/>
          <w:color w:val="auto"/>
          <w:u w:val="none" w:color="auto"/>
          <w:lang w:val="en-US" w:eastAsia="zh-CN"/>
        </w:rPr>
        <w:t>植物现状</w:t>
      </w:r>
      <w:bookmarkEnd w:id="224"/>
      <w:bookmarkEnd w:id="225"/>
    </w:p>
    <w:p w14:paraId="795CC52E">
      <w:pPr>
        <w:pStyle w:val="5"/>
        <w:bidi w:val="0"/>
        <w:rPr>
          <w:rFonts w:hint="default" w:ascii="Times New Roman" w:hAnsi="Times New Roman" w:cs="Times New Roman"/>
          <w:color w:val="auto"/>
          <w:u w:val="none" w:color="auto"/>
          <w:lang w:val="en-US" w:eastAsia="zh-CN"/>
        </w:rPr>
      </w:pPr>
      <w:bookmarkStart w:id="226" w:name="_Toc17565"/>
      <w:bookmarkStart w:id="227" w:name="_Toc9891"/>
      <w:bookmarkStart w:id="228" w:name="_Toc23860"/>
      <w:bookmarkStart w:id="229" w:name="_Toc30755"/>
      <w:r>
        <w:rPr>
          <w:rFonts w:hint="default" w:ascii="Times New Roman" w:hAnsi="Times New Roman" w:cs="Times New Roman"/>
          <w:color w:val="auto"/>
          <w:u w:val="none" w:color="auto"/>
          <w:lang w:val="en-US" w:eastAsia="zh-CN"/>
        </w:rPr>
        <w:t>植物区系</w:t>
      </w:r>
      <w:bookmarkEnd w:id="226"/>
      <w:bookmarkEnd w:id="227"/>
      <w:bookmarkEnd w:id="228"/>
      <w:bookmarkEnd w:id="229"/>
    </w:p>
    <w:p w14:paraId="13066551">
      <w:pPr>
        <w:spacing w:line="360" w:lineRule="auto"/>
        <w:ind w:firstLine="480" w:firstLineChars="200"/>
        <w:rPr>
          <w:rFonts w:hint="default" w:ascii="Times New Roman" w:hAnsi="Times New Roman" w:eastAsia="宋体" w:cs="Times New Roman"/>
          <w:caps w:val="0"/>
          <w:smallCaps w:val="0"/>
          <w:color w:val="auto"/>
          <w:sz w:val="24"/>
          <w:szCs w:val="24"/>
          <w:highlight w:val="none"/>
          <w:u w:val="none" w:color="auto"/>
          <w:lang w:eastAsia="zh-CN"/>
        </w:rPr>
      </w:pPr>
      <w:r>
        <w:rPr>
          <w:rFonts w:hint="default" w:ascii="Times New Roman" w:hAnsi="Times New Roman" w:eastAsia="宋体" w:cs="Times New Roman"/>
          <w:caps w:val="0"/>
          <w:smallCaps w:val="0"/>
          <w:color w:val="auto"/>
          <w:sz w:val="24"/>
          <w:szCs w:val="24"/>
          <w:highlight w:val="none"/>
          <w:u w:val="none" w:color="auto"/>
        </w:rPr>
        <w:t>根据《中国种子植物区系地理》</w:t>
      </w:r>
      <w:r>
        <w:rPr>
          <w:rFonts w:hint="default" w:ascii="Times New Roman" w:hAnsi="Times New Roman" w:eastAsia="宋体" w:cs="Times New Roman"/>
          <w:caps w:val="0"/>
          <w:smallCaps w:val="0"/>
          <w:color w:val="auto"/>
          <w:sz w:val="24"/>
          <w:szCs w:val="24"/>
          <w:highlight w:val="none"/>
          <w:u w:val="none" w:color="auto"/>
          <w:lang w:eastAsia="zh-CN"/>
        </w:rPr>
        <w:t>（</w:t>
      </w:r>
      <w:r>
        <w:rPr>
          <w:rFonts w:hint="default" w:ascii="Times New Roman" w:hAnsi="Times New Roman" w:eastAsia="宋体" w:cs="Times New Roman"/>
          <w:caps w:val="0"/>
          <w:smallCaps w:val="0"/>
          <w:color w:val="auto"/>
          <w:sz w:val="24"/>
          <w:szCs w:val="24"/>
          <w:highlight w:val="none"/>
          <w:u w:val="none" w:color="auto"/>
        </w:rPr>
        <w:t>吴征镒等，2011</w:t>
      </w:r>
      <w:r>
        <w:rPr>
          <w:rFonts w:hint="default" w:ascii="Times New Roman" w:hAnsi="Times New Roman" w:eastAsia="宋体" w:cs="Times New Roman"/>
          <w:caps w:val="0"/>
          <w:smallCaps w:val="0"/>
          <w:color w:val="auto"/>
          <w:sz w:val="24"/>
          <w:szCs w:val="24"/>
          <w:highlight w:val="none"/>
          <w:u w:val="none" w:color="auto"/>
          <w:lang w:eastAsia="zh-CN"/>
        </w:rPr>
        <w:t>）</w:t>
      </w:r>
      <w:r>
        <w:rPr>
          <w:rFonts w:hint="default" w:ascii="Times New Roman" w:hAnsi="Times New Roman" w:eastAsia="宋体" w:cs="Times New Roman"/>
          <w:caps w:val="0"/>
          <w:smallCaps w:val="0"/>
          <w:color w:val="auto"/>
          <w:sz w:val="24"/>
          <w:szCs w:val="24"/>
          <w:highlight w:val="none"/>
          <w:u w:val="none" w:color="auto"/>
        </w:rPr>
        <w:t>的中国植物区系分区系统进行划分，评价区植物区系属东亚植物区——中国、日本森林植物亚区——</w:t>
      </w:r>
      <w:r>
        <w:rPr>
          <w:rFonts w:hint="default" w:ascii="Times New Roman" w:hAnsi="Times New Roman" w:eastAsia="宋体" w:cs="Times New Roman"/>
          <w:caps w:val="0"/>
          <w:smallCaps w:val="0"/>
          <w:color w:val="auto"/>
          <w:sz w:val="24"/>
          <w:szCs w:val="24"/>
          <w:highlight w:val="none"/>
          <w:u w:val="none" w:color="auto"/>
          <w:lang w:eastAsia="zh-CN"/>
        </w:rPr>
        <w:t>华中地区——川、鄂、湘亚地区</w:t>
      </w:r>
      <w:r>
        <w:rPr>
          <w:rFonts w:hint="default" w:ascii="Times New Roman" w:hAnsi="Times New Roman" w:eastAsia="宋体" w:cs="Times New Roman"/>
          <w:caps w:val="0"/>
          <w:smallCaps w:val="0"/>
          <w:color w:val="auto"/>
          <w:sz w:val="24"/>
          <w:szCs w:val="24"/>
          <w:highlight w:val="none"/>
          <w:u w:val="none" w:color="auto"/>
        </w:rPr>
        <w:t>。</w:t>
      </w:r>
    </w:p>
    <w:p w14:paraId="3A0B2D0F">
      <w:pPr>
        <w:pStyle w:val="5"/>
        <w:bidi w:val="0"/>
        <w:rPr>
          <w:rFonts w:hint="default" w:ascii="Times New Roman" w:hAnsi="Times New Roman" w:cs="Times New Roman"/>
          <w:color w:val="auto"/>
          <w:u w:val="none" w:color="auto"/>
          <w:lang w:val="en-US" w:eastAsia="zh-CN"/>
        </w:rPr>
      </w:pPr>
      <w:bookmarkStart w:id="230" w:name="_Toc25901"/>
      <w:bookmarkStart w:id="231" w:name="_Toc9169"/>
      <w:bookmarkStart w:id="232" w:name="_Toc26749"/>
      <w:bookmarkStart w:id="233" w:name="_Toc21917"/>
      <w:r>
        <w:rPr>
          <w:rFonts w:hint="default" w:ascii="Times New Roman" w:hAnsi="Times New Roman" w:cs="Times New Roman"/>
          <w:color w:val="auto"/>
          <w:u w:val="none" w:color="auto"/>
          <w:lang w:val="en-US" w:eastAsia="zh-CN"/>
        </w:rPr>
        <w:t>植被</w:t>
      </w:r>
      <w:bookmarkEnd w:id="230"/>
      <w:bookmarkEnd w:id="231"/>
      <w:bookmarkEnd w:id="232"/>
      <w:bookmarkEnd w:id="233"/>
      <w:r>
        <w:rPr>
          <w:rFonts w:hint="default" w:ascii="Times New Roman" w:hAnsi="Times New Roman" w:cs="Times New Roman"/>
          <w:color w:val="auto"/>
          <w:u w:val="none" w:color="auto"/>
          <w:lang w:val="en-US" w:eastAsia="zh-CN"/>
        </w:rPr>
        <w:t>类型</w:t>
      </w:r>
    </w:p>
    <w:p w14:paraId="6FBAFA12">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植被区划</w:t>
      </w:r>
    </w:p>
    <w:p w14:paraId="31712142">
      <w:pPr>
        <w:spacing w:line="360" w:lineRule="auto"/>
        <w:ind w:firstLine="480" w:firstLineChars="200"/>
        <w:rPr>
          <w:rFonts w:hint="default" w:ascii="Times New Roman" w:hAnsi="Times New Roman" w:eastAsia="宋体" w:cs="Times New Roman"/>
          <w:caps w:val="0"/>
          <w:smallCaps w:val="0"/>
          <w:color w:val="auto"/>
          <w:sz w:val="24"/>
          <w:szCs w:val="21"/>
          <w:u w:val="none" w:color="auto"/>
        </w:rPr>
      </w:pPr>
      <w:r>
        <w:rPr>
          <w:rFonts w:hint="default" w:ascii="Times New Roman" w:hAnsi="Times New Roman" w:eastAsia="宋体" w:cs="Times New Roman"/>
          <w:caps w:val="0"/>
          <w:smallCaps w:val="0"/>
          <w:color w:val="auto"/>
          <w:sz w:val="24"/>
          <w:szCs w:val="21"/>
          <w:u w:val="none" w:color="auto"/>
        </w:rPr>
        <w:t>根据《湖南植被》（祁承经等，1990年），评价区属亚热带常绿阔叶林区域—中亚热带常绿阔叶林地带—中亚热带典型常绿阔叶林北部植被亚地带—</w:t>
      </w:r>
      <w:r>
        <w:rPr>
          <w:rFonts w:hint="default" w:ascii="Times New Roman" w:hAnsi="Times New Roman" w:eastAsia="宋体" w:cs="Times New Roman"/>
          <w:caps w:val="0"/>
          <w:smallCaps w:val="0"/>
          <w:color w:val="auto"/>
          <w:sz w:val="24"/>
          <w:szCs w:val="21"/>
          <w:u w:val="none" w:color="auto"/>
          <w:lang w:val="en-US" w:eastAsia="zh-CN"/>
        </w:rPr>
        <w:t>湖北滨湖平原栲栎林、旱柳林、桑树林、湖漫滩草旬、沼泽、水生植被及农田植被</w:t>
      </w:r>
      <w:r>
        <w:rPr>
          <w:rFonts w:hint="default" w:ascii="Times New Roman" w:hAnsi="Times New Roman" w:eastAsia="宋体" w:cs="Times New Roman"/>
          <w:caps w:val="0"/>
          <w:smallCaps w:val="0"/>
          <w:color w:val="auto"/>
          <w:sz w:val="24"/>
          <w:szCs w:val="21"/>
          <w:u w:val="none" w:color="auto"/>
          <w:lang w:eastAsia="zh-CN"/>
        </w:rPr>
        <w:t>—</w:t>
      </w:r>
      <w:r>
        <w:rPr>
          <w:rFonts w:hint="default" w:ascii="Times New Roman" w:hAnsi="Times New Roman" w:eastAsia="宋体" w:cs="Times New Roman"/>
          <w:caps w:val="0"/>
          <w:smallCaps w:val="0"/>
          <w:color w:val="auto"/>
          <w:sz w:val="24"/>
          <w:szCs w:val="21"/>
          <w:u w:val="none" w:color="auto"/>
          <w:lang w:val="en-US" w:eastAsia="zh-CN"/>
        </w:rPr>
        <w:t>洞庭湖平原及湖泊</w:t>
      </w:r>
      <w:r>
        <w:rPr>
          <w:rFonts w:hint="default" w:ascii="Times New Roman" w:hAnsi="Times New Roman" w:eastAsia="宋体" w:cs="Times New Roman"/>
          <w:caps w:val="0"/>
          <w:smallCaps w:val="0"/>
          <w:color w:val="auto"/>
          <w:sz w:val="24"/>
          <w:szCs w:val="21"/>
          <w:u w:val="none" w:color="auto"/>
          <w:lang w:eastAsia="zh-CN"/>
        </w:rPr>
        <w:t>植被小区</w:t>
      </w:r>
      <w:r>
        <w:rPr>
          <w:rFonts w:hint="default" w:ascii="Times New Roman" w:hAnsi="Times New Roman" w:eastAsia="宋体" w:cs="Times New Roman"/>
          <w:caps w:val="0"/>
          <w:smallCaps w:val="0"/>
          <w:color w:val="auto"/>
          <w:sz w:val="24"/>
          <w:szCs w:val="21"/>
          <w:u w:val="none" w:color="auto"/>
        </w:rPr>
        <w:t>。</w:t>
      </w:r>
    </w:p>
    <w:p w14:paraId="18BF978F">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主要植被类型</w:t>
      </w:r>
    </w:p>
    <w:p w14:paraId="6B46CD2B">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aps w:val="0"/>
          <w:smallCaps w:val="0"/>
          <w:snapToGrid/>
          <w:color w:val="auto"/>
          <w:spacing w:val="0"/>
          <w:kern w:val="0"/>
          <w:sz w:val="24"/>
          <w:szCs w:val="21"/>
          <w:highlight w:val="none"/>
          <w:u w:val="none" w:color="auto"/>
        </w:rPr>
        <w:t>参考《中国植被》、《湖南植被》及相关林业调查资料，根据现场对评价区植被的实地调查，采用植物群落学—生态学分类原则，选用植被型组、植被型、群系等基本单位，在对现存植被进行考察的基础上，结合区域内现有植被中群系建群种与优势种的外貌，以及群系的环境生态与地理分布特征等分析，将评价区自然植被初步划分为</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4个植被型组、6个植被型及11个群系</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1"/>
          <w:highlight w:val="none"/>
          <w:u w:val="none" w:color="auto"/>
        </w:rPr>
        <w:t>详见</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下表</w:t>
      </w:r>
      <w:r>
        <w:rPr>
          <w:rFonts w:hint="default" w:ascii="Times New Roman" w:hAnsi="Times New Roman" w:eastAsia="宋体" w:cs="Times New Roman"/>
          <w:caps w:val="0"/>
          <w:smallCaps w:val="0"/>
          <w:snapToGrid/>
          <w:color w:val="auto"/>
          <w:spacing w:val="0"/>
          <w:kern w:val="0"/>
          <w:sz w:val="24"/>
          <w:szCs w:val="21"/>
          <w:highlight w:val="none"/>
          <w:u w:val="none" w:color="auto"/>
        </w:rPr>
        <w:t>。</w:t>
      </w:r>
    </w:p>
    <w:p w14:paraId="6D0F7939">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5</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植物群落调查结果统计表</w:t>
      </w:r>
    </w:p>
    <w:tbl>
      <w:tblPr>
        <w:tblStyle w:val="39"/>
        <w:tblW w:w="84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416"/>
        <w:gridCol w:w="836"/>
        <w:gridCol w:w="976"/>
        <w:gridCol w:w="1089"/>
        <w:gridCol w:w="1484"/>
        <w:gridCol w:w="1797"/>
        <w:gridCol w:w="981"/>
        <w:gridCol w:w="843"/>
      </w:tblGrid>
      <w:tr w14:paraId="10016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7" w:hRule="atLeast"/>
          <w:tblHeader/>
          <w:jc w:val="center"/>
        </w:trPr>
        <w:tc>
          <w:tcPr>
            <w:tcW w:w="416" w:type="dxa"/>
            <w:vMerge w:val="restart"/>
            <w:tcBorders>
              <w:tl2br w:val="nil"/>
              <w:tr2bl w:val="nil"/>
            </w:tcBorders>
            <w:noWrap w:val="0"/>
            <w:vAlign w:val="center"/>
          </w:tcPr>
          <w:p w14:paraId="1C5C8827">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类型</w:t>
            </w:r>
          </w:p>
        </w:tc>
        <w:tc>
          <w:tcPr>
            <w:tcW w:w="836" w:type="dxa"/>
            <w:vMerge w:val="restart"/>
            <w:tcBorders>
              <w:tl2br w:val="nil"/>
              <w:tr2bl w:val="nil"/>
            </w:tcBorders>
            <w:noWrap w:val="0"/>
            <w:vAlign w:val="center"/>
          </w:tcPr>
          <w:p w14:paraId="537E43FB">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植被</w:t>
            </w:r>
          </w:p>
          <w:p w14:paraId="3BAB38EB">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型组</w:t>
            </w:r>
          </w:p>
        </w:tc>
        <w:tc>
          <w:tcPr>
            <w:tcW w:w="976" w:type="dxa"/>
            <w:vMerge w:val="restart"/>
            <w:tcBorders>
              <w:tl2br w:val="nil"/>
              <w:tr2bl w:val="nil"/>
            </w:tcBorders>
            <w:noWrap w:val="0"/>
            <w:vAlign w:val="center"/>
          </w:tcPr>
          <w:p w14:paraId="0288BFAD">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植被型</w:t>
            </w:r>
          </w:p>
        </w:tc>
        <w:tc>
          <w:tcPr>
            <w:tcW w:w="1089" w:type="dxa"/>
            <w:vMerge w:val="restart"/>
            <w:tcBorders>
              <w:tl2br w:val="nil"/>
              <w:tr2bl w:val="nil"/>
            </w:tcBorders>
            <w:noWrap w:val="0"/>
            <w:vAlign w:val="center"/>
          </w:tcPr>
          <w:p w14:paraId="090DB470">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植被亚型</w:t>
            </w:r>
          </w:p>
        </w:tc>
        <w:tc>
          <w:tcPr>
            <w:tcW w:w="1484" w:type="dxa"/>
            <w:vMerge w:val="restart"/>
            <w:tcBorders>
              <w:tl2br w:val="nil"/>
              <w:tr2bl w:val="nil"/>
            </w:tcBorders>
            <w:noWrap w:val="0"/>
            <w:vAlign w:val="center"/>
          </w:tcPr>
          <w:p w14:paraId="5EAFC069">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群系</w:t>
            </w:r>
          </w:p>
        </w:tc>
        <w:tc>
          <w:tcPr>
            <w:tcW w:w="1797" w:type="dxa"/>
            <w:vMerge w:val="restart"/>
            <w:tcBorders>
              <w:tl2br w:val="nil"/>
              <w:tr2bl w:val="nil"/>
            </w:tcBorders>
            <w:noWrap w:val="0"/>
            <w:vAlign w:val="center"/>
          </w:tcPr>
          <w:p w14:paraId="7E44F693">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r>
              <w:rPr>
                <w:rFonts w:hint="default" w:ascii="Times New Roman" w:hAnsi="Times New Roman" w:eastAsia="宋体" w:cs="Times New Roman"/>
                <w:b/>
                <w:caps w:val="0"/>
                <w:smallCaps w:val="0"/>
                <w:color w:val="auto"/>
                <w:sz w:val="21"/>
                <w:szCs w:val="21"/>
              </w:rPr>
              <w:t>分布区域</w:t>
            </w:r>
          </w:p>
        </w:tc>
        <w:tc>
          <w:tcPr>
            <w:tcW w:w="1824" w:type="dxa"/>
            <w:gridSpan w:val="2"/>
            <w:tcBorders>
              <w:tl2br w:val="nil"/>
              <w:tr2bl w:val="nil"/>
            </w:tcBorders>
            <w:noWrap w:val="0"/>
            <w:vAlign w:val="center"/>
          </w:tcPr>
          <w:p w14:paraId="7C4F2C32">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caps w:val="0"/>
                <w:smallCaps w:val="0"/>
                <w:color w:val="auto"/>
                <w:sz w:val="21"/>
                <w:szCs w:val="21"/>
                <w:highlight w:val="none"/>
              </w:rPr>
              <w:t>工程占用情况</w:t>
            </w:r>
          </w:p>
        </w:tc>
      </w:tr>
      <w:tr w14:paraId="4F69C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7" w:hRule="atLeast"/>
          <w:tblHeader/>
          <w:jc w:val="center"/>
        </w:trPr>
        <w:tc>
          <w:tcPr>
            <w:tcW w:w="416" w:type="dxa"/>
            <w:vMerge w:val="continue"/>
            <w:tcBorders>
              <w:tl2br w:val="nil"/>
              <w:tr2bl w:val="nil"/>
            </w:tcBorders>
            <w:noWrap w:val="0"/>
            <w:vAlign w:val="center"/>
          </w:tcPr>
          <w:p w14:paraId="53E96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836" w:type="dxa"/>
            <w:vMerge w:val="continue"/>
            <w:tcBorders>
              <w:tl2br w:val="nil"/>
              <w:tr2bl w:val="nil"/>
            </w:tcBorders>
            <w:noWrap w:val="0"/>
            <w:vAlign w:val="center"/>
          </w:tcPr>
          <w:p w14:paraId="664A64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976" w:type="dxa"/>
            <w:vMerge w:val="continue"/>
            <w:tcBorders>
              <w:tl2br w:val="nil"/>
              <w:tr2bl w:val="nil"/>
            </w:tcBorders>
            <w:noWrap w:val="0"/>
            <w:vAlign w:val="center"/>
          </w:tcPr>
          <w:p w14:paraId="29CE0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1089" w:type="dxa"/>
            <w:vMerge w:val="continue"/>
            <w:tcBorders>
              <w:tl2br w:val="nil"/>
              <w:tr2bl w:val="nil"/>
            </w:tcBorders>
            <w:noWrap w:val="0"/>
            <w:vAlign w:val="center"/>
          </w:tcPr>
          <w:p w14:paraId="5886E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1484" w:type="dxa"/>
            <w:vMerge w:val="continue"/>
            <w:tcBorders>
              <w:tl2br w:val="nil"/>
              <w:tr2bl w:val="nil"/>
            </w:tcBorders>
            <w:noWrap w:val="0"/>
            <w:vAlign w:val="center"/>
          </w:tcPr>
          <w:p w14:paraId="60C9B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1797" w:type="dxa"/>
            <w:vMerge w:val="continue"/>
            <w:tcBorders>
              <w:tl2br w:val="nil"/>
              <w:tr2bl w:val="nil"/>
            </w:tcBorders>
            <w:noWrap w:val="0"/>
            <w:vAlign w:val="center"/>
          </w:tcPr>
          <w:p w14:paraId="3EA61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rPr>
            </w:pPr>
          </w:p>
        </w:tc>
        <w:tc>
          <w:tcPr>
            <w:tcW w:w="981" w:type="dxa"/>
            <w:tcBorders>
              <w:tl2br w:val="nil"/>
              <w:tr2bl w:val="nil"/>
            </w:tcBorders>
            <w:noWrap w:val="0"/>
            <w:vAlign w:val="center"/>
          </w:tcPr>
          <w:p w14:paraId="09575A35">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占用面积（hm²）</w:t>
            </w:r>
          </w:p>
        </w:tc>
        <w:tc>
          <w:tcPr>
            <w:tcW w:w="843" w:type="dxa"/>
            <w:tcBorders>
              <w:tl2br w:val="nil"/>
              <w:tr2bl w:val="nil"/>
            </w:tcBorders>
            <w:noWrap w:val="0"/>
            <w:vAlign w:val="center"/>
          </w:tcPr>
          <w:p w14:paraId="48242693">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占用比例（%）</w:t>
            </w:r>
          </w:p>
        </w:tc>
      </w:tr>
      <w:tr w14:paraId="2CAA8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39" w:hRule="atLeast"/>
          <w:jc w:val="center"/>
        </w:trPr>
        <w:tc>
          <w:tcPr>
            <w:tcW w:w="416" w:type="dxa"/>
            <w:vMerge w:val="restart"/>
            <w:tcBorders>
              <w:tl2br w:val="nil"/>
              <w:tr2bl w:val="nil"/>
            </w:tcBorders>
            <w:noWrap w:val="0"/>
            <w:vAlign w:val="center"/>
          </w:tcPr>
          <w:p w14:paraId="6DF1EAE4">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自然植被</w:t>
            </w:r>
          </w:p>
        </w:tc>
        <w:tc>
          <w:tcPr>
            <w:tcW w:w="836" w:type="dxa"/>
            <w:tcBorders>
              <w:tl2br w:val="nil"/>
              <w:tr2bl w:val="nil"/>
            </w:tcBorders>
            <w:noWrap w:val="0"/>
            <w:vAlign w:val="center"/>
          </w:tcPr>
          <w:p w14:paraId="3C5B5A3D">
            <w:pPr>
              <w:keepNext w:val="0"/>
              <w:keepLines w:val="0"/>
              <w:pageBreakBefore w:val="0"/>
              <w:numPr>
                <w:ilvl w:val="0"/>
                <w:numId w:val="15"/>
              </w:numPr>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针叶林</w:t>
            </w:r>
          </w:p>
        </w:tc>
        <w:tc>
          <w:tcPr>
            <w:tcW w:w="976" w:type="dxa"/>
            <w:tcBorders>
              <w:tl2br w:val="nil"/>
              <w:tr2bl w:val="nil"/>
            </w:tcBorders>
            <w:noWrap w:val="0"/>
            <w:vAlign w:val="center"/>
          </w:tcPr>
          <w:p w14:paraId="67383C49">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低山针叶林</w:t>
            </w:r>
          </w:p>
        </w:tc>
        <w:tc>
          <w:tcPr>
            <w:tcW w:w="1089" w:type="dxa"/>
            <w:tcBorders>
              <w:tl2br w:val="nil"/>
              <w:tr2bl w:val="nil"/>
            </w:tcBorders>
            <w:noWrap w:val="0"/>
            <w:vAlign w:val="center"/>
          </w:tcPr>
          <w:p w14:paraId="52482C7B">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低山常绿针叶林</w:t>
            </w:r>
          </w:p>
        </w:tc>
        <w:tc>
          <w:tcPr>
            <w:tcW w:w="1484" w:type="dxa"/>
            <w:tcBorders>
              <w:tl2br w:val="nil"/>
              <w:tr2bl w:val="nil"/>
            </w:tcBorders>
            <w:noWrap w:val="0"/>
            <w:vAlign w:val="center"/>
          </w:tcPr>
          <w:p w14:paraId="28FD885B">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杉木群系</w:t>
            </w:r>
          </w:p>
        </w:tc>
        <w:tc>
          <w:tcPr>
            <w:tcW w:w="1797" w:type="dxa"/>
            <w:tcBorders>
              <w:tl2br w:val="nil"/>
              <w:tr2bl w:val="nil"/>
            </w:tcBorders>
            <w:noWrap w:val="0"/>
            <w:vAlign w:val="center"/>
          </w:tcPr>
          <w:p w14:paraId="1F79C3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rPr>
            </w:pPr>
            <w:r>
              <w:rPr>
                <w:rFonts w:hint="default" w:ascii="Times New Roman" w:hAnsi="Times New Roman" w:eastAsia="宋体" w:cs="Times New Roman"/>
                <w:caps w:val="0"/>
                <w:smallCaps w:val="0"/>
                <w:color w:val="auto"/>
                <w:sz w:val="21"/>
                <w:szCs w:val="24"/>
                <w:highlight w:val="none"/>
                <w:u w:val="none"/>
              </w:rPr>
              <w:t>评价区内</w:t>
            </w:r>
            <w:r>
              <w:rPr>
                <w:rFonts w:hint="eastAsia" w:ascii="Times New Roman" w:hAnsi="Times New Roman" w:eastAsia="宋体" w:cs="Times New Roman"/>
                <w:caps w:val="0"/>
                <w:smallCaps w:val="0"/>
                <w:color w:val="auto"/>
                <w:sz w:val="21"/>
                <w:szCs w:val="24"/>
                <w:highlight w:val="none"/>
                <w:u w:val="none"/>
                <w:lang w:val="en-US" w:eastAsia="zh-CN"/>
              </w:rPr>
              <w:t>少量成片</w:t>
            </w:r>
            <w:r>
              <w:rPr>
                <w:rFonts w:hint="default" w:ascii="Times New Roman" w:hAnsi="Times New Roman" w:eastAsia="宋体" w:cs="Times New Roman"/>
                <w:caps w:val="0"/>
                <w:smallCaps w:val="0"/>
                <w:color w:val="auto"/>
                <w:sz w:val="21"/>
                <w:szCs w:val="24"/>
                <w:highlight w:val="none"/>
                <w:u w:val="none"/>
              </w:rPr>
              <w:t>分布</w:t>
            </w:r>
          </w:p>
        </w:tc>
        <w:tc>
          <w:tcPr>
            <w:tcW w:w="981" w:type="dxa"/>
            <w:tcBorders>
              <w:tl2br w:val="nil"/>
              <w:tr2bl w:val="nil"/>
            </w:tcBorders>
            <w:noWrap w:val="0"/>
            <w:vAlign w:val="center"/>
          </w:tcPr>
          <w:p w14:paraId="1AFF65A0">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7B3D9FC3">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49F7E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39" w:hRule="atLeast"/>
          <w:jc w:val="center"/>
        </w:trPr>
        <w:tc>
          <w:tcPr>
            <w:tcW w:w="416" w:type="dxa"/>
            <w:vMerge w:val="continue"/>
            <w:tcBorders>
              <w:tl2br w:val="nil"/>
              <w:tr2bl w:val="nil"/>
            </w:tcBorders>
            <w:noWrap w:val="0"/>
            <w:vAlign w:val="center"/>
          </w:tcPr>
          <w:p w14:paraId="3015B3FA">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restart"/>
            <w:tcBorders>
              <w:tl2br w:val="nil"/>
              <w:tr2bl w:val="nil"/>
            </w:tcBorders>
            <w:noWrap w:val="0"/>
            <w:vAlign w:val="center"/>
          </w:tcPr>
          <w:p w14:paraId="5EF62333">
            <w:pPr>
              <w:keepNext w:val="0"/>
              <w:keepLines w:val="0"/>
              <w:pageBreakBefore w:val="0"/>
              <w:numPr>
                <w:ilvl w:val="0"/>
                <w:numId w:val="15"/>
              </w:numPr>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lang w:val="en-US" w:eastAsia="zh-CN"/>
              </w:rPr>
              <w:t>阔叶林</w:t>
            </w:r>
          </w:p>
        </w:tc>
        <w:tc>
          <w:tcPr>
            <w:tcW w:w="976" w:type="dxa"/>
            <w:tcBorders>
              <w:tl2br w:val="nil"/>
              <w:tr2bl w:val="nil"/>
            </w:tcBorders>
            <w:noWrap w:val="0"/>
            <w:vAlign w:val="center"/>
          </w:tcPr>
          <w:p w14:paraId="374D5B7F">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1"/>
                <w:lang w:val="en-US" w:eastAsia="zh-CN"/>
              </w:rPr>
              <w:t>常绿阔叶林</w:t>
            </w:r>
          </w:p>
        </w:tc>
        <w:tc>
          <w:tcPr>
            <w:tcW w:w="1089" w:type="dxa"/>
            <w:tcBorders>
              <w:tl2br w:val="nil"/>
              <w:tr2bl w:val="nil"/>
            </w:tcBorders>
            <w:noWrap w:val="0"/>
            <w:vAlign w:val="center"/>
          </w:tcPr>
          <w:p w14:paraId="3444C2E0">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val="en-US" w:eastAsia="zh-CN"/>
              </w:rPr>
              <w:t>低山丘陵常绿阔叶林</w:t>
            </w:r>
          </w:p>
        </w:tc>
        <w:tc>
          <w:tcPr>
            <w:tcW w:w="1484" w:type="dxa"/>
            <w:tcBorders>
              <w:tl2br w:val="nil"/>
              <w:tr2bl w:val="nil"/>
            </w:tcBorders>
            <w:noWrap w:val="0"/>
            <w:vAlign w:val="center"/>
          </w:tcPr>
          <w:p w14:paraId="4A1EC5D9">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eastAsia="zh-CN"/>
              </w:rPr>
            </w:pPr>
            <w:r>
              <w:rPr>
                <w:rFonts w:hint="eastAsia" w:ascii="Times New Roman" w:hAnsi="Times New Roman" w:eastAsia="宋体" w:cs="Times New Roman"/>
                <w:caps w:val="0"/>
                <w:smallCaps w:val="0"/>
                <w:color w:val="auto"/>
                <w:sz w:val="21"/>
                <w:szCs w:val="24"/>
                <w:highlight w:val="none"/>
                <w:u w:val="none"/>
                <w:lang w:val="en-US" w:eastAsia="zh-CN"/>
              </w:rPr>
              <w:t>香樟群系</w:t>
            </w:r>
          </w:p>
        </w:tc>
        <w:tc>
          <w:tcPr>
            <w:tcW w:w="1797" w:type="dxa"/>
            <w:tcBorders>
              <w:tl2br w:val="nil"/>
              <w:tr2bl w:val="nil"/>
            </w:tcBorders>
            <w:noWrap w:val="0"/>
            <w:vAlign w:val="center"/>
          </w:tcPr>
          <w:p w14:paraId="460C73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rPr>
            </w:pPr>
            <w:r>
              <w:rPr>
                <w:rFonts w:hint="default" w:ascii="Times New Roman" w:hAnsi="Times New Roman" w:eastAsia="宋体" w:cs="Times New Roman"/>
                <w:caps w:val="0"/>
                <w:smallCaps w:val="0"/>
                <w:color w:val="auto"/>
                <w:sz w:val="21"/>
                <w:szCs w:val="24"/>
                <w:highlight w:val="none"/>
                <w:u w:val="none"/>
              </w:rPr>
              <w:t>评价区内</w:t>
            </w:r>
            <w:r>
              <w:rPr>
                <w:rFonts w:hint="eastAsia" w:ascii="Times New Roman" w:hAnsi="Times New Roman" w:eastAsia="宋体" w:cs="Times New Roman"/>
                <w:caps w:val="0"/>
                <w:smallCaps w:val="0"/>
                <w:color w:val="auto"/>
                <w:sz w:val="21"/>
                <w:szCs w:val="24"/>
                <w:highlight w:val="none"/>
                <w:u w:val="none"/>
                <w:lang w:val="en-US" w:eastAsia="zh-CN"/>
              </w:rPr>
              <w:t>少量成片</w:t>
            </w:r>
            <w:r>
              <w:rPr>
                <w:rFonts w:hint="default" w:ascii="Times New Roman" w:hAnsi="Times New Roman" w:eastAsia="宋体" w:cs="Times New Roman"/>
                <w:caps w:val="0"/>
                <w:smallCaps w:val="0"/>
                <w:color w:val="auto"/>
                <w:sz w:val="21"/>
                <w:szCs w:val="24"/>
                <w:highlight w:val="none"/>
                <w:u w:val="none"/>
              </w:rPr>
              <w:t>分布</w:t>
            </w:r>
          </w:p>
        </w:tc>
        <w:tc>
          <w:tcPr>
            <w:tcW w:w="981" w:type="dxa"/>
            <w:tcBorders>
              <w:tl2br w:val="nil"/>
              <w:tr2bl w:val="nil"/>
            </w:tcBorders>
            <w:noWrap w:val="0"/>
            <w:vAlign w:val="center"/>
          </w:tcPr>
          <w:p w14:paraId="2AEE43E7">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p>
        </w:tc>
        <w:tc>
          <w:tcPr>
            <w:tcW w:w="843" w:type="dxa"/>
            <w:tcBorders>
              <w:tl2br w:val="nil"/>
              <w:tr2bl w:val="nil"/>
            </w:tcBorders>
            <w:noWrap w:val="0"/>
            <w:vAlign w:val="center"/>
          </w:tcPr>
          <w:p w14:paraId="751972B4">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p>
        </w:tc>
      </w:tr>
      <w:tr w14:paraId="0716E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2BB259AE">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268A6077">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p>
        </w:tc>
        <w:tc>
          <w:tcPr>
            <w:tcW w:w="976" w:type="dxa"/>
            <w:vMerge w:val="restart"/>
            <w:tcBorders>
              <w:tl2br w:val="nil"/>
              <w:tr2bl w:val="nil"/>
            </w:tcBorders>
            <w:noWrap w:val="0"/>
            <w:vAlign w:val="center"/>
          </w:tcPr>
          <w:p w14:paraId="737DEDB6">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val="en-US" w:eastAsia="zh-CN"/>
              </w:rPr>
              <w:t>竹林</w:t>
            </w:r>
          </w:p>
        </w:tc>
        <w:tc>
          <w:tcPr>
            <w:tcW w:w="1089" w:type="dxa"/>
            <w:vMerge w:val="restart"/>
            <w:tcBorders>
              <w:tl2br w:val="nil"/>
              <w:tr2bl w:val="nil"/>
            </w:tcBorders>
            <w:noWrap w:val="0"/>
            <w:vAlign w:val="center"/>
          </w:tcPr>
          <w:p w14:paraId="2B84D891">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val="en-US" w:eastAsia="zh-CN"/>
              </w:rPr>
              <w:t>低山丘陵竹林</w:t>
            </w:r>
          </w:p>
        </w:tc>
        <w:tc>
          <w:tcPr>
            <w:tcW w:w="1484" w:type="dxa"/>
            <w:tcBorders>
              <w:tl2br w:val="nil"/>
              <w:tr2bl w:val="nil"/>
            </w:tcBorders>
            <w:noWrap w:val="0"/>
            <w:vAlign w:val="center"/>
          </w:tcPr>
          <w:p w14:paraId="34EB5DB5">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kern w:val="2"/>
                <w:sz w:val="21"/>
                <w:szCs w:val="24"/>
                <w:highlight w:val="none"/>
                <w:u w:val="none"/>
                <w:lang w:val="en-US" w:eastAsia="zh-CN" w:bidi="ar-SA"/>
              </w:rPr>
            </w:pPr>
            <w:r>
              <w:rPr>
                <w:rFonts w:hint="eastAsia" w:ascii="Times New Roman" w:hAnsi="Times New Roman" w:eastAsia="宋体" w:cs="Times New Roman"/>
                <w:caps w:val="0"/>
                <w:smallCaps w:val="0"/>
                <w:color w:val="auto"/>
                <w:sz w:val="21"/>
                <w:szCs w:val="24"/>
                <w:highlight w:val="none"/>
                <w:u w:val="none"/>
                <w:lang w:val="en-US" w:eastAsia="zh-CN"/>
              </w:rPr>
              <w:t>毛竹群系</w:t>
            </w:r>
          </w:p>
        </w:tc>
        <w:tc>
          <w:tcPr>
            <w:tcW w:w="1797" w:type="dxa"/>
            <w:tcBorders>
              <w:tl2br w:val="nil"/>
              <w:tr2bl w:val="nil"/>
            </w:tcBorders>
            <w:noWrap w:val="0"/>
            <w:vAlign w:val="center"/>
          </w:tcPr>
          <w:p w14:paraId="41304A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kern w:val="2"/>
                <w:sz w:val="21"/>
                <w:szCs w:val="24"/>
                <w:highlight w:val="none"/>
                <w:u w:val="none"/>
                <w:lang w:val="en-US" w:eastAsia="zh-CN" w:bidi="ar-SA"/>
              </w:rPr>
            </w:pPr>
            <w:r>
              <w:rPr>
                <w:rFonts w:hint="default" w:ascii="Times New Roman" w:hAnsi="Times New Roman" w:eastAsia="宋体" w:cs="Times New Roman"/>
                <w:caps w:val="0"/>
                <w:smallCaps w:val="0"/>
                <w:color w:val="auto"/>
                <w:sz w:val="21"/>
                <w:szCs w:val="21"/>
                <w:lang w:eastAsia="zh-CN"/>
              </w:rPr>
              <w:t>评价区内</w:t>
            </w:r>
            <w:r>
              <w:rPr>
                <w:rFonts w:hint="eastAsia" w:ascii="Times New Roman" w:hAnsi="Times New Roman" w:eastAsia="宋体" w:cs="Times New Roman"/>
                <w:caps w:val="0"/>
                <w:smallCaps w:val="0"/>
                <w:color w:val="auto"/>
                <w:sz w:val="21"/>
                <w:szCs w:val="24"/>
                <w:highlight w:val="none"/>
                <w:u w:val="none"/>
                <w:lang w:val="en-US" w:eastAsia="zh-CN"/>
              </w:rPr>
              <w:t>成片</w:t>
            </w:r>
            <w:r>
              <w:rPr>
                <w:rFonts w:hint="default" w:ascii="Times New Roman" w:hAnsi="Times New Roman" w:eastAsia="宋体" w:cs="Times New Roman"/>
                <w:caps w:val="0"/>
                <w:smallCaps w:val="0"/>
                <w:color w:val="auto"/>
                <w:sz w:val="21"/>
                <w:szCs w:val="21"/>
                <w:lang w:eastAsia="zh-CN"/>
              </w:rPr>
              <w:t>分布</w:t>
            </w:r>
          </w:p>
        </w:tc>
        <w:tc>
          <w:tcPr>
            <w:tcW w:w="981" w:type="dxa"/>
            <w:tcBorders>
              <w:tl2br w:val="nil"/>
              <w:tr2bl w:val="nil"/>
            </w:tcBorders>
            <w:noWrap w:val="0"/>
            <w:vAlign w:val="center"/>
          </w:tcPr>
          <w:p w14:paraId="31C86496">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p>
        </w:tc>
        <w:tc>
          <w:tcPr>
            <w:tcW w:w="843" w:type="dxa"/>
            <w:tcBorders>
              <w:tl2br w:val="nil"/>
              <w:tr2bl w:val="nil"/>
            </w:tcBorders>
            <w:noWrap w:val="0"/>
            <w:vAlign w:val="center"/>
          </w:tcPr>
          <w:p w14:paraId="78512307">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p>
        </w:tc>
      </w:tr>
      <w:tr w14:paraId="706F3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2DCD9896">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0AFBD7CC">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p>
        </w:tc>
        <w:tc>
          <w:tcPr>
            <w:tcW w:w="976" w:type="dxa"/>
            <w:vMerge w:val="continue"/>
            <w:tcBorders>
              <w:tl2br w:val="nil"/>
              <w:tr2bl w:val="nil"/>
            </w:tcBorders>
            <w:noWrap w:val="0"/>
            <w:vAlign w:val="center"/>
          </w:tcPr>
          <w:p w14:paraId="192DCFF2">
            <w:pPr>
              <w:keepNext w:val="0"/>
              <w:keepLines w:val="0"/>
              <w:pageBreakBefore w:val="0"/>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p>
        </w:tc>
        <w:tc>
          <w:tcPr>
            <w:tcW w:w="1089" w:type="dxa"/>
            <w:vMerge w:val="continue"/>
            <w:tcBorders>
              <w:tl2br w:val="nil"/>
              <w:tr2bl w:val="nil"/>
            </w:tcBorders>
            <w:noWrap w:val="0"/>
            <w:vAlign w:val="center"/>
          </w:tcPr>
          <w:p w14:paraId="51C5B78D">
            <w:pPr>
              <w:keepNext w:val="0"/>
              <w:keepLines w:val="0"/>
              <w:pageBreakBefore w:val="0"/>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p>
        </w:tc>
        <w:tc>
          <w:tcPr>
            <w:tcW w:w="1484" w:type="dxa"/>
            <w:tcBorders>
              <w:tl2br w:val="nil"/>
              <w:tr2bl w:val="nil"/>
            </w:tcBorders>
            <w:noWrap w:val="0"/>
            <w:vAlign w:val="center"/>
          </w:tcPr>
          <w:p w14:paraId="2209C9D4">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篌竹群系</w:t>
            </w:r>
          </w:p>
        </w:tc>
        <w:tc>
          <w:tcPr>
            <w:tcW w:w="1797" w:type="dxa"/>
            <w:tcBorders>
              <w:tl2br w:val="nil"/>
              <w:tr2bl w:val="nil"/>
            </w:tcBorders>
            <w:noWrap w:val="0"/>
            <w:vAlign w:val="center"/>
          </w:tcPr>
          <w:p w14:paraId="126CF7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lang w:eastAsia="zh-CN"/>
              </w:rPr>
            </w:pPr>
            <w:r>
              <w:rPr>
                <w:rFonts w:hint="default" w:ascii="Times New Roman" w:hAnsi="Times New Roman" w:eastAsia="宋体" w:cs="Times New Roman"/>
                <w:caps w:val="0"/>
                <w:smallCaps w:val="0"/>
                <w:color w:val="auto"/>
                <w:sz w:val="21"/>
                <w:szCs w:val="21"/>
                <w:lang w:eastAsia="zh-CN"/>
              </w:rPr>
              <w:t>评价区内广泛分布</w:t>
            </w:r>
          </w:p>
        </w:tc>
        <w:tc>
          <w:tcPr>
            <w:tcW w:w="981" w:type="dxa"/>
            <w:tcBorders>
              <w:tl2br w:val="nil"/>
              <w:tr2bl w:val="nil"/>
            </w:tcBorders>
            <w:noWrap w:val="0"/>
            <w:vAlign w:val="center"/>
          </w:tcPr>
          <w:p w14:paraId="71EF8BF1">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0.12</w:t>
            </w:r>
          </w:p>
        </w:tc>
        <w:tc>
          <w:tcPr>
            <w:tcW w:w="843" w:type="dxa"/>
            <w:tcBorders>
              <w:tl2br w:val="nil"/>
              <w:tr2bl w:val="nil"/>
            </w:tcBorders>
            <w:noWrap w:val="0"/>
            <w:vAlign w:val="center"/>
          </w:tcPr>
          <w:p w14:paraId="0B63F071">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30.77</w:t>
            </w:r>
          </w:p>
        </w:tc>
      </w:tr>
      <w:tr w14:paraId="5FB66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5FC1DA8F">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restart"/>
            <w:tcBorders>
              <w:tl2br w:val="nil"/>
              <w:tr2bl w:val="nil"/>
            </w:tcBorders>
            <w:noWrap w:val="0"/>
            <w:vAlign w:val="center"/>
          </w:tcPr>
          <w:p w14:paraId="4B32BAD9">
            <w:pPr>
              <w:keepNext w:val="0"/>
              <w:keepLines w:val="0"/>
              <w:pageBreakBefore w:val="0"/>
              <w:numPr>
                <w:ilvl w:val="0"/>
                <w:numId w:val="15"/>
              </w:numPr>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r>
              <w:rPr>
                <w:rFonts w:hint="default" w:ascii="Times New Roman" w:hAnsi="Times New Roman" w:eastAsia="宋体" w:cs="Times New Roman"/>
                <w:caps w:val="0"/>
                <w:smallCaps w:val="0"/>
                <w:color w:val="auto"/>
                <w:sz w:val="21"/>
                <w:szCs w:val="24"/>
                <w:highlight w:val="none"/>
                <w:u w:val="none"/>
                <w:lang w:val="en-US" w:eastAsia="zh-CN"/>
              </w:rPr>
              <w:t>灌丛和灌草丛</w:t>
            </w:r>
          </w:p>
        </w:tc>
        <w:tc>
          <w:tcPr>
            <w:tcW w:w="976" w:type="dxa"/>
            <w:tcBorders>
              <w:tl2br w:val="nil"/>
              <w:tr2bl w:val="nil"/>
            </w:tcBorders>
            <w:noWrap w:val="0"/>
            <w:vAlign w:val="center"/>
          </w:tcPr>
          <w:p w14:paraId="61B7FC5F">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灌丛</w:t>
            </w:r>
          </w:p>
        </w:tc>
        <w:tc>
          <w:tcPr>
            <w:tcW w:w="1089" w:type="dxa"/>
            <w:tcBorders>
              <w:tl2br w:val="nil"/>
              <w:tr2bl w:val="nil"/>
            </w:tcBorders>
            <w:noWrap w:val="0"/>
            <w:vAlign w:val="center"/>
          </w:tcPr>
          <w:p w14:paraId="37C723A5">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暖性灌丛</w:t>
            </w:r>
          </w:p>
        </w:tc>
        <w:tc>
          <w:tcPr>
            <w:tcW w:w="1484" w:type="dxa"/>
            <w:tcBorders>
              <w:tl2br w:val="nil"/>
              <w:tr2bl w:val="nil"/>
            </w:tcBorders>
            <w:noWrap w:val="0"/>
            <w:vAlign w:val="center"/>
          </w:tcPr>
          <w:p w14:paraId="4FFF2AD1">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构树群系</w:t>
            </w:r>
          </w:p>
        </w:tc>
        <w:tc>
          <w:tcPr>
            <w:tcW w:w="1797" w:type="dxa"/>
            <w:tcBorders>
              <w:tl2br w:val="nil"/>
              <w:tr2bl w:val="nil"/>
            </w:tcBorders>
            <w:noWrap w:val="0"/>
            <w:vAlign w:val="center"/>
          </w:tcPr>
          <w:p w14:paraId="0A2A3B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lang w:eastAsia="zh-CN"/>
              </w:rPr>
            </w:pPr>
            <w:r>
              <w:rPr>
                <w:rFonts w:hint="default" w:ascii="Times New Roman" w:hAnsi="Times New Roman" w:eastAsia="宋体" w:cs="Times New Roman"/>
                <w:caps w:val="0"/>
                <w:smallCaps w:val="0"/>
                <w:color w:val="auto"/>
                <w:sz w:val="21"/>
                <w:szCs w:val="24"/>
                <w:highlight w:val="none"/>
                <w:u w:val="none"/>
              </w:rPr>
              <w:t>评价区内</w:t>
            </w:r>
            <w:r>
              <w:rPr>
                <w:rFonts w:hint="eastAsia" w:ascii="Times New Roman" w:hAnsi="Times New Roman" w:eastAsia="宋体" w:cs="Times New Roman"/>
                <w:caps w:val="0"/>
                <w:smallCaps w:val="0"/>
                <w:color w:val="auto"/>
                <w:sz w:val="21"/>
                <w:szCs w:val="24"/>
                <w:highlight w:val="none"/>
                <w:u w:val="none"/>
                <w:lang w:val="en-US" w:eastAsia="zh-CN"/>
              </w:rPr>
              <w:t>大量成片</w:t>
            </w:r>
            <w:r>
              <w:rPr>
                <w:rFonts w:hint="default" w:ascii="Times New Roman" w:hAnsi="Times New Roman" w:eastAsia="宋体" w:cs="Times New Roman"/>
                <w:caps w:val="0"/>
                <w:smallCaps w:val="0"/>
                <w:color w:val="auto"/>
                <w:sz w:val="21"/>
                <w:szCs w:val="24"/>
                <w:highlight w:val="none"/>
                <w:u w:val="none"/>
              </w:rPr>
              <w:t>分布</w:t>
            </w:r>
          </w:p>
        </w:tc>
        <w:tc>
          <w:tcPr>
            <w:tcW w:w="981" w:type="dxa"/>
            <w:tcBorders>
              <w:tl2br w:val="nil"/>
              <w:tr2bl w:val="nil"/>
            </w:tcBorders>
            <w:noWrap w:val="0"/>
            <w:vAlign w:val="center"/>
          </w:tcPr>
          <w:p w14:paraId="61906D92">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0.05</w:t>
            </w:r>
          </w:p>
        </w:tc>
        <w:tc>
          <w:tcPr>
            <w:tcW w:w="843" w:type="dxa"/>
            <w:tcBorders>
              <w:tl2br w:val="nil"/>
              <w:tr2bl w:val="nil"/>
            </w:tcBorders>
            <w:noWrap w:val="0"/>
            <w:vAlign w:val="center"/>
          </w:tcPr>
          <w:p w14:paraId="7A27DE09">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12.82</w:t>
            </w:r>
          </w:p>
        </w:tc>
      </w:tr>
      <w:tr w14:paraId="14D9C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7DCF6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5EC69466">
            <w:pPr>
              <w:keepNext w:val="0"/>
              <w:keepLines w:val="0"/>
              <w:pageBreakBefore w:val="0"/>
              <w:numPr>
                <w:ilvl w:val="0"/>
                <w:numId w:val="15"/>
              </w:numPr>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p>
        </w:tc>
        <w:tc>
          <w:tcPr>
            <w:tcW w:w="976" w:type="dxa"/>
            <w:vMerge w:val="restart"/>
            <w:tcBorders>
              <w:tl2br w:val="nil"/>
              <w:tr2bl w:val="nil"/>
            </w:tcBorders>
            <w:noWrap w:val="0"/>
            <w:vAlign w:val="center"/>
          </w:tcPr>
          <w:p w14:paraId="77BCA1C0">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aps w:val="0"/>
                <w:smallCaps w:val="0"/>
                <w:color w:val="auto"/>
                <w:kern w:val="2"/>
                <w:sz w:val="21"/>
                <w:szCs w:val="24"/>
                <w:highlight w:val="none"/>
                <w:u w:val="none"/>
                <w:lang w:val="en-US" w:eastAsia="zh-CN" w:bidi="ar-SA"/>
              </w:rPr>
            </w:pPr>
            <w:r>
              <w:rPr>
                <w:rFonts w:hint="eastAsia" w:ascii="Times New Roman" w:hAnsi="Times New Roman" w:eastAsia="宋体" w:cs="Times New Roman"/>
                <w:caps w:val="0"/>
                <w:smallCaps w:val="0"/>
                <w:color w:val="auto"/>
                <w:sz w:val="21"/>
                <w:szCs w:val="24"/>
                <w:highlight w:val="none"/>
                <w:u w:val="none"/>
                <w:lang w:val="en-US" w:eastAsia="zh-CN"/>
              </w:rPr>
              <w:t>灌</w:t>
            </w:r>
            <w:r>
              <w:rPr>
                <w:rFonts w:hint="default" w:ascii="Times New Roman" w:hAnsi="Times New Roman" w:eastAsia="宋体" w:cs="Times New Roman"/>
                <w:caps w:val="0"/>
                <w:smallCaps w:val="0"/>
                <w:color w:val="auto"/>
                <w:sz w:val="21"/>
                <w:szCs w:val="24"/>
                <w:highlight w:val="none"/>
                <w:u w:val="none"/>
                <w:lang w:val="en-US" w:eastAsia="zh-CN"/>
              </w:rPr>
              <w:t>草丛</w:t>
            </w:r>
          </w:p>
        </w:tc>
        <w:tc>
          <w:tcPr>
            <w:tcW w:w="1089" w:type="dxa"/>
            <w:vMerge w:val="restart"/>
            <w:tcBorders>
              <w:tl2br w:val="nil"/>
              <w:tr2bl w:val="nil"/>
            </w:tcBorders>
            <w:noWrap w:val="0"/>
            <w:vAlign w:val="center"/>
          </w:tcPr>
          <w:p w14:paraId="3B8E7A50">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val="en-US" w:eastAsia="zh-CN"/>
              </w:rPr>
              <w:t>暖</w:t>
            </w:r>
            <w:r>
              <w:rPr>
                <w:rFonts w:hint="eastAsia" w:ascii="Times New Roman" w:hAnsi="Times New Roman" w:eastAsia="宋体" w:cs="Times New Roman"/>
                <w:caps w:val="0"/>
                <w:smallCaps w:val="0"/>
                <w:color w:val="auto"/>
                <w:sz w:val="21"/>
                <w:szCs w:val="21"/>
                <w:lang w:eastAsia="zh-CN"/>
              </w:rPr>
              <w:t>性灌草丛</w:t>
            </w:r>
          </w:p>
        </w:tc>
        <w:tc>
          <w:tcPr>
            <w:tcW w:w="1484" w:type="dxa"/>
            <w:tcBorders>
              <w:tl2br w:val="nil"/>
              <w:tr2bl w:val="nil"/>
            </w:tcBorders>
            <w:noWrap w:val="0"/>
            <w:vAlign w:val="center"/>
          </w:tcPr>
          <w:p w14:paraId="4A4126C9">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val="en-US" w:eastAsia="zh-CN"/>
              </w:rPr>
              <w:t>葛群系</w:t>
            </w:r>
          </w:p>
        </w:tc>
        <w:tc>
          <w:tcPr>
            <w:tcW w:w="1797" w:type="dxa"/>
            <w:tcBorders>
              <w:tl2br w:val="nil"/>
              <w:tr2bl w:val="nil"/>
            </w:tcBorders>
            <w:noWrap w:val="0"/>
            <w:vAlign w:val="center"/>
          </w:tcPr>
          <w:p w14:paraId="13A242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lang w:eastAsia="zh-CN"/>
              </w:rPr>
              <w:t>评价区内广泛分布</w:t>
            </w:r>
          </w:p>
        </w:tc>
        <w:tc>
          <w:tcPr>
            <w:tcW w:w="981" w:type="dxa"/>
            <w:tcBorders>
              <w:tl2br w:val="nil"/>
              <w:tr2bl w:val="nil"/>
            </w:tcBorders>
            <w:noWrap w:val="0"/>
            <w:vAlign w:val="center"/>
          </w:tcPr>
          <w:p w14:paraId="0423D60F">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0.08</w:t>
            </w:r>
          </w:p>
        </w:tc>
        <w:tc>
          <w:tcPr>
            <w:tcW w:w="843" w:type="dxa"/>
            <w:tcBorders>
              <w:tl2br w:val="nil"/>
              <w:tr2bl w:val="nil"/>
            </w:tcBorders>
            <w:noWrap w:val="0"/>
            <w:vAlign w:val="center"/>
          </w:tcPr>
          <w:p w14:paraId="4DD6FD4C">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20.51</w:t>
            </w:r>
          </w:p>
        </w:tc>
      </w:tr>
      <w:tr w14:paraId="3C6D0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28A84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0757E778">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p>
        </w:tc>
        <w:tc>
          <w:tcPr>
            <w:tcW w:w="976" w:type="dxa"/>
            <w:vMerge w:val="continue"/>
            <w:tcBorders>
              <w:tl2br w:val="nil"/>
              <w:tr2bl w:val="nil"/>
            </w:tcBorders>
            <w:noWrap w:val="0"/>
            <w:vAlign w:val="center"/>
          </w:tcPr>
          <w:p w14:paraId="5E824015">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p>
        </w:tc>
        <w:tc>
          <w:tcPr>
            <w:tcW w:w="1089" w:type="dxa"/>
            <w:vMerge w:val="continue"/>
            <w:tcBorders>
              <w:tl2br w:val="nil"/>
              <w:tr2bl w:val="nil"/>
            </w:tcBorders>
            <w:noWrap w:val="0"/>
            <w:vAlign w:val="center"/>
          </w:tcPr>
          <w:p w14:paraId="61BB1E2C">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eastAsia="zh-CN"/>
              </w:rPr>
            </w:pPr>
          </w:p>
        </w:tc>
        <w:tc>
          <w:tcPr>
            <w:tcW w:w="1484" w:type="dxa"/>
            <w:tcBorders>
              <w:tl2br w:val="nil"/>
              <w:tr2bl w:val="nil"/>
            </w:tcBorders>
            <w:noWrap w:val="0"/>
            <w:vAlign w:val="center"/>
          </w:tcPr>
          <w:p w14:paraId="5AA68939">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4"/>
                <w:highlight w:val="none"/>
                <w:u w:val="none"/>
                <w:lang w:eastAsia="zh-CN"/>
              </w:rPr>
              <w:t>芒群系</w:t>
            </w:r>
          </w:p>
        </w:tc>
        <w:tc>
          <w:tcPr>
            <w:tcW w:w="1797" w:type="dxa"/>
            <w:tcBorders>
              <w:tl2br w:val="nil"/>
              <w:tr2bl w:val="nil"/>
            </w:tcBorders>
            <w:noWrap w:val="0"/>
            <w:vAlign w:val="center"/>
          </w:tcPr>
          <w:p w14:paraId="5E15E6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lang w:eastAsia="zh-CN"/>
              </w:rPr>
            </w:pPr>
            <w:r>
              <w:rPr>
                <w:rFonts w:hint="default" w:ascii="Times New Roman" w:hAnsi="Times New Roman" w:eastAsia="宋体" w:cs="Times New Roman"/>
                <w:caps w:val="0"/>
                <w:smallCaps w:val="0"/>
                <w:color w:val="auto"/>
                <w:sz w:val="21"/>
                <w:szCs w:val="24"/>
                <w:highlight w:val="none"/>
                <w:u w:val="none"/>
              </w:rPr>
              <w:t>评价区内广泛分布</w:t>
            </w:r>
          </w:p>
        </w:tc>
        <w:tc>
          <w:tcPr>
            <w:tcW w:w="981" w:type="dxa"/>
            <w:tcBorders>
              <w:tl2br w:val="nil"/>
              <w:tr2bl w:val="nil"/>
            </w:tcBorders>
            <w:noWrap w:val="0"/>
            <w:vAlign w:val="center"/>
          </w:tcPr>
          <w:p w14:paraId="61ACAB59">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0.14</w:t>
            </w:r>
          </w:p>
        </w:tc>
        <w:tc>
          <w:tcPr>
            <w:tcW w:w="843" w:type="dxa"/>
            <w:tcBorders>
              <w:tl2br w:val="nil"/>
              <w:tr2bl w:val="nil"/>
            </w:tcBorders>
            <w:noWrap w:val="0"/>
            <w:vAlign w:val="center"/>
          </w:tcPr>
          <w:p w14:paraId="139405C0">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35.90</w:t>
            </w:r>
          </w:p>
        </w:tc>
      </w:tr>
      <w:tr w14:paraId="7D7A5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1215F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restart"/>
            <w:tcBorders>
              <w:tl2br w:val="nil"/>
              <w:tr2bl w:val="nil"/>
            </w:tcBorders>
            <w:noWrap w:val="0"/>
            <w:vAlign w:val="center"/>
          </w:tcPr>
          <w:p w14:paraId="428B46F5">
            <w:pPr>
              <w:keepNext w:val="0"/>
              <w:keepLines w:val="0"/>
              <w:pageBreakBefore w:val="0"/>
              <w:numPr>
                <w:ilvl w:val="0"/>
                <w:numId w:val="15"/>
              </w:numPr>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沼泽和水生植被</w:t>
            </w:r>
          </w:p>
        </w:tc>
        <w:tc>
          <w:tcPr>
            <w:tcW w:w="976" w:type="dxa"/>
            <w:vMerge w:val="restart"/>
            <w:tcBorders>
              <w:tl2br w:val="nil"/>
              <w:tr2bl w:val="nil"/>
            </w:tcBorders>
            <w:noWrap w:val="0"/>
            <w:vAlign w:val="center"/>
          </w:tcPr>
          <w:p w14:paraId="48949403">
            <w:pPr>
              <w:keepNext w:val="0"/>
              <w:keepLines w:val="0"/>
              <w:pageBreakBefore w:val="0"/>
              <w:numPr>
                <w:ilvl w:val="0"/>
                <w:numId w:val="16"/>
              </w:numPr>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水生植被</w:t>
            </w:r>
          </w:p>
        </w:tc>
        <w:tc>
          <w:tcPr>
            <w:tcW w:w="1089" w:type="dxa"/>
            <w:tcBorders>
              <w:tl2br w:val="nil"/>
              <w:tr2bl w:val="nil"/>
            </w:tcBorders>
            <w:noWrap w:val="0"/>
            <w:vAlign w:val="center"/>
          </w:tcPr>
          <w:p w14:paraId="574AC712">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eastAsia="zh-CN"/>
              </w:rPr>
            </w:pPr>
            <w:r>
              <w:rPr>
                <w:rFonts w:hint="eastAsia" w:ascii="Times New Roman" w:hAnsi="Times New Roman" w:eastAsia="宋体" w:cs="Times New Roman"/>
                <w:caps w:val="0"/>
                <w:smallCaps w:val="0"/>
                <w:color w:val="auto"/>
                <w:sz w:val="21"/>
                <w:szCs w:val="21"/>
                <w:lang w:val="en-US" w:eastAsia="zh-CN"/>
              </w:rPr>
              <w:t>沉水植物群落</w:t>
            </w:r>
          </w:p>
        </w:tc>
        <w:tc>
          <w:tcPr>
            <w:tcW w:w="1484" w:type="dxa"/>
            <w:tcBorders>
              <w:tl2br w:val="nil"/>
              <w:tr2bl w:val="nil"/>
            </w:tcBorders>
            <w:noWrap w:val="0"/>
            <w:vAlign w:val="center"/>
          </w:tcPr>
          <w:p w14:paraId="73DD9C2E">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eastAsia="zh-CN"/>
              </w:rPr>
            </w:pPr>
            <w:r>
              <w:rPr>
                <w:rFonts w:hint="eastAsia" w:ascii="Times New Roman" w:hAnsi="Times New Roman" w:eastAsia="宋体" w:cs="Times New Roman"/>
                <w:caps w:val="0"/>
                <w:smallCaps w:val="0"/>
                <w:color w:val="auto"/>
                <w:sz w:val="21"/>
                <w:szCs w:val="24"/>
                <w:highlight w:val="none"/>
                <w:u w:val="none"/>
                <w:lang w:val="en-US" w:eastAsia="zh-CN"/>
              </w:rPr>
              <w:t>狐尾藻群系</w:t>
            </w:r>
          </w:p>
        </w:tc>
        <w:tc>
          <w:tcPr>
            <w:tcW w:w="1797" w:type="dxa"/>
            <w:tcBorders>
              <w:tl2br w:val="nil"/>
              <w:tr2bl w:val="nil"/>
            </w:tcBorders>
            <w:noWrap w:val="0"/>
            <w:vAlign w:val="center"/>
          </w:tcPr>
          <w:p w14:paraId="0860C1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评价区水面成片分布</w:t>
            </w:r>
          </w:p>
        </w:tc>
        <w:tc>
          <w:tcPr>
            <w:tcW w:w="981" w:type="dxa"/>
            <w:tcBorders>
              <w:tl2br w:val="nil"/>
              <w:tr2bl w:val="nil"/>
            </w:tcBorders>
            <w:noWrap w:val="0"/>
            <w:vAlign w:val="center"/>
          </w:tcPr>
          <w:p w14:paraId="52BA2DD6">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75EA0262">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38700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60A47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0799388D">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976" w:type="dxa"/>
            <w:vMerge w:val="continue"/>
            <w:tcBorders>
              <w:tl2br w:val="nil"/>
              <w:tr2bl w:val="nil"/>
            </w:tcBorders>
            <w:noWrap w:val="0"/>
            <w:vAlign w:val="center"/>
          </w:tcPr>
          <w:p w14:paraId="3C5D1480">
            <w:pPr>
              <w:keepNext w:val="0"/>
              <w:keepLines w:val="0"/>
              <w:pageBreakBefore w:val="0"/>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1089" w:type="dxa"/>
            <w:vMerge w:val="restart"/>
            <w:tcBorders>
              <w:tl2br w:val="nil"/>
              <w:tr2bl w:val="nil"/>
            </w:tcBorders>
            <w:noWrap w:val="0"/>
            <w:vAlign w:val="center"/>
          </w:tcPr>
          <w:p w14:paraId="4FD9D6EB">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浮水植物群落</w:t>
            </w:r>
          </w:p>
        </w:tc>
        <w:tc>
          <w:tcPr>
            <w:tcW w:w="1484" w:type="dxa"/>
            <w:tcBorders>
              <w:tl2br w:val="nil"/>
              <w:tr2bl w:val="nil"/>
            </w:tcBorders>
            <w:noWrap w:val="0"/>
            <w:vAlign w:val="center"/>
          </w:tcPr>
          <w:p w14:paraId="0BFE482E">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空心莲子草群系</w:t>
            </w:r>
          </w:p>
        </w:tc>
        <w:tc>
          <w:tcPr>
            <w:tcW w:w="1797" w:type="dxa"/>
            <w:tcBorders>
              <w:tl2br w:val="nil"/>
              <w:tr2bl w:val="nil"/>
            </w:tcBorders>
            <w:noWrap w:val="0"/>
            <w:vAlign w:val="center"/>
          </w:tcPr>
          <w:p w14:paraId="18823B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rPr>
            </w:pPr>
            <w:r>
              <w:rPr>
                <w:rFonts w:hint="eastAsia" w:ascii="Times New Roman" w:hAnsi="Times New Roman" w:eastAsia="宋体" w:cs="Times New Roman"/>
                <w:caps w:val="0"/>
                <w:smallCaps w:val="0"/>
                <w:color w:val="auto"/>
                <w:sz w:val="21"/>
                <w:szCs w:val="24"/>
                <w:highlight w:val="none"/>
                <w:u w:val="none"/>
                <w:lang w:val="en-US" w:eastAsia="zh-CN"/>
              </w:rPr>
              <w:t>评价区近水区域成片分布</w:t>
            </w:r>
          </w:p>
        </w:tc>
        <w:tc>
          <w:tcPr>
            <w:tcW w:w="981" w:type="dxa"/>
            <w:tcBorders>
              <w:tl2br w:val="nil"/>
              <w:tr2bl w:val="nil"/>
            </w:tcBorders>
            <w:noWrap w:val="0"/>
            <w:vAlign w:val="center"/>
          </w:tcPr>
          <w:p w14:paraId="2A765499">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52861044">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06F59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4A614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441603AE">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976" w:type="dxa"/>
            <w:vMerge w:val="continue"/>
            <w:tcBorders>
              <w:tl2br w:val="nil"/>
              <w:tr2bl w:val="nil"/>
            </w:tcBorders>
            <w:noWrap w:val="0"/>
            <w:vAlign w:val="center"/>
          </w:tcPr>
          <w:p w14:paraId="4388BA0E">
            <w:pPr>
              <w:keepNext w:val="0"/>
              <w:keepLines w:val="0"/>
              <w:pageBreakBefore w:val="0"/>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1089" w:type="dxa"/>
            <w:vMerge w:val="continue"/>
            <w:tcBorders>
              <w:tl2br w:val="nil"/>
              <w:tr2bl w:val="nil"/>
            </w:tcBorders>
            <w:noWrap w:val="0"/>
            <w:vAlign w:val="center"/>
          </w:tcPr>
          <w:p w14:paraId="06DA3EED">
            <w:pPr>
              <w:keepNext w:val="0"/>
              <w:keepLines w:val="0"/>
              <w:pageBreakBefore w:val="0"/>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p>
        </w:tc>
        <w:tc>
          <w:tcPr>
            <w:tcW w:w="1484" w:type="dxa"/>
            <w:tcBorders>
              <w:tl2br w:val="nil"/>
              <w:tr2bl w:val="nil"/>
            </w:tcBorders>
            <w:noWrap w:val="0"/>
            <w:vAlign w:val="center"/>
          </w:tcPr>
          <w:p w14:paraId="0E074977">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浮萍群系</w:t>
            </w:r>
          </w:p>
        </w:tc>
        <w:tc>
          <w:tcPr>
            <w:tcW w:w="1797" w:type="dxa"/>
            <w:tcBorders>
              <w:tl2br w:val="nil"/>
              <w:tr2bl w:val="nil"/>
            </w:tcBorders>
            <w:noWrap w:val="0"/>
            <w:vAlign w:val="center"/>
          </w:tcPr>
          <w:p w14:paraId="265410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rPr>
            </w:pPr>
            <w:r>
              <w:rPr>
                <w:rFonts w:hint="eastAsia" w:ascii="Times New Roman" w:hAnsi="Times New Roman" w:eastAsia="宋体" w:cs="Times New Roman"/>
                <w:caps w:val="0"/>
                <w:smallCaps w:val="0"/>
                <w:color w:val="auto"/>
                <w:sz w:val="21"/>
                <w:szCs w:val="24"/>
                <w:highlight w:val="none"/>
                <w:u w:val="none"/>
                <w:lang w:val="en-US" w:eastAsia="zh-CN"/>
              </w:rPr>
              <w:t>评价区水面广泛分布</w:t>
            </w:r>
          </w:p>
        </w:tc>
        <w:tc>
          <w:tcPr>
            <w:tcW w:w="981" w:type="dxa"/>
            <w:tcBorders>
              <w:tl2br w:val="nil"/>
              <w:tr2bl w:val="nil"/>
            </w:tcBorders>
            <w:noWrap w:val="0"/>
            <w:vAlign w:val="center"/>
          </w:tcPr>
          <w:p w14:paraId="0CE252F4">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5F30875E">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45E6E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7FE3B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5A9CC20A">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976" w:type="dxa"/>
            <w:vMerge w:val="continue"/>
            <w:tcBorders>
              <w:tl2br w:val="nil"/>
              <w:tr2bl w:val="nil"/>
            </w:tcBorders>
            <w:noWrap w:val="0"/>
            <w:vAlign w:val="center"/>
          </w:tcPr>
          <w:p w14:paraId="2C7533B8">
            <w:pPr>
              <w:keepNext w:val="0"/>
              <w:keepLines w:val="0"/>
              <w:pageBreakBefore w:val="0"/>
              <w:suppressLineNumbers w:val="0"/>
              <w:tabs>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4"/>
                <w:highlight w:val="none"/>
                <w:u w:val="none"/>
                <w:lang w:val="en-US" w:eastAsia="zh-CN"/>
              </w:rPr>
            </w:pPr>
          </w:p>
        </w:tc>
        <w:tc>
          <w:tcPr>
            <w:tcW w:w="1089" w:type="dxa"/>
            <w:tcBorders>
              <w:tl2br w:val="nil"/>
              <w:tr2bl w:val="nil"/>
            </w:tcBorders>
            <w:noWrap w:val="0"/>
            <w:vAlign w:val="center"/>
          </w:tcPr>
          <w:p w14:paraId="3F7E6C92">
            <w:pPr>
              <w:keepNext w:val="0"/>
              <w:keepLines w:val="0"/>
              <w:pageBreakBefore w:val="0"/>
              <w:numPr>
                <w:ilvl w:val="0"/>
                <w:numId w:val="17"/>
              </w:numPr>
              <w:suppressLineNumbers w:val="0"/>
              <w:tabs>
                <w:tab w:val="left" w:pos="317"/>
                <w:tab w:val="left" w:pos="420"/>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挺水植物群落</w:t>
            </w:r>
          </w:p>
        </w:tc>
        <w:tc>
          <w:tcPr>
            <w:tcW w:w="1484" w:type="dxa"/>
            <w:tcBorders>
              <w:tl2br w:val="nil"/>
              <w:tr2bl w:val="nil"/>
            </w:tcBorders>
            <w:noWrap w:val="0"/>
            <w:vAlign w:val="center"/>
          </w:tcPr>
          <w:p w14:paraId="38821413">
            <w:pPr>
              <w:keepNext w:val="0"/>
              <w:keepLines w:val="0"/>
              <w:pageBreakBefore w:val="0"/>
              <w:numPr>
                <w:ilvl w:val="0"/>
                <w:numId w:val="18"/>
              </w:numPr>
              <w:suppressLineNumbers w:val="0"/>
              <w:tabs>
                <w:tab w:val="left" w:pos="317"/>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aps w:val="0"/>
                <w:smallCaps w:val="0"/>
                <w:color w:val="auto"/>
                <w:sz w:val="21"/>
                <w:szCs w:val="24"/>
                <w:highlight w:val="none"/>
                <w:u w:val="none"/>
                <w:lang w:val="en-US" w:eastAsia="zh-CN"/>
              </w:rPr>
            </w:pPr>
            <w:r>
              <w:rPr>
                <w:rFonts w:hint="eastAsia" w:ascii="Times New Roman" w:hAnsi="Times New Roman" w:eastAsia="宋体" w:cs="Times New Roman"/>
                <w:caps w:val="0"/>
                <w:smallCaps w:val="0"/>
                <w:color w:val="auto"/>
                <w:sz w:val="21"/>
                <w:szCs w:val="24"/>
                <w:highlight w:val="none"/>
                <w:u w:val="none"/>
                <w:lang w:val="en-US" w:eastAsia="zh-CN"/>
              </w:rPr>
              <w:t>莲群系</w:t>
            </w:r>
          </w:p>
        </w:tc>
        <w:tc>
          <w:tcPr>
            <w:tcW w:w="1797" w:type="dxa"/>
            <w:tcBorders>
              <w:tl2br w:val="nil"/>
              <w:tr2bl w:val="nil"/>
            </w:tcBorders>
            <w:noWrap w:val="0"/>
            <w:vAlign w:val="center"/>
          </w:tcPr>
          <w:p w14:paraId="0298D3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4"/>
                <w:highlight w:val="none"/>
                <w:u w:val="none"/>
              </w:rPr>
            </w:pPr>
            <w:r>
              <w:rPr>
                <w:rFonts w:hint="eastAsia" w:ascii="Times New Roman" w:hAnsi="Times New Roman" w:eastAsia="宋体" w:cs="Times New Roman"/>
                <w:caps w:val="0"/>
                <w:smallCaps w:val="0"/>
                <w:color w:val="auto"/>
                <w:sz w:val="21"/>
                <w:szCs w:val="24"/>
                <w:highlight w:val="none"/>
                <w:u w:val="none"/>
                <w:lang w:val="en-US" w:eastAsia="zh-CN"/>
              </w:rPr>
              <w:t>评价区水面成片分布</w:t>
            </w:r>
          </w:p>
        </w:tc>
        <w:tc>
          <w:tcPr>
            <w:tcW w:w="981" w:type="dxa"/>
            <w:tcBorders>
              <w:tl2br w:val="nil"/>
              <w:tr2bl w:val="nil"/>
            </w:tcBorders>
            <w:noWrap w:val="0"/>
            <w:vAlign w:val="center"/>
          </w:tcPr>
          <w:p w14:paraId="76DCD98B">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266AE923">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0513A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restart"/>
            <w:tcBorders>
              <w:tl2br w:val="nil"/>
              <w:tr2bl w:val="nil"/>
            </w:tcBorders>
            <w:noWrap w:val="0"/>
            <w:vAlign w:val="center"/>
          </w:tcPr>
          <w:p w14:paraId="4F7387CA">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栽培植被</w:t>
            </w:r>
          </w:p>
        </w:tc>
        <w:tc>
          <w:tcPr>
            <w:tcW w:w="836" w:type="dxa"/>
            <w:vMerge w:val="restart"/>
            <w:tcBorders>
              <w:tl2br w:val="nil"/>
              <w:tr2bl w:val="nil"/>
            </w:tcBorders>
            <w:noWrap w:val="0"/>
            <w:vAlign w:val="center"/>
          </w:tcPr>
          <w:p w14:paraId="79D76C56">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经济林</w:t>
            </w:r>
          </w:p>
        </w:tc>
        <w:tc>
          <w:tcPr>
            <w:tcW w:w="976" w:type="dxa"/>
            <w:tcBorders>
              <w:tl2br w:val="nil"/>
              <w:tr2bl w:val="nil"/>
            </w:tcBorders>
            <w:noWrap w:val="0"/>
            <w:vAlign w:val="center"/>
          </w:tcPr>
          <w:p w14:paraId="2C2DDB91">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经济果木</w:t>
            </w:r>
          </w:p>
        </w:tc>
        <w:tc>
          <w:tcPr>
            <w:tcW w:w="2573" w:type="dxa"/>
            <w:gridSpan w:val="2"/>
            <w:tcBorders>
              <w:tl2br w:val="nil"/>
              <w:tr2bl w:val="nil"/>
            </w:tcBorders>
            <w:noWrap w:val="0"/>
            <w:vAlign w:val="center"/>
          </w:tcPr>
          <w:p w14:paraId="646966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4"/>
                <w:highlight w:val="none"/>
                <w:u w:val="none"/>
              </w:rPr>
              <w:t>油茶</w:t>
            </w:r>
            <w:r>
              <w:rPr>
                <w:rFonts w:hint="eastAsia" w:ascii="Times New Roman" w:hAnsi="Times New Roman" w:eastAsia="宋体" w:cs="Times New Roman"/>
                <w:caps w:val="0"/>
                <w:smallCaps w:val="0"/>
                <w:color w:val="auto"/>
                <w:sz w:val="21"/>
                <w:szCs w:val="24"/>
                <w:highlight w:val="none"/>
                <w:u w:val="none"/>
                <w:lang w:eastAsia="zh-CN"/>
              </w:rPr>
              <w:t>、</w:t>
            </w:r>
            <w:r>
              <w:rPr>
                <w:rFonts w:hint="eastAsia" w:ascii="Times New Roman" w:hAnsi="Times New Roman" w:eastAsia="宋体" w:cs="Times New Roman"/>
                <w:caps w:val="0"/>
                <w:smallCaps w:val="0"/>
                <w:color w:val="auto"/>
                <w:sz w:val="21"/>
                <w:szCs w:val="24"/>
                <w:highlight w:val="none"/>
                <w:u w:val="none"/>
                <w:lang w:val="en-US" w:eastAsia="zh-CN"/>
              </w:rPr>
              <w:t>柑橘</w:t>
            </w:r>
            <w:r>
              <w:rPr>
                <w:rFonts w:hint="default" w:ascii="Times New Roman" w:hAnsi="Times New Roman" w:eastAsia="宋体" w:cs="Times New Roman"/>
                <w:caps w:val="0"/>
                <w:smallCaps w:val="0"/>
                <w:color w:val="auto"/>
                <w:sz w:val="21"/>
                <w:szCs w:val="24"/>
                <w:highlight w:val="none"/>
                <w:u w:val="none"/>
              </w:rPr>
              <w:t>等</w:t>
            </w:r>
          </w:p>
        </w:tc>
        <w:tc>
          <w:tcPr>
            <w:tcW w:w="1797" w:type="dxa"/>
            <w:vMerge w:val="restart"/>
            <w:tcBorders>
              <w:tl2br w:val="nil"/>
              <w:tr2bl w:val="nil"/>
            </w:tcBorders>
            <w:noWrap w:val="0"/>
            <w:vAlign w:val="center"/>
          </w:tcPr>
          <w:p w14:paraId="5782988B">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评价区村落附近分布</w:t>
            </w:r>
          </w:p>
        </w:tc>
        <w:tc>
          <w:tcPr>
            <w:tcW w:w="981" w:type="dxa"/>
            <w:tcBorders>
              <w:tl2br w:val="nil"/>
              <w:tr2bl w:val="nil"/>
            </w:tcBorders>
            <w:noWrap w:val="0"/>
            <w:vAlign w:val="center"/>
          </w:tcPr>
          <w:p w14:paraId="32ADDB98">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71179FDC">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r w14:paraId="0B1DA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54DD9A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0AB61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976" w:type="dxa"/>
            <w:tcBorders>
              <w:tl2br w:val="nil"/>
              <w:tr2bl w:val="nil"/>
            </w:tcBorders>
            <w:noWrap w:val="0"/>
            <w:vAlign w:val="center"/>
          </w:tcPr>
          <w:p w14:paraId="258698EC">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用材树种</w:t>
            </w:r>
          </w:p>
        </w:tc>
        <w:tc>
          <w:tcPr>
            <w:tcW w:w="2573" w:type="dxa"/>
            <w:gridSpan w:val="2"/>
            <w:tcBorders>
              <w:tl2br w:val="nil"/>
              <w:tr2bl w:val="nil"/>
            </w:tcBorders>
            <w:noWrap w:val="0"/>
            <w:vAlign w:val="center"/>
          </w:tcPr>
          <w:p w14:paraId="6F01FD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rPr>
            </w:pPr>
            <w:r>
              <w:rPr>
                <w:rFonts w:hint="eastAsia" w:ascii="Times New Roman" w:hAnsi="Times New Roman" w:eastAsia="宋体" w:cs="Times New Roman"/>
                <w:caps w:val="0"/>
                <w:smallCaps w:val="0"/>
                <w:color w:val="auto"/>
                <w:sz w:val="21"/>
                <w:szCs w:val="24"/>
                <w:highlight w:val="none"/>
                <w:u w:val="none"/>
                <w:lang w:val="en-US" w:eastAsia="zh-CN"/>
              </w:rPr>
              <w:t>杉木、</w:t>
            </w:r>
            <w:r>
              <w:rPr>
                <w:rFonts w:hint="default" w:ascii="Times New Roman" w:hAnsi="Times New Roman" w:eastAsia="宋体" w:cs="Times New Roman"/>
                <w:caps w:val="0"/>
                <w:smallCaps w:val="0"/>
                <w:color w:val="auto"/>
                <w:sz w:val="21"/>
                <w:szCs w:val="24"/>
                <w:highlight w:val="none"/>
                <w:u w:val="none"/>
              </w:rPr>
              <w:t>马尾松等</w:t>
            </w:r>
          </w:p>
        </w:tc>
        <w:tc>
          <w:tcPr>
            <w:tcW w:w="1797" w:type="dxa"/>
            <w:vMerge w:val="continue"/>
            <w:tcBorders>
              <w:tl2br w:val="nil"/>
              <w:tr2bl w:val="nil"/>
            </w:tcBorders>
            <w:noWrap w:val="0"/>
            <w:vAlign w:val="center"/>
          </w:tcPr>
          <w:p w14:paraId="22D89949">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981" w:type="dxa"/>
            <w:tcBorders>
              <w:tl2br w:val="nil"/>
              <w:tr2bl w:val="nil"/>
            </w:tcBorders>
            <w:noWrap w:val="0"/>
            <w:vAlign w:val="center"/>
          </w:tcPr>
          <w:p w14:paraId="1D936EA2">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p>
        </w:tc>
        <w:tc>
          <w:tcPr>
            <w:tcW w:w="843" w:type="dxa"/>
            <w:tcBorders>
              <w:tl2br w:val="nil"/>
              <w:tr2bl w:val="nil"/>
            </w:tcBorders>
            <w:noWrap w:val="0"/>
            <w:vAlign w:val="center"/>
          </w:tcPr>
          <w:p w14:paraId="096C15B2">
            <w:pPr>
              <w:keepNext w:val="0"/>
              <w:keepLines w:val="0"/>
              <w:pageBreakBefore w:val="0"/>
              <w:suppressLineNumbers w:val="0"/>
              <w:tabs>
                <w:tab w:val="left" w:pos="317"/>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p>
        </w:tc>
      </w:tr>
      <w:tr w14:paraId="3B17F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73086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restart"/>
            <w:tcBorders>
              <w:tl2br w:val="nil"/>
              <w:tr2bl w:val="nil"/>
            </w:tcBorders>
            <w:noWrap w:val="0"/>
            <w:vAlign w:val="center"/>
          </w:tcPr>
          <w:p w14:paraId="6C1DF16B">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农作物</w:t>
            </w:r>
          </w:p>
        </w:tc>
        <w:tc>
          <w:tcPr>
            <w:tcW w:w="976" w:type="dxa"/>
            <w:tcBorders>
              <w:tl2br w:val="nil"/>
              <w:tr2bl w:val="nil"/>
            </w:tcBorders>
            <w:noWrap w:val="0"/>
            <w:vAlign w:val="center"/>
          </w:tcPr>
          <w:p w14:paraId="1694FE26">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粮食作物</w:t>
            </w:r>
          </w:p>
        </w:tc>
        <w:tc>
          <w:tcPr>
            <w:tcW w:w="2573" w:type="dxa"/>
            <w:gridSpan w:val="2"/>
            <w:tcBorders>
              <w:tl2br w:val="nil"/>
              <w:tr2bl w:val="nil"/>
            </w:tcBorders>
            <w:noWrap w:val="0"/>
            <w:vAlign w:val="center"/>
          </w:tcPr>
          <w:p w14:paraId="24E38C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4"/>
                <w:highlight w:val="none"/>
                <w:u w:val="none"/>
              </w:rPr>
              <w:t>水稻、薯类等</w:t>
            </w:r>
          </w:p>
        </w:tc>
        <w:tc>
          <w:tcPr>
            <w:tcW w:w="1797" w:type="dxa"/>
            <w:vMerge w:val="continue"/>
            <w:tcBorders>
              <w:tl2br w:val="nil"/>
              <w:tr2bl w:val="nil"/>
            </w:tcBorders>
            <w:noWrap w:val="0"/>
            <w:vAlign w:val="center"/>
          </w:tcPr>
          <w:p w14:paraId="032DAB51">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981" w:type="dxa"/>
            <w:tcBorders>
              <w:tl2br w:val="nil"/>
              <w:tr2bl w:val="nil"/>
            </w:tcBorders>
            <w:noWrap w:val="0"/>
            <w:vAlign w:val="center"/>
          </w:tcPr>
          <w:p w14:paraId="75BFE91D">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p>
        </w:tc>
        <w:tc>
          <w:tcPr>
            <w:tcW w:w="843" w:type="dxa"/>
            <w:tcBorders>
              <w:tl2br w:val="nil"/>
              <w:tr2bl w:val="nil"/>
            </w:tcBorders>
            <w:noWrap w:val="0"/>
            <w:vAlign w:val="center"/>
          </w:tcPr>
          <w:p w14:paraId="3C5D1F4F">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p>
        </w:tc>
      </w:tr>
      <w:tr w14:paraId="2BEA2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16" w:type="dxa"/>
            <w:vMerge w:val="continue"/>
            <w:tcBorders>
              <w:tl2br w:val="nil"/>
              <w:tr2bl w:val="nil"/>
            </w:tcBorders>
            <w:noWrap w:val="0"/>
            <w:vAlign w:val="center"/>
          </w:tcPr>
          <w:p w14:paraId="2062E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836" w:type="dxa"/>
            <w:vMerge w:val="continue"/>
            <w:tcBorders>
              <w:tl2br w:val="nil"/>
              <w:tr2bl w:val="nil"/>
            </w:tcBorders>
            <w:noWrap w:val="0"/>
            <w:vAlign w:val="center"/>
          </w:tcPr>
          <w:p w14:paraId="0BED8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976" w:type="dxa"/>
            <w:tcBorders>
              <w:tl2br w:val="nil"/>
              <w:tr2bl w:val="nil"/>
            </w:tcBorders>
            <w:noWrap w:val="0"/>
            <w:vAlign w:val="center"/>
          </w:tcPr>
          <w:p w14:paraId="7D1E83D6">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经济作物</w:t>
            </w:r>
          </w:p>
        </w:tc>
        <w:tc>
          <w:tcPr>
            <w:tcW w:w="2573" w:type="dxa"/>
            <w:gridSpan w:val="2"/>
            <w:tcBorders>
              <w:tl2br w:val="nil"/>
              <w:tr2bl w:val="nil"/>
            </w:tcBorders>
            <w:noWrap w:val="0"/>
            <w:vAlign w:val="center"/>
          </w:tcPr>
          <w:p w14:paraId="488258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4"/>
                <w:highlight w:val="none"/>
                <w:u w:val="none"/>
              </w:rPr>
              <w:t>豆类、</w:t>
            </w:r>
            <w:r>
              <w:rPr>
                <w:rFonts w:hint="eastAsia" w:ascii="Times New Roman" w:hAnsi="Times New Roman" w:eastAsia="宋体" w:cs="Times New Roman"/>
                <w:caps w:val="0"/>
                <w:smallCaps w:val="0"/>
                <w:color w:val="auto"/>
                <w:sz w:val="21"/>
                <w:szCs w:val="24"/>
                <w:highlight w:val="none"/>
                <w:u w:val="none"/>
                <w:lang w:val="en-US" w:eastAsia="zh-CN"/>
              </w:rPr>
              <w:t>花生</w:t>
            </w:r>
            <w:r>
              <w:rPr>
                <w:rFonts w:hint="default" w:ascii="Times New Roman" w:hAnsi="Times New Roman" w:eastAsia="宋体" w:cs="Times New Roman"/>
                <w:caps w:val="0"/>
                <w:smallCaps w:val="0"/>
                <w:color w:val="auto"/>
                <w:sz w:val="21"/>
                <w:szCs w:val="24"/>
                <w:highlight w:val="none"/>
                <w:u w:val="none"/>
              </w:rPr>
              <w:t>等</w:t>
            </w:r>
          </w:p>
        </w:tc>
        <w:tc>
          <w:tcPr>
            <w:tcW w:w="1797" w:type="dxa"/>
            <w:vMerge w:val="continue"/>
            <w:tcBorders>
              <w:tl2br w:val="nil"/>
              <w:tr2bl w:val="nil"/>
            </w:tcBorders>
            <w:noWrap w:val="0"/>
            <w:vAlign w:val="center"/>
          </w:tcPr>
          <w:p w14:paraId="5DEC4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rPr>
            </w:pPr>
          </w:p>
        </w:tc>
        <w:tc>
          <w:tcPr>
            <w:tcW w:w="981" w:type="dxa"/>
            <w:tcBorders>
              <w:tl2br w:val="nil"/>
              <w:tr2bl w:val="nil"/>
            </w:tcBorders>
            <w:noWrap w:val="0"/>
            <w:vAlign w:val="center"/>
          </w:tcPr>
          <w:p w14:paraId="2919279D">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c>
          <w:tcPr>
            <w:tcW w:w="843" w:type="dxa"/>
            <w:tcBorders>
              <w:tl2br w:val="nil"/>
              <w:tr2bl w:val="nil"/>
            </w:tcBorders>
            <w:noWrap w:val="0"/>
            <w:vAlign w:val="center"/>
          </w:tcPr>
          <w:p w14:paraId="11AB8829">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w:t>
            </w:r>
          </w:p>
        </w:tc>
      </w:tr>
    </w:tbl>
    <w:p w14:paraId="7B682F70">
      <w:pPr>
        <w:bidi w:val="0"/>
        <w:spacing w:line="360" w:lineRule="auto"/>
        <w:ind w:firstLine="480" w:firstLineChars="200"/>
        <w:rPr>
          <w:rFonts w:ascii="Times New Roman" w:hAnsi="Times New Roman" w:eastAsia="宋体" w:cs="Times New Roman"/>
          <w:caps w:val="0"/>
          <w:smallCaps w:val="0"/>
          <w:color w:val="auto"/>
          <w:sz w:val="24"/>
          <w:szCs w:val="21"/>
        </w:rPr>
      </w:pPr>
      <w:bookmarkStart w:id="234" w:name="_Toc25395"/>
      <w:bookmarkStart w:id="235" w:name="_Toc8715"/>
      <w:bookmarkStart w:id="236" w:name="_Toc21566"/>
      <w:bookmarkStart w:id="237" w:name="_Toc24548"/>
      <w:r>
        <w:rPr>
          <w:rFonts w:ascii="Times New Roman" w:hAnsi="Times New Roman" w:eastAsia="宋体" w:cs="Times New Roman"/>
          <w:caps w:val="0"/>
          <w:smallCaps w:val="0"/>
          <w:color w:val="auto"/>
          <w:sz w:val="24"/>
          <w:szCs w:val="21"/>
        </w:rPr>
        <w:t>主要</w:t>
      </w:r>
      <w:r>
        <w:rPr>
          <w:rFonts w:hint="eastAsia" w:ascii="Times New Roman" w:hAnsi="Times New Roman" w:eastAsia="宋体" w:cs="Times New Roman"/>
          <w:caps w:val="0"/>
          <w:smallCaps w:val="0"/>
          <w:color w:val="auto"/>
          <w:sz w:val="24"/>
          <w:szCs w:val="21"/>
          <w:lang w:val="en-US" w:eastAsia="zh-CN"/>
        </w:rPr>
        <w:t>植物群落</w:t>
      </w:r>
      <w:r>
        <w:rPr>
          <w:rFonts w:ascii="Times New Roman" w:hAnsi="Times New Roman" w:eastAsia="宋体" w:cs="Times New Roman"/>
          <w:caps w:val="0"/>
          <w:smallCaps w:val="0"/>
          <w:color w:val="auto"/>
          <w:sz w:val="24"/>
          <w:szCs w:val="21"/>
        </w:rPr>
        <w:t>描述</w:t>
      </w:r>
    </w:p>
    <w:p w14:paraId="4B6BE51E">
      <w:pPr>
        <w:spacing w:line="360" w:lineRule="auto"/>
        <w:ind w:firstLine="480" w:firstLineChars="200"/>
        <w:rPr>
          <w:rFonts w:hint="eastAsia" w:ascii="Times New Roman" w:hAnsi="Times New Roman" w:eastAsia="宋体" w:cs="Times New Roman"/>
          <w:caps w:val="0"/>
          <w:smallCaps w:val="0"/>
          <w:color w:val="auto"/>
          <w:sz w:val="24"/>
          <w:szCs w:val="21"/>
          <w:u w:val="none"/>
          <w:lang w:eastAsia="zh-CN"/>
        </w:rPr>
      </w:pPr>
      <w:r>
        <w:rPr>
          <w:rFonts w:hint="eastAsia" w:ascii="Times New Roman" w:hAnsi="Times New Roman" w:eastAsia="宋体" w:cs="Times New Roman"/>
          <w:caps w:val="0"/>
          <w:smallCaps w:val="0"/>
          <w:color w:val="auto"/>
          <w:sz w:val="24"/>
          <w:szCs w:val="21"/>
          <w:u w:val="none"/>
        </w:rPr>
        <w:t>参照《中国植被》、《湖南植被》的分类原则</w:t>
      </w:r>
      <w:r>
        <w:rPr>
          <w:rFonts w:hint="eastAsia" w:ascii="Times New Roman" w:hAnsi="Times New Roman" w:eastAsia="宋体" w:cs="Times New Roman"/>
          <w:caps w:val="0"/>
          <w:smallCaps w:val="0"/>
          <w:color w:val="auto"/>
          <w:sz w:val="24"/>
          <w:szCs w:val="21"/>
          <w:u w:val="none"/>
          <w:lang w:eastAsia="zh-CN"/>
        </w:rPr>
        <w:t>，</w:t>
      </w:r>
      <w:r>
        <w:rPr>
          <w:rFonts w:hint="eastAsia" w:ascii="Times New Roman" w:hAnsi="Times New Roman" w:eastAsia="宋体" w:cs="Times New Roman"/>
          <w:caps w:val="0"/>
          <w:smallCaps w:val="0"/>
          <w:color w:val="auto"/>
          <w:sz w:val="24"/>
          <w:szCs w:val="21"/>
          <w:u w:val="none"/>
          <w:lang w:val="en-US" w:eastAsia="zh-CN"/>
        </w:rPr>
        <w:t>根据样方调查结果，</w:t>
      </w:r>
      <w:r>
        <w:rPr>
          <w:rFonts w:hint="eastAsia" w:ascii="Times New Roman" w:hAnsi="Times New Roman" w:eastAsia="宋体" w:cs="Times New Roman"/>
          <w:caps w:val="0"/>
          <w:smallCaps w:val="0"/>
          <w:color w:val="auto"/>
          <w:sz w:val="24"/>
          <w:szCs w:val="21"/>
          <w:u w:val="none"/>
        </w:rPr>
        <w:t>对评价区植被中主要植物群落的分布及特征进行描述。</w:t>
      </w:r>
    </w:p>
    <w:p w14:paraId="3385FBB5">
      <w:pPr>
        <w:keepNext w:val="0"/>
        <w:keepLines w:val="0"/>
        <w:pageBreakBefore w:val="0"/>
        <w:widowControl/>
        <w:numPr>
          <w:ilvl w:val="0"/>
          <w:numId w:val="19"/>
        </w:numPr>
        <w:kinsoku/>
        <w:wordWrap/>
        <w:overflowPunct/>
        <w:topLinePunct w:val="0"/>
        <w:autoSpaceDE/>
        <w:autoSpaceDN/>
        <w:bidi w:val="0"/>
        <w:adjustRightInd/>
        <w:snapToGrid/>
        <w:spacing w:before="100" w:beforeAutospacing="1" w:line="360" w:lineRule="auto"/>
        <w:ind w:firstLine="482" w:firstLineChars="200"/>
        <w:contextualSpacing/>
        <w:jc w:val="left"/>
        <w:textAlignment w:val="auto"/>
        <w:outlineLvl w:val="9"/>
        <w:rPr>
          <w:rFonts w:hint="eastAsia" w:ascii="Times New Roman" w:hAnsi="Times New Roman" w:eastAsia="宋体" w:cs="Times New Roman"/>
          <w:b/>
          <w:bCs/>
          <w:caps w:val="0"/>
          <w:smallCaps w:val="0"/>
          <w:color w:val="auto"/>
          <w:sz w:val="24"/>
          <w:szCs w:val="21"/>
          <w:lang w:val="en-US" w:eastAsia="zh-CN"/>
        </w:rPr>
      </w:pPr>
      <w:bookmarkStart w:id="238" w:name="_Toc24689"/>
      <w:bookmarkStart w:id="239" w:name="_Toc31411"/>
      <w:bookmarkStart w:id="240" w:name="_Toc24846"/>
      <w:bookmarkStart w:id="241" w:name="_Toc22311"/>
      <w:r>
        <w:rPr>
          <w:rFonts w:hint="eastAsia" w:ascii="Times New Roman" w:hAnsi="Times New Roman" w:eastAsia="宋体" w:cs="Times New Roman"/>
          <w:b/>
          <w:bCs/>
          <w:caps w:val="0"/>
          <w:smallCaps w:val="0"/>
          <w:color w:val="auto"/>
          <w:sz w:val="24"/>
          <w:szCs w:val="21"/>
          <w:lang w:val="en-US" w:eastAsia="zh-CN"/>
        </w:rPr>
        <w:t>针叶林</w:t>
      </w:r>
      <w:bookmarkEnd w:id="238"/>
    </w:p>
    <w:p w14:paraId="6911FCF2">
      <w:pPr>
        <w:widowControl/>
        <w:numPr>
          <w:ilvl w:val="0"/>
          <w:numId w:val="20"/>
        </w:numPr>
        <w:tabs>
          <w:tab w:val="left" w:pos="1021"/>
        </w:tabs>
        <w:spacing w:line="360" w:lineRule="auto"/>
        <w:ind w:left="-2" w:leftChars="0" w:firstLine="482" w:firstLineChars="0"/>
        <w:rPr>
          <w:rFonts w:hint="default" w:ascii="Times New Roman" w:hAnsi="Times New Roman" w:eastAsia="宋体" w:cs="Times New Roman"/>
          <w:b/>
          <w:caps w:val="0"/>
          <w:smallCaps w:val="0"/>
          <w:color w:val="auto"/>
          <w:kern w:val="0"/>
          <w:sz w:val="24"/>
          <w:szCs w:val="24"/>
        </w:rPr>
      </w:pPr>
      <w:r>
        <w:rPr>
          <w:rFonts w:hint="default" w:ascii="Times New Roman" w:hAnsi="Times New Roman" w:eastAsia="宋体" w:cs="Times New Roman"/>
          <w:b/>
          <w:caps w:val="0"/>
          <w:smallCaps w:val="0"/>
          <w:color w:val="auto"/>
          <w:kern w:val="0"/>
          <w:sz w:val="24"/>
          <w:szCs w:val="24"/>
          <w:lang w:val="en-US" w:eastAsia="zh-CN"/>
        </w:rPr>
        <w:t>杉木</w:t>
      </w:r>
      <w:r>
        <w:rPr>
          <w:rFonts w:hint="default" w:ascii="Times New Roman" w:hAnsi="Times New Roman" w:eastAsia="宋体" w:cs="Times New Roman"/>
          <w:b/>
          <w:caps w:val="0"/>
          <w:smallCaps w:val="0"/>
          <w:color w:val="auto"/>
          <w:kern w:val="0"/>
          <w:sz w:val="24"/>
          <w:szCs w:val="24"/>
          <w:lang w:eastAsia="zh-CN"/>
        </w:rPr>
        <w:t>群系</w:t>
      </w:r>
    </w:p>
    <w:p w14:paraId="4AE895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杉木(</w:t>
      </w:r>
      <w:r>
        <w:rPr>
          <w:rFonts w:hint="default" w:ascii="Times New Roman" w:hAnsi="Times New Roman" w:eastAsia="宋体" w:cs="Times New Roman"/>
          <w:i/>
          <w:iCs/>
          <w:color w:val="auto"/>
          <w:kern w:val="2"/>
          <w:sz w:val="24"/>
          <w:szCs w:val="21"/>
          <w:lang w:val="en-US" w:eastAsia="zh-CN" w:bidi="ar-SA"/>
        </w:rPr>
        <w:t>Cunninghamia lanceolata</w:t>
      </w:r>
      <w:r>
        <w:rPr>
          <w:rFonts w:hint="default" w:ascii="Times New Roman" w:hAnsi="Times New Roman" w:eastAsia="宋体" w:cs="Times New Roman"/>
          <w:color w:val="auto"/>
          <w:kern w:val="2"/>
          <w:sz w:val="24"/>
          <w:szCs w:val="21"/>
          <w:lang w:val="en-US" w:eastAsia="zh-CN" w:bidi="ar-SA"/>
        </w:rPr>
        <w:t>)，杉科杉木属植物，为亚热带树种，适应性强，喜温暖湿润气候。杉木林为评论区较为常见的针叶群系</w:t>
      </w:r>
      <w:r>
        <w:rPr>
          <w:rFonts w:hint="default" w:ascii="Times New Roman" w:hAnsi="Times New Roman" w:eastAsia="宋体" w:cs="Times New Roman"/>
          <w:color w:val="auto"/>
          <w:kern w:val="2"/>
          <w:sz w:val="24"/>
          <w:szCs w:val="21"/>
          <w:u w:val="none"/>
          <w:lang w:val="en-US" w:eastAsia="zh-CN" w:bidi="ar-SA"/>
        </w:rPr>
        <w:t>，常呈片状分布，群落外貌呈深绿色，群落下土壤为黄壤，林冠整齐，群落结构及种类组成较简单</w:t>
      </w:r>
      <w:r>
        <w:rPr>
          <w:rFonts w:hint="default" w:ascii="Times New Roman" w:hAnsi="Times New Roman" w:eastAsia="宋体" w:cs="Times New Roman"/>
          <w:color w:val="auto"/>
          <w:kern w:val="2"/>
          <w:sz w:val="24"/>
          <w:szCs w:val="21"/>
          <w:lang w:val="en-US" w:eastAsia="zh-CN" w:bidi="ar-SA"/>
        </w:rPr>
        <w:t>。</w:t>
      </w:r>
    </w:p>
    <w:p w14:paraId="782157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sz w:val="24"/>
          <w:szCs w:val="22"/>
        </w:rPr>
        <w:t>乔木层郁闭度</w:t>
      </w:r>
      <w:r>
        <w:rPr>
          <w:rFonts w:hint="default" w:ascii="Times New Roman" w:hAnsi="Times New Roman" w:eastAsia="宋体" w:cs="Times New Roman"/>
          <w:color w:val="auto"/>
          <w:sz w:val="24"/>
          <w:szCs w:val="22"/>
          <w:lang w:val="en-US" w:eastAsia="zh-CN"/>
        </w:rPr>
        <w:t>0.85</w:t>
      </w:r>
      <w:r>
        <w:rPr>
          <w:rFonts w:hint="default" w:ascii="Times New Roman" w:hAnsi="Times New Roman" w:eastAsia="宋体" w:cs="Times New Roman"/>
          <w:color w:val="auto"/>
          <w:sz w:val="24"/>
          <w:szCs w:val="22"/>
        </w:rPr>
        <w:t>，层均高</w:t>
      </w:r>
      <w:r>
        <w:rPr>
          <w:rFonts w:hint="eastAsia" w:ascii="Times New Roman" w:hAnsi="Times New Roman" w:eastAsia="宋体" w:cs="Times New Roman"/>
          <w:color w:val="auto"/>
          <w:sz w:val="24"/>
          <w:szCs w:val="22"/>
          <w:lang w:val="en-US" w:eastAsia="zh-CN"/>
        </w:rPr>
        <w:t>12</w:t>
      </w:r>
      <w:r>
        <w:rPr>
          <w:rFonts w:hint="default" w:ascii="Times New Roman" w:hAnsi="Times New Roman" w:eastAsia="宋体" w:cs="Times New Roman"/>
          <w:color w:val="auto"/>
          <w:sz w:val="24"/>
          <w:szCs w:val="22"/>
        </w:rPr>
        <w:t>m，优势种为</w:t>
      </w:r>
      <w:r>
        <w:rPr>
          <w:rFonts w:hint="default" w:ascii="Times New Roman" w:hAnsi="Times New Roman" w:eastAsia="宋体" w:cs="Times New Roman"/>
          <w:color w:val="auto"/>
          <w:sz w:val="24"/>
          <w:szCs w:val="22"/>
          <w:lang w:eastAsia="zh-CN"/>
        </w:rPr>
        <w:t>杉木</w:t>
      </w:r>
      <w:r>
        <w:rPr>
          <w:rFonts w:hint="default" w:ascii="Times New Roman" w:hAnsi="Times New Roman" w:eastAsia="宋体" w:cs="Times New Roman"/>
          <w:color w:val="auto"/>
          <w:sz w:val="24"/>
          <w:szCs w:val="22"/>
        </w:rPr>
        <w:t>，高</w:t>
      </w:r>
      <w:r>
        <w:rPr>
          <w:rFonts w:hint="default" w:ascii="Times New Roman" w:hAnsi="Times New Roman" w:eastAsia="宋体" w:cs="Times New Roman"/>
          <w:color w:val="auto"/>
          <w:sz w:val="24"/>
          <w:szCs w:val="22"/>
          <w:lang w:val="en-US" w:eastAsia="zh-CN"/>
        </w:rPr>
        <w:t>5-9</w:t>
      </w:r>
      <w:r>
        <w:rPr>
          <w:rFonts w:hint="default" w:ascii="Times New Roman" w:hAnsi="Times New Roman" w:eastAsia="宋体" w:cs="Times New Roman"/>
          <w:color w:val="auto"/>
          <w:sz w:val="24"/>
          <w:szCs w:val="22"/>
        </w:rPr>
        <w:t>m，胸径</w:t>
      </w:r>
      <w:r>
        <w:rPr>
          <w:rFonts w:hint="default" w:ascii="Times New Roman" w:hAnsi="Times New Roman" w:eastAsia="宋体" w:cs="Times New Roman"/>
          <w:color w:val="auto"/>
          <w:sz w:val="24"/>
          <w:szCs w:val="22"/>
          <w:lang w:val="en-US" w:eastAsia="zh-CN"/>
        </w:rPr>
        <w:t>6-17</w:t>
      </w:r>
      <w:r>
        <w:rPr>
          <w:rFonts w:hint="default" w:ascii="Times New Roman" w:hAnsi="Times New Roman" w:eastAsia="宋体" w:cs="Times New Roman"/>
          <w:color w:val="auto"/>
          <w:sz w:val="24"/>
          <w:szCs w:val="22"/>
        </w:rPr>
        <w:t>cm，其他主要物种有</w:t>
      </w:r>
      <w:r>
        <w:rPr>
          <w:rFonts w:hint="default" w:ascii="Times New Roman" w:hAnsi="Times New Roman" w:eastAsia="宋体" w:cs="Times New Roman"/>
          <w:color w:val="auto"/>
          <w:sz w:val="24"/>
          <w:szCs w:val="22"/>
          <w:lang w:eastAsia="zh-CN"/>
        </w:rPr>
        <w:t>樟(</w:t>
      </w:r>
      <w:r>
        <w:rPr>
          <w:rFonts w:hint="default" w:ascii="Times New Roman" w:hAnsi="Times New Roman" w:eastAsia="宋体" w:cs="Times New Roman"/>
          <w:i/>
          <w:iCs/>
          <w:color w:val="auto"/>
          <w:sz w:val="24"/>
          <w:szCs w:val="22"/>
          <w:lang w:eastAsia="zh-CN"/>
        </w:rPr>
        <w:t>Camphora officinarum</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w:t>
      </w:r>
      <w:r>
        <w:rPr>
          <w:rFonts w:hint="eastAsia" w:ascii="Times New Roman" w:hAnsi="Times New Roman" w:eastAsia="宋体" w:cs="Times New Roman"/>
          <w:color w:val="auto"/>
          <w:kern w:val="2"/>
          <w:sz w:val="24"/>
          <w:szCs w:val="21"/>
          <w:lang w:val="en-US" w:eastAsia="zh-CN" w:bidi="ar-SA"/>
        </w:rPr>
        <w:t>毛竹(</w:t>
      </w:r>
      <w:r>
        <w:rPr>
          <w:rFonts w:hint="eastAsia" w:ascii="Times New Roman" w:hAnsi="Times New Roman" w:eastAsia="宋体" w:cs="Times New Roman"/>
          <w:i/>
          <w:iCs/>
          <w:color w:val="auto"/>
          <w:kern w:val="2"/>
          <w:sz w:val="24"/>
          <w:szCs w:val="21"/>
          <w:lang w:val="en-US" w:eastAsia="zh-CN" w:bidi="ar-SA"/>
        </w:rPr>
        <w:t>Phyllostachys edulis</w:t>
      </w:r>
      <w:r>
        <w:rPr>
          <w:rFonts w:hint="eastAsia" w:ascii="Times New Roman" w:hAnsi="Times New Roman" w:eastAsia="宋体" w:cs="Times New Roman"/>
          <w:color w:val="auto"/>
          <w:kern w:val="2"/>
          <w:sz w:val="24"/>
          <w:szCs w:val="21"/>
          <w:lang w:val="en-US" w:eastAsia="zh-CN" w:bidi="ar-SA"/>
        </w:rPr>
        <w:t>)</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lang w:eastAsia="zh-CN"/>
        </w:rPr>
        <w:t>马尾松(</w:t>
      </w:r>
      <w:r>
        <w:rPr>
          <w:rFonts w:hint="default" w:ascii="Times New Roman" w:hAnsi="Times New Roman" w:eastAsia="宋体" w:cs="Times New Roman"/>
          <w:i/>
          <w:iCs/>
          <w:color w:val="auto"/>
          <w:sz w:val="24"/>
          <w:szCs w:val="22"/>
          <w:lang w:eastAsia="zh-CN"/>
        </w:rPr>
        <w:t>Pinus massoniana</w:t>
      </w:r>
      <w:r>
        <w:rPr>
          <w:rFonts w:hint="default" w:ascii="Times New Roman" w:hAnsi="Times New Roman" w:eastAsia="宋体" w:cs="Times New Roman"/>
          <w:color w:val="auto"/>
          <w:sz w:val="24"/>
          <w:szCs w:val="22"/>
          <w:lang w:eastAsia="zh-CN"/>
        </w:rPr>
        <w:t>)、锥栗(</w:t>
      </w:r>
      <w:r>
        <w:rPr>
          <w:rFonts w:hint="default" w:ascii="Times New Roman" w:hAnsi="Times New Roman" w:eastAsia="宋体" w:cs="Times New Roman"/>
          <w:i/>
          <w:iCs/>
          <w:color w:val="auto"/>
          <w:sz w:val="24"/>
          <w:szCs w:val="22"/>
          <w:lang w:eastAsia="zh-CN"/>
        </w:rPr>
        <w:t>Castanea henryi</w:t>
      </w:r>
      <w:r>
        <w:rPr>
          <w:rFonts w:hint="default" w:ascii="Times New Roman" w:hAnsi="Times New Roman" w:eastAsia="宋体" w:cs="Times New Roman"/>
          <w:color w:val="auto"/>
          <w:sz w:val="24"/>
          <w:szCs w:val="22"/>
          <w:lang w:eastAsia="zh-CN"/>
        </w:rPr>
        <w:t>)等；林下</w:t>
      </w:r>
      <w:r>
        <w:rPr>
          <w:rFonts w:hint="default" w:ascii="Times New Roman" w:hAnsi="Times New Roman" w:eastAsia="宋体" w:cs="Times New Roman"/>
          <w:color w:val="auto"/>
          <w:sz w:val="24"/>
          <w:szCs w:val="22"/>
        </w:rPr>
        <w:t>灌木层</w:t>
      </w:r>
      <w:r>
        <w:rPr>
          <w:rFonts w:hint="default" w:ascii="Times New Roman" w:hAnsi="Times New Roman" w:eastAsia="宋体" w:cs="Times New Roman"/>
          <w:color w:val="auto"/>
          <w:sz w:val="24"/>
          <w:szCs w:val="22"/>
          <w:lang w:eastAsia="zh-CN"/>
        </w:rPr>
        <w:t>盖度</w:t>
      </w:r>
      <w:r>
        <w:rPr>
          <w:rFonts w:hint="default" w:ascii="Times New Roman" w:hAnsi="Times New Roman" w:eastAsia="宋体" w:cs="Times New Roman"/>
          <w:color w:val="auto"/>
          <w:sz w:val="24"/>
          <w:szCs w:val="22"/>
          <w:lang w:val="en-US" w:eastAsia="zh-CN"/>
        </w:rPr>
        <w:t>30%，层均高1.5m，</w:t>
      </w:r>
      <w:r>
        <w:rPr>
          <w:rFonts w:hint="default" w:ascii="Times New Roman" w:hAnsi="Times New Roman" w:eastAsia="宋体" w:cs="Times New Roman"/>
          <w:color w:val="auto"/>
          <w:sz w:val="24"/>
          <w:szCs w:val="22"/>
        </w:rPr>
        <w:t>优势种为</w:t>
      </w:r>
      <w:r>
        <w:rPr>
          <w:rFonts w:hint="default" w:ascii="Times New Roman" w:hAnsi="Times New Roman" w:eastAsia="宋体" w:cs="Times New Roman"/>
          <w:color w:val="auto"/>
          <w:sz w:val="24"/>
          <w:szCs w:val="22"/>
          <w:lang w:eastAsia="zh-CN"/>
        </w:rPr>
        <w:t>山鸡椒(</w:t>
      </w:r>
      <w:r>
        <w:rPr>
          <w:rFonts w:hint="default" w:ascii="Times New Roman" w:hAnsi="Times New Roman" w:eastAsia="宋体" w:cs="Times New Roman"/>
          <w:i/>
          <w:iCs/>
          <w:color w:val="auto"/>
          <w:sz w:val="24"/>
          <w:szCs w:val="22"/>
          <w:lang w:eastAsia="zh-CN"/>
        </w:rPr>
        <w:t>Litsea cubeba</w:t>
      </w:r>
      <w:r>
        <w:rPr>
          <w:rFonts w:hint="default" w:ascii="Times New Roman" w:hAnsi="Times New Roman" w:eastAsia="宋体" w:cs="Times New Roman"/>
          <w:color w:val="auto"/>
          <w:sz w:val="24"/>
          <w:szCs w:val="22"/>
          <w:lang w:eastAsia="zh-CN"/>
        </w:rPr>
        <w:t>)，高</w:t>
      </w:r>
      <w:r>
        <w:rPr>
          <w:rFonts w:hint="default" w:ascii="Times New Roman" w:hAnsi="Times New Roman" w:eastAsia="宋体" w:cs="Times New Roman"/>
          <w:color w:val="auto"/>
          <w:sz w:val="24"/>
          <w:szCs w:val="22"/>
          <w:lang w:val="en-US" w:eastAsia="zh-CN"/>
        </w:rPr>
        <w:t>1.4-1.8m，地径2-4cm</w:t>
      </w:r>
      <w:r>
        <w:rPr>
          <w:rFonts w:hint="default" w:ascii="Times New Roman" w:hAnsi="Times New Roman" w:eastAsia="宋体" w:cs="Times New Roman"/>
          <w:color w:val="auto"/>
          <w:sz w:val="24"/>
          <w:szCs w:val="22"/>
          <w:lang w:eastAsia="zh-CN"/>
        </w:rPr>
        <w:t>，其他主要物种有小果蔷薇(</w:t>
      </w:r>
      <w:r>
        <w:rPr>
          <w:rFonts w:hint="default" w:ascii="Times New Roman" w:hAnsi="Times New Roman" w:eastAsia="宋体" w:cs="Times New Roman"/>
          <w:i/>
          <w:iCs/>
          <w:color w:val="auto"/>
          <w:sz w:val="24"/>
          <w:szCs w:val="22"/>
          <w:lang w:eastAsia="zh-CN"/>
        </w:rPr>
        <w:t>Rosa cymosa</w:t>
      </w:r>
      <w:r>
        <w:rPr>
          <w:rFonts w:hint="default" w:ascii="Times New Roman" w:hAnsi="Times New Roman" w:eastAsia="宋体" w:cs="Times New Roman"/>
          <w:color w:val="auto"/>
          <w:sz w:val="24"/>
          <w:szCs w:val="22"/>
          <w:lang w:eastAsia="zh-CN"/>
        </w:rPr>
        <w:t>)、女贞(</w:t>
      </w:r>
      <w:r>
        <w:rPr>
          <w:rFonts w:hint="default" w:ascii="Times New Roman" w:hAnsi="Times New Roman" w:eastAsia="宋体" w:cs="Times New Roman"/>
          <w:i/>
          <w:iCs/>
          <w:color w:val="auto"/>
          <w:sz w:val="24"/>
          <w:szCs w:val="22"/>
          <w:lang w:eastAsia="zh-CN"/>
        </w:rPr>
        <w:t>Ligustrum lucidum</w:t>
      </w:r>
      <w:r>
        <w:rPr>
          <w:rFonts w:hint="default" w:ascii="Times New Roman" w:hAnsi="Times New Roman" w:eastAsia="宋体" w:cs="Times New Roman"/>
          <w:color w:val="auto"/>
          <w:sz w:val="24"/>
          <w:szCs w:val="22"/>
          <w:lang w:eastAsia="zh-CN"/>
        </w:rPr>
        <w:t>)、篌竹(</w:t>
      </w:r>
      <w:r>
        <w:rPr>
          <w:rFonts w:hint="default" w:ascii="Times New Roman" w:hAnsi="Times New Roman" w:eastAsia="宋体" w:cs="Times New Roman"/>
          <w:i/>
          <w:iCs/>
          <w:color w:val="auto"/>
          <w:sz w:val="24"/>
          <w:szCs w:val="22"/>
          <w:lang w:eastAsia="zh-CN"/>
        </w:rPr>
        <w:t>Phyllostachys nidularia</w:t>
      </w:r>
      <w:r>
        <w:rPr>
          <w:rFonts w:hint="default" w:ascii="Times New Roman" w:hAnsi="Times New Roman" w:eastAsia="宋体" w:cs="Times New Roman"/>
          <w:color w:val="auto"/>
          <w:sz w:val="24"/>
          <w:szCs w:val="22"/>
          <w:lang w:eastAsia="zh-CN"/>
        </w:rPr>
        <w:t>)、茶(</w:t>
      </w:r>
      <w:r>
        <w:rPr>
          <w:rFonts w:hint="default" w:ascii="Times New Roman" w:hAnsi="Times New Roman" w:eastAsia="宋体" w:cs="Times New Roman"/>
          <w:i/>
          <w:iCs/>
          <w:color w:val="auto"/>
          <w:sz w:val="24"/>
          <w:szCs w:val="22"/>
          <w:lang w:eastAsia="zh-CN"/>
        </w:rPr>
        <w:t>Camellia sinensis</w:t>
      </w:r>
      <w:r>
        <w:rPr>
          <w:rFonts w:hint="default" w:ascii="Times New Roman" w:hAnsi="Times New Roman" w:eastAsia="宋体" w:cs="Times New Roman"/>
          <w:color w:val="auto"/>
          <w:sz w:val="24"/>
          <w:szCs w:val="22"/>
          <w:lang w:eastAsia="zh-CN"/>
        </w:rPr>
        <w:t>)等</w:t>
      </w:r>
      <w:r>
        <w:rPr>
          <w:rFonts w:hint="default" w:ascii="Times New Roman" w:hAnsi="Times New Roman" w:eastAsia="宋体" w:cs="Times New Roman"/>
          <w:color w:val="auto"/>
          <w:sz w:val="24"/>
          <w:szCs w:val="22"/>
        </w:rPr>
        <w:t>；草本层</w:t>
      </w:r>
      <w:r>
        <w:rPr>
          <w:rFonts w:hint="default" w:ascii="Times New Roman" w:hAnsi="Times New Roman" w:eastAsia="宋体" w:cs="Times New Roman"/>
          <w:color w:val="auto"/>
          <w:sz w:val="24"/>
          <w:szCs w:val="22"/>
          <w:lang w:eastAsia="zh-CN"/>
        </w:rPr>
        <w:t>盖度</w:t>
      </w:r>
      <w:r>
        <w:rPr>
          <w:rFonts w:hint="default" w:ascii="Times New Roman" w:hAnsi="Times New Roman" w:eastAsia="宋体" w:cs="Times New Roman"/>
          <w:color w:val="auto"/>
          <w:sz w:val="24"/>
          <w:szCs w:val="22"/>
          <w:lang w:val="en-US" w:eastAsia="zh-CN"/>
        </w:rPr>
        <w:t>30%，层均高0</w:t>
      </w:r>
      <w:r>
        <w:rPr>
          <w:rFonts w:hint="eastAsia" w:ascii="Times New Roman" w:hAnsi="Times New Roman" w:eastAsia="宋体" w:cs="Times New Roman"/>
          <w:color w:val="auto"/>
          <w:sz w:val="24"/>
          <w:szCs w:val="22"/>
          <w:lang w:val="en-US" w:eastAsia="zh-CN"/>
        </w:rPr>
        <w:t>.5</w:t>
      </w:r>
      <w:r>
        <w:rPr>
          <w:rFonts w:hint="default" w:ascii="Times New Roman" w:hAnsi="Times New Roman" w:eastAsia="宋体" w:cs="Times New Roman"/>
          <w:color w:val="auto"/>
          <w:sz w:val="24"/>
          <w:szCs w:val="22"/>
          <w:lang w:val="en-US" w:eastAsia="zh-CN"/>
        </w:rPr>
        <w:t>m，</w:t>
      </w:r>
      <w:r>
        <w:rPr>
          <w:rFonts w:hint="default" w:ascii="Times New Roman" w:hAnsi="Times New Roman" w:eastAsia="宋体" w:cs="Times New Roman"/>
          <w:color w:val="auto"/>
          <w:sz w:val="24"/>
          <w:szCs w:val="22"/>
        </w:rPr>
        <w:t>优势种为</w:t>
      </w:r>
      <w:r>
        <w:rPr>
          <w:rFonts w:hint="default" w:ascii="Times New Roman" w:hAnsi="Times New Roman" w:eastAsia="宋体" w:cs="Times New Roman"/>
          <w:color w:val="auto"/>
          <w:sz w:val="24"/>
          <w:szCs w:val="22"/>
          <w:lang w:eastAsia="zh-CN"/>
        </w:rPr>
        <w:t>芒(</w:t>
      </w:r>
      <w:r>
        <w:rPr>
          <w:rFonts w:hint="default" w:ascii="Times New Roman" w:hAnsi="Times New Roman" w:eastAsia="宋体" w:cs="Times New Roman"/>
          <w:i/>
          <w:iCs/>
          <w:color w:val="auto"/>
          <w:sz w:val="24"/>
          <w:szCs w:val="22"/>
          <w:lang w:eastAsia="zh-CN"/>
        </w:rPr>
        <w:t>Miscanthus sinensis</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lang w:eastAsia="zh-CN"/>
        </w:rPr>
        <w:t>高</w:t>
      </w:r>
      <w:r>
        <w:rPr>
          <w:rFonts w:hint="default" w:ascii="Times New Roman" w:hAnsi="Times New Roman" w:eastAsia="宋体" w:cs="Times New Roman"/>
          <w:color w:val="auto"/>
          <w:sz w:val="24"/>
          <w:szCs w:val="22"/>
          <w:lang w:val="en-US" w:eastAsia="zh-CN"/>
        </w:rPr>
        <w:t>0.6-1.7m，</w:t>
      </w:r>
      <w:r>
        <w:rPr>
          <w:rFonts w:hint="default" w:ascii="Times New Roman" w:hAnsi="Times New Roman" w:eastAsia="宋体" w:cs="Times New Roman"/>
          <w:color w:val="auto"/>
          <w:sz w:val="24"/>
          <w:szCs w:val="22"/>
        </w:rPr>
        <w:t>其他主要物种有</w:t>
      </w:r>
      <w:r>
        <w:rPr>
          <w:rFonts w:hint="default" w:ascii="Times New Roman" w:hAnsi="Times New Roman" w:eastAsia="宋体" w:cs="Times New Roman"/>
          <w:color w:val="auto"/>
          <w:sz w:val="24"/>
          <w:szCs w:val="22"/>
          <w:lang w:eastAsia="zh-CN"/>
        </w:rPr>
        <w:t>水蓼(</w:t>
      </w:r>
      <w:r>
        <w:rPr>
          <w:rFonts w:hint="default" w:ascii="Times New Roman" w:hAnsi="Times New Roman" w:eastAsia="宋体" w:cs="Times New Roman"/>
          <w:i/>
          <w:iCs/>
          <w:color w:val="auto"/>
          <w:sz w:val="24"/>
          <w:szCs w:val="22"/>
          <w:lang w:eastAsia="zh-CN"/>
        </w:rPr>
        <w:t>Persicaria hydropiper</w:t>
      </w:r>
      <w:r>
        <w:rPr>
          <w:rFonts w:hint="default" w:ascii="Times New Roman" w:hAnsi="Times New Roman" w:eastAsia="宋体" w:cs="Times New Roman"/>
          <w:color w:val="auto"/>
          <w:sz w:val="24"/>
          <w:szCs w:val="22"/>
          <w:lang w:eastAsia="zh-CN"/>
        </w:rPr>
        <w:t>)、沿阶草(</w:t>
      </w:r>
      <w:r>
        <w:rPr>
          <w:rFonts w:hint="default" w:ascii="Times New Roman" w:hAnsi="Times New Roman" w:eastAsia="宋体" w:cs="Times New Roman"/>
          <w:i/>
          <w:iCs/>
          <w:color w:val="auto"/>
          <w:sz w:val="24"/>
          <w:szCs w:val="22"/>
          <w:lang w:eastAsia="zh-CN"/>
        </w:rPr>
        <w:t>Ophiopogon bodinieri</w:t>
      </w:r>
      <w:r>
        <w:rPr>
          <w:rFonts w:hint="default" w:ascii="Times New Roman" w:hAnsi="Times New Roman" w:eastAsia="宋体" w:cs="Times New Roman"/>
          <w:color w:val="auto"/>
          <w:sz w:val="24"/>
          <w:szCs w:val="22"/>
          <w:lang w:eastAsia="zh-CN"/>
        </w:rPr>
        <w:t>)、地锦(</w:t>
      </w:r>
      <w:r>
        <w:rPr>
          <w:rFonts w:hint="default" w:ascii="Times New Roman" w:hAnsi="Times New Roman" w:eastAsia="宋体" w:cs="Times New Roman"/>
          <w:i/>
          <w:iCs/>
          <w:color w:val="auto"/>
          <w:sz w:val="24"/>
          <w:szCs w:val="22"/>
          <w:lang w:eastAsia="zh-CN"/>
        </w:rPr>
        <w:t>Parthenocissus tricuspidata</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等。</w:t>
      </w:r>
    </w:p>
    <w:p w14:paraId="6EA040EB">
      <w:pPr>
        <w:widowControl/>
        <w:numPr>
          <w:ilvl w:val="0"/>
          <w:numId w:val="19"/>
        </w:numPr>
        <w:spacing w:before="100" w:beforeAutospacing="1" w:line="360" w:lineRule="auto"/>
        <w:ind w:firstLine="482" w:firstLineChars="200"/>
        <w:contextualSpacing/>
        <w:jc w:val="left"/>
        <w:rPr>
          <w:rFonts w:hint="eastAsia" w:ascii="Times New Roman" w:hAnsi="Times New Roman" w:eastAsia="宋体" w:cs="Times New Roman"/>
          <w:b/>
          <w:bCs/>
          <w:caps w:val="0"/>
          <w:smallCaps w:val="0"/>
          <w:color w:val="auto"/>
          <w:sz w:val="24"/>
          <w:szCs w:val="21"/>
          <w:lang w:val="en-US" w:eastAsia="zh-CN"/>
        </w:rPr>
      </w:pPr>
      <w:r>
        <w:rPr>
          <w:rFonts w:hint="eastAsia" w:ascii="Times New Roman" w:hAnsi="Times New Roman" w:eastAsia="宋体" w:cs="Times New Roman"/>
          <w:b/>
          <w:bCs/>
          <w:caps w:val="0"/>
          <w:smallCaps w:val="0"/>
          <w:color w:val="auto"/>
          <w:sz w:val="24"/>
          <w:szCs w:val="21"/>
          <w:lang w:val="en-US" w:eastAsia="zh-CN"/>
        </w:rPr>
        <w:t>阔叶林</w:t>
      </w:r>
    </w:p>
    <w:bookmarkEnd w:id="239"/>
    <w:bookmarkEnd w:id="240"/>
    <w:bookmarkEnd w:id="241"/>
    <w:p w14:paraId="47C56FD7">
      <w:pPr>
        <w:widowControl/>
        <w:numPr>
          <w:ilvl w:val="0"/>
          <w:numId w:val="20"/>
        </w:numPr>
        <w:tabs>
          <w:tab w:val="left" w:pos="1021"/>
        </w:tabs>
        <w:spacing w:line="360" w:lineRule="auto"/>
        <w:ind w:left="-2" w:leftChars="0" w:firstLine="482" w:firstLineChars="0"/>
        <w:rPr>
          <w:rFonts w:hint="default"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香</w:t>
      </w:r>
      <w:r>
        <w:rPr>
          <w:rFonts w:hint="default" w:ascii="Times New Roman" w:hAnsi="Times New Roman" w:eastAsia="宋体" w:cs="Times New Roman"/>
          <w:b/>
          <w:caps w:val="0"/>
          <w:smallCaps w:val="0"/>
          <w:color w:val="auto"/>
          <w:kern w:val="0"/>
          <w:sz w:val="24"/>
          <w:szCs w:val="24"/>
          <w:lang w:val="en-US" w:eastAsia="zh-CN"/>
        </w:rPr>
        <w:t>樟群系</w:t>
      </w:r>
    </w:p>
    <w:p w14:paraId="7177E32F">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0"/>
          <w:lang w:eastAsia="zh-CN"/>
        </w:rPr>
      </w:pPr>
      <w:r>
        <w:rPr>
          <w:rFonts w:hint="default" w:ascii="Times New Roman" w:hAnsi="Times New Roman" w:eastAsia="宋体" w:cs="Times New Roman"/>
          <w:b w:val="0"/>
          <w:bCs w:val="0"/>
          <w:color w:val="auto"/>
          <w:sz w:val="24"/>
          <w:szCs w:val="20"/>
          <w:lang w:eastAsia="zh-CN"/>
        </w:rPr>
        <w:t>樟(</w:t>
      </w:r>
      <w:r>
        <w:rPr>
          <w:rFonts w:hint="default" w:ascii="Times New Roman" w:hAnsi="Times New Roman" w:eastAsia="宋体" w:cs="Times New Roman"/>
          <w:b w:val="0"/>
          <w:bCs w:val="0"/>
          <w:i/>
          <w:iCs/>
          <w:color w:val="auto"/>
          <w:sz w:val="24"/>
          <w:szCs w:val="20"/>
          <w:lang w:eastAsia="zh-CN"/>
        </w:rPr>
        <w:t>Camphora officinarum</w:t>
      </w:r>
      <w:r>
        <w:rPr>
          <w:rFonts w:hint="default" w:ascii="Times New Roman" w:hAnsi="Times New Roman" w:eastAsia="宋体" w:cs="Times New Roman"/>
          <w:b w:val="0"/>
          <w:bCs w:val="0"/>
          <w:color w:val="auto"/>
          <w:sz w:val="24"/>
          <w:szCs w:val="20"/>
          <w:lang w:eastAsia="zh-CN"/>
        </w:rPr>
        <w:t xml:space="preserve"> Nees)，樟科、樟属常绿大乔木，在中国分布于南方和西南各省区。樟常生于山坡或沟谷中。在评价区内大量分布，也与其他树种混交，</w:t>
      </w:r>
      <w:r>
        <w:rPr>
          <w:rFonts w:hint="default" w:ascii="Times New Roman" w:hAnsi="Times New Roman" w:eastAsia="宋体" w:cs="Times New Roman"/>
          <w:caps w:val="0"/>
          <w:smallCaps w:val="0"/>
          <w:color w:val="auto"/>
          <w:kern w:val="0"/>
          <w:sz w:val="24"/>
          <w:szCs w:val="24"/>
          <w:u w:val="none"/>
        </w:rPr>
        <w:t>群落外貌绿色，林下土壤为黄壤，林冠整齐，群落结构及种类组成较简单。</w:t>
      </w:r>
    </w:p>
    <w:p w14:paraId="40CDF3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color w:val="auto"/>
          <w:kern w:val="2"/>
          <w:sz w:val="24"/>
          <w:szCs w:val="22"/>
          <w:lang w:val="en-US" w:eastAsia="zh-CN" w:bidi="ar-SA"/>
        </w:rPr>
        <w:t>乔木层郁闭度0.85，层均高7m，优势种为樟，高5-9m，胸径10-25cm，其他主要物种有杉木、青冈、枫香(</w:t>
      </w:r>
      <w:r>
        <w:rPr>
          <w:rFonts w:hint="default" w:ascii="Times New Roman" w:hAnsi="Times New Roman" w:eastAsia="宋体" w:cs="Times New Roman"/>
          <w:i/>
          <w:iCs/>
          <w:color w:val="auto"/>
          <w:kern w:val="2"/>
          <w:sz w:val="24"/>
          <w:szCs w:val="22"/>
          <w:lang w:val="en-US" w:eastAsia="zh-CN" w:bidi="ar-SA"/>
        </w:rPr>
        <w:t>Liquidambar formosana</w:t>
      </w:r>
      <w:r>
        <w:rPr>
          <w:rFonts w:hint="default" w:ascii="Times New Roman" w:hAnsi="Times New Roman" w:eastAsia="宋体" w:cs="Times New Roman"/>
          <w:color w:val="auto"/>
          <w:kern w:val="2"/>
          <w:sz w:val="24"/>
          <w:szCs w:val="22"/>
          <w:lang w:val="en-US" w:eastAsia="zh-CN" w:bidi="ar-SA"/>
        </w:rPr>
        <w:t>)、麻栎(</w:t>
      </w:r>
      <w:r>
        <w:rPr>
          <w:rFonts w:hint="default" w:ascii="Times New Roman" w:hAnsi="Times New Roman" w:eastAsia="宋体" w:cs="Times New Roman"/>
          <w:i/>
          <w:iCs/>
          <w:color w:val="auto"/>
          <w:kern w:val="2"/>
          <w:sz w:val="24"/>
          <w:szCs w:val="22"/>
          <w:lang w:val="en-US" w:eastAsia="zh-CN" w:bidi="ar-SA"/>
        </w:rPr>
        <w:t>Quercus acutissima</w:t>
      </w:r>
      <w:r>
        <w:rPr>
          <w:rFonts w:hint="default" w:ascii="Times New Roman" w:hAnsi="Times New Roman" w:eastAsia="宋体" w:cs="Times New Roman"/>
          <w:color w:val="auto"/>
          <w:kern w:val="2"/>
          <w:sz w:val="24"/>
          <w:szCs w:val="22"/>
          <w:lang w:val="en-US" w:eastAsia="zh-CN" w:bidi="ar-SA"/>
        </w:rPr>
        <w:t>)等；林下灌木层盖度35%，层均高1.5m，优势种为油茶(</w:t>
      </w:r>
      <w:r>
        <w:rPr>
          <w:rFonts w:hint="default" w:ascii="Times New Roman" w:hAnsi="Times New Roman" w:eastAsia="宋体" w:cs="Times New Roman"/>
          <w:i/>
          <w:iCs/>
          <w:color w:val="auto"/>
          <w:kern w:val="2"/>
          <w:sz w:val="24"/>
          <w:szCs w:val="22"/>
          <w:lang w:val="en-US" w:eastAsia="zh-CN" w:bidi="ar-SA"/>
        </w:rPr>
        <w:t>Camellia sinensis</w:t>
      </w:r>
      <w:r>
        <w:rPr>
          <w:rFonts w:hint="default" w:ascii="Times New Roman" w:hAnsi="Times New Roman" w:eastAsia="宋体" w:cs="Times New Roman"/>
          <w:color w:val="auto"/>
          <w:kern w:val="2"/>
          <w:sz w:val="24"/>
          <w:szCs w:val="22"/>
          <w:lang w:val="en-US" w:eastAsia="zh-CN" w:bidi="ar-SA"/>
        </w:rPr>
        <w:t>)，高1.2-2.3m，地径2-4cm，其他主要物种有盐麸木(</w:t>
      </w:r>
      <w:r>
        <w:rPr>
          <w:rFonts w:hint="default" w:ascii="Times New Roman" w:hAnsi="Times New Roman" w:eastAsia="宋体" w:cs="Times New Roman"/>
          <w:i/>
          <w:iCs/>
          <w:color w:val="auto"/>
          <w:kern w:val="2"/>
          <w:sz w:val="24"/>
          <w:szCs w:val="22"/>
          <w:lang w:val="en-US" w:eastAsia="zh-CN" w:bidi="ar-SA"/>
        </w:rPr>
        <w:t>Rhus chinensis</w:t>
      </w:r>
      <w:r>
        <w:rPr>
          <w:rFonts w:hint="default" w:ascii="Times New Roman" w:hAnsi="Times New Roman" w:eastAsia="宋体" w:cs="Times New Roman"/>
          <w:color w:val="auto"/>
          <w:kern w:val="2"/>
          <w:sz w:val="24"/>
          <w:szCs w:val="22"/>
          <w:lang w:val="en-US" w:eastAsia="zh-CN" w:bidi="ar-SA"/>
        </w:rPr>
        <w:t>)、枹栎(</w:t>
      </w:r>
      <w:r>
        <w:rPr>
          <w:rFonts w:hint="default" w:ascii="Times New Roman" w:hAnsi="Times New Roman" w:eastAsia="宋体" w:cs="Times New Roman"/>
          <w:i/>
          <w:iCs/>
          <w:color w:val="auto"/>
          <w:kern w:val="2"/>
          <w:sz w:val="24"/>
          <w:szCs w:val="22"/>
          <w:lang w:val="en-US" w:eastAsia="zh-CN" w:bidi="ar-SA"/>
        </w:rPr>
        <w:t>Quercus serrata</w:t>
      </w:r>
      <w:r>
        <w:rPr>
          <w:rFonts w:hint="default" w:ascii="Times New Roman" w:hAnsi="Times New Roman" w:eastAsia="宋体" w:cs="Times New Roman"/>
          <w:color w:val="auto"/>
          <w:kern w:val="2"/>
          <w:sz w:val="24"/>
          <w:szCs w:val="22"/>
          <w:lang w:val="en-US" w:eastAsia="zh-CN" w:bidi="ar-SA"/>
        </w:rPr>
        <w:t>)、菝葜(</w:t>
      </w:r>
      <w:r>
        <w:rPr>
          <w:rFonts w:hint="default" w:ascii="Times New Roman" w:hAnsi="Times New Roman" w:eastAsia="宋体" w:cs="Times New Roman"/>
          <w:i/>
          <w:iCs/>
          <w:color w:val="auto"/>
          <w:kern w:val="2"/>
          <w:sz w:val="24"/>
          <w:szCs w:val="22"/>
          <w:lang w:val="en-US" w:eastAsia="zh-CN" w:bidi="ar-SA"/>
        </w:rPr>
        <w:t>Smilax china</w:t>
      </w:r>
      <w:r>
        <w:rPr>
          <w:rFonts w:hint="default" w:ascii="Times New Roman" w:hAnsi="Times New Roman" w:eastAsia="宋体" w:cs="Times New Roman"/>
          <w:color w:val="auto"/>
          <w:kern w:val="2"/>
          <w:sz w:val="24"/>
          <w:szCs w:val="22"/>
          <w:lang w:val="en-US" w:eastAsia="zh-CN" w:bidi="ar-SA"/>
        </w:rPr>
        <w:t>)、柃木(</w:t>
      </w:r>
      <w:r>
        <w:rPr>
          <w:rFonts w:hint="default" w:ascii="Times New Roman" w:hAnsi="Times New Roman" w:eastAsia="宋体" w:cs="Times New Roman"/>
          <w:i/>
          <w:iCs/>
          <w:color w:val="auto"/>
          <w:kern w:val="2"/>
          <w:sz w:val="24"/>
          <w:szCs w:val="22"/>
          <w:lang w:val="en-US" w:eastAsia="zh-CN" w:bidi="ar-SA"/>
        </w:rPr>
        <w:t>Eurya japonica</w:t>
      </w:r>
      <w:r>
        <w:rPr>
          <w:rFonts w:hint="default" w:ascii="Times New Roman" w:hAnsi="Times New Roman" w:eastAsia="宋体" w:cs="Times New Roman"/>
          <w:color w:val="auto"/>
          <w:kern w:val="2"/>
          <w:sz w:val="24"/>
          <w:szCs w:val="22"/>
          <w:lang w:val="en-US" w:eastAsia="zh-CN" w:bidi="ar-SA"/>
        </w:rPr>
        <w:t>)等；草本层盖度25%，层均高</w:t>
      </w:r>
      <w:r>
        <w:rPr>
          <w:rFonts w:hint="eastAsia" w:ascii="Times New Roman" w:hAnsi="Times New Roman" w:eastAsia="宋体" w:cs="Times New Roman"/>
          <w:color w:val="auto"/>
          <w:kern w:val="2"/>
          <w:sz w:val="24"/>
          <w:szCs w:val="22"/>
          <w:lang w:val="en-US" w:eastAsia="zh-CN" w:bidi="ar-SA"/>
        </w:rPr>
        <w:t>0.5</w:t>
      </w:r>
      <w:r>
        <w:rPr>
          <w:rFonts w:hint="default" w:ascii="Times New Roman" w:hAnsi="Times New Roman" w:eastAsia="宋体" w:cs="Times New Roman"/>
          <w:color w:val="auto"/>
          <w:kern w:val="2"/>
          <w:sz w:val="24"/>
          <w:szCs w:val="22"/>
          <w:lang w:val="en-US" w:eastAsia="zh-CN" w:bidi="ar-SA"/>
        </w:rPr>
        <w:t>m，优势种为芒，高0.</w:t>
      </w:r>
      <w:r>
        <w:rPr>
          <w:rFonts w:hint="eastAsia" w:ascii="Times New Roman" w:hAnsi="Times New Roman" w:eastAsia="宋体" w:cs="Times New Roman"/>
          <w:color w:val="auto"/>
          <w:kern w:val="2"/>
          <w:sz w:val="24"/>
          <w:szCs w:val="22"/>
          <w:lang w:val="en-US" w:eastAsia="zh-CN" w:bidi="ar-SA"/>
        </w:rPr>
        <w:t>2</w:t>
      </w:r>
      <w:r>
        <w:rPr>
          <w:rFonts w:hint="default" w:ascii="Times New Roman" w:hAnsi="Times New Roman" w:eastAsia="宋体"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0.7</w:t>
      </w:r>
      <w:r>
        <w:rPr>
          <w:rFonts w:hint="default" w:ascii="Times New Roman" w:hAnsi="Times New Roman" w:eastAsia="宋体" w:cs="Times New Roman"/>
          <w:color w:val="auto"/>
          <w:kern w:val="2"/>
          <w:sz w:val="24"/>
          <w:szCs w:val="22"/>
          <w:lang w:val="en-US" w:eastAsia="zh-CN" w:bidi="ar-SA"/>
        </w:rPr>
        <w:t>m，其他主要物种有野艾蒿(</w:t>
      </w:r>
      <w:r>
        <w:rPr>
          <w:rFonts w:hint="default" w:ascii="Times New Roman" w:hAnsi="Times New Roman" w:eastAsia="宋体" w:cs="Times New Roman"/>
          <w:i/>
          <w:iCs/>
          <w:color w:val="auto"/>
          <w:kern w:val="2"/>
          <w:sz w:val="24"/>
          <w:szCs w:val="22"/>
          <w:lang w:val="en-US" w:eastAsia="zh-CN" w:bidi="ar-SA"/>
        </w:rPr>
        <w:t>Artemisia lavandulifolia</w:t>
      </w:r>
      <w:r>
        <w:rPr>
          <w:rFonts w:hint="default" w:ascii="Times New Roman" w:hAnsi="Times New Roman" w:eastAsia="宋体" w:cs="Times New Roman"/>
          <w:color w:val="auto"/>
          <w:kern w:val="2"/>
          <w:sz w:val="24"/>
          <w:szCs w:val="22"/>
          <w:lang w:val="en-US" w:eastAsia="zh-CN" w:bidi="ar-SA"/>
        </w:rPr>
        <w:t>)、蕨(</w:t>
      </w:r>
      <w:r>
        <w:rPr>
          <w:rFonts w:hint="default" w:ascii="Times New Roman" w:hAnsi="Times New Roman" w:eastAsia="宋体" w:cs="Times New Roman"/>
          <w:i/>
          <w:iCs/>
          <w:color w:val="auto"/>
          <w:kern w:val="2"/>
          <w:sz w:val="24"/>
          <w:szCs w:val="22"/>
          <w:lang w:val="en-US" w:eastAsia="zh-CN" w:bidi="ar-SA"/>
        </w:rPr>
        <w:t>Pteridium aquilinum</w:t>
      </w:r>
      <w:r>
        <w:rPr>
          <w:rFonts w:hint="default" w:ascii="Times New Roman" w:hAnsi="Times New Roman" w:eastAsia="宋体" w:cs="Times New Roman"/>
          <w:color w:val="auto"/>
          <w:kern w:val="2"/>
          <w:sz w:val="24"/>
          <w:szCs w:val="22"/>
          <w:lang w:val="en-US" w:eastAsia="zh-CN" w:bidi="ar-SA"/>
        </w:rPr>
        <w:t xml:space="preserve"> var. </w:t>
      </w:r>
      <w:r>
        <w:rPr>
          <w:rFonts w:hint="default" w:ascii="Times New Roman" w:hAnsi="Times New Roman" w:eastAsia="宋体" w:cs="Times New Roman"/>
          <w:i/>
          <w:iCs/>
          <w:color w:val="auto"/>
          <w:kern w:val="2"/>
          <w:sz w:val="24"/>
          <w:szCs w:val="22"/>
          <w:lang w:val="en-US" w:eastAsia="zh-CN" w:bidi="ar-SA"/>
        </w:rPr>
        <w:t>latiusculum</w:t>
      </w:r>
      <w:r>
        <w:rPr>
          <w:rFonts w:hint="default" w:ascii="Times New Roman" w:hAnsi="Times New Roman" w:eastAsia="宋体" w:cs="Times New Roman"/>
          <w:color w:val="auto"/>
          <w:kern w:val="2"/>
          <w:sz w:val="24"/>
          <w:szCs w:val="22"/>
          <w:lang w:val="en-US" w:eastAsia="zh-CN" w:bidi="ar-SA"/>
        </w:rPr>
        <w:t>)、沿阶草等。</w:t>
      </w:r>
    </w:p>
    <w:p w14:paraId="0E0C81DE">
      <w:pPr>
        <w:widowControl/>
        <w:numPr>
          <w:ilvl w:val="0"/>
          <w:numId w:val="20"/>
        </w:numPr>
        <w:tabs>
          <w:tab w:val="left" w:pos="1021"/>
        </w:tabs>
        <w:spacing w:line="360" w:lineRule="auto"/>
        <w:ind w:left="-2" w:leftChars="0" w:firstLine="482" w:firstLineChars="0"/>
        <w:rPr>
          <w:rFonts w:hint="default"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毛竹群系</w:t>
      </w:r>
    </w:p>
    <w:p w14:paraId="589296B3">
      <w:pPr>
        <w:widowControl w:val="0"/>
        <w:spacing w:line="360" w:lineRule="auto"/>
        <w:ind w:firstLine="480" w:firstLineChars="200"/>
        <w:jc w:val="both"/>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毛竹(</w:t>
      </w:r>
      <w:r>
        <w:rPr>
          <w:rFonts w:hint="eastAsia" w:ascii="Times New Roman" w:hAnsi="Times New Roman" w:eastAsia="宋体" w:cs="Times New Roman"/>
          <w:i/>
          <w:iCs/>
          <w:color w:val="auto"/>
          <w:kern w:val="2"/>
          <w:sz w:val="24"/>
          <w:szCs w:val="21"/>
          <w:lang w:val="en-US" w:eastAsia="zh-CN" w:bidi="ar-SA"/>
        </w:rPr>
        <w:t>Phyllostachys edulis</w:t>
      </w:r>
      <w:r>
        <w:rPr>
          <w:rFonts w:hint="eastAsia"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32"/>
          <w:lang w:val="en-US" w:eastAsia="zh-CN" w:bidi="ar-SA"/>
        </w:rPr>
        <w:t>禾本科刚竹属植物，适应性、抗逆性强，无性繁殖力强，是评价区内常见的竹类之一，常呈片状或条带状分布，群落外貌翠绿色，林冠整齐，林下土壤为黄壤</w:t>
      </w:r>
      <w:r>
        <w:rPr>
          <w:rFonts w:hint="eastAsia" w:ascii="Times New Roman" w:hAnsi="Times New Roman" w:eastAsia="宋体" w:cs="Times New Roman"/>
          <w:i w:val="0"/>
          <w:iCs w:val="0"/>
          <w:color w:val="auto"/>
          <w:kern w:val="2"/>
          <w:sz w:val="24"/>
          <w:szCs w:val="32"/>
          <w:u w:val="none"/>
          <w:lang w:val="en-US" w:eastAsia="zh-CN" w:bidi="ar-SA"/>
        </w:rPr>
        <w:t>，</w:t>
      </w:r>
      <w:r>
        <w:rPr>
          <w:rFonts w:hint="default" w:ascii="Times New Roman" w:hAnsi="Times New Roman" w:eastAsia="宋体" w:cs="Times New Roman"/>
          <w:i w:val="0"/>
          <w:iCs w:val="0"/>
          <w:color w:val="auto"/>
          <w:kern w:val="2"/>
          <w:sz w:val="24"/>
          <w:szCs w:val="32"/>
          <w:u w:val="none"/>
          <w:lang w:val="en-US" w:eastAsia="zh-CN" w:bidi="ar-SA"/>
        </w:rPr>
        <w:t>群落结构及种类组成较简单</w:t>
      </w:r>
      <w:r>
        <w:rPr>
          <w:rFonts w:hint="default" w:ascii="Times New Roman" w:hAnsi="Times New Roman" w:eastAsia="宋体" w:cs="Times New Roman"/>
          <w:color w:val="auto"/>
          <w:kern w:val="2"/>
          <w:sz w:val="24"/>
          <w:szCs w:val="32"/>
          <w:lang w:val="en-US" w:eastAsia="zh-CN" w:bidi="ar-SA"/>
        </w:rPr>
        <w:t>。</w:t>
      </w:r>
    </w:p>
    <w:p w14:paraId="0AE5495F">
      <w:pPr>
        <w:spacing w:line="360" w:lineRule="auto"/>
        <w:ind w:firstLine="480" w:firstLineChars="200"/>
        <w:rPr>
          <w:rFonts w:ascii="Times New Roman" w:hAnsi="Times New Roman" w:eastAsia="宋体" w:cs="Times New Roman"/>
          <w:color w:val="auto"/>
          <w:sz w:val="24"/>
          <w:szCs w:val="22"/>
        </w:rPr>
      </w:pPr>
      <w:r>
        <w:rPr>
          <w:rFonts w:ascii="Times New Roman" w:hAnsi="Times New Roman" w:eastAsia="宋体" w:cs="Times New Roman"/>
          <w:color w:val="auto"/>
          <w:sz w:val="24"/>
          <w:szCs w:val="22"/>
        </w:rPr>
        <w:t>乔木层郁闭度</w:t>
      </w:r>
      <w:r>
        <w:rPr>
          <w:rFonts w:hint="eastAsia" w:ascii="Times New Roman" w:hAnsi="Times New Roman" w:eastAsia="宋体" w:cs="Times New Roman"/>
          <w:color w:val="auto"/>
          <w:sz w:val="24"/>
          <w:szCs w:val="22"/>
          <w:lang w:val="en-US" w:eastAsia="zh-CN"/>
        </w:rPr>
        <w:t>0.86</w:t>
      </w:r>
      <w:r>
        <w:rPr>
          <w:rFonts w:ascii="Times New Roman" w:hAnsi="Times New Roman" w:eastAsia="宋体" w:cs="Times New Roman"/>
          <w:color w:val="auto"/>
          <w:sz w:val="24"/>
          <w:szCs w:val="22"/>
        </w:rPr>
        <w:t>，层均高</w:t>
      </w:r>
      <w:r>
        <w:rPr>
          <w:rFonts w:hint="eastAsia" w:ascii="Times New Roman" w:hAnsi="Times New Roman" w:eastAsia="宋体" w:cs="Times New Roman"/>
          <w:color w:val="auto"/>
          <w:sz w:val="24"/>
          <w:szCs w:val="22"/>
          <w:lang w:val="en-US" w:eastAsia="zh-CN"/>
        </w:rPr>
        <w:t>9.5</w:t>
      </w:r>
      <w:r>
        <w:rPr>
          <w:rFonts w:ascii="Times New Roman" w:hAnsi="Times New Roman" w:eastAsia="宋体" w:cs="Times New Roman"/>
          <w:color w:val="auto"/>
          <w:sz w:val="24"/>
          <w:szCs w:val="22"/>
        </w:rPr>
        <w:t>m，优势种为</w:t>
      </w:r>
      <w:r>
        <w:rPr>
          <w:rFonts w:hint="eastAsia" w:ascii="Times New Roman" w:hAnsi="Times New Roman" w:eastAsia="宋体" w:cs="Times New Roman"/>
          <w:color w:val="auto"/>
          <w:sz w:val="24"/>
          <w:szCs w:val="22"/>
          <w:lang w:eastAsia="zh-CN"/>
        </w:rPr>
        <w:t>毛竹</w:t>
      </w:r>
      <w:r>
        <w:rPr>
          <w:rFonts w:ascii="Times New Roman" w:hAnsi="Times New Roman" w:eastAsia="宋体" w:cs="Times New Roman"/>
          <w:color w:val="auto"/>
          <w:sz w:val="24"/>
          <w:szCs w:val="22"/>
        </w:rPr>
        <w:t>，高</w:t>
      </w:r>
      <w:r>
        <w:rPr>
          <w:rFonts w:hint="eastAsia" w:ascii="Times New Roman" w:hAnsi="Times New Roman" w:eastAsia="宋体" w:cs="Times New Roman"/>
          <w:color w:val="auto"/>
          <w:sz w:val="24"/>
          <w:szCs w:val="22"/>
          <w:lang w:val="en-US" w:eastAsia="zh-CN"/>
        </w:rPr>
        <w:t>7-12</w:t>
      </w:r>
      <w:r>
        <w:rPr>
          <w:rFonts w:ascii="Times New Roman" w:hAnsi="Times New Roman" w:eastAsia="宋体" w:cs="Times New Roman"/>
          <w:color w:val="auto"/>
          <w:sz w:val="24"/>
          <w:szCs w:val="22"/>
        </w:rPr>
        <w:t>m，胸径</w:t>
      </w:r>
      <w:r>
        <w:rPr>
          <w:rFonts w:hint="eastAsia" w:ascii="Times New Roman" w:hAnsi="Times New Roman" w:eastAsia="宋体" w:cs="Times New Roman"/>
          <w:color w:val="auto"/>
          <w:sz w:val="24"/>
          <w:szCs w:val="22"/>
          <w:lang w:val="en-US" w:eastAsia="zh-CN"/>
        </w:rPr>
        <w:t>9-13</w:t>
      </w:r>
      <w:r>
        <w:rPr>
          <w:rFonts w:ascii="Times New Roman" w:hAnsi="Times New Roman" w:eastAsia="宋体" w:cs="Times New Roman"/>
          <w:color w:val="auto"/>
          <w:sz w:val="24"/>
          <w:szCs w:val="22"/>
        </w:rPr>
        <w:t>cm，</w:t>
      </w:r>
      <w:r>
        <w:rPr>
          <w:rFonts w:hint="eastAsia" w:ascii="Times New Roman" w:hAnsi="Times New Roman" w:eastAsia="宋体" w:cs="Times New Roman"/>
          <w:color w:val="auto"/>
          <w:sz w:val="24"/>
          <w:szCs w:val="22"/>
        </w:rPr>
        <w:t>其他主要物种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2"/>
          <w:lang w:eastAsia="zh-CN"/>
        </w:rPr>
        <w:t>樟</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val="en-US" w:eastAsia="zh-CN"/>
        </w:rPr>
        <w:t>构树</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Broussonetia papyrifera</w:t>
      </w:r>
      <w:r>
        <w:rPr>
          <w:rFonts w:hint="eastAsia" w:ascii="Times New Roman" w:hAnsi="Times New Roman" w:eastAsia="宋体" w:cs="Times New Roman"/>
          <w:i w:val="0"/>
          <w:iCs w:val="0"/>
          <w:color w:val="auto"/>
          <w:sz w:val="24"/>
          <w:szCs w:val="22"/>
          <w:lang w:eastAsia="zh-CN"/>
        </w:rPr>
        <w:t>.</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b w:val="0"/>
          <w:bCs w:val="0"/>
          <w:color w:val="auto"/>
          <w:sz w:val="24"/>
          <w:szCs w:val="21"/>
          <w:lang w:val="en-US" w:eastAsia="zh-CN"/>
        </w:rPr>
        <w:t>锥栗</w:t>
      </w:r>
      <w:r>
        <w:rPr>
          <w:rFonts w:hint="eastAsia" w:ascii="Times New Roman" w:hAnsi="Times New Roman" w:eastAsia="宋体" w:cs="Times New Roman"/>
          <w:b w:val="0"/>
          <w:bCs w:val="0"/>
          <w:color w:val="auto"/>
          <w:sz w:val="24"/>
          <w:szCs w:val="21"/>
          <w:lang w:eastAsia="zh-CN"/>
        </w:rPr>
        <w:t>、</w:t>
      </w:r>
      <w:r>
        <w:rPr>
          <w:rFonts w:hint="eastAsia" w:ascii="Times New Roman" w:hAnsi="Times New Roman" w:eastAsia="宋体" w:cs="Times New Roman"/>
          <w:color w:val="auto"/>
          <w:sz w:val="24"/>
          <w:szCs w:val="22"/>
          <w:lang w:val="en-US" w:eastAsia="zh-CN"/>
        </w:rPr>
        <w:t>檫木</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Sassafras</w:t>
      </w:r>
      <w:r>
        <w:rPr>
          <w:rFonts w:hint="eastAsia" w:ascii="Times New Roman" w:hAnsi="Times New Roman" w:eastAsia="宋体" w:cs="Times New Roman"/>
          <w:i/>
          <w:iCs/>
          <w:color w:val="auto"/>
          <w:sz w:val="24"/>
          <w:szCs w:val="22"/>
          <w:lang w:val="en-US" w:eastAsia="zh-CN"/>
        </w:rPr>
        <w:t xml:space="preserve"> </w:t>
      </w:r>
      <w:r>
        <w:rPr>
          <w:rFonts w:hint="eastAsia" w:ascii="Times New Roman" w:hAnsi="Times New Roman" w:eastAsia="宋体" w:cs="Times New Roman"/>
          <w:i/>
          <w:iCs/>
          <w:color w:val="auto"/>
          <w:sz w:val="24"/>
          <w:szCs w:val="22"/>
          <w:lang w:eastAsia="zh-CN"/>
        </w:rPr>
        <w:t>tzumu</w:t>
      </w:r>
      <w:r>
        <w:rPr>
          <w:rFonts w:hint="eastAsia" w:ascii="Times New Roman" w:hAnsi="Times New Roman" w:eastAsia="宋体" w:cs="Times New Roman"/>
          <w:color w:val="auto"/>
          <w:sz w:val="24"/>
          <w:szCs w:val="22"/>
          <w:lang w:eastAsia="zh-CN"/>
        </w:rPr>
        <w:t>)等；林下</w:t>
      </w:r>
      <w:r>
        <w:rPr>
          <w:rFonts w:ascii="Times New Roman" w:hAnsi="Times New Roman" w:eastAsia="宋体" w:cs="Times New Roman"/>
          <w:color w:val="auto"/>
          <w:sz w:val="24"/>
          <w:szCs w:val="22"/>
        </w:rPr>
        <w:t>灌木层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35%，层均高1.3m，无明显</w:t>
      </w:r>
      <w:r>
        <w:rPr>
          <w:rFonts w:ascii="Times New Roman" w:hAnsi="Times New Roman" w:eastAsia="宋体" w:cs="Times New Roman"/>
          <w:color w:val="auto"/>
          <w:sz w:val="24"/>
          <w:szCs w:val="22"/>
        </w:rPr>
        <w:t>优势种</w:t>
      </w:r>
      <w:r>
        <w:rPr>
          <w:rFonts w:hint="eastAsia" w:ascii="Times New Roman" w:hAnsi="Times New Roman" w:eastAsia="宋体" w:cs="Times New Roman"/>
          <w:color w:val="auto"/>
          <w:sz w:val="24"/>
          <w:szCs w:val="22"/>
          <w:lang w:eastAsia="zh-CN"/>
        </w:rPr>
        <w:t>，主要物种有篌竹(</w:t>
      </w:r>
      <w:r>
        <w:rPr>
          <w:rFonts w:hint="eastAsia" w:ascii="Times New Roman" w:hAnsi="Times New Roman" w:eastAsia="宋体" w:cs="Times New Roman"/>
          <w:i/>
          <w:iCs/>
          <w:color w:val="auto"/>
          <w:sz w:val="24"/>
          <w:szCs w:val="22"/>
          <w:lang w:eastAsia="zh-CN"/>
        </w:rPr>
        <w:t>Phyllostachys nidularia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刺槐(</w:t>
      </w:r>
      <w:r>
        <w:rPr>
          <w:rFonts w:hint="eastAsia" w:ascii="Times New Roman" w:hAnsi="Times New Roman" w:eastAsia="宋体" w:cs="Times New Roman"/>
          <w:i/>
          <w:iCs/>
          <w:color w:val="auto"/>
          <w:sz w:val="24"/>
          <w:szCs w:val="22"/>
          <w:lang w:val="en-US" w:eastAsia="zh-CN"/>
        </w:rPr>
        <w:t>Robinia pseudoacacia</w:t>
      </w:r>
      <w:r>
        <w:rPr>
          <w:rFonts w:hint="eastAsia" w:ascii="Times New Roman" w:hAnsi="Times New Roman" w:eastAsia="宋体" w:cs="Times New Roman"/>
          <w:color w:val="auto"/>
          <w:sz w:val="24"/>
          <w:szCs w:val="22"/>
          <w:lang w:val="en-US" w:eastAsia="zh-CN"/>
        </w:rPr>
        <w:t>)、盐麸木、小果蔷薇、苎麻(Boehmeria nivea)、灰白毛莓(Rubus tephrodes)</w:t>
      </w:r>
      <w:r>
        <w:rPr>
          <w:rFonts w:hint="eastAsia" w:ascii="Times New Roman" w:hAnsi="Times New Roman" w:eastAsia="宋体" w:cs="Times New Roman"/>
          <w:color w:val="auto"/>
          <w:sz w:val="24"/>
          <w:szCs w:val="22"/>
          <w:lang w:eastAsia="zh-CN"/>
        </w:rPr>
        <w:t>等</w:t>
      </w:r>
      <w:r>
        <w:rPr>
          <w:rFonts w:ascii="Times New Roman" w:hAnsi="Times New Roman" w:eastAsia="宋体" w:cs="Times New Roman"/>
          <w:color w:val="auto"/>
          <w:sz w:val="24"/>
          <w:szCs w:val="22"/>
        </w:rPr>
        <w:t>；草本层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15%，层均高0.2m，无明显</w:t>
      </w:r>
      <w:r>
        <w:rPr>
          <w:rFonts w:ascii="Times New Roman" w:hAnsi="Times New Roman" w:eastAsia="宋体" w:cs="Times New Roman"/>
          <w:color w:val="auto"/>
          <w:sz w:val="24"/>
          <w:szCs w:val="22"/>
        </w:rPr>
        <w:t>优势种</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2"/>
          <w:lang w:eastAsia="zh-CN"/>
        </w:rPr>
        <w:t>野艾蒿</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val="en-US" w:eastAsia="zh-CN"/>
        </w:rPr>
        <w:t>垂序商陆</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Phytolacca</w:t>
      </w:r>
      <w:r>
        <w:rPr>
          <w:rFonts w:hint="eastAsia" w:ascii="Times New Roman" w:hAnsi="Times New Roman" w:eastAsia="宋体" w:cs="Times New Roman"/>
          <w:i/>
          <w:iCs/>
          <w:color w:val="auto"/>
          <w:sz w:val="24"/>
          <w:szCs w:val="22"/>
          <w:lang w:val="en-US" w:eastAsia="zh-CN"/>
        </w:rPr>
        <w:t xml:space="preserve"> </w:t>
      </w:r>
      <w:r>
        <w:rPr>
          <w:rFonts w:hint="eastAsia" w:ascii="Times New Roman" w:hAnsi="Times New Roman" w:eastAsia="宋体" w:cs="Times New Roman"/>
          <w:i/>
          <w:iCs/>
          <w:color w:val="auto"/>
          <w:sz w:val="24"/>
          <w:szCs w:val="22"/>
          <w:lang w:eastAsia="zh-CN"/>
        </w:rPr>
        <w:t>americana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博落回</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Macleaya</w:t>
      </w:r>
      <w:r>
        <w:rPr>
          <w:rFonts w:hint="eastAsia" w:ascii="Times New Roman" w:hAnsi="Times New Roman" w:eastAsia="宋体" w:cs="Times New Roman"/>
          <w:i/>
          <w:iCs/>
          <w:color w:val="auto"/>
          <w:sz w:val="24"/>
          <w:szCs w:val="22"/>
          <w:lang w:val="en-US" w:eastAsia="zh-CN"/>
        </w:rPr>
        <w:t xml:space="preserve"> </w:t>
      </w:r>
      <w:r>
        <w:rPr>
          <w:rFonts w:hint="eastAsia" w:ascii="Times New Roman" w:hAnsi="Times New Roman" w:eastAsia="宋体" w:cs="Times New Roman"/>
          <w:i/>
          <w:iCs/>
          <w:color w:val="auto"/>
          <w:sz w:val="24"/>
          <w:szCs w:val="22"/>
          <w:lang w:eastAsia="zh-CN"/>
        </w:rPr>
        <w:t>cordata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小蓬</w:t>
      </w:r>
      <w:r>
        <w:rPr>
          <w:rFonts w:hint="eastAsia" w:ascii="Times New Roman" w:hAnsi="Times New Roman" w:eastAsia="宋体" w:cs="Times New Roman"/>
          <w:color w:val="auto"/>
          <w:sz w:val="24"/>
          <w:szCs w:val="22"/>
          <w:lang w:eastAsia="zh-CN"/>
        </w:rPr>
        <w:t>草(</w:t>
      </w:r>
      <w:r>
        <w:rPr>
          <w:rFonts w:hint="eastAsia" w:ascii="Times New Roman" w:hAnsi="Times New Roman" w:eastAsia="宋体" w:cs="Times New Roman"/>
          <w:i/>
          <w:iCs/>
          <w:color w:val="auto"/>
          <w:sz w:val="24"/>
          <w:szCs w:val="22"/>
          <w:lang w:eastAsia="zh-CN"/>
        </w:rPr>
        <w:t>Erigeron</w:t>
      </w:r>
      <w:r>
        <w:rPr>
          <w:rFonts w:hint="eastAsia" w:ascii="Times New Roman" w:hAnsi="Times New Roman" w:eastAsia="宋体" w:cs="Times New Roman"/>
          <w:i/>
          <w:iCs/>
          <w:color w:val="auto"/>
          <w:sz w:val="24"/>
          <w:szCs w:val="22"/>
          <w:lang w:val="en-US" w:eastAsia="zh-CN"/>
        </w:rPr>
        <w:t xml:space="preserve"> </w:t>
      </w:r>
      <w:r>
        <w:rPr>
          <w:rFonts w:hint="eastAsia" w:ascii="Times New Roman" w:hAnsi="Times New Roman" w:eastAsia="宋体" w:cs="Times New Roman"/>
          <w:i/>
          <w:iCs/>
          <w:color w:val="auto"/>
          <w:sz w:val="24"/>
          <w:szCs w:val="22"/>
          <w:lang w:eastAsia="zh-CN"/>
        </w:rPr>
        <w:t>canadensis</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酸模叶蓼(Persicaria lapathifolia)、白车轴草(Trifolium repens)</w:t>
      </w:r>
      <w:r>
        <w:rPr>
          <w:rFonts w:ascii="Times New Roman" w:hAnsi="Times New Roman" w:eastAsia="宋体" w:cs="Times New Roman"/>
          <w:color w:val="auto"/>
          <w:sz w:val="24"/>
          <w:szCs w:val="22"/>
        </w:rPr>
        <w:t>等。</w:t>
      </w:r>
    </w:p>
    <w:p w14:paraId="7F4DA757">
      <w:pPr>
        <w:widowControl/>
        <w:numPr>
          <w:ilvl w:val="0"/>
          <w:numId w:val="20"/>
        </w:numPr>
        <w:tabs>
          <w:tab w:val="left" w:pos="1021"/>
        </w:tabs>
        <w:spacing w:line="360" w:lineRule="auto"/>
        <w:ind w:left="-2" w:leftChars="0" w:firstLine="482" w:firstLineChars="0"/>
        <w:rPr>
          <w:rFonts w:hint="default"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篌竹群系</w:t>
      </w:r>
    </w:p>
    <w:p w14:paraId="3A8277E8">
      <w:pPr>
        <w:spacing w:line="360" w:lineRule="auto"/>
        <w:ind w:firstLine="480" w:firstLineChars="200"/>
        <w:rPr>
          <w:rFonts w:hint="eastAsia" w:ascii="Times New Roman" w:hAnsi="Times New Roman" w:eastAsia="宋体" w:cs="Times New Roman"/>
          <w:color w:val="auto"/>
          <w:sz w:val="24"/>
          <w:szCs w:val="21"/>
          <w:lang w:eastAsia="zh-CN"/>
        </w:rPr>
      </w:pPr>
      <w:r>
        <w:rPr>
          <w:rFonts w:hint="eastAsia" w:ascii="Times New Roman" w:hAnsi="Times New Roman" w:eastAsia="宋体" w:cs="Times New Roman"/>
          <w:color w:val="auto"/>
          <w:sz w:val="24"/>
          <w:szCs w:val="21"/>
          <w:lang w:eastAsia="zh-CN"/>
        </w:rPr>
        <w:t>篌竹(</w:t>
      </w:r>
      <w:r>
        <w:rPr>
          <w:rFonts w:hint="eastAsia" w:ascii="Times New Roman" w:hAnsi="Times New Roman" w:eastAsia="宋体" w:cs="Times New Roman"/>
          <w:i/>
          <w:iCs/>
          <w:color w:val="auto"/>
          <w:sz w:val="24"/>
          <w:szCs w:val="21"/>
          <w:lang w:eastAsia="zh-CN"/>
        </w:rPr>
        <w:t>Phyllostachys nidularia</w:t>
      </w:r>
      <w:r>
        <w:rPr>
          <w:rFonts w:hint="eastAsia" w:ascii="Times New Roman" w:hAnsi="Times New Roman" w:eastAsia="宋体" w:cs="Times New Roman"/>
          <w:color w:val="auto"/>
          <w:sz w:val="24"/>
          <w:szCs w:val="21"/>
          <w:lang w:eastAsia="zh-CN"/>
        </w:rPr>
        <w:t>)，</w:t>
      </w:r>
      <w:r>
        <w:rPr>
          <w:rFonts w:hint="default" w:ascii="Times New Roman" w:hAnsi="Times New Roman" w:eastAsia="宋体" w:cs="Times New Roman"/>
          <w:color w:val="auto"/>
          <w:sz w:val="24"/>
          <w:szCs w:val="32"/>
          <w:lang w:val="en-US" w:eastAsia="zh-CN"/>
        </w:rPr>
        <w:t>禾本科刚竹属植物，是评价区最为常见的小径竹之一，其在评价区</w:t>
      </w:r>
      <w:r>
        <w:rPr>
          <w:rFonts w:hint="eastAsia" w:ascii="Times New Roman" w:hAnsi="Times New Roman" w:eastAsia="宋体" w:cs="Times New Roman"/>
          <w:color w:val="auto"/>
          <w:sz w:val="24"/>
          <w:szCs w:val="32"/>
          <w:lang w:val="en-US" w:eastAsia="zh-CN"/>
        </w:rPr>
        <w:t>最为常见的竹</w:t>
      </w:r>
      <w:r>
        <w:rPr>
          <w:rFonts w:hint="default" w:ascii="Times New Roman" w:hAnsi="Times New Roman" w:eastAsia="宋体" w:cs="Times New Roman"/>
          <w:color w:val="auto"/>
          <w:sz w:val="24"/>
          <w:szCs w:val="32"/>
          <w:lang w:val="en-US" w:eastAsia="zh-CN"/>
        </w:rPr>
        <w:t>，群落外貌呈嫩绿色，林下土壤为黄壤，群落结构及种类组成较简单。</w:t>
      </w:r>
    </w:p>
    <w:p w14:paraId="03736196">
      <w:pPr>
        <w:widowControl/>
        <w:tabs>
          <w:tab w:val="left" w:pos="1021"/>
        </w:tabs>
        <w:spacing w:line="360" w:lineRule="auto"/>
        <w:ind w:firstLine="480" w:firstLineChars="200"/>
        <w:rPr>
          <w:rFonts w:hint="eastAsia" w:ascii="Times New Roman" w:hAnsi="Times New Roman" w:eastAsia="宋体" w:cs="Times New Roman"/>
          <w:color w:val="auto"/>
          <w:sz w:val="24"/>
          <w:szCs w:val="21"/>
          <w:lang w:eastAsia="zh-CN"/>
        </w:rPr>
      </w:pPr>
      <w:r>
        <w:rPr>
          <w:rFonts w:ascii="Times New Roman" w:hAnsi="Times New Roman" w:eastAsia="宋体" w:cs="Times New Roman"/>
          <w:color w:val="auto"/>
          <w:sz w:val="24"/>
          <w:szCs w:val="22"/>
        </w:rPr>
        <w:t>灌木层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90%，层均高2.2m，</w:t>
      </w:r>
      <w:r>
        <w:rPr>
          <w:rFonts w:ascii="Times New Roman" w:hAnsi="Times New Roman" w:eastAsia="宋体" w:cs="Times New Roman"/>
          <w:color w:val="auto"/>
          <w:sz w:val="24"/>
          <w:szCs w:val="22"/>
        </w:rPr>
        <w:t>优势种为</w:t>
      </w:r>
      <w:r>
        <w:rPr>
          <w:rFonts w:hint="eastAsia" w:ascii="Times New Roman" w:hAnsi="Times New Roman" w:eastAsia="宋体" w:cs="Times New Roman"/>
          <w:color w:val="auto"/>
          <w:sz w:val="24"/>
          <w:szCs w:val="22"/>
          <w:lang w:eastAsia="zh-CN"/>
        </w:rPr>
        <w:t>篌竹(</w:t>
      </w:r>
      <w:r>
        <w:rPr>
          <w:rFonts w:hint="eastAsia" w:ascii="Times New Roman" w:hAnsi="Times New Roman" w:eastAsia="宋体" w:cs="Times New Roman"/>
          <w:i/>
          <w:iCs/>
          <w:color w:val="auto"/>
          <w:sz w:val="24"/>
          <w:szCs w:val="22"/>
          <w:lang w:eastAsia="zh-CN"/>
        </w:rPr>
        <w:t>Phyllostachys nidularia</w:t>
      </w:r>
      <w:r>
        <w:rPr>
          <w:rFonts w:hint="eastAsia" w:ascii="Times New Roman" w:hAnsi="Times New Roman" w:eastAsia="宋体" w:cs="Times New Roman"/>
          <w:color w:val="auto"/>
          <w:sz w:val="24"/>
          <w:szCs w:val="22"/>
          <w:lang w:eastAsia="zh-CN"/>
        </w:rPr>
        <w:t>)，高</w:t>
      </w:r>
      <w:r>
        <w:rPr>
          <w:rFonts w:hint="eastAsia" w:ascii="Times New Roman" w:hAnsi="Times New Roman" w:eastAsia="宋体" w:cs="Times New Roman"/>
          <w:color w:val="auto"/>
          <w:sz w:val="24"/>
          <w:szCs w:val="22"/>
          <w:lang w:val="en-US" w:eastAsia="zh-CN"/>
        </w:rPr>
        <w:t>1.3-2.8m，地径0.3-1.9cm</w:t>
      </w:r>
      <w:r>
        <w:rPr>
          <w:rFonts w:hint="eastAsia" w:ascii="Times New Roman" w:hAnsi="Times New Roman" w:eastAsia="宋体" w:cs="Times New Roman"/>
          <w:color w:val="auto"/>
          <w:sz w:val="24"/>
          <w:szCs w:val="22"/>
          <w:lang w:eastAsia="zh-CN"/>
        </w:rPr>
        <w:t>，其他主要物种有</w:t>
      </w:r>
      <w:r>
        <w:rPr>
          <w:rFonts w:hint="eastAsia" w:ascii="Times New Roman" w:hAnsi="Times New Roman" w:eastAsia="宋体" w:cs="Times New Roman"/>
          <w:color w:val="auto"/>
          <w:sz w:val="24"/>
          <w:szCs w:val="22"/>
          <w:lang w:val="en-US" w:eastAsia="zh-CN"/>
        </w:rPr>
        <w:t>葛(</w:t>
      </w:r>
      <w:r>
        <w:rPr>
          <w:rFonts w:hint="eastAsia" w:ascii="Times New Roman" w:hAnsi="Times New Roman" w:eastAsia="宋体" w:cs="Times New Roman"/>
          <w:i/>
          <w:iCs/>
          <w:color w:val="auto"/>
          <w:sz w:val="24"/>
          <w:szCs w:val="22"/>
          <w:lang w:val="en-US" w:eastAsia="zh-CN"/>
        </w:rPr>
        <w:t xml:space="preserve">Pueraria montana </w:t>
      </w:r>
      <w:r>
        <w:rPr>
          <w:rFonts w:hint="eastAsia" w:ascii="Times New Roman" w:hAnsi="Times New Roman" w:eastAsia="宋体" w:cs="Times New Roman"/>
          <w:i w:val="0"/>
          <w:iCs w:val="0"/>
          <w:color w:val="auto"/>
          <w:sz w:val="24"/>
          <w:szCs w:val="22"/>
          <w:lang w:val="en-US" w:eastAsia="zh-CN"/>
        </w:rPr>
        <w:t>var.</w:t>
      </w:r>
      <w:r>
        <w:rPr>
          <w:rFonts w:hint="eastAsia" w:ascii="Times New Roman" w:hAnsi="Times New Roman" w:eastAsia="宋体" w:cs="Times New Roman"/>
          <w:i/>
          <w:iCs/>
          <w:color w:val="auto"/>
          <w:sz w:val="24"/>
          <w:szCs w:val="22"/>
          <w:lang w:val="en-US" w:eastAsia="zh-CN"/>
        </w:rPr>
        <w:t xml:space="preserve"> lobata</w:t>
      </w:r>
      <w:r>
        <w:rPr>
          <w:rFonts w:hint="eastAsia" w:ascii="Times New Roman" w:hAnsi="Times New Roman" w:eastAsia="宋体" w:cs="Times New Roman"/>
          <w:color w:val="auto"/>
          <w:sz w:val="24"/>
          <w:szCs w:val="22"/>
          <w:lang w:val="en-US" w:eastAsia="zh-CN"/>
        </w:rPr>
        <w:t>)、灰白毛莓</w:t>
      </w:r>
      <w:r>
        <w:rPr>
          <w:rFonts w:hint="eastAsia" w:ascii="Times New Roman" w:hAnsi="Times New Roman" w:eastAsia="宋体" w:cs="Times New Roman"/>
          <w:color w:val="auto"/>
          <w:sz w:val="24"/>
          <w:szCs w:val="22"/>
          <w:lang w:eastAsia="zh-CN"/>
        </w:rPr>
        <w:t>、盐麸木、</w:t>
      </w:r>
      <w:r>
        <w:rPr>
          <w:rFonts w:hint="eastAsia" w:ascii="Times New Roman" w:hAnsi="Times New Roman" w:eastAsia="宋体" w:cs="Times New Roman"/>
          <w:color w:val="auto"/>
          <w:sz w:val="24"/>
          <w:szCs w:val="22"/>
          <w:lang w:val="en-US" w:eastAsia="zh-CN"/>
        </w:rPr>
        <w:t>小果蔷薇</w:t>
      </w:r>
      <w:r>
        <w:rPr>
          <w:rFonts w:ascii="Times New Roman" w:hAnsi="Times New Roman" w:eastAsia="宋体" w:cs="Times New Roman"/>
          <w:color w:val="auto"/>
          <w:sz w:val="24"/>
          <w:szCs w:val="22"/>
        </w:rPr>
        <w:t>；草本层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20%，层均高0.35m，</w:t>
      </w:r>
      <w:r>
        <w:rPr>
          <w:rFonts w:ascii="Times New Roman" w:hAnsi="Times New Roman" w:eastAsia="宋体" w:cs="Times New Roman"/>
          <w:color w:val="auto"/>
          <w:sz w:val="24"/>
          <w:szCs w:val="22"/>
        </w:rPr>
        <w:t>优势种为</w:t>
      </w:r>
      <w:r>
        <w:rPr>
          <w:rFonts w:hint="eastAsia" w:ascii="Times New Roman" w:hAnsi="Times New Roman" w:eastAsia="宋体" w:cs="Times New Roman"/>
          <w:color w:val="auto"/>
          <w:sz w:val="24"/>
          <w:szCs w:val="22"/>
          <w:lang w:val="en-US" w:eastAsia="zh-CN"/>
        </w:rPr>
        <w:t>酸模叶蓼</w:t>
      </w:r>
      <w:r>
        <w:rPr>
          <w:rFonts w:hint="eastAsia" w:ascii="Times New Roman" w:hAnsi="Times New Roman" w:eastAsia="宋体" w:cs="Times New Roman"/>
          <w:color w:val="auto"/>
          <w:sz w:val="24"/>
          <w:szCs w:val="22"/>
        </w:rPr>
        <w:t>，高0.</w:t>
      </w:r>
      <w:r>
        <w:rPr>
          <w:rFonts w:hint="eastAsia" w:ascii="Times New Roman" w:hAnsi="Times New Roman" w:eastAsia="宋体" w:cs="Times New Roman"/>
          <w:color w:val="auto"/>
          <w:sz w:val="24"/>
          <w:szCs w:val="22"/>
          <w:lang w:val="en-US" w:eastAsia="zh-CN"/>
        </w:rPr>
        <w:t>5</w:t>
      </w:r>
      <w:r>
        <w:rPr>
          <w:rFonts w:hint="eastAsia" w:ascii="Times New Roman" w:hAnsi="Times New Roman" w:eastAsia="宋体" w:cs="Times New Roman"/>
          <w:color w:val="auto"/>
          <w:sz w:val="24"/>
          <w:szCs w:val="22"/>
        </w:rPr>
        <w:t>-0.</w:t>
      </w:r>
      <w:r>
        <w:rPr>
          <w:rFonts w:hint="eastAsia" w:ascii="Times New Roman" w:hAnsi="Times New Roman" w:eastAsia="宋体" w:cs="Times New Roman"/>
          <w:color w:val="auto"/>
          <w:sz w:val="24"/>
          <w:szCs w:val="22"/>
          <w:lang w:val="en-US" w:eastAsia="zh-CN"/>
        </w:rPr>
        <w:t>9</w:t>
      </w:r>
      <w:r>
        <w:rPr>
          <w:rFonts w:hint="eastAsia" w:ascii="Times New Roman" w:hAnsi="Times New Roman" w:eastAsia="宋体" w:cs="Times New Roman"/>
          <w:color w:val="auto"/>
          <w:sz w:val="24"/>
          <w:szCs w:val="22"/>
        </w:rPr>
        <w:t>m</w:t>
      </w:r>
      <w:r>
        <w:rPr>
          <w:rFonts w:hint="eastAsia" w:ascii="Times New Roman" w:hAnsi="Times New Roman" w:eastAsia="宋体" w:cs="Times New Roman"/>
          <w:color w:val="auto"/>
          <w:sz w:val="24"/>
          <w:szCs w:val="22"/>
          <w:lang w:eastAsia="zh-CN"/>
        </w:rPr>
        <w:t>、野艾蒿</w:t>
      </w:r>
      <w:r>
        <w:rPr>
          <w:rFonts w:hint="eastAsia" w:ascii="Times New Roman" w:hAnsi="Times New Roman" w:eastAsia="宋体" w:cs="Times New Roman"/>
          <w:color w:val="auto"/>
          <w:sz w:val="24"/>
          <w:szCs w:val="22"/>
        </w:rPr>
        <w:t>，高0.3-0.7m，其他主要物种有</w:t>
      </w:r>
      <w:r>
        <w:rPr>
          <w:rFonts w:hint="eastAsia" w:ascii="Times New Roman" w:hAnsi="Times New Roman" w:eastAsia="宋体" w:cs="Times New Roman"/>
          <w:color w:val="auto"/>
          <w:sz w:val="24"/>
          <w:szCs w:val="22"/>
          <w:lang w:val="en-US" w:eastAsia="zh-CN"/>
        </w:rPr>
        <w:t>小蓬</w:t>
      </w:r>
      <w:r>
        <w:rPr>
          <w:rFonts w:hint="eastAsia" w:ascii="Times New Roman" w:hAnsi="Times New Roman" w:eastAsia="宋体" w:cs="Times New Roman"/>
          <w:color w:val="auto"/>
          <w:sz w:val="24"/>
          <w:szCs w:val="22"/>
          <w:lang w:eastAsia="zh-CN"/>
        </w:rPr>
        <w:t>草</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val="en-US" w:eastAsia="zh-CN"/>
        </w:rPr>
        <w:t>垂序商陆</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白车轴草</w:t>
      </w:r>
      <w:r>
        <w:rPr>
          <w:rFonts w:hint="eastAsia" w:ascii="Times New Roman" w:hAnsi="Times New Roman" w:eastAsia="宋体" w:cs="Times New Roman"/>
          <w:color w:val="auto"/>
          <w:sz w:val="24"/>
          <w:szCs w:val="22"/>
        </w:rPr>
        <w:t>等</w:t>
      </w:r>
      <w:r>
        <w:rPr>
          <w:rFonts w:ascii="Times New Roman" w:hAnsi="Times New Roman" w:eastAsia="宋体" w:cs="Times New Roman"/>
          <w:color w:val="auto"/>
          <w:sz w:val="24"/>
          <w:szCs w:val="22"/>
        </w:rPr>
        <w:t>。</w:t>
      </w:r>
    </w:p>
    <w:p w14:paraId="6DD89B90">
      <w:pPr>
        <w:widowControl/>
        <w:numPr>
          <w:ilvl w:val="0"/>
          <w:numId w:val="19"/>
        </w:numPr>
        <w:spacing w:before="100" w:beforeAutospacing="1" w:line="360" w:lineRule="auto"/>
        <w:ind w:firstLine="482" w:firstLineChars="200"/>
        <w:contextualSpacing/>
        <w:jc w:val="left"/>
        <w:rPr>
          <w:rFonts w:ascii="Times New Roman" w:hAnsi="Times New Roman" w:eastAsia="宋体" w:cs="Times New Roman"/>
          <w:b/>
          <w:bCs/>
          <w:caps w:val="0"/>
          <w:smallCaps w:val="0"/>
          <w:color w:val="auto"/>
          <w:kern w:val="0"/>
          <w:sz w:val="24"/>
          <w:szCs w:val="21"/>
        </w:rPr>
      </w:pPr>
      <w:r>
        <w:rPr>
          <w:rFonts w:ascii="Times New Roman" w:hAnsi="Times New Roman" w:eastAsia="宋体" w:cs="Times New Roman"/>
          <w:b/>
          <w:bCs/>
          <w:caps w:val="0"/>
          <w:smallCaps w:val="0"/>
          <w:color w:val="auto"/>
          <w:sz w:val="24"/>
          <w:szCs w:val="21"/>
        </w:rPr>
        <w:t>灌丛</w:t>
      </w:r>
      <w:r>
        <w:rPr>
          <w:rFonts w:hint="eastAsia" w:ascii="Times New Roman" w:hAnsi="Times New Roman" w:eastAsia="宋体" w:cs="Times New Roman"/>
          <w:b/>
          <w:bCs/>
          <w:caps w:val="0"/>
          <w:smallCaps w:val="0"/>
          <w:color w:val="auto"/>
          <w:sz w:val="24"/>
          <w:szCs w:val="21"/>
          <w:lang w:eastAsia="zh-CN"/>
        </w:rPr>
        <w:t>和灌草丛</w:t>
      </w:r>
    </w:p>
    <w:p w14:paraId="03CE76BE">
      <w:pPr>
        <w:widowControl/>
        <w:numPr>
          <w:ilvl w:val="0"/>
          <w:numId w:val="20"/>
        </w:numPr>
        <w:tabs>
          <w:tab w:val="left" w:pos="1021"/>
        </w:tabs>
        <w:spacing w:line="360" w:lineRule="auto"/>
        <w:ind w:left="-2" w:leftChars="0" w:firstLine="482" w:firstLineChars="0"/>
        <w:rPr>
          <w:rFonts w:hint="default"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构树群系</w:t>
      </w:r>
    </w:p>
    <w:p w14:paraId="34669F14">
      <w:pPr>
        <w:spacing w:line="360" w:lineRule="auto"/>
        <w:ind w:firstLine="480" w:firstLineChars="200"/>
        <w:rPr>
          <w:rFonts w:hint="eastAsia" w:ascii="Times New Roman" w:hAnsi="Times New Roman" w:eastAsia="宋体" w:cs="Times New Roman"/>
          <w:color w:val="auto"/>
          <w:sz w:val="24"/>
          <w:szCs w:val="21"/>
          <w:lang w:eastAsia="zh-CN"/>
        </w:rPr>
      </w:pPr>
      <w:r>
        <w:rPr>
          <w:rFonts w:hint="eastAsia" w:ascii="Times New Roman" w:hAnsi="Times New Roman" w:eastAsia="宋体" w:cs="Times New Roman"/>
          <w:color w:val="auto"/>
          <w:sz w:val="24"/>
          <w:szCs w:val="22"/>
          <w:lang w:val="en-US" w:eastAsia="zh-CN"/>
        </w:rPr>
        <w:t>构树</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Broussonetia papyrifera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32"/>
          <w:lang w:val="en-US" w:eastAsia="zh-CN"/>
        </w:rPr>
        <w:t>桑</w:t>
      </w:r>
      <w:r>
        <w:rPr>
          <w:rFonts w:hint="default" w:ascii="Times New Roman" w:hAnsi="Times New Roman" w:eastAsia="宋体" w:cs="Times New Roman"/>
          <w:color w:val="auto"/>
          <w:sz w:val="24"/>
          <w:szCs w:val="32"/>
          <w:lang w:val="en-US" w:eastAsia="zh-CN"/>
        </w:rPr>
        <w:t>科</w:t>
      </w:r>
      <w:r>
        <w:rPr>
          <w:rFonts w:hint="eastAsia" w:ascii="Times New Roman" w:hAnsi="Times New Roman" w:eastAsia="宋体" w:cs="Times New Roman"/>
          <w:color w:val="auto"/>
          <w:sz w:val="24"/>
          <w:szCs w:val="32"/>
          <w:lang w:val="en-US" w:eastAsia="zh-CN"/>
        </w:rPr>
        <w:t>构</w:t>
      </w:r>
      <w:r>
        <w:rPr>
          <w:rFonts w:hint="default" w:ascii="Times New Roman" w:hAnsi="Times New Roman" w:eastAsia="宋体" w:cs="Times New Roman"/>
          <w:color w:val="auto"/>
          <w:sz w:val="24"/>
          <w:szCs w:val="32"/>
          <w:lang w:val="en-US" w:eastAsia="zh-CN"/>
        </w:rPr>
        <w:t>属植物，是评价区最为常见的</w:t>
      </w:r>
      <w:r>
        <w:rPr>
          <w:rFonts w:hint="eastAsia" w:ascii="Times New Roman" w:hAnsi="Times New Roman" w:eastAsia="宋体" w:cs="Times New Roman"/>
          <w:color w:val="auto"/>
          <w:sz w:val="24"/>
          <w:szCs w:val="32"/>
          <w:lang w:val="en-US" w:eastAsia="zh-CN"/>
        </w:rPr>
        <w:t>灌木、小乔木</w:t>
      </w:r>
      <w:r>
        <w:rPr>
          <w:rFonts w:hint="default" w:ascii="Times New Roman" w:hAnsi="Times New Roman" w:eastAsia="宋体" w:cs="Times New Roman"/>
          <w:color w:val="auto"/>
          <w:sz w:val="24"/>
          <w:szCs w:val="32"/>
          <w:lang w:val="en-US" w:eastAsia="zh-CN"/>
        </w:rPr>
        <w:t>之一，群落外貌呈嫩绿色，林下土壤为黄壤，群落结构及种类组成较简单。</w:t>
      </w:r>
    </w:p>
    <w:p w14:paraId="516D2CDD">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eastAsia" w:ascii="Times New Roman" w:hAnsi="Times New Roman" w:eastAsia="宋体" w:cs="Times New Roman"/>
          <w:b w:val="0"/>
          <w:bCs w:val="0"/>
          <w:color w:val="auto"/>
          <w:kern w:val="2"/>
          <w:sz w:val="24"/>
          <w:szCs w:val="21"/>
          <w:lang w:val="en-US" w:eastAsia="zh-CN" w:bidi="ar-SA"/>
        </w:rPr>
        <w:t>灌木层盖度75%，层均高5m，优势种为</w:t>
      </w:r>
      <w:r>
        <w:rPr>
          <w:rFonts w:hint="eastAsia" w:ascii="Times New Roman" w:hAnsi="Times New Roman" w:eastAsia="宋体" w:cs="Times New Roman"/>
          <w:color w:val="auto"/>
          <w:sz w:val="24"/>
          <w:szCs w:val="22"/>
          <w:lang w:val="en-US" w:eastAsia="zh-CN"/>
        </w:rPr>
        <w:t>构树</w:t>
      </w:r>
      <w:r>
        <w:rPr>
          <w:rFonts w:ascii="Times New Roman" w:hAnsi="Times New Roman" w:eastAsia="宋体" w:cs="Times New Roman"/>
          <w:color w:val="auto"/>
          <w:sz w:val="24"/>
          <w:szCs w:val="22"/>
        </w:rPr>
        <w:t>，高</w:t>
      </w:r>
      <w:r>
        <w:rPr>
          <w:rFonts w:hint="eastAsia" w:ascii="Times New Roman" w:hAnsi="Times New Roman" w:eastAsia="宋体" w:cs="Times New Roman"/>
          <w:color w:val="auto"/>
          <w:sz w:val="24"/>
          <w:szCs w:val="22"/>
          <w:lang w:val="en-US" w:eastAsia="zh-CN"/>
        </w:rPr>
        <w:t>2.5-6</w:t>
      </w:r>
      <w:r>
        <w:rPr>
          <w:rFonts w:ascii="Times New Roman" w:hAnsi="Times New Roman" w:eastAsia="宋体" w:cs="Times New Roman"/>
          <w:color w:val="auto"/>
          <w:sz w:val="24"/>
          <w:szCs w:val="22"/>
        </w:rPr>
        <w:t>m，胸径</w:t>
      </w:r>
      <w:r>
        <w:rPr>
          <w:rFonts w:hint="eastAsia" w:ascii="Times New Roman" w:hAnsi="Times New Roman" w:eastAsia="宋体" w:cs="Times New Roman"/>
          <w:color w:val="auto"/>
          <w:sz w:val="24"/>
          <w:szCs w:val="22"/>
          <w:lang w:val="en-US" w:eastAsia="zh-CN"/>
        </w:rPr>
        <w:t>4-7</w:t>
      </w:r>
      <w:r>
        <w:rPr>
          <w:rFonts w:ascii="Times New Roman" w:hAnsi="Times New Roman" w:eastAsia="宋体" w:cs="Times New Roman"/>
          <w:color w:val="auto"/>
          <w:sz w:val="24"/>
          <w:szCs w:val="22"/>
        </w:rPr>
        <w:t>cm，</w:t>
      </w:r>
      <w:r>
        <w:rPr>
          <w:rFonts w:hint="eastAsia" w:ascii="Times New Roman" w:hAnsi="Times New Roman" w:eastAsia="宋体" w:cs="Times New Roman"/>
          <w:color w:val="auto"/>
          <w:sz w:val="24"/>
          <w:szCs w:val="22"/>
        </w:rPr>
        <w:t>其他主要物种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1"/>
          <w:lang w:val="en-US" w:eastAsia="zh-CN"/>
        </w:rPr>
        <w:t>篌竹</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乌桕</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Triadica sebifera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白背叶</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Mallotus tenuifolius</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小果蔷薇</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刺槐、灰白毛莓</w:t>
      </w:r>
      <w:r>
        <w:rPr>
          <w:rFonts w:hint="eastAsia" w:ascii="Times New Roman" w:hAnsi="Times New Roman" w:eastAsia="宋体" w:cs="Times New Roman"/>
          <w:color w:val="auto"/>
          <w:sz w:val="24"/>
          <w:szCs w:val="22"/>
          <w:lang w:eastAsia="zh-CN"/>
        </w:rPr>
        <w:t>、篌竹等</w:t>
      </w:r>
      <w:r>
        <w:rPr>
          <w:rFonts w:ascii="Times New Roman" w:hAnsi="Times New Roman" w:eastAsia="宋体" w:cs="Times New Roman"/>
          <w:color w:val="auto"/>
          <w:sz w:val="24"/>
          <w:szCs w:val="22"/>
        </w:rPr>
        <w:t>；草本层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30%，层均高1m，</w:t>
      </w:r>
      <w:r>
        <w:rPr>
          <w:rFonts w:ascii="Times New Roman" w:hAnsi="Times New Roman" w:eastAsia="宋体" w:cs="Times New Roman"/>
          <w:color w:val="auto"/>
          <w:sz w:val="24"/>
          <w:szCs w:val="22"/>
        </w:rPr>
        <w:t>优势种为</w:t>
      </w:r>
      <w:r>
        <w:rPr>
          <w:rFonts w:hint="eastAsia" w:ascii="Times New Roman" w:hAnsi="Times New Roman" w:eastAsia="宋体" w:cs="Times New Roman"/>
          <w:color w:val="auto"/>
          <w:sz w:val="24"/>
          <w:szCs w:val="22"/>
          <w:lang w:val="en-US" w:eastAsia="zh-CN"/>
        </w:rPr>
        <w:t>小蓬</w:t>
      </w:r>
      <w:r>
        <w:rPr>
          <w:rFonts w:hint="eastAsia" w:ascii="Times New Roman" w:hAnsi="Times New Roman" w:eastAsia="宋体" w:cs="Times New Roman"/>
          <w:color w:val="auto"/>
          <w:sz w:val="24"/>
          <w:szCs w:val="22"/>
          <w:lang w:eastAsia="zh-CN"/>
        </w:rPr>
        <w:t>草</w:t>
      </w:r>
      <w:r>
        <w:rPr>
          <w:rFonts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eastAsia="zh-CN"/>
        </w:rPr>
        <w:t>高</w:t>
      </w:r>
      <w:r>
        <w:rPr>
          <w:rFonts w:hint="eastAsia" w:ascii="Times New Roman" w:hAnsi="Times New Roman" w:eastAsia="宋体" w:cs="Times New Roman"/>
          <w:color w:val="auto"/>
          <w:sz w:val="24"/>
          <w:szCs w:val="22"/>
          <w:lang w:val="en-US" w:eastAsia="zh-CN"/>
        </w:rPr>
        <w:t>0.2-0.5m，</w:t>
      </w:r>
      <w:r>
        <w:rPr>
          <w:rFonts w:hint="eastAsia" w:ascii="Times New Roman" w:hAnsi="Times New Roman" w:eastAsia="宋体" w:cs="Times New Roman"/>
          <w:color w:val="auto"/>
          <w:sz w:val="24"/>
          <w:szCs w:val="22"/>
        </w:rPr>
        <w:t>其他主要物种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2"/>
          <w:lang w:eastAsia="zh-CN"/>
        </w:rPr>
        <w:t>野艾蒿、蕨、</w:t>
      </w:r>
      <w:r>
        <w:rPr>
          <w:rFonts w:hint="eastAsia" w:ascii="Times New Roman" w:hAnsi="Times New Roman" w:eastAsia="宋体" w:cs="Times New Roman"/>
          <w:color w:val="auto"/>
          <w:sz w:val="24"/>
          <w:szCs w:val="22"/>
          <w:lang w:val="en-US" w:eastAsia="zh-CN"/>
        </w:rPr>
        <w:t>垂序商陆</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酸模叶蓼、白车轴草等</w:t>
      </w:r>
      <w:r>
        <w:rPr>
          <w:rFonts w:ascii="Times New Roman" w:hAnsi="Times New Roman" w:eastAsia="宋体" w:cs="Times New Roman"/>
          <w:color w:val="auto"/>
          <w:sz w:val="24"/>
          <w:szCs w:val="22"/>
        </w:rPr>
        <w:t>。</w:t>
      </w:r>
    </w:p>
    <w:p w14:paraId="7C346F57">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葛群系</w:t>
      </w:r>
    </w:p>
    <w:p w14:paraId="5952A6CC">
      <w:pPr>
        <w:widowControl w:val="0"/>
        <w:spacing w:after="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葛(</w:t>
      </w:r>
      <w:r>
        <w:rPr>
          <w:rFonts w:hint="default" w:ascii="Times New Roman" w:hAnsi="Times New Roman" w:eastAsia="宋体" w:cs="Times New Roman"/>
          <w:i/>
          <w:iCs/>
          <w:color w:val="auto"/>
          <w:kern w:val="2"/>
          <w:sz w:val="24"/>
          <w:szCs w:val="24"/>
          <w:lang w:val="en-US" w:eastAsia="zh-CN" w:bidi="ar-SA"/>
        </w:rPr>
        <w:t xml:space="preserve">Pueraria montana </w:t>
      </w:r>
      <w:r>
        <w:rPr>
          <w:rFonts w:hint="default" w:ascii="Times New Roman" w:hAnsi="Times New Roman" w:eastAsia="宋体" w:cs="Times New Roman"/>
          <w:i w:val="0"/>
          <w:iCs w:val="0"/>
          <w:color w:val="auto"/>
          <w:kern w:val="2"/>
          <w:sz w:val="24"/>
          <w:szCs w:val="24"/>
          <w:lang w:val="en-US" w:eastAsia="zh-CN" w:bidi="ar-SA"/>
        </w:rPr>
        <w:t>var.</w:t>
      </w:r>
      <w:r>
        <w:rPr>
          <w:rFonts w:hint="default" w:ascii="Times New Roman" w:hAnsi="Times New Roman" w:eastAsia="宋体" w:cs="Times New Roman"/>
          <w:i/>
          <w:iCs/>
          <w:color w:val="auto"/>
          <w:kern w:val="2"/>
          <w:sz w:val="24"/>
          <w:szCs w:val="24"/>
          <w:lang w:val="en-US" w:eastAsia="zh-CN" w:bidi="ar-SA"/>
        </w:rPr>
        <w:t xml:space="preserve"> lobata</w:t>
      </w:r>
      <w:r>
        <w:rPr>
          <w:rFonts w:hint="eastAsia" w:ascii="Times New Roman" w:hAnsi="Times New Roman" w:eastAsia="宋体" w:cs="Times New Roman"/>
          <w:color w:val="auto"/>
          <w:kern w:val="2"/>
          <w:sz w:val="24"/>
          <w:szCs w:val="24"/>
          <w:lang w:val="en-US" w:eastAsia="zh-CN" w:bidi="ar-SA"/>
        </w:rPr>
        <w:t>)，豆科葛属植物，粗壮藤本，是评价区最常见的藤本植物，常攀缘于其他灌木上，群落外貌绿色，群落结构及种类组成简单。</w:t>
      </w:r>
    </w:p>
    <w:p w14:paraId="1DEEACE3">
      <w:pPr>
        <w:spacing w:line="360" w:lineRule="auto"/>
        <w:ind w:firstLine="480" w:firstLineChars="200"/>
        <w:rPr>
          <w:rFonts w:hint="default" w:ascii="Times New Roman" w:hAnsi="Times New Roman" w:eastAsia="宋体" w:cs="Times New Roman"/>
          <w:color w:val="auto"/>
          <w:sz w:val="24"/>
          <w:szCs w:val="21"/>
          <w:lang w:val="en-US" w:eastAsia="zh-CN"/>
        </w:rPr>
      </w:pPr>
      <w:r>
        <w:rPr>
          <w:rFonts w:ascii="Times New Roman" w:hAnsi="Times New Roman" w:eastAsia="宋体" w:cs="Times New Roman"/>
          <w:color w:val="auto"/>
          <w:sz w:val="24"/>
          <w:szCs w:val="22"/>
        </w:rPr>
        <w:t>草本层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90%，层均高1.2m，</w:t>
      </w:r>
      <w:r>
        <w:rPr>
          <w:rFonts w:ascii="Times New Roman" w:hAnsi="Times New Roman" w:eastAsia="宋体" w:cs="Times New Roman"/>
          <w:color w:val="auto"/>
          <w:sz w:val="24"/>
          <w:szCs w:val="22"/>
        </w:rPr>
        <w:t>优势种为</w:t>
      </w:r>
      <w:r>
        <w:rPr>
          <w:rFonts w:hint="eastAsia" w:ascii="Times New Roman" w:hAnsi="Times New Roman" w:eastAsia="宋体" w:cs="Times New Roman"/>
          <w:color w:val="auto"/>
          <w:sz w:val="24"/>
          <w:szCs w:val="22"/>
          <w:lang w:val="en-US" w:eastAsia="zh-CN"/>
        </w:rPr>
        <w:t>葛</w:t>
      </w:r>
      <w:r>
        <w:rPr>
          <w:rFonts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eastAsia="zh-CN"/>
        </w:rPr>
        <w:t>高</w:t>
      </w:r>
      <w:r>
        <w:rPr>
          <w:rFonts w:hint="eastAsia" w:ascii="Times New Roman" w:hAnsi="Times New Roman" w:eastAsia="宋体" w:cs="Times New Roman"/>
          <w:color w:val="auto"/>
          <w:sz w:val="24"/>
          <w:szCs w:val="22"/>
          <w:lang w:val="en-US" w:eastAsia="zh-CN"/>
        </w:rPr>
        <w:t>0.5-1.5m，</w:t>
      </w:r>
      <w:r>
        <w:rPr>
          <w:rFonts w:hint="eastAsia" w:ascii="Times New Roman" w:hAnsi="Times New Roman" w:eastAsia="宋体" w:cs="Times New Roman"/>
          <w:color w:val="auto"/>
          <w:sz w:val="24"/>
          <w:szCs w:val="22"/>
        </w:rPr>
        <w:t>其他主要物种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2"/>
          <w:lang w:val="en-US" w:eastAsia="zh-CN"/>
        </w:rPr>
        <w:t>篌竹、刺槐、狗牙根</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Cynodon</w:t>
      </w:r>
      <w:r>
        <w:rPr>
          <w:rFonts w:hint="eastAsia" w:ascii="Times New Roman" w:hAnsi="Times New Roman" w:eastAsia="宋体" w:cs="Times New Roman"/>
          <w:i/>
          <w:iCs/>
          <w:color w:val="auto"/>
          <w:sz w:val="24"/>
          <w:szCs w:val="22"/>
          <w:lang w:val="en-US" w:eastAsia="zh-CN"/>
        </w:rPr>
        <w:t xml:space="preserve"> </w:t>
      </w:r>
      <w:r>
        <w:rPr>
          <w:rFonts w:hint="eastAsia" w:ascii="Times New Roman" w:hAnsi="Times New Roman" w:eastAsia="宋体" w:cs="Times New Roman"/>
          <w:i/>
          <w:iCs/>
          <w:color w:val="auto"/>
          <w:sz w:val="24"/>
          <w:szCs w:val="22"/>
          <w:lang w:eastAsia="zh-CN"/>
        </w:rPr>
        <w:t>dactylon</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eastAsia="zh-CN"/>
        </w:rPr>
        <w:t>蕨、</w:t>
      </w:r>
      <w:r>
        <w:rPr>
          <w:rFonts w:hint="eastAsia" w:ascii="Times New Roman" w:hAnsi="Times New Roman" w:eastAsia="宋体" w:cs="Times New Roman"/>
          <w:color w:val="auto"/>
          <w:sz w:val="24"/>
          <w:szCs w:val="22"/>
          <w:lang w:val="en-US" w:eastAsia="zh-CN"/>
        </w:rPr>
        <w:t>小蓬</w:t>
      </w:r>
      <w:r>
        <w:rPr>
          <w:rFonts w:hint="eastAsia" w:ascii="Times New Roman" w:hAnsi="Times New Roman" w:eastAsia="宋体" w:cs="Times New Roman"/>
          <w:color w:val="auto"/>
          <w:sz w:val="24"/>
          <w:szCs w:val="22"/>
          <w:lang w:eastAsia="zh-CN"/>
        </w:rPr>
        <w:t>草、</w:t>
      </w:r>
      <w:r>
        <w:rPr>
          <w:rFonts w:hint="eastAsia" w:ascii="Times New Roman" w:hAnsi="Times New Roman" w:eastAsia="宋体" w:cs="Times New Roman"/>
          <w:color w:val="auto"/>
          <w:sz w:val="24"/>
          <w:szCs w:val="22"/>
          <w:lang w:val="en-US" w:eastAsia="zh-CN"/>
        </w:rPr>
        <w:t>垂序商陆、野艾蒿</w:t>
      </w:r>
      <w:r>
        <w:rPr>
          <w:rFonts w:ascii="Times New Roman" w:hAnsi="Times New Roman" w:eastAsia="宋体" w:cs="Times New Roman"/>
          <w:color w:val="auto"/>
          <w:sz w:val="24"/>
          <w:szCs w:val="22"/>
        </w:rPr>
        <w:t>等。</w:t>
      </w:r>
    </w:p>
    <w:p w14:paraId="1C09B984">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芒群系</w:t>
      </w:r>
    </w:p>
    <w:p w14:paraId="427F00FA">
      <w:pPr>
        <w:spacing w:line="360" w:lineRule="auto"/>
        <w:ind w:firstLine="480" w:firstLineChars="200"/>
        <w:rPr>
          <w:rFonts w:hint="eastAsia" w:ascii="Times New Roman" w:hAnsi="Times New Roman" w:eastAsia="宋体" w:cs="Times New Roman"/>
          <w:color w:val="auto"/>
          <w:sz w:val="24"/>
          <w:szCs w:val="22"/>
          <w:lang w:eastAsia="zh-CN"/>
        </w:rPr>
      </w:pPr>
      <w:r>
        <w:rPr>
          <w:rFonts w:hint="eastAsia" w:ascii="Times New Roman" w:hAnsi="Times New Roman" w:eastAsia="宋体" w:cs="Times New Roman"/>
          <w:color w:val="auto"/>
          <w:sz w:val="24"/>
          <w:szCs w:val="22"/>
          <w:lang w:eastAsia="zh-CN"/>
        </w:rPr>
        <w:t>芒(</w:t>
      </w:r>
      <w:r>
        <w:rPr>
          <w:rFonts w:hint="eastAsia" w:ascii="Times New Roman" w:hAnsi="Times New Roman" w:eastAsia="宋体" w:cs="Times New Roman"/>
          <w:i/>
          <w:iCs/>
          <w:color w:val="auto"/>
          <w:sz w:val="24"/>
          <w:szCs w:val="22"/>
          <w:lang w:eastAsia="zh-CN"/>
        </w:rPr>
        <w:t>Miscanthus sinensis</w:t>
      </w:r>
      <w:r>
        <w:rPr>
          <w:rFonts w:hint="eastAsia" w:ascii="Times New Roman" w:hAnsi="Times New Roman" w:eastAsia="宋体" w:cs="Times New Roman"/>
          <w:color w:val="auto"/>
          <w:sz w:val="24"/>
          <w:szCs w:val="22"/>
          <w:lang w:eastAsia="zh-CN"/>
        </w:rPr>
        <w:t>)，禾本科芒属植物，常见于林下、林缘组成优势群落。其在评价区内广泛分布，群落外貌呈绿、黄相间，群系下土壤为黄壤，群落结构及种类组成较简单。</w:t>
      </w:r>
    </w:p>
    <w:p w14:paraId="3ABD652B">
      <w:pPr>
        <w:spacing w:line="360" w:lineRule="auto"/>
        <w:ind w:firstLine="480" w:firstLineChars="200"/>
        <w:rPr>
          <w:rFonts w:ascii="Times New Roman" w:hAnsi="Times New Roman" w:eastAsia="宋体" w:cs="Times New Roman"/>
          <w:color w:val="auto"/>
          <w:sz w:val="24"/>
          <w:szCs w:val="22"/>
        </w:rPr>
      </w:pPr>
      <w:r>
        <w:rPr>
          <w:rFonts w:ascii="Times New Roman" w:hAnsi="Times New Roman" w:eastAsia="宋体" w:cs="Times New Roman"/>
          <w:color w:val="auto"/>
          <w:sz w:val="24"/>
          <w:szCs w:val="22"/>
        </w:rPr>
        <w:t>草本层</w:t>
      </w:r>
      <w:r>
        <w:rPr>
          <w:rFonts w:hint="eastAsia" w:ascii="Times New Roman" w:hAnsi="Times New Roman" w:eastAsia="宋体" w:cs="Times New Roman"/>
          <w:color w:val="auto"/>
          <w:sz w:val="24"/>
          <w:szCs w:val="22"/>
          <w:lang w:eastAsia="zh-CN"/>
        </w:rPr>
        <w:t>盖度</w:t>
      </w:r>
      <w:r>
        <w:rPr>
          <w:rFonts w:hint="eastAsia" w:ascii="Times New Roman" w:hAnsi="Times New Roman" w:eastAsia="宋体" w:cs="Times New Roman"/>
          <w:color w:val="auto"/>
          <w:sz w:val="24"/>
          <w:szCs w:val="22"/>
          <w:lang w:val="en-US" w:eastAsia="zh-CN"/>
        </w:rPr>
        <w:t>85%，层均高1.0m，</w:t>
      </w:r>
      <w:r>
        <w:rPr>
          <w:rFonts w:ascii="Times New Roman" w:hAnsi="Times New Roman" w:eastAsia="宋体" w:cs="Times New Roman"/>
          <w:color w:val="auto"/>
          <w:sz w:val="24"/>
          <w:szCs w:val="22"/>
        </w:rPr>
        <w:t>优势种为</w:t>
      </w:r>
      <w:r>
        <w:rPr>
          <w:rFonts w:hint="eastAsia" w:ascii="Times New Roman" w:hAnsi="Times New Roman" w:eastAsia="宋体" w:cs="Times New Roman"/>
          <w:color w:val="auto"/>
          <w:sz w:val="24"/>
          <w:szCs w:val="22"/>
          <w:lang w:eastAsia="zh-CN"/>
        </w:rPr>
        <w:t>芒</w:t>
      </w:r>
      <w:r>
        <w:rPr>
          <w:rFonts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eastAsia="zh-CN"/>
        </w:rPr>
        <w:t>高</w:t>
      </w:r>
      <w:r>
        <w:rPr>
          <w:rFonts w:hint="eastAsia" w:ascii="Times New Roman" w:hAnsi="Times New Roman" w:eastAsia="宋体" w:cs="Times New Roman"/>
          <w:color w:val="auto"/>
          <w:sz w:val="24"/>
          <w:szCs w:val="22"/>
          <w:lang w:val="en-US" w:eastAsia="zh-CN"/>
        </w:rPr>
        <w:t>0.7-1.4m，</w:t>
      </w:r>
      <w:r>
        <w:rPr>
          <w:rFonts w:hint="eastAsia" w:ascii="Times New Roman" w:hAnsi="Times New Roman" w:eastAsia="宋体" w:cs="Times New Roman"/>
          <w:color w:val="auto"/>
          <w:sz w:val="24"/>
          <w:szCs w:val="22"/>
        </w:rPr>
        <w:t>其他主要物种</w:t>
      </w:r>
      <w:r>
        <w:rPr>
          <w:rFonts w:ascii="Times New Roman" w:hAnsi="Times New Roman" w:eastAsia="宋体" w:cs="Times New Roman"/>
          <w:color w:val="auto"/>
          <w:sz w:val="24"/>
          <w:szCs w:val="22"/>
        </w:rPr>
        <w:t>有</w:t>
      </w:r>
      <w:r>
        <w:rPr>
          <w:rFonts w:hint="eastAsia" w:ascii="Times New Roman" w:hAnsi="Times New Roman" w:eastAsia="宋体" w:cs="Times New Roman"/>
          <w:color w:val="auto"/>
          <w:sz w:val="24"/>
          <w:szCs w:val="22"/>
          <w:lang w:val="en-US" w:eastAsia="zh-CN"/>
        </w:rPr>
        <w:t>狗牙根</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lang w:eastAsia="zh-CN"/>
        </w:rPr>
        <w:t>蕨、</w:t>
      </w:r>
      <w:r>
        <w:rPr>
          <w:rFonts w:hint="eastAsia" w:ascii="Times New Roman" w:hAnsi="Times New Roman" w:eastAsia="宋体" w:cs="Times New Roman"/>
          <w:color w:val="auto"/>
          <w:sz w:val="24"/>
          <w:szCs w:val="22"/>
          <w:lang w:val="en-US" w:eastAsia="zh-CN"/>
        </w:rPr>
        <w:t>小蓬</w:t>
      </w:r>
      <w:r>
        <w:rPr>
          <w:rFonts w:hint="eastAsia" w:ascii="Times New Roman" w:hAnsi="Times New Roman" w:eastAsia="宋体" w:cs="Times New Roman"/>
          <w:color w:val="auto"/>
          <w:sz w:val="24"/>
          <w:szCs w:val="22"/>
          <w:lang w:eastAsia="zh-CN"/>
        </w:rPr>
        <w:t>草、</w:t>
      </w:r>
      <w:r>
        <w:rPr>
          <w:rFonts w:hint="eastAsia" w:ascii="Times New Roman" w:hAnsi="Times New Roman" w:eastAsia="宋体" w:cs="Times New Roman"/>
          <w:color w:val="auto"/>
          <w:sz w:val="24"/>
          <w:szCs w:val="22"/>
          <w:lang w:val="en-US" w:eastAsia="zh-CN"/>
        </w:rPr>
        <w:t>白车轴草</w:t>
      </w:r>
      <w:r>
        <w:rPr>
          <w:rFonts w:ascii="Times New Roman" w:hAnsi="Times New Roman" w:eastAsia="宋体" w:cs="Times New Roman"/>
          <w:color w:val="auto"/>
          <w:sz w:val="24"/>
          <w:szCs w:val="22"/>
        </w:rPr>
        <w:t>等。</w:t>
      </w:r>
    </w:p>
    <w:p w14:paraId="6BBA74D5">
      <w:pPr>
        <w:widowControl/>
        <w:numPr>
          <w:ilvl w:val="0"/>
          <w:numId w:val="19"/>
        </w:numPr>
        <w:spacing w:before="100" w:beforeAutospacing="1" w:line="360" w:lineRule="auto"/>
        <w:ind w:firstLine="482" w:firstLineChars="200"/>
        <w:contextualSpacing/>
        <w:jc w:val="left"/>
        <w:rPr>
          <w:rFonts w:ascii="Times New Roman" w:hAnsi="Times New Roman" w:eastAsia="宋体" w:cs="Times New Roman"/>
          <w:b/>
          <w:bCs/>
          <w:caps w:val="0"/>
          <w:smallCaps w:val="0"/>
          <w:color w:val="auto"/>
          <w:sz w:val="24"/>
          <w:szCs w:val="21"/>
        </w:rPr>
      </w:pPr>
      <w:r>
        <w:rPr>
          <w:rFonts w:hint="eastAsia" w:ascii="Times New Roman" w:hAnsi="Times New Roman" w:eastAsia="宋体" w:cs="Times New Roman"/>
          <w:b/>
          <w:bCs/>
          <w:caps w:val="0"/>
          <w:smallCaps w:val="0"/>
          <w:color w:val="auto"/>
          <w:sz w:val="24"/>
          <w:szCs w:val="21"/>
          <w:lang w:val="en-US" w:eastAsia="zh-CN"/>
        </w:rPr>
        <w:t>沼泽和水生植被</w:t>
      </w:r>
    </w:p>
    <w:p w14:paraId="712A5F66">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狐尾藻群系</w:t>
      </w:r>
    </w:p>
    <w:p w14:paraId="0A45F8BF">
      <w:pPr>
        <w:spacing w:line="360" w:lineRule="auto"/>
        <w:ind w:firstLine="480" w:firstLineChars="200"/>
        <w:rPr>
          <w:rFonts w:hint="eastAsia"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sz w:val="24"/>
          <w:szCs w:val="21"/>
          <w:lang w:val="en-US" w:eastAsia="zh-CN"/>
        </w:rPr>
        <w:t>狐尾藻（</w:t>
      </w:r>
      <w:r>
        <w:rPr>
          <w:rFonts w:hint="eastAsia" w:ascii="Times New Roman" w:hAnsi="Times New Roman" w:eastAsia="宋体" w:cs="Times New Roman"/>
          <w:i/>
          <w:iCs/>
          <w:color w:val="auto"/>
          <w:sz w:val="24"/>
          <w:szCs w:val="21"/>
          <w:lang w:val="en-US" w:eastAsia="zh-CN"/>
        </w:rPr>
        <w:t>Myriophyllum verticillatum</w:t>
      </w:r>
      <w:r>
        <w:rPr>
          <w:rFonts w:hint="eastAsia" w:ascii="Times New Roman" w:hAnsi="Times New Roman" w:eastAsia="宋体" w:cs="Times New Roman"/>
          <w:color w:val="auto"/>
          <w:sz w:val="24"/>
          <w:szCs w:val="21"/>
          <w:lang w:val="en-US" w:eastAsia="zh-CN"/>
        </w:rPr>
        <w:t>），小二仙草科狐尾藻属植物，为常见</w:t>
      </w:r>
      <w:r>
        <w:rPr>
          <w:rFonts w:ascii="Times New Roman" w:hAnsi="Times New Roman" w:eastAsia="宋体" w:cs="Times New Roman"/>
          <w:color w:val="auto"/>
          <w:sz w:val="24"/>
          <w:szCs w:val="21"/>
        </w:rPr>
        <w:t>水生植物，在</w:t>
      </w:r>
      <w:r>
        <w:rPr>
          <w:rFonts w:hint="eastAsia" w:ascii="Times New Roman" w:hAnsi="Times New Roman" w:eastAsia="宋体" w:cs="Times New Roman"/>
          <w:color w:val="auto"/>
          <w:sz w:val="24"/>
          <w:szCs w:val="21"/>
          <w:lang w:val="en-US" w:eastAsia="zh-CN"/>
        </w:rPr>
        <w:t>评价区</w:t>
      </w:r>
      <w:r>
        <w:rPr>
          <w:rFonts w:ascii="Times New Roman" w:hAnsi="Times New Roman" w:eastAsia="宋体" w:cs="Times New Roman"/>
          <w:color w:val="auto"/>
          <w:sz w:val="24"/>
          <w:szCs w:val="21"/>
        </w:rPr>
        <w:t>池塘</w:t>
      </w: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水田</w:t>
      </w:r>
      <w:r>
        <w:rPr>
          <w:rFonts w:ascii="Times New Roman" w:hAnsi="Times New Roman" w:eastAsia="宋体" w:cs="Times New Roman"/>
          <w:color w:val="auto"/>
          <w:sz w:val="24"/>
          <w:szCs w:val="21"/>
        </w:rPr>
        <w:t>内常见。</w:t>
      </w:r>
      <w:r>
        <w:rPr>
          <w:rFonts w:hint="eastAsia" w:ascii="Times New Roman" w:hAnsi="Times New Roman" w:eastAsia="宋体" w:cs="Times New Roman"/>
          <w:color w:val="auto"/>
          <w:sz w:val="24"/>
          <w:szCs w:val="21"/>
          <w:lang w:val="en-US" w:eastAsia="zh-CN"/>
        </w:rPr>
        <w:t>其根系沉在水里，水上部分茂密</w:t>
      </w:r>
      <w:r>
        <w:rPr>
          <w:rFonts w:hint="eastAsia" w:ascii="Times New Roman" w:hAnsi="Times New Roman" w:eastAsia="宋体" w:cs="Times New Roman"/>
          <w:color w:val="auto"/>
          <w:sz w:val="24"/>
          <w:szCs w:val="21"/>
        </w:rPr>
        <w:t>，整个</w:t>
      </w:r>
      <w:r>
        <w:rPr>
          <w:rFonts w:hint="eastAsia" w:ascii="Times New Roman" w:hAnsi="Times New Roman" w:eastAsia="宋体" w:cs="Times New Roman"/>
          <w:color w:val="auto"/>
          <w:sz w:val="24"/>
          <w:szCs w:val="21"/>
          <w:lang w:eastAsia="zh-CN"/>
        </w:rPr>
        <w:t>群系</w:t>
      </w:r>
      <w:r>
        <w:rPr>
          <w:rFonts w:hint="eastAsia" w:ascii="Times New Roman" w:hAnsi="Times New Roman" w:eastAsia="宋体" w:cs="Times New Roman"/>
          <w:color w:val="auto"/>
          <w:sz w:val="24"/>
          <w:szCs w:val="21"/>
        </w:rPr>
        <w:t>呈翠绿色</w:t>
      </w:r>
      <w:r>
        <w:rPr>
          <w:rFonts w:hint="eastAsia" w:ascii="Times New Roman" w:hAnsi="Times New Roman" w:eastAsia="宋体" w:cs="Times New Roman"/>
          <w:color w:val="auto"/>
          <w:sz w:val="24"/>
          <w:szCs w:val="21"/>
          <w:lang w:val="en-US" w:eastAsia="zh-CN"/>
        </w:rPr>
        <w:t>和黄色</w:t>
      </w:r>
      <w:r>
        <w:rPr>
          <w:rFonts w:hint="eastAsia" w:ascii="Times New Roman" w:hAnsi="Times New Roman" w:eastAsia="宋体" w:cs="Times New Roman"/>
          <w:color w:val="auto"/>
          <w:sz w:val="24"/>
          <w:szCs w:val="21"/>
        </w:rPr>
        <w:t>片状，植物种类单一。</w:t>
      </w:r>
      <w:r>
        <w:rPr>
          <w:rFonts w:hint="eastAsia" w:ascii="Times New Roman" w:hAnsi="Times New Roman" w:eastAsia="宋体" w:cs="Times New Roman"/>
          <w:color w:val="auto"/>
          <w:sz w:val="24"/>
          <w:szCs w:val="21"/>
          <w:lang w:val="en-US" w:eastAsia="zh-CN"/>
        </w:rPr>
        <w:t>群系盖度85%，厚度0.1~0.2m，无伴生植物。</w:t>
      </w:r>
    </w:p>
    <w:p w14:paraId="6A47010B">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空心莲子草群系</w:t>
      </w:r>
    </w:p>
    <w:p w14:paraId="5AE0A088">
      <w:pPr>
        <w:spacing w:line="360" w:lineRule="auto"/>
        <w:ind w:firstLine="480" w:firstLineChars="200"/>
        <w:rPr>
          <w:rFonts w:hint="eastAsia"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kern w:val="0"/>
          <w:sz w:val="24"/>
          <w:szCs w:val="21"/>
          <w:lang w:val="en-US" w:eastAsia="zh-CN"/>
        </w:rPr>
        <w:t>空心莲子草（</w:t>
      </w:r>
      <w:r>
        <w:rPr>
          <w:rFonts w:hint="eastAsia" w:ascii="Times New Roman" w:hAnsi="Times New Roman" w:eastAsia="宋体" w:cs="Times New Roman"/>
          <w:i/>
          <w:iCs/>
          <w:color w:val="auto"/>
          <w:kern w:val="0"/>
          <w:sz w:val="24"/>
          <w:szCs w:val="21"/>
          <w:lang w:val="en-US" w:eastAsia="zh-CN"/>
        </w:rPr>
        <w:t>Alternanthera philoxeroides</w:t>
      </w:r>
      <w:r>
        <w:rPr>
          <w:rFonts w:hint="eastAsia" w:ascii="Times New Roman" w:hAnsi="Times New Roman" w:eastAsia="宋体" w:cs="Times New Roman"/>
          <w:color w:val="auto"/>
          <w:kern w:val="0"/>
          <w:sz w:val="24"/>
          <w:szCs w:val="21"/>
          <w:lang w:val="en-US" w:eastAsia="zh-CN"/>
        </w:rPr>
        <w:t>），苋科莲子草属植物，</w:t>
      </w:r>
      <w:r>
        <w:rPr>
          <w:rFonts w:hint="eastAsia" w:ascii="Times New Roman" w:hAnsi="Times New Roman" w:eastAsia="宋体" w:cs="Times New Roman"/>
          <w:color w:val="auto"/>
          <w:kern w:val="0"/>
          <w:sz w:val="24"/>
          <w:szCs w:val="21"/>
        </w:rPr>
        <w:t>在评价区池塘、河渠</w:t>
      </w:r>
      <w:r>
        <w:rPr>
          <w:rFonts w:hint="eastAsia" w:ascii="Times New Roman" w:hAnsi="Times New Roman" w:eastAsia="宋体" w:cs="Times New Roman"/>
          <w:color w:val="auto"/>
          <w:kern w:val="0"/>
          <w:sz w:val="24"/>
          <w:szCs w:val="21"/>
          <w:lang w:val="en-US" w:eastAsia="zh-CN"/>
        </w:rPr>
        <w:t>等水域范围内</w:t>
      </w:r>
      <w:r>
        <w:rPr>
          <w:rFonts w:hint="eastAsia" w:ascii="Times New Roman" w:hAnsi="Times New Roman" w:eastAsia="宋体" w:cs="Times New Roman"/>
          <w:color w:val="auto"/>
          <w:kern w:val="0"/>
          <w:sz w:val="24"/>
          <w:szCs w:val="21"/>
        </w:rPr>
        <w:t>广泛分布，</w:t>
      </w:r>
      <w:r>
        <w:rPr>
          <w:rFonts w:hint="eastAsia" w:ascii="Times New Roman" w:hAnsi="Times New Roman" w:eastAsia="宋体" w:cs="Times New Roman"/>
          <w:color w:val="auto"/>
          <w:kern w:val="0"/>
          <w:sz w:val="24"/>
          <w:szCs w:val="21"/>
          <w:lang w:eastAsia="zh-CN"/>
        </w:rPr>
        <w:t>群系</w:t>
      </w:r>
      <w:r>
        <w:rPr>
          <w:rFonts w:hint="eastAsia" w:ascii="Times New Roman" w:hAnsi="Times New Roman" w:eastAsia="宋体" w:cs="Times New Roman"/>
          <w:color w:val="auto"/>
          <w:kern w:val="0"/>
          <w:sz w:val="24"/>
          <w:szCs w:val="21"/>
        </w:rPr>
        <w:t>盖度</w:t>
      </w:r>
      <w:r>
        <w:rPr>
          <w:rFonts w:hint="eastAsia" w:ascii="Times New Roman" w:hAnsi="Times New Roman" w:eastAsia="宋体" w:cs="Times New Roman"/>
          <w:color w:val="auto"/>
          <w:kern w:val="0"/>
          <w:sz w:val="24"/>
          <w:szCs w:val="21"/>
          <w:lang w:val="en-US" w:eastAsia="zh-CN"/>
        </w:rPr>
        <w:t>9</w:t>
      </w:r>
      <w:r>
        <w:rPr>
          <w:rFonts w:hint="eastAsia" w:ascii="Times New Roman" w:hAnsi="Times New Roman" w:eastAsia="宋体" w:cs="Times New Roman"/>
          <w:color w:val="auto"/>
          <w:kern w:val="0"/>
          <w:sz w:val="24"/>
          <w:szCs w:val="21"/>
        </w:rPr>
        <w:t>0%，</w:t>
      </w:r>
      <w:r>
        <w:rPr>
          <w:rFonts w:hint="eastAsia" w:ascii="Times New Roman" w:hAnsi="Times New Roman" w:eastAsia="宋体" w:cs="Times New Roman"/>
          <w:color w:val="auto"/>
          <w:kern w:val="0"/>
          <w:sz w:val="24"/>
          <w:szCs w:val="21"/>
          <w:lang w:val="en-US" w:eastAsia="zh-CN"/>
        </w:rPr>
        <w:t>厚度</w:t>
      </w:r>
      <w:r>
        <w:rPr>
          <w:rFonts w:hint="eastAsia" w:ascii="Times New Roman" w:hAnsi="Times New Roman" w:eastAsia="宋体" w:cs="Times New Roman"/>
          <w:color w:val="auto"/>
          <w:kern w:val="0"/>
          <w:sz w:val="24"/>
          <w:szCs w:val="21"/>
        </w:rPr>
        <w:t>约</w:t>
      </w:r>
      <w:r>
        <w:rPr>
          <w:rFonts w:hint="eastAsia" w:ascii="Times New Roman" w:hAnsi="Times New Roman" w:eastAsia="宋体" w:cs="Times New Roman"/>
          <w:color w:val="auto"/>
          <w:kern w:val="0"/>
          <w:sz w:val="24"/>
          <w:szCs w:val="21"/>
          <w:lang w:val="en-US" w:eastAsia="zh-CN"/>
        </w:rPr>
        <w:t>0.1</w:t>
      </w:r>
      <w:r>
        <w:rPr>
          <w:rFonts w:hint="eastAsia" w:ascii="Times New Roman" w:hAnsi="Times New Roman" w:eastAsia="宋体" w:cs="Times New Roman"/>
          <w:color w:val="auto"/>
          <w:kern w:val="0"/>
          <w:sz w:val="24"/>
          <w:szCs w:val="21"/>
        </w:rPr>
        <w:t>m，</w:t>
      </w:r>
      <w:r>
        <w:rPr>
          <w:rFonts w:hint="eastAsia" w:ascii="Times New Roman" w:hAnsi="Times New Roman" w:eastAsia="宋体" w:cs="Times New Roman"/>
          <w:color w:val="auto"/>
          <w:kern w:val="0"/>
          <w:sz w:val="24"/>
          <w:szCs w:val="21"/>
          <w:lang w:val="en-US" w:eastAsia="zh-CN"/>
        </w:rPr>
        <w:t>群系结构单一，无伴生植物</w:t>
      </w:r>
      <w:r>
        <w:rPr>
          <w:rFonts w:hint="eastAsia" w:ascii="Times New Roman" w:hAnsi="Times New Roman" w:eastAsia="宋体" w:cs="Times New Roman"/>
          <w:color w:val="auto"/>
          <w:kern w:val="0"/>
          <w:sz w:val="24"/>
          <w:szCs w:val="21"/>
        </w:rPr>
        <w:t>。</w:t>
      </w:r>
    </w:p>
    <w:p w14:paraId="4AA0B288">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浮萍群系</w:t>
      </w:r>
    </w:p>
    <w:p w14:paraId="6AB1EF96">
      <w:pPr>
        <w:spacing w:line="360" w:lineRule="auto"/>
        <w:ind w:firstLine="480" w:firstLineChars="200"/>
        <w:rPr>
          <w:rFonts w:hint="eastAsia" w:ascii="Times New Roman" w:hAnsi="Times New Roman" w:eastAsia="宋体" w:cs="Times New Roman"/>
          <w:color w:val="auto"/>
          <w:sz w:val="24"/>
          <w:szCs w:val="21"/>
          <w:lang w:val="en-US" w:eastAsia="zh-CN"/>
        </w:rPr>
      </w:pPr>
      <w:r>
        <w:rPr>
          <w:rFonts w:ascii="Times New Roman" w:hAnsi="Times New Roman" w:eastAsia="宋体" w:cs="Times New Roman"/>
          <w:color w:val="auto"/>
          <w:sz w:val="24"/>
          <w:szCs w:val="21"/>
        </w:rPr>
        <w:t>浮萍</w:t>
      </w: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i/>
          <w:iCs/>
          <w:color w:val="auto"/>
          <w:sz w:val="24"/>
          <w:szCs w:val="21"/>
          <w:lang w:eastAsia="zh-CN"/>
        </w:rPr>
        <w:t>Lemna minor</w:t>
      </w:r>
      <w:r>
        <w:rPr>
          <w:rFonts w:hint="eastAsia" w:ascii="Times New Roman" w:hAnsi="Times New Roman" w:eastAsia="宋体" w:cs="Times New Roman"/>
          <w:color w:val="auto"/>
          <w:sz w:val="24"/>
          <w:szCs w:val="21"/>
          <w:lang w:eastAsia="zh-CN"/>
        </w:rPr>
        <w:t>）</w:t>
      </w:r>
      <w:r>
        <w:rPr>
          <w:rFonts w:ascii="Times New Roman" w:hAnsi="Times New Roman" w:eastAsia="宋体" w:cs="Times New Roman"/>
          <w:color w:val="auto"/>
          <w:sz w:val="24"/>
          <w:szCs w:val="21"/>
        </w:rPr>
        <w:t>为浮萍科水生植物，在池塘、湖泊内常见。在拟建项目区域内的静水池塘和水田中常见。</w:t>
      </w:r>
    </w:p>
    <w:p w14:paraId="5E1D8DD0">
      <w:pPr>
        <w:widowControl/>
        <w:numPr>
          <w:ilvl w:val="0"/>
          <w:numId w:val="20"/>
        </w:numPr>
        <w:tabs>
          <w:tab w:val="left" w:pos="1021"/>
        </w:tabs>
        <w:spacing w:line="360" w:lineRule="auto"/>
        <w:ind w:left="-2" w:leftChars="0" w:firstLine="482" w:firstLineChars="0"/>
        <w:rPr>
          <w:rFonts w:hint="eastAsia" w:ascii="Times New Roman" w:hAnsi="Times New Roman" w:eastAsia="宋体" w:cs="Times New Roman"/>
          <w:b/>
          <w:caps w:val="0"/>
          <w:smallCaps w:val="0"/>
          <w:color w:val="auto"/>
          <w:kern w:val="0"/>
          <w:sz w:val="24"/>
          <w:szCs w:val="24"/>
          <w:lang w:val="en-US" w:eastAsia="zh-CN"/>
        </w:rPr>
      </w:pPr>
      <w:r>
        <w:rPr>
          <w:rFonts w:hint="eastAsia" w:ascii="Times New Roman" w:hAnsi="Times New Roman" w:eastAsia="宋体" w:cs="Times New Roman"/>
          <w:b/>
          <w:caps w:val="0"/>
          <w:smallCaps w:val="0"/>
          <w:color w:val="auto"/>
          <w:kern w:val="0"/>
          <w:sz w:val="24"/>
          <w:szCs w:val="24"/>
          <w:lang w:val="en-US" w:eastAsia="zh-CN"/>
        </w:rPr>
        <w:t>莲群系</w:t>
      </w:r>
    </w:p>
    <w:p w14:paraId="00053AB1">
      <w:pPr>
        <w:spacing w:line="360" w:lineRule="auto"/>
        <w:ind w:firstLine="480" w:firstLineChars="200"/>
        <w:rPr>
          <w:rFonts w:hint="eastAsia" w:ascii="Times New Roman" w:hAnsi="Times New Roman" w:eastAsia="宋体" w:cs="Times New Roman"/>
          <w:color w:val="auto"/>
          <w:sz w:val="24"/>
          <w:szCs w:val="22"/>
          <w:lang w:eastAsia="zh-CN"/>
        </w:rPr>
      </w:pPr>
      <w:r>
        <w:rPr>
          <w:rFonts w:hint="eastAsia" w:ascii="Times New Roman" w:hAnsi="Times New Roman" w:eastAsia="宋体" w:cs="Times New Roman"/>
          <w:color w:val="auto"/>
          <w:sz w:val="24"/>
          <w:szCs w:val="22"/>
          <w:lang w:val="en-US" w:eastAsia="zh-CN"/>
        </w:rPr>
        <w:t>莲</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Nelumbo nucifera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睡莲科莲属植物，多年生水生草本</w:t>
      </w:r>
      <w:r>
        <w:rPr>
          <w:rFonts w:hint="eastAsia" w:ascii="Times New Roman" w:hAnsi="Times New Roman" w:eastAsia="宋体" w:cs="Times New Roman"/>
          <w:color w:val="auto"/>
          <w:sz w:val="24"/>
          <w:szCs w:val="22"/>
          <w:lang w:eastAsia="zh-CN"/>
        </w:rPr>
        <w:t>。其在评价区内分布于池塘、湖泊、沟渠中，多为栽培。群落外貌呈</w:t>
      </w:r>
      <w:r>
        <w:rPr>
          <w:rFonts w:hint="eastAsia" w:ascii="Times New Roman" w:hAnsi="Times New Roman" w:eastAsia="宋体" w:cs="Times New Roman"/>
          <w:color w:val="auto"/>
          <w:sz w:val="24"/>
          <w:szCs w:val="22"/>
          <w:lang w:val="en-US" w:eastAsia="zh-CN"/>
        </w:rPr>
        <w:t>墨绿色</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多层</w:t>
      </w:r>
      <w:r>
        <w:rPr>
          <w:rFonts w:hint="eastAsia" w:ascii="Times New Roman" w:hAnsi="Times New Roman" w:eastAsia="宋体" w:cs="Times New Roman"/>
          <w:color w:val="auto"/>
          <w:sz w:val="24"/>
          <w:szCs w:val="22"/>
          <w:lang w:eastAsia="zh-CN"/>
        </w:rPr>
        <w:t>，群落结构及种类组成</w:t>
      </w:r>
      <w:r>
        <w:rPr>
          <w:rFonts w:hint="eastAsia" w:ascii="Times New Roman" w:hAnsi="Times New Roman" w:eastAsia="宋体" w:cs="Times New Roman"/>
          <w:color w:val="auto"/>
          <w:sz w:val="24"/>
          <w:szCs w:val="22"/>
          <w:lang w:val="en-US" w:eastAsia="zh-CN"/>
        </w:rPr>
        <w:t>单纯</w:t>
      </w:r>
      <w:r>
        <w:rPr>
          <w:rFonts w:hint="eastAsia" w:ascii="Times New Roman" w:hAnsi="Times New Roman" w:eastAsia="宋体" w:cs="Times New Roman"/>
          <w:color w:val="auto"/>
          <w:sz w:val="24"/>
          <w:szCs w:val="22"/>
          <w:lang w:eastAsia="zh-CN"/>
        </w:rPr>
        <w:t>。</w:t>
      </w:r>
    </w:p>
    <w:p w14:paraId="60F37CC7">
      <w:pPr>
        <w:spacing w:line="360" w:lineRule="auto"/>
        <w:ind w:firstLine="480" w:firstLineChars="200"/>
        <w:rPr>
          <w:rFonts w:hint="eastAsia" w:ascii="Times New Roman" w:hAnsi="Times New Roman" w:eastAsia="宋体" w:cs="Times New Roman"/>
          <w:color w:val="auto"/>
          <w:sz w:val="24"/>
          <w:szCs w:val="22"/>
          <w:lang w:eastAsia="zh-CN"/>
        </w:rPr>
      </w:pPr>
      <w:r>
        <w:rPr>
          <w:rFonts w:hint="eastAsia" w:ascii="Times New Roman" w:hAnsi="Times New Roman" w:eastAsia="宋体" w:cs="Times New Roman"/>
          <w:color w:val="auto"/>
          <w:sz w:val="24"/>
          <w:szCs w:val="22"/>
          <w:lang w:val="en-US" w:eastAsia="zh-CN"/>
        </w:rPr>
        <w:t>群落厚度</w:t>
      </w:r>
      <w:r>
        <w:rPr>
          <w:rFonts w:hint="eastAsia" w:ascii="Times New Roman" w:hAnsi="Times New Roman" w:eastAsia="宋体" w:cs="Times New Roman"/>
          <w:color w:val="auto"/>
          <w:sz w:val="24"/>
          <w:szCs w:val="22"/>
        </w:rPr>
        <w:t>0.3～2米</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盖度90%，</w:t>
      </w:r>
      <w:r>
        <w:rPr>
          <w:rFonts w:hint="eastAsia" w:ascii="Times New Roman" w:hAnsi="Times New Roman" w:eastAsia="宋体" w:cs="Times New Roman"/>
          <w:color w:val="auto"/>
          <w:sz w:val="24"/>
          <w:szCs w:val="22"/>
          <w:lang w:val="en-US" w:eastAsia="zh-CN"/>
        </w:rPr>
        <w:t>以莲为优势种。</w:t>
      </w:r>
      <w:r>
        <w:rPr>
          <w:rFonts w:hint="eastAsia" w:ascii="Times New Roman" w:hAnsi="Times New Roman" w:eastAsia="宋体" w:cs="Times New Roman"/>
          <w:color w:val="auto"/>
          <w:sz w:val="24"/>
          <w:szCs w:val="22"/>
        </w:rPr>
        <w:t>水中有多种植物：</w:t>
      </w:r>
      <w:r>
        <w:rPr>
          <w:rFonts w:hint="eastAsia" w:ascii="Times New Roman" w:hAnsi="Times New Roman" w:eastAsia="宋体" w:cs="Times New Roman"/>
          <w:color w:val="auto"/>
          <w:sz w:val="24"/>
          <w:szCs w:val="22"/>
          <w:lang w:val="en-US" w:eastAsia="zh-CN"/>
        </w:rPr>
        <w:t>浮萍、</w:t>
      </w:r>
      <w:r>
        <w:rPr>
          <w:rFonts w:hint="eastAsia" w:ascii="Times New Roman" w:hAnsi="Times New Roman" w:eastAsia="宋体" w:cs="Times New Roman"/>
          <w:color w:val="auto"/>
          <w:sz w:val="24"/>
          <w:szCs w:val="22"/>
        </w:rPr>
        <w:t>菹草</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Potamogeton crispus</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、黑藻</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i/>
          <w:iCs/>
          <w:color w:val="auto"/>
          <w:sz w:val="24"/>
          <w:szCs w:val="22"/>
          <w:lang w:eastAsia="zh-CN"/>
        </w:rPr>
        <w:t>Hydrilla verticillata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等。</w:t>
      </w:r>
    </w:p>
    <w:p w14:paraId="037FBFA9">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重要植物物种</w:t>
      </w:r>
    </w:p>
    <w:p w14:paraId="39A3A5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aps w:val="0"/>
          <w:smallCaps w:val="0"/>
          <w:snapToGrid/>
          <w:color w:val="auto"/>
          <w:spacing w:val="0"/>
          <w:kern w:val="0"/>
          <w:sz w:val="24"/>
          <w:szCs w:val="24"/>
          <w:highlight w:val="none"/>
          <w:u w:val="none"/>
        </w:rPr>
      </w:pPr>
      <w:r>
        <w:rPr>
          <w:rFonts w:hint="eastAsia" w:ascii="Times New Roman" w:hAnsi="Times New Roman" w:eastAsia="宋体" w:cs="Times New Roman"/>
          <w:bCs/>
          <w:caps w:val="0"/>
          <w:smallCaps w:val="0"/>
          <w:snapToGrid/>
          <w:color w:val="auto"/>
          <w:spacing w:val="0"/>
          <w:kern w:val="0"/>
          <w:sz w:val="24"/>
          <w:szCs w:val="24"/>
          <w:highlight w:val="none"/>
          <w:u w:val="none"/>
        </w:rPr>
        <w:t>（1）重点野生保护植物</w:t>
      </w:r>
    </w:p>
    <w:p w14:paraId="555B7C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aps w:val="0"/>
          <w:smallCaps w:val="0"/>
          <w:snapToGrid/>
          <w:color w:val="auto"/>
          <w:spacing w:val="0"/>
          <w:kern w:val="0"/>
          <w:sz w:val="24"/>
          <w:szCs w:val="24"/>
          <w:highlight w:val="none"/>
          <w:u w:val="none"/>
        </w:rPr>
      </w:pPr>
      <w:r>
        <w:rPr>
          <w:rFonts w:hint="eastAsia" w:ascii="Times New Roman" w:hAnsi="Times New Roman" w:eastAsia="宋体" w:cs="Times New Roman"/>
          <w:bCs/>
          <w:caps w:val="0"/>
          <w:smallCaps w:val="0"/>
          <w:snapToGrid/>
          <w:color w:val="auto"/>
          <w:spacing w:val="0"/>
          <w:kern w:val="0"/>
          <w:sz w:val="24"/>
          <w:szCs w:val="24"/>
          <w:highlight w:val="none"/>
          <w:u w:val="none"/>
        </w:rPr>
        <w:t>评价区国家重点保护野生植物根据《国家重点保护野生植物名录》（第一批）（国务院，1999年8月）</w:t>
      </w:r>
      <w:r>
        <w:rPr>
          <w:rFonts w:hint="eastAsia" w:ascii="Times New Roman" w:hAnsi="Times New Roman" w:eastAsia="宋体" w:cs="Times New Roman"/>
          <w:bCs/>
          <w:caps w:val="0"/>
          <w:smallCaps w:val="0"/>
          <w:snapToGrid/>
          <w:color w:val="auto"/>
          <w:spacing w:val="0"/>
          <w:kern w:val="0"/>
          <w:sz w:val="24"/>
          <w:szCs w:val="24"/>
          <w:highlight w:val="none"/>
          <w:u w:val="none"/>
          <w:lang w:eastAsia="zh-CN"/>
        </w:rPr>
        <w:t>、</w:t>
      </w:r>
      <w:r>
        <w:rPr>
          <w:rFonts w:hint="eastAsia" w:ascii="Times New Roman" w:hAnsi="Times New Roman" w:eastAsia="宋体" w:cs="Times New Roman"/>
          <w:bCs/>
          <w:caps w:val="0"/>
          <w:smallCaps w:val="0"/>
          <w:snapToGrid/>
          <w:color w:val="auto"/>
          <w:spacing w:val="0"/>
          <w:kern w:val="0"/>
          <w:sz w:val="24"/>
          <w:szCs w:val="24"/>
          <w:highlight w:val="none"/>
          <w:u w:val="none"/>
        </w:rPr>
        <w:t>《湖南省地方重点保护野生植物名录》（2002年9月修订）及本工程所在行政区内关于重点保护野生植物的相关资料</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确定</w:t>
      </w:r>
      <w:r>
        <w:rPr>
          <w:rFonts w:hint="eastAsia" w:ascii="Times New Roman" w:hAnsi="Times New Roman" w:eastAsia="宋体" w:cs="Times New Roman"/>
          <w:bCs/>
          <w:caps w:val="0"/>
          <w:smallCaps w:val="0"/>
          <w:snapToGrid/>
          <w:color w:val="auto"/>
          <w:spacing w:val="0"/>
          <w:kern w:val="0"/>
          <w:sz w:val="24"/>
          <w:szCs w:val="24"/>
          <w:highlight w:val="none"/>
          <w:u w:val="none"/>
        </w:rPr>
        <w:t>，结合现场调查，评价范围内未发现</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重点</w:t>
      </w:r>
      <w:r>
        <w:rPr>
          <w:rFonts w:hint="eastAsia" w:ascii="Times New Roman" w:hAnsi="Times New Roman" w:eastAsia="宋体" w:cs="Times New Roman"/>
          <w:bCs/>
          <w:caps w:val="0"/>
          <w:smallCaps w:val="0"/>
          <w:snapToGrid/>
          <w:color w:val="auto"/>
          <w:spacing w:val="0"/>
          <w:kern w:val="0"/>
          <w:sz w:val="24"/>
          <w:szCs w:val="24"/>
          <w:highlight w:val="none"/>
          <w:u w:val="none"/>
        </w:rPr>
        <w:t>野生保护植物分布。</w:t>
      </w:r>
    </w:p>
    <w:p w14:paraId="4DD393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aps w:val="0"/>
          <w:smallCaps w:val="0"/>
          <w:snapToGrid/>
          <w:color w:val="auto"/>
          <w:spacing w:val="0"/>
          <w:kern w:val="0"/>
          <w:sz w:val="24"/>
          <w:szCs w:val="24"/>
          <w:highlight w:val="none"/>
          <w:u w:val="none"/>
        </w:rPr>
      </w:pPr>
      <w:r>
        <w:rPr>
          <w:rFonts w:hint="eastAsia" w:ascii="Times New Roman" w:hAnsi="Times New Roman" w:eastAsia="宋体" w:cs="Times New Roman"/>
          <w:bCs/>
          <w:caps w:val="0"/>
          <w:smallCaps w:val="0"/>
          <w:snapToGrid/>
          <w:color w:val="auto"/>
          <w:spacing w:val="0"/>
          <w:kern w:val="0"/>
          <w:sz w:val="24"/>
          <w:szCs w:val="24"/>
          <w:highlight w:val="none"/>
          <w:u w:val="none"/>
        </w:rPr>
        <w:t>（2）古树名木</w:t>
      </w:r>
    </w:p>
    <w:p w14:paraId="76C4FA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aps w:val="0"/>
          <w:smallCaps w:val="0"/>
          <w:snapToGrid/>
          <w:color w:val="auto"/>
          <w:spacing w:val="0"/>
          <w:kern w:val="0"/>
          <w:sz w:val="24"/>
          <w:szCs w:val="24"/>
          <w:highlight w:val="none"/>
          <w:u w:val="none"/>
        </w:rPr>
      </w:pPr>
      <w:r>
        <w:rPr>
          <w:rFonts w:hint="eastAsia" w:ascii="Times New Roman" w:hAnsi="Times New Roman" w:eastAsia="宋体" w:cs="Times New Roman"/>
          <w:bCs/>
          <w:caps w:val="0"/>
          <w:smallCaps w:val="0"/>
          <w:snapToGrid/>
          <w:color w:val="auto"/>
          <w:spacing w:val="0"/>
          <w:kern w:val="0"/>
          <w:sz w:val="24"/>
          <w:szCs w:val="24"/>
          <w:highlight w:val="none"/>
          <w:u w:val="none"/>
        </w:rPr>
        <w:t>参考《湖南古树名木》（邓三龙等，2011年）及本工程所在行政区内关于古树名木及其分布资料，并对项目所在区域的林业局、附近村民进行访问调查及现场实地调查，在评价区发现</w:t>
      </w:r>
      <w:r>
        <w:rPr>
          <w:rFonts w:hint="eastAsia" w:ascii="Times New Roman" w:hAnsi="Times New Roman" w:eastAsia="宋体" w:cs="Times New Roman"/>
          <w:bCs/>
          <w:caps w:val="0"/>
          <w:smallCaps w:val="0"/>
          <w:snapToGrid/>
          <w:color w:val="auto"/>
          <w:spacing w:val="0"/>
          <w:kern w:val="0"/>
          <w:sz w:val="24"/>
          <w:szCs w:val="24"/>
          <w:highlight w:val="none"/>
          <w:u w:val="none"/>
          <w:lang w:val="en-US" w:eastAsia="zh-CN"/>
        </w:rPr>
        <w:t>2株</w:t>
      </w:r>
      <w:r>
        <w:rPr>
          <w:rFonts w:hint="eastAsia" w:ascii="Times New Roman" w:hAnsi="Times New Roman" w:eastAsia="宋体" w:cs="Times New Roman"/>
          <w:bCs/>
          <w:caps w:val="0"/>
          <w:smallCaps w:val="0"/>
          <w:snapToGrid/>
          <w:color w:val="auto"/>
          <w:spacing w:val="0"/>
          <w:kern w:val="0"/>
          <w:sz w:val="24"/>
          <w:szCs w:val="24"/>
          <w:highlight w:val="none"/>
          <w:u w:val="none"/>
        </w:rPr>
        <w:t>古树。</w:t>
      </w:r>
    </w:p>
    <w:p w14:paraId="1105E7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eastAsia" w:ascii="Times New Roman" w:hAnsi="Times New Roman" w:eastAsia="宋体" w:cs="Times New Roman"/>
          <w:b/>
          <w:caps w:val="0"/>
          <w:smallCaps w:val="0"/>
          <w:snapToGrid/>
          <w:color w:val="auto"/>
          <w:spacing w:val="0"/>
          <w:kern w:val="0"/>
          <w:sz w:val="24"/>
          <w:szCs w:val="24"/>
          <w:highlight w:val="none"/>
          <w:u w:val="none"/>
          <w:lang w:val="en-US" w:eastAsia="zh-CN"/>
        </w:rPr>
      </w:pPr>
      <w:r>
        <w:rPr>
          <w:rFonts w:ascii="Times New Roman" w:hAnsi="Times New Roman" w:eastAsia="宋体" w:cs="Times New Roman"/>
          <w:b/>
          <w:caps w:val="0"/>
          <w:smallCaps w:val="0"/>
          <w:snapToGrid/>
          <w:color w:val="auto"/>
          <w:spacing w:val="0"/>
          <w:kern w:val="0"/>
          <w:sz w:val="24"/>
          <w:szCs w:val="24"/>
          <w:highlight w:val="none"/>
          <w:u w:val="none"/>
        </w:rPr>
        <w:t>表</w:t>
      </w:r>
      <w:r>
        <w:rPr>
          <w:rFonts w:hint="eastAsia" w:ascii="Times New Roman" w:hAnsi="Times New Roman" w:eastAsia="宋体" w:cs="Times New Roman"/>
          <w:b/>
          <w:caps w:val="0"/>
          <w:smallCaps w:val="0"/>
          <w:snapToGrid/>
          <w:color w:val="auto"/>
          <w:spacing w:val="0"/>
          <w:kern w:val="0"/>
          <w:sz w:val="24"/>
          <w:szCs w:val="24"/>
          <w:highlight w:val="none"/>
          <w:u w:val="none"/>
          <w:lang w:val="en-US" w:eastAsia="zh-CN"/>
        </w:rPr>
        <w:t>3.3</w:t>
      </w:r>
      <w:r>
        <w:rPr>
          <w:rFonts w:hint="eastAsia" w:ascii="Times New Roman" w:hAnsi="Times New Roman" w:eastAsia="宋体" w:cs="Times New Roman"/>
          <w:b/>
          <w:caps w:val="0"/>
          <w:smallCaps w:val="0"/>
          <w:snapToGrid/>
          <w:color w:val="auto"/>
          <w:spacing w:val="0"/>
          <w:kern w:val="0"/>
          <w:sz w:val="24"/>
          <w:szCs w:val="24"/>
          <w:highlight w:val="none"/>
          <w:u w:val="none"/>
          <w:lang w:eastAsia="zh-CN"/>
        </w:rPr>
        <w:t>-</w:t>
      </w:r>
      <w:r>
        <w:rPr>
          <w:rFonts w:ascii="Times New Roman" w:hAnsi="Times New Roman" w:eastAsia="宋体" w:cs="Times New Roman"/>
          <w:b/>
          <w:caps w:val="0"/>
          <w:smallCaps w:val="0"/>
          <w:snapToGrid/>
          <w:color w:val="auto"/>
          <w:spacing w:val="0"/>
          <w:kern w:val="0"/>
          <w:sz w:val="24"/>
          <w:szCs w:val="24"/>
          <w:highlight w:val="none"/>
          <w:u w:val="none"/>
        </w:rPr>
        <w:fldChar w:fldCharType="begin"/>
      </w:r>
      <w:r>
        <w:rPr>
          <w:rFonts w:ascii="Times New Roman" w:hAnsi="Times New Roman" w:eastAsia="宋体" w:cs="Times New Roman"/>
          <w:b/>
          <w:caps w:val="0"/>
          <w:smallCaps w:val="0"/>
          <w:snapToGrid/>
          <w:color w:val="auto"/>
          <w:spacing w:val="0"/>
          <w:kern w:val="0"/>
          <w:sz w:val="24"/>
          <w:szCs w:val="24"/>
          <w:highlight w:val="none"/>
          <w:u w:val="none"/>
        </w:rPr>
        <w:instrText xml:space="preserve"> SEQ 表 \* ARABIC \s 1 </w:instrText>
      </w:r>
      <w:r>
        <w:rPr>
          <w:rFonts w:ascii="Times New Roman" w:hAnsi="Times New Roman" w:eastAsia="宋体" w:cs="Times New Roman"/>
          <w:b/>
          <w:caps w:val="0"/>
          <w:smallCaps w:val="0"/>
          <w:snapToGrid/>
          <w:color w:val="auto"/>
          <w:spacing w:val="0"/>
          <w:kern w:val="0"/>
          <w:sz w:val="24"/>
          <w:szCs w:val="24"/>
          <w:highlight w:val="none"/>
          <w:u w:val="none"/>
        </w:rPr>
        <w:fldChar w:fldCharType="separate"/>
      </w:r>
      <w:r>
        <w:rPr>
          <w:rFonts w:ascii="Times New Roman" w:hAnsi="Times New Roman" w:eastAsia="宋体" w:cs="Times New Roman"/>
          <w:b/>
          <w:caps w:val="0"/>
          <w:smallCaps w:val="0"/>
          <w:snapToGrid/>
          <w:color w:val="auto"/>
          <w:spacing w:val="0"/>
          <w:kern w:val="0"/>
          <w:sz w:val="24"/>
          <w:szCs w:val="24"/>
          <w:highlight w:val="none"/>
          <w:u w:val="none"/>
        </w:rPr>
        <w:t>6</w:t>
      </w:r>
      <w:r>
        <w:rPr>
          <w:rFonts w:ascii="Times New Roman" w:hAnsi="Times New Roman" w:eastAsia="宋体" w:cs="Times New Roman"/>
          <w:b/>
          <w:caps w:val="0"/>
          <w:smallCaps w:val="0"/>
          <w:snapToGrid/>
          <w:color w:val="auto"/>
          <w:spacing w:val="0"/>
          <w:kern w:val="0"/>
          <w:sz w:val="24"/>
          <w:szCs w:val="24"/>
          <w:highlight w:val="none"/>
          <w:u w:val="none"/>
        </w:rPr>
        <w:fldChar w:fldCharType="end"/>
      </w:r>
      <w:r>
        <w:rPr>
          <w:rFonts w:hint="eastAsia" w:ascii="Times New Roman" w:hAnsi="Times New Roman" w:eastAsia="宋体" w:cs="Times New Roman"/>
          <w:b/>
          <w:caps w:val="0"/>
          <w:smallCaps w:val="0"/>
          <w:snapToGrid/>
          <w:color w:val="auto"/>
          <w:spacing w:val="0"/>
          <w:kern w:val="0"/>
          <w:sz w:val="24"/>
          <w:szCs w:val="24"/>
          <w:highlight w:val="none"/>
          <w:u w:val="none"/>
          <w:lang w:val="en-US" w:eastAsia="zh-CN"/>
        </w:rPr>
        <w:t>古树名木调查结果统计表</w:t>
      </w:r>
    </w:p>
    <w:tbl>
      <w:tblPr>
        <w:tblStyle w:val="39"/>
        <w:tblW w:w="85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218"/>
        <w:gridCol w:w="1456"/>
        <w:gridCol w:w="642"/>
        <w:gridCol w:w="1369"/>
        <w:gridCol w:w="1624"/>
        <w:gridCol w:w="1615"/>
      </w:tblGrid>
      <w:tr w14:paraId="590EF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l2br w:val="nil"/>
              <w:tr2bl w:val="nil"/>
            </w:tcBorders>
            <w:shd w:val="clear" w:color="auto" w:fill="auto"/>
            <w:vAlign w:val="center"/>
          </w:tcPr>
          <w:p w14:paraId="03A8ADF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rPr>
            </w:pPr>
            <w:r>
              <w:rPr>
                <w:rFonts w:hint="default" w:ascii="Times New Roman" w:hAnsi="Times New Roman" w:eastAsia="宋体" w:cs="Times New Roman"/>
                <w:b/>
                <w:caps w:val="0"/>
                <w:smallCaps w:val="0"/>
                <w:color w:val="auto"/>
                <w:sz w:val="18"/>
                <w:szCs w:val="18"/>
              </w:rPr>
              <w:t>序号</w:t>
            </w:r>
          </w:p>
        </w:tc>
        <w:tc>
          <w:tcPr>
            <w:tcW w:w="1218" w:type="dxa"/>
            <w:tcBorders>
              <w:tl2br w:val="nil"/>
              <w:tr2bl w:val="nil"/>
            </w:tcBorders>
            <w:shd w:val="clear" w:color="auto" w:fill="auto"/>
            <w:vAlign w:val="center"/>
          </w:tcPr>
          <w:p w14:paraId="1A02E7C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rPr>
            </w:pPr>
            <w:r>
              <w:rPr>
                <w:rFonts w:hint="eastAsia" w:ascii="Times New Roman" w:hAnsi="Times New Roman" w:eastAsia="宋体" w:cs="Times New Roman"/>
                <w:b/>
                <w:caps w:val="0"/>
                <w:smallCaps w:val="0"/>
                <w:color w:val="auto"/>
                <w:sz w:val="18"/>
                <w:szCs w:val="18"/>
                <w:lang w:val="en-US" w:eastAsia="zh-CN"/>
              </w:rPr>
              <w:t>树种</w:t>
            </w:r>
            <w:r>
              <w:rPr>
                <w:rFonts w:hint="default" w:ascii="Times New Roman" w:hAnsi="Times New Roman" w:eastAsia="宋体" w:cs="Times New Roman"/>
                <w:b/>
                <w:caps w:val="0"/>
                <w:smallCaps w:val="0"/>
                <w:color w:val="auto"/>
                <w:sz w:val="18"/>
                <w:szCs w:val="18"/>
              </w:rPr>
              <w:t>名称</w:t>
            </w:r>
          </w:p>
        </w:tc>
        <w:tc>
          <w:tcPr>
            <w:tcW w:w="1456" w:type="dxa"/>
            <w:tcBorders>
              <w:tl2br w:val="nil"/>
              <w:tr2bl w:val="nil"/>
            </w:tcBorders>
            <w:shd w:val="clear" w:color="auto" w:fill="auto"/>
            <w:vAlign w:val="center"/>
          </w:tcPr>
          <w:p w14:paraId="2E7160E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lang w:val="en-US" w:eastAsia="zh-CN"/>
              </w:rPr>
            </w:pPr>
            <w:r>
              <w:rPr>
                <w:rFonts w:hint="eastAsia" w:ascii="Times New Roman" w:hAnsi="Times New Roman" w:eastAsia="宋体" w:cs="Times New Roman"/>
                <w:b/>
                <w:caps w:val="0"/>
                <w:smallCaps w:val="0"/>
                <w:color w:val="auto"/>
                <w:sz w:val="18"/>
                <w:szCs w:val="18"/>
                <w:lang w:val="en-US" w:eastAsia="zh-CN"/>
              </w:rPr>
              <w:t>生长状况</w:t>
            </w:r>
          </w:p>
        </w:tc>
        <w:tc>
          <w:tcPr>
            <w:tcW w:w="642" w:type="dxa"/>
            <w:tcBorders>
              <w:tl2br w:val="nil"/>
              <w:tr2bl w:val="nil"/>
            </w:tcBorders>
            <w:shd w:val="clear" w:color="auto" w:fill="auto"/>
            <w:vAlign w:val="center"/>
          </w:tcPr>
          <w:p w14:paraId="7ED3E54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
                <w:caps w:val="0"/>
                <w:smallCaps w:val="0"/>
                <w:color w:val="auto"/>
                <w:sz w:val="18"/>
                <w:szCs w:val="18"/>
                <w:lang w:eastAsia="zh-CN"/>
              </w:rPr>
            </w:pPr>
            <w:r>
              <w:rPr>
                <w:rFonts w:hint="eastAsia" w:ascii="Times New Roman" w:hAnsi="Times New Roman" w:eastAsia="宋体" w:cs="Times New Roman"/>
                <w:b/>
                <w:caps w:val="0"/>
                <w:smallCaps w:val="0"/>
                <w:color w:val="auto"/>
                <w:sz w:val="18"/>
                <w:szCs w:val="18"/>
                <w:lang w:val="en-US" w:eastAsia="zh-CN"/>
              </w:rPr>
              <w:t>树龄</w:t>
            </w:r>
          </w:p>
        </w:tc>
        <w:tc>
          <w:tcPr>
            <w:tcW w:w="1369" w:type="dxa"/>
            <w:tcBorders>
              <w:tl2br w:val="nil"/>
              <w:tr2bl w:val="nil"/>
            </w:tcBorders>
            <w:shd w:val="clear" w:color="auto" w:fill="auto"/>
            <w:vAlign w:val="center"/>
          </w:tcPr>
          <w:p w14:paraId="39B6942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lang w:val="en-US" w:eastAsia="zh-CN"/>
              </w:rPr>
            </w:pPr>
            <w:r>
              <w:rPr>
                <w:rFonts w:hint="eastAsia" w:ascii="Times New Roman" w:hAnsi="Times New Roman" w:eastAsia="宋体" w:cs="Times New Roman"/>
                <w:b/>
                <w:caps w:val="0"/>
                <w:smallCaps w:val="0"/>
                <w:color w:val="auto"/>
                <w:sz w:val="18"/>
                <w:szCs w:val="18"/>
                <w:lang w:val="en-US" w:eastAsia="zh-CN"/>
              </w:rPr>
              <w:t>经纬度和海拔</w:t>
            </w:r>
          </w:p>
        </w:tc>
        <w:tc>
          <w:tcPr>
            <w:tcW w:w="1624" w:type="dxa"/>
            <w:tcBorders>
              <w:tl2br w:val="nil"/>
              <w:tr2bl w:val="nil"/>
            </w:tcBorders>
            <w:shd w:val="clear" w:color="auto" w:fill="auto"/>
            <w:vAlign w:val="center"/>
          </w:tcPr>
          <w:p w14:paraId="74D53AF6">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rPr>
            </w:pPr>
            <w:r>
              <w:rPr>
                <w:rFonts w:hint="default" w:ascii="Times New Roman" w:hAnsi="Times New Roman" w:eastAsia="宋体" w:cs="Times New Roman"/>
                <w:b/>
                <w:caps w:val="0"/>
                <w:smallCaps w:val="0"/>
                <w:color w:val="auto"/>
                <w:sz w:val="18"/>
                <w:szCs w:val="18"/>
              </w:rPr>
              <w:t>工程占用情况（是/否）</w:t>
            </w:r>
          </w:p>
        </w:tc>
        <w:tc>
          <w:tcPr>
            <w:tcW w:w="1615" w:type="dxa"/>
            <w:tcBorders>
              <w:tl2br w:val="nil"/>
              <w:tr2bl w:val="nil"/>
            </w:tcBorders>
            <w:shd w:val="clear" w:color="auto" w:fill="auto"/>
            <w:vAlign w:val="center"/>
          </w:tcPr>
          <w:p w14:paraId="548BE7F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
                <w:caps w:val="0"/>
                <w:smallCaps w:val="0"/>
                <w:color w:val="auto"/>
                <w:sz w:val="18"/>
                <w:szCs w:val="18"/>
                <w:lang w:val="en-US" w:eastAsia="zh-CN"/>
              </w:rPr>
            </w:pPr>
            <w:r>
              <w:rPr>
                <w:rFonts w:hint="eastAsia" w:ascii="Times New Roman" w:hAnsi="Times New Roman" w:eastAsia="宋体" w:cs="Times New Roman"/>
                <w:b/>
                <w:caps w:val="0"/>
                <w:smallCaps w:val="0"/>
                <w:color w:val="auto"/>
                <w:sz w:val="18"/>
                <w:szCs w:val="18"/>
                <w:lang w:val="en-US" w:eastAsia="zh-CN"/>
              </w:rPr>
              <w:t>照片</w:t>
            </w:r>
          </w:p>
        </w:tc>
      </w:tr>
      <w:tr w14:paraId="20FEC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l2br w:val="nil"/>
              <w:tr2bl w:val="nil"/>
            </w:tcBorders>
            <w:shd w:val="clear" w:color="auto" w:fill="auto"/>
            <w:vAlign w:val="center"/>
          </w:tcPr>
          <w:p w14:paraId="1FBCEC8D">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rPr>
            </w:pPr>
            <w:r>
              <w:rPr>
                <w:rFonts w:hint="default" w:ascii="Times New Roman" w:hAnsi="Times New Roman" w:eastAsia="宋体" w:cs="Times New Roman"/>
                <w:bCs/>
                <w:caps w:val="0"/>
                <w:smallCaps w:val="0"/>
                <w:color w:val="auto"/>
                <w:sz w:val="18"/>
                <w:szCs w:val="18"/>
              </w:rPr>
              <w:t>1</w:t>
            </w:r>
          </w:p>
        </w:tc>
        <w:tc>
          <w:tcPr>
            <w:tcW w:w="1218" w:type="dxa"/>
            <w:tcBorders>
              <w:tl2br w:val="nil"/>
              <w:tr2bl w:val="nil"/>
            </w:tcBorders>
            <w:shd w:val="clear" w:color="auto" w:fill="auto"/>
            <w:vAlign w:val="center"/>
          </w:tcPr>
          <w:p w14:paraId="5E4ADB5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kern w:val="2"/>
                <w:sz w:val="24"/>
                <w:szCs w:val="21"/>
                <w:lang w:val="en-US" w:eastAsia="zh-CN" w:bidi="ar-SA"/>
              </w:rPr>
            </w:pPr>
            <w:r>
              <w:rPr>
                <w:rFonts w:hint="eastAsia" w:ascii="Times New Roman" w:hAnsi="Times New Roman" w:eastAsia="宋体" w:cs="Times New Roman"/>
                <w:caps w:val="0"/>
                <w:smallCaps w:val="0"/>
                <w:color w:val="auto"/>
                <w:kern w:val="2"/>
                <w:sz w:val="18"/>
                <w:szCs w:val="18"/>
                <w:lang w:val="en-US" w:eastAsia="zh-CN" w:bidi="ar-SA"/>
              </w:rPr>
              <w:t>樟</w:t>
            </w:r>
            <w:r>
              <w:rPr>
                <w:rFonts w:hint="eastAsia" w:ascii="Times New Roman" w:hAnsi="Times New Roman" w:eastAsia="宋体" w:cs="Times New Roman"/>
                <w:i/>
                <w:iCs/>
                <w:caps w:val="0"/>
                <w:smallCaps w:val="0"/>
                <w:color w:val="auto"/>
                <w:kern w:val="2"/>
                <w:sz w:val="18"/>
                <w:szCs w:val="18"/>
                <w:lang w:val="en-US" w:eastAsia="zh-CN" w:bidi="ar-SA"/>
              </w:rPr>
              <w:t>Camphora officinarum Nees</w:t>
            </w:r>
          </w:p>
        </w:tc>
        <w:tc>
          <w:tcPr>
            <w:tcW w:w="1456" w:type="dxa"/>
            <w:tcBorders>
              <w:tl2br w:val="nil"/>
              <w:tr2bl w:val="nil"/>
            </w:tcBorders>
            <w:shd w:val="clear" w:color="auto" w:fill="auto"/>
            <w:vAlign w:val="center"/>
          </w:tcPr>
          <w:p w14:paraId="672B9A0C">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lang w:val="en-US" w:eastAsia="zh-CN"/>
              </w:rPr>
            </w:pPr>
            <w:r>
              <w:rPr>
                <w:rFonts w:hint="eastAsia" w:ascii="Times New Roman" w:hAnsi="Times New Roman" w:eastAsia="宋体" w:cs="Times New Roman"/>
                <w:b w:val="0"/>
                <w:bCs/>
                <w:caps w:val="0"/>
                <w:smallCaps w:val="0"/>
                <w:color w:val="auto"/>
                <w:sz w:val="18"/>
                <w:szCs w:val="18"/>
                <w:lang w:val="en-US" w:eastAsia="zh-CN"/>
              </w:rPr>
              <w:t>胸径100cm、树高13m、冠幅13m</w:t>
            </w:r>
          </w:p>
        </w:tc>
        <w:tc>
          <w:tcPr>
            <w:tcW w:w="642" w:type="dxa"/>
            <w:tcBorders>
              <w:tl2br w:val="nil"/>
              <w:tr2bl w:val="nil"/>
            </w:tcBorders>
            <w:shd w:val="clear" w:color="auto" w:fill="auto"/>
            <w:vAlign w:val="center"/>
          </w:tcPr>
          <w:p w14:paraId="3FF1B46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100年</w:t>
            </w:r>
          </w:p>
        </w:tc>
        <w:tc>
          <w:tcPr>
            <w:tcW w:w="1369" w:type="dxa"/>
            <w:tcBorders>
              <w:tl2br w:val="nil"/>
              <w:tr2bl w:val="nil"/>
            </w:tcBorders>
            <w:shd w:val="clear" w:color="auto" w:fill="auto"/>
            <w:vAlign w:val="center"/>
          </w:tcPr>
          <w:p w14:paraId="5DA322E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 xml:space="preserve">E </w:t>
            </w:r>
            <w:r>
              <w:rPr>
                <w:rFonts w:hint="default" w:ascii="Times New Roman" w:hAnsi="Times New Roman" w:eastAsia="宋体" w:cs="Times New Roman"/>
                <w:bCs/>
                <w:caps w:val="0"/>
                <w:smallCaps w:val="0"/>
                <w:color w:val="auto"/>
                <w:sz w:val="18"/>
                <w:szCs w:val="18"/>
                <w:lang w:val="en-US" w:eastAsia="zh-CN"/>
              </w:rPr>
              <w:t>112°33'54.7169"</w:t>
            </w:r>
          </w:p>
          <w:p w14:paraId="7337169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 xml:space="preserve">N </w:t>
            </w:r>
            <w:r>
              <w:rPr>
                <w:rFonts w:hint="default" w:ascii="Times New Roman" w:hAnsi="Times New Roman" w:eastAsia="宋体" w:cs="Times New Roman"/>
                <w:bCs/>
                <w:caps w:val="0"/>
                <w:smallCaps w:val="0"/>
                <w:color w:val="auto"/>
                <w:sz w:val="18"/>
                <w:szCs w:val="18"/>
                <w:lang w:val="en-US" w:eastAsia="zh-CN"/>
              </w:rPr>
              <w:t>29°22'45.0015"</w:t>
            </w:r>
          </w:p>
          <w:p w14:paraId="5FE67AA5">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海拔68m</w:t>
            </w:r>
          </w:p>
        </w:tc>
        <w:tc>
          <w:tcPr>
            <w:tcW w:w="1624" w:type="dxa"/>
            <w:tcBorders>
              <w:tl2br w:val="nil"/>
              <w:tr2bl w:val="nil"/>
            </w:tcBorders>
            <w:shd w:val="clear" w:color="auto" w:fill="auto"/>
            <w:vAlign w:val="center"/>
          </w:tcPr>
          <w:p w14:paraId="5D483A45">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否，距离工程边界10m</w:t>
            </w:r>
          </w:p>
        </w:tc>
        <w:tc>
          <w:tcPr>
            <w:tcW w:w="1615" w:type="dxa"/>
            <w:tcBorders>
              <w:tl2br w:val="nil"/>
              <w:tr2bl w:val="nil"/>
            </w:tcBorders>
            <w:shd w:val="clear" w:color="auto" w:fill="auto"/>
            <w:vAlign w:val="center"/>
          </w:tcPr>
          <w:p w14:paraId="52679161">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drawing>
                <wp:inline distT="0" distB="0" distL="114300" distR="114300">
                  <wp:extent cx="876300" cy="1168400"/>
                  <wp:effectExtent l="0" t="0" r="7620" b="5080"/>
                  <wp:docPr id="11" name="图片 11" descr="IMG_20240915_14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915_140811"/>
                          <pic:cNvPicPr>
                            <a:picLocks noChangeAspect="1"/>
                          </pic:cNvPicPr>
                        </pic:nvPicPr>
                        <pic:blipFill>
                          <a:blip r:embed="rId52"/>
                          <a:stretch>
                            <a:fillRect/>
                          </a:stretch>
                        </pic:blipFill>
                        <pic:spPr>
                          <a:xfrm>
                            <a:off x="0" y="0"/>
                            <a:ext cx="876300" cy="1168400"/>
                          </a:xfrm>
                          <a:prstGeom prst="rect">
                            <a:avLst/>
                          </a:prstGeom>
                        </pic:spPr>
                      </pic:pic>
                    </a:graphicData>
                  </a:graphic>
                </wp:inline>
              </w:drawing>
            </w:r>
          </w:p>
        </w:tc>
      </w:tr>
      <w:tr w14:paraId="42607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l2br w:val="nil"/>
              <w:tr2bl w:val="nil"/>
            </w:tcBorders>
            <w:shd w:val="clear" w:color="auto" w:fill="auto"/>
            <w:vAlign w:val="center"/>
          </w:tcPr>
          <w:p w14:paraId="14F92D2C">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2</w:t>
            </w:r>
          </w:p>
        </w:tc>
        <w:tc>
          <w:tcPr>
            <w:tcW w:w="1218" w:type="dxa"/>
            <w:tcBorders>
              <w:tl2br w:val="nil"/>
              <w:tr2bl w:val="nil"/>
            </w:tcBorders>
            <w:shd w:val="clear" w:color="auto" w:fill="auto"/>
            <w:vAlign w:val="center"/>
          </w:tcPr>
          <w:p w14:paraId="6F22430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kern w:val="2"/>
                <w:sz w:val="18"/>
                <w:szCs w:val="18"/>
                <w:lang w:val="en-US" w:eastAsia="zh-CN" w:bidi="ar-SA"/>
              </w:rPr>
            </w:pPr>
            <w:r>
              <w:rPr>
                <w:rFonts w:hint="eastAsia" w:ascii="Times New Roman" w:hAnsi="Times New Roman" w:eastAsia="宋体" w:cs="Times New Roman"/>
                <w:caps w:val="0"/>
                <w:smallCaps w:val="0"/>
                <w:color w:val="auto"/>
                <w:kern w:val="2"/>
                <w:sz w:val="18"/>
                <w:szCs w:val="18"/>
                <w:lang w:val="en-US" w:eastAsia="zh-CN" w:bidi="ar-SA"/>
              </w:rPr>
              <w:t>樟</w:t>
            </w:r>
            <w:r>
              <w:rPr>
                <w:rFonts w:hint="eastAsia" w:ascii="Times New Roman" w:hAnsi="Times New Roman" w:eastAsia="宋体" w:cs="Times New Roman"/>
                <w:i/>
                <w:iCs/>
                <w:caps w:val="0"/>
                <w:smallCaps w:val="0"/>
                <w:color w:val="auto"/>
                <w:kern w:val="2"/>
                <w:sz w:val="18"/>
                <w:szCs w:val="18"/>
                <w:lang w:val="en-US" w:eastAsia="zh-CN" w:bidi="ar-SA"/>
              </w:rPr>
              <w:t>Camphora officinarum Nees</w:t>
            </w:r>
          </w:p>
        </w:tc>
        <w:tc>
          <w:tcPr>
            <w:tcW w:w="1456" w:type="dxa"/>
            <w:tcBorders>
              <w:tl2br w:val="nil"/>
              <w:tr2bl w:val="nil"/>
            </w:tcBorders>
            <w:shd w:val="clear" w:color="auto" w:fill="auto"/>
            <w:vAlign w:val="center"/>
          </w:tcPr>
          <w:p w14:paraId="607A993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 w:val="0"/>
                <w:bCs/>
                <w:caps w:val="0"/>
                <w:smallCaps w:val="0"/>
                <w:color w:val="auto"/>
                <w:sz w:val="18"/>
                <w:szCs w:val="18"/>
                <w:lang w:val="en-US" w:eastAsia="zh-CN"/>
              </w:rPr>
            </w:pPr>
            <w:r>
              <w:rPr>
                <w:rFonts w:hint="eastAsia" w:ascii="Times New Roman" w:hAnsi="Times New Roman" w:eastAsia="宋体" w:cs="Times New Roman"/>
                <w:b w:val="0"/>
                <w:bCs/>
                <w:caps w:val="0"/>
                <w:smallCaps w:val="0"/>
                <w:color w:val="auto"/>
                <w:sz w:val="18"/>
                <w:szCs w:val="18"/>
                <w:lang w:val="en-US" w:eastAsia="zh-CN"/>
              </w:rPr>
              <w:t>胸径85cm、树高12m、冠幅10m</w:t>
            </w:r>
          </w:p>
        </w:tc>
        <w:tc>
          <w:tcPr>
            <w:tcW w:w="642" w:type="dxa"/>
            <w:tcBorders>
              <w:tl2br w:val="nil"/>
              <w:tr2bl w:val="nil"/>
            </w:tcBorders>
            <w:shd w:val="clear" w:color="auto" w:fill="auto"/>
            <w:vAlign w:val="center"/>
          </w:tcPr>
          <w:p w14:paraId="644A763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100年</w:t>
            </w:r>
          </w:p>
        </w:tc>
        <w:tc>
          <w:tcPr>
            <w:tcW w:w="1369" w:type="dxa"/>
            <w:tcBorders>
              <w:tl2br w:val="nil"/>
              <w:tr2bl w:val="nil"/>
            </w:tcBorders>
            <w:shd w:val="clear" w:color="auto" w:fill="auto"/>
            <w:vAlign w:val="center"/>
          </w:tcPr>
          <w:p w14:paraId="2D69BA6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 xml:space="preserve">E </w:t>
            </w:r>
            <w:r>
              <w:rPr>
                <w:rFonts w:hint="default" w:ascii="Times New Roman" w:hAnsi="Times New Roman" w:eastAsia="宋体" w:cs="Times New Roman"/>
                <w:bCs/>
                <w:caps w:val="0"/>
                <w:smallCaps w:val="0"/>
                <w:color w:val="auto"/>
                <w:sz w:val="18"/>
                <w:szCs w:val="18"/>
                <w:lang w:val="en-US" w:eastAsia="zh-CN"/>
              </w:rPr>
              <w:t>112°34'22.0336"</w:t>
            </w:r>
          </w:p>
          <w:p w14:paraId="28B696D6">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 xml:space="preserve">N </w:t>
            </w:r>
            <w:r>
              <w:rPr>
                <w:rFonts w:hint="default" w:ascii="Times New Roman" w:hAnsi="Times New Roman" w:eastAsia="宋体" w:cs="Times New Roman"/>
                <w:bCs/>
                <w:caps w:val="0"/>
                <w:smallCaps w:val="0"/>
                <w:color w:val="auto"/>
                <w:sz w:val="18"/>
                <w:szCs w:val="18"/>
                <w:lang w:val="en-US" w:eastAsia="zh-CN"/>
              </w:rPr>
              <w:t>29°23'24.6214"</w:t>
            </w:r>
          </w:p>
          <w:p w14:paraId="65C10441">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海拔118m</w:t>
            </w:r>
          </w:p>
        </w:tc>
        <w:tc>
          <w:tcPr>
            <w:tcW w:w="1624" w:type="dxa"/>
            <w:tcBorders>
              <w:tl2br w:val="nil"/>
              <w:tr2bl w:val="nil"/>
            </w:tcBorders>
            <w:shd w:val="clear" w:color="auto" w:fill="auto"/>
            <w:vAlign w:val="center"/>
          </w:tcPr>
          <w:p w14:paraId="635D3C3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t>否，距离工程边界874m</w:t>
            </w:r>
          </w:p>
        </w:tc>
        <w:tc>
          <w:tcPr>
            <w:tcW w:w="1615" w:type="dxa"/>
            <w:tcBorders>
              <w:tl2br w:val="nil"/>
              <w:tr2bl w:val="nil"/>
            </w:tcBorders>
            <w:shd w:val="clear" w:color="auto" w:fill="auto"/>
            <w:vAlign w:val="center"/>
          </w:tcPr>
          <w:p w14:paraId="021B00E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contextualSpacing/>
              <w:jc w:val="center"/>
              <w:rPr>
                <w:rFonts w:hint="eastAsia" w:ascii="Times New Roman" w:hAnsi="Times New Roman" w:eastAsia="宋体" w:cs="Times New Roman"/>
                <w:bCs/>
                <w:caps w:val="0"/>
                <w:smallCaps w:val="0"/>
                <w:color w:val="auto"/>
                <w:sz w:val="18"/>
                <w:szCs w:val="18"/>
                <w:lang w:val="en-US" w:eastAsia="zh-CN"/>
              </w:rPr>
            </w:pPr>
            <w:r>
              <w:rPr>
                <w:rFonts w:hint="eastAsia" w:ascii="Times New Roman" w:hAnsi="Times New Roman" w:eastAsia="宋体" w:cs="Times New Roman"/>
                <w:bCs/>
                <w:caps w:val="0"/>
                <w:smallCaps w:val="0"/>
                <w:color w:val="auto"/>
                <w:sz w:val="18"/>
                <w:szCs w:val="18"/>
                <w:lang w:val="en-US" w:eastAsia="zh-CN"/>
              </w:rPr>
              <w:drawing>
                <wp:inline distT="0" distB="0" distL="114300" distR="114300">
                  <wp:extent cx="870585" cy="1160780"/>
                  <wp:effectExtent l="0" t="0" r="13335" b="12700"/>
                  <wp:docPr id="34" name="图片 34" descr="IMG_20240915_14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40915_143234"/>
                          <pic:cNvPicPr>
                            <a:picLocks noChangeAspect="1"/>
                          </pic:cNvPicPr>
                        </pic:nvPicPr>
                        <pic:blipFill>
                          <a:blip r:embed="rId53"/>
                          <a:stretch>
                            <a:fillRect/>
                          </a:stretch>
                        </pic:blipFill>
                        <pic:spPr>
                          <a:xfrm>
                            <a:off x="0" y="0"/>
                            <a:ext cx="870585" cy="1160780"/>
                          </a:xfrm>
                          <a:prstGeom prst="rect">
                            <a:avLst/>
                          </a:prstGeom>
                        </pic:spPr>
                      </pic:pic>
                    </a:graphicData>
                  </a:graphic>
                </wp:inline>
              </w:drawing>
            </w:r>
          </w:p>
        </w:tc>
      </w:tr>
    </w:tbl>
    <w:p w14:paraId="1E753019">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外来入侵物种</w:t>
      </w:r>
      <w:bookmarkEnd w:id="234"/>
      <w:bookmarkEnd w:id="235"/>
      <w:bookmarkEnd w:id="236"/>
      <w:bookmarkEnd w:id="237"/>
    </w:p>
    <w:p w14:paraId="766B500B">
      <w:pPr>
        <w:adjustRightInd w:val="0"/>
        <w:snapToGrid w:val="0"/>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eastAsia" w:ascii="宋体" w:hAnsi="宋体" w:eastAsia="宋体" w:cs="宋体"/>
          <w:bCs/>
          <w:caps w:val="0"/>
          <w:smallCaps w:val="0"/>
          <w:snapToGrid/>
          <w:color w:val="auto"/>
          <w:spacing w:val="0"/>
          <w:kern w:val="0"/>
          <w:sz w:val="24"/>
          <w:szCs w:val="24"/>
          <w:highlight w:val="none"/>
          <w:u w:val="none"/>
        </w:rPr>
        <w:t>外来物种入侵是造成生物多样性下降的直接原因之一。《生物多样性公约》明确要求，防止引进、控制或消除那些威胁到生态系统、生境或物种的外来物种。依据原环境保护部发布的《中国自然生态系统外来入侵物种名单（第一批）》、《中国自然生态系统外来入侵物种名单（第二批）》、《中国自然生态系统外来入侵物种名单（第三批）》、《中国自然生态系统外来入侵物种名单（第四批）》确定外来物种，</w:t>
      </w:r>
      <w:r>
        <w:rPr>
          <w:rFonts w:hint="eastAsia" w:ascii="宋体" w:hAnsi="宋体" w:eastAsia="宋体" w:cs="宋体"/>
          <w:caps w:val="0"/>
          <w:smallCaps w:val="0"/>
          <w:snapToGrid/>
          <w:color w:val="auto"/>
          <w:spacing w:val="0"/>
          <w:kern w:val="0"/>
          <w:sz w:val="24"/>
          <w:szCs w:val="24"/>
          <w:highlight w:val="none"/>
          <w:u w:val="none"/>
        </w:rPr>
        <w:t>通过现场实地调查，在评价区发现有外来入侵种</w:t>
      </w:r>
      <w:r>
        <w:rPr>
          <w:rFonts w:hint="eastAsia" w:ascii="宋体" w:hAnsi="宋体" w:eastAsia="宋体" w:cs="宋体"/>
          <w:caps w:val="0"/>
          <w:smallCaps w:val="0"/>
          <w:snapToGrid/>
          <w:color w:val="auto"/>
          <w:spacing w:val="0"/>
          <w:kern w:val="0"/>
          <w:sz w:val="24"/>
          <w:szCs w:val="24"/>
          <w:highlight w:val="none"/>
          <w:u w:val="none"/>
          <w:lang w:val="en-US" w:eastAsia="zh-CN"/>
        </w:rPr>
        <w:t>垂序商陆、小蓬草、凤眼莲</w:t>
      </w:r>
      <w:r>
        <w:rPr>
          <w:rFonts w:hint="eastAsia" w:ascii="宋体" w:hAnsi="宋体" w:eastAsia="宋体" w:cs="宋体"/>
          <w:caps w:val="0"/>
          <w:smallCaps w:val="0"/>
          <w:snapToGrid/>
          <w:color w:val="auto"/>
          <w:spacing w:val="0"/>
          <w:kern w:val="0"/>
          <w:sz w:val="24"/>
          <w:szCs w:val="24"/>
          <w:highlight w:val="none"/>
          <w:u w:val="none"/>
        </w:rPr>
        <w:t>分布，其多零星分布于评价区人为活动较多的村落及道路旁，危害程度较小</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p>
    <w:p w14:paraId="5E9EE122">
      <w:pPr>
        <w:pStyle w:val="5"/>
        <w:bidi w:val="0"/>
        <w:rPr>
          <w:rFonts w:hint="default" w:ascii="Times New Roman" w:hAnsi="Times New Roman" w:cs="Times New Roman"/>
          <w:color w:val="auto"/>
          <w:u w:val="none" w:color="auto"/>
          <w:lang w:val="en-US" w:eastAsia="zh-CN"/>
        </w:rPr>
      </w:pPr>
      <w:bookmarkStart w:id="242" w:name="_Toc28632"/>
      <w:bookmarkStart w:id="243" w:name="_Toc12628"/>
      <w:bookmarkStart w:id="244" w:name="_Toc14858"/>
      <w:bookmarkStart w:id="245" w:name="_Toc2328"/>
      <w:r>
        <w:rPr>
          <w:rFonts w:hint="default" w:ascii="Times New Roman" w:hAnsi="Times New Roman" w:cs="Times New Roman"/>
          <w:color w:val="auto"/>
          <w:u w:val="none" w:color="auto"/>
          <w:lang w:val="en-US" w:eastAsia="zh-CN"/>
        </w:rPr>
        <w:t>公益林</w:t>
      </w:r>
      <w:bookmarkEnd w:id="242"/>
      <w:bookmarkEnd w:id="243"/>
      <w:bookmarkEnd w:id="244"/>
      <w:bookmarkEnd w:id="245"/>
      <w:r>
        <w:rPr>
          <w:rFonts w:hint="default" w:ascii="Times New Roman" w:hAnsi="Times New Roman" w:cs="Times New Roman"/>
          <w:color w:val="auto"/>
          <w:u w:val="none" w:color="auto"/>
          <w:lang w:val="en-US" w:eastAsia="zh-CN"/>
        </w:rPr>
        <w:t>与天然林</w:t>
      </w:r>
    </w:p>
    <w:p w14:paraId="1DB05E31">
      <w:pPr>
        <w:spacing w:line="360" w:lineRule="auto"/>
        <w:ind w:firstLine="480" w:firstLineChars="200"/>
        <w:rPr>
          <w:rFonts w:hint="default" w:ascii="Times New Roman" w:hAnsi="Times New Roman" w:eastAsia="宋体" w:cs="Times New Roman"/>
          <w:caps w:val="0"/>
          <w:smallCaps w:val="0"/>
          <w:color w:val="auto"/>
          <w:sz w:val="24"/>
          <w:szCs w:val="21"/>
          <w:highlight w:val="none"/>
          <w:u w:val="none"/>
          <w:lang w:val="en-US"/>
        </w:rPr>
      </w:pPr>
      <w:r>
        <w:rPr>
          <w:rFonts w:hint="eastAsia" w:ascii="Times New Roman" w:hAnsi="Times New Roman" w:eastAsia="宋体" w:cs="Times New Roman"/>
          <w:caps w:val="0"/>
          <w:smallCaps w:val="0"/>
          <w:color w:val="auto"/>
          <w:sz w:val="24"/>
          <w:szCs w:val="21"/>
          <w:highlight w:val="none"/>
          <w:u w:val="none"/>
        </w:rPr>
        <w:t>经</w:t>
      </w:r>
      <w:r>
        <w:rPr>
          <w:rFonts w:hint="eastAsia" w:ascii="Times New Roman" w:hAnsi="Times New Roman" w:eastAsia="宋体" w:cs="Times New Roman"/>
          <w:caps w:val="0"/>
          <w:smallCaps w:val="0"/>
          <w:color w:val="auto"/>
          <w:sz w:val="24"/>
          <w:szCs w:val="21"/>
          <w:highlight w:val="none"/>
          <w:u w:val="none"/>
          <w:lang w:val="en-US" w:eastAsia="zh-CN"/>
        </w:rPr>
        <w:t>叠图查询分析</w:t>
      </w:r>
      <w:r>
        <w:rPr>
          <w:rFonts w:hint="eastAsia" w:ascii="Times New Roman" w:hAnsi="Times New Roman" w:eastAsia="宋体" w:cs="Times New Roman"/>
          <w:caps w:val="0"/>
          <w:smallCaps w:val="0"/>
          <w:color w:val="auto"/>
          <w:sz w:val="24"/>
          <w:szCs w:val="21"/>
          <w:highlight w:val="none"/>
          <w:u w:val="none"/>
        </w:rPr>
        <w:t>，</w:t>
      </w:r>
      <w:r>
        <w:rPr>
          <w:rFonts w:hint="eastAsia" w:ascii="Times New Roman" w:hAnsi="Times New Roman" w:eastAsia="宋体" w:cs="Times New Roman"/>
          <w:caps w:val="0"/>
          <w:smallCaps w:val="0"/>
          <w:color w:val="auto"/>
          <w:sz w:val="24"/>
          <w:szCs w:val="21"/>
          <w:highlight w:val="none"/>
          <w:u w:val="none"/>
          <w:lang w:val="en-US" w:eastAsia="zh-CN"/>
        </w:rPr>
        <w:t>评价区域无国家级公益林和天然林分布，主要林木优势种是杉木、香樟、毛竹，均为当地速生造林树种。</w:t>
      </w:r>
    </w:p>
    <w:p w14:paraId="37D9F5EB">
      <w:pPr>
        <w:spacing w:line="360" w:lineRule="auto"/>
        <w:ind w:firstLine="480" w:firstLineChars="200"/>
        <w:rPr>
          <w:rFonts w:hint="eastAsia" w:ascii="Times New Roman" w:hAnsi="Times New Roman" w:eastAsia="宋体" w:cs="Times New Roman"/>
          <w:caps w:val="0"/>
          <w:smallCaps w:val="0"/>
          <w:color w:val="auto"/>
          <w:sz w:val="24"/>
          <w:szCs w:val="21"/>
          <w:highlight w:val="none"/>
        </w:rPr>
      </w:pPr>
      <w:r>
        <w:rPr>
          <w:rFonts w:hint="eastAsia" w:ascii="Times New Roman" w:hAnsi="Times New Roman" w:eastAsia="宋体" w:cs="Times New Roman"/>
          <w:caps w:val="0"/>
          <w:smallCaps w:val="0"/>
          <w:color w:val="auto"/>
          <w:sz w:val="24"/>
          <w:szCs w:val="21"/>
          <w:highlight w:val="none"/>
          <w:u w:val="none"/>
          <w:lang w:val="en-US" w:eastAsia="zh-CN"/>
        </w:rPr>
        <w:t>项目</w:t>
      </w:r>
      <w:r>
        <w:rPr>
          <w:rFonts w:hint="eastAsia" w:ascii="Times New Roman" w:hAnsi="Times New Roman" w:eastAsia="宋体" w:cs="Times New Roman"/>
          <w:caps w:val="0"/>
          <w:smallCaps w:val="0"/>
          <w:color w:val="auto"/>
          <w:sz w:val="24"/>
          <w:szCs w:val="21"/>
          <w:highlight w:val="none"/>
          <w:u w:val="none"/>
        </w:rPr>
        <w:t>具体</w:t>
      </w:r>
      <w:r>
        <w:rPr>
          <w:rFonts w:hint="eastAsia" w:ascii="Times New Roman" w:hAnsi="Times New Roman" w:eastAsia="宋体" w:cs="Times New Roman"/>
          <w:caps w:val="0"/>
          <w:smallCaps w:val="0"/>
          <w:color w:val="auto"/>
          <w:sz w:val="24"/>
          <w:szCs w:val="21"/>
          <w:highlight w:val="none"/>
          <w:u w:val="none"/>
          <w:lang w:val="en-US" w:eastAsia="zh-CN"/>
        </w:rPr>
        <w:t>林地</w:t>
      </w:r>
      <w:r>
        <w:rPr>
          <w:rFonts w:hint="eastAsia" w:ascii="Times New Roman" w:hAnsi="Times New Roman" w:eastAsia="宋体" w:cs="Times New Roman"/>
          <w:caps w:val="0"/>
          <w:smallCaps w:val="0"/>
          <w:color w:val="auto"/>
          <w:sz w:val="24"/>
          <w:szCs w:val="21"/>
          <w:highlight w:val="none"/>
          <w:u w:val="none"/>
        </w:rPr>
        <w:t>占用情况以林地使用许可证为准，需严格执行林地补偿政策。</w:t>
      </w:r>
    </w:p>
    <w:p w14:paraId="5EA05AB7">
      <w:pPr>
        <w:pStyle w:val="4"/>
        <w:bidi w:val="0"/>
        <w:rPr>
          <w:rFonts w:hint="default" w:ascii="Times New Roman" w:hAnsi="Times New Roman" w:cs="Times New Roman"/>
          <w:color w:val="auto"/>
          <w:u w:val="none" w:color="auto"/>
          <w:lang w:val="en-US" w:eastAsia="zh-CN"/>
        </w:rPr>
      </w:pPr>
      <w:bookmarkStart w:id="246" w:name="_Toc25621"/>
      <w:bookmarkStart w:id="247" w:name="_Toc25250"/>
      <w:bookmarkStart w:id="248" w:name="_Toc2194"/>
      <w:bookmarkStart w:id="249" w:name="_Toc25838"/>
      <w:bookmarkStart w:id="250" w:name="_Toc14174"/>
      <w:r>
        <w:rPr>
          <w:rFonts w:hint="default" w:ascii="Times New Roman" w:hAnsi="Times New Roman" w:cs="Times New Roman"/>
          <w:color w:val="auto"/>
          <w:u w:val="none" w:color="auto"/>
          <w:lang w:val="en-US" w:eastAsia="zh-CN"/>
        </w:rPr>
        <w:t>陆生动物</w:t>
      </w:r>
      <w:bookmarkEnd w:id="246"/>
      <w:bookmarkEnd w:id="247"/>
      <w:bookmarkEnd w:id="248"/>
      <w:bookmarkEnd w:id="249"/>
      <w:r>
        <w:rPr>
          <w:rFonts w:hint="default" w:ascii="Times New Roman" w:hAnsi="Times New Roman" w:cs="Times New Roman"/>
          <w:color w:val="auto"/>
          <w:u w:val="none" w:color="auto"/>
          <w:lang w:val="en-US" w:eastAsia="zh-CN"/>
        </w:rPr>
        <w:t>现状</w:t>
      </w:r>
      <w:bookmarkEnd w:id="250"/>
    </w:p>
    <w:p w14:paraId="18123870">
      <w:pPr>
        <w:pStyle w:val="5"/>
        <w:bidi w:val="0"/>
        <w:rPr>
          <w:rFonts w:hint="default" w:ascii="Times New Roman" w:hAnsi="Times New Roman" w:cs="Times New Roman"/>
          <w:color w:val="auto"/>
          <w:u w:val="none" w:color="auto"/>
          <w:lang w:val="zh-CN" w:eastAsia="zh-CN"/>
        </w:rPr>
      </w:pPr>
      <w:bookmarkStart w:id="251" w:name="_Toc18248"/>
      <w:bookmarkStart w:id="252" w:name="_Toc23233384"/>
      <w:r>
        <w:rPr>
          <w:rFonts w:hint="default" w:ascii="Times New Roman" w:hAnsi="Times New Roman" w:cs="Times New Roman"/>
          <w:color w:val="auto"/>
          <w:u w:val="none" w:color="auto"/>
          <w:lang w:val="en-US" w:eastAsia="zh-CN"/>
        </w:rPr>
        <w:t>动物区系</w:t>
      </w:r>
      <w:bookmarkEnd w:id="251"/>
      <w:bookmarkEnd w:id="252"/>
    </w:p>
    <w:p w14:paraId="376A6A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4"/>
          <w:highlight w:val="none"/>
          <w:u w:val="none" w:color="auto"/>
          <w:lang w:bidi="ar"/>
        </w:rPr>
      </w:pPr>
      <w:r>
        <w:rPr>
          <w:rFonts w:hint="default" w:ascii="Times New Roman" w:hAnsi="Times New Roman" w:eastAsia="宋体" w:cs="Times New Roman"/>
          <w:caps w:val="0"/>
          <w:smallCaps w:val="0"/>
          <w:color w:val="auto"/>
          <w:sz w:val="24"/>
          <w:szCs w:val="24"/>
          <w:highlight w:val="none"/>
          <w:u w:val="none" w:color="auto"/>
          <w:lang w:bidi="ar"/>
        </w:rPr>
        <w:t>根据《中国动物地理》（科学出版社，2011），本工程评价区所在区域动物区划属于东洋界—华中区—西部山地高原亚区—黔桂湘低山丘陵省—低山丘陵亚热带林灌-农田动物群</w:t>
      </w:r>
      <w:r>
        <w:rPr>
          <w:rFonts w:hint="default" w:ascii="Times New Roman" w:hAnsi="Times New Roman" w:eastAsia="宋体" w:cs="Times New Roman"/>
          <w:caps w:val="0"/>
          <w:smallCaps w:val="0"/>
          <w:color w:val="auto"/>
          <w:sz w:val="24"/>
          <w:szCs w:val="24"/>
          <w:highlight w:val="none"/>
          <w:u w:val="none" w:color="auto"/>
          <w:lang w:val="en-US" w:eastAsia="zh-CN" w:bidi="ar"/>
        </w:rPr>
        <w:t>和</w:t>
      </w:r>
      <w:r>
        <w:rPr>
          <w:rFonts w:hint="default" w:ascii="Times New Roman" w:hAnsi="Times New Roman" w:eastAsia="宋体" w:cs="Times New Roman"/>
          <w:caps w:val="0"/>
          <w:smallCaps w:val="0"/>
          <w:color w:val="auto"/>
          <w:sz w:val="24"/>
          <w:szCs w:val="24"/>
          <w:highlight w:val="none"/>
          <w:u w:val="none" w:color="auto"/>
          <w:lang w:bidi="ar"/>
        </w:rPr>
        <w:t>东洋界</w:t>
      </w:r>
      <w:r>
        <w:rPr>
          <w:rFonts w:hint="default" w:ascii="Times New Roman" w:hAnsi="Times New Roman" w:eastAsia="宋体" w:cs="Times New Roman"/>
          <w:caps w:val="0"/>
          <w:smallCaps w:val="0"/>
          <w:color w:val="auto"/>
          <w:sz w:val="24"/>
          <w:szCs w:val="24"/>
          <w:highlight w:val="none"/>
          <w:u w:val="none" w:color="auto"/>
          <w:lang w:val="en-US" w:eastAsia="zh-CN" w:bidi="ar"/>
        </w:rPr>
        <w:t>——</w:t>
      </w:r>
      <w:r>
        <w:rPr>
          <w:rFonts w:hint="default" w:ascii="Times New Roman" w:hAnsi="Times New Roman" w:eastAsia="宋体" w:cs="Times New Roman"/>
          <w:caps w:val="0"/>
          <w:smallCaps w:val="0"/>
          <w:color w:val="auto"/>
          <w:sz w:val="24"/>
          <w:szCs w:val="24"/>
          <w:highlight w:val="none"/>
          <w:u w:val="none" w:color="auto"/>
          <w:lang w:bidi="ar"/>
        </w:rPr>
        <w:t>华中区</w:t>
      </w:r>
      <w:r>
        <w:rPr>
          <w:rFonts w:hint="default" w:ascii="Times New Roman" w:hAnsi="Times New Roman" w:eastAsia="宋体" w:cs="Times New Roman"/>
          <w:caps w:val="0"/>
          <w:smallCaps w:val="0"/>
          <w:color w:val="auto"/>
          <w:sz w:val="24"/>
          <w:szCs w:val="24"/>
          <w:highlight w:val="none"/>
          <w:u w:val="none" w:color="auto"/>
          <w:lang w:val="en-US" w:eastAsia="zh-CN" w:bidi="ar"/>
        </w:rPr>
        <w:t>——东</w:t>
      </w:r>
      <w:r>
        <w:rPr>
          <w:rFonts w:hint="default" w:ascii="Times New Roman" w:hAnsi="Times New Roman" w:eastAsia="宋体" w:cs="Times New Roman"/>
          <w:caps w:val="0"/>
          <w:smallCaps w:val="0"/>
          <w:color w:val="auto"/>
          <w:sz w:val="24"/>
          <w:szCs w:val="24"/>
          <w:highlight w:val="none"/>
          <w:u w:val="none" w:color="auto"/>
          <w:lang w:bidi="ar"/>
        </w:rPr>
        <w:t>部</w:t>
      </w:r>
      <w:r>
        <w:rPr>
          <w:rFonts w:hint="default" w:ascii="Times New Roman" w:hAnsi="Times New Roman" w:eastAsia="宋体" w:cs="Times New Roman"/>
          <w:caps w:val="0"/>
          <w:smallCaps w:val="0"/>
          <w:color w:val="auto"/>
          <w:sz w:val="24"/>
          <w:szCs w:val="24"/>
          <w:highlight w:val="none"/>
          <w:u w:val="none" w:color="auto"/>
          <w:lang w:val="en-US" w:eastAsia="zh-CN" w:bidi="ar"/>
        </w:rPr>
        <w:t>丘陵平原</w:t>
      </w:r>
      <w:r>
        <w:rPr>
          <w:rFonts w:hint="default" w:ascii="Times New Roman" w:hAnsi="Times New Roman" w:eastAsia="宋体" w:cs="Times New Roman"/>
          <w:caps w:val="0"/>
          <w:smallCaps w:val="0"/>
          <w:color w:val="auto"/>
          <w:sz w:val="24"/>
          <w:szCs w:val="24"/>
          <w:highlight w:val="none"/>
          <w:u w:val="none" w:color="auto"/>
          <w:lang w:bidi="ar"/>
        </w:rPr>
        <w:t>亚区</w:t>
      </w:r>
      <w:r>
        <w:rPr>
          <w:rFonts w:hint="default" w:ascii="Times New Roman" w:hAnsi="Times New Roman" w:eastAsia="宋体" w:cs="Times New Roman"/>
          <w:caps w:val="0"/>
          <w:smallCaps w:val="0"/>
          <w:color w:val="auto"/>
          <w:sz w:val="24"/>
          <w:szCs w:val="24"/>
          <w:highlight w:val="none"/>
          <w:u w:val="none" w:color="auto"/>
          <w:lang w:val="en-US" w:eastAsia="zh-CN" w:bidi="ar"/>
        </w:rPr>
        <w:t>——长江沿岸平原省——农田湿地动物群</w:t>
      </w:r>
      <w:r>
        <w:rPr>
          <w:rFonts w:hint="default" w:ascii="Times New Roman" w:hAnsi="Times New Roman" w:eastAsia="宋体" w:cs="Times New Roman"/>
          <w:caps w:val="0"/>
          <w:smallCaps w:val="0"/>
          <w:color w:val="auto"/>
          <w:sz w:val="24"/>
          <w:szCs w:val="24"/>
          <w:highlight w:val="none"/>
          <w:u w:val="none" w:color="auto"/>
          <w:lang w:bidi="ar"/>
        </w:rPr>
        <w:t>。</w:t>
      </w:r>
      <w:r>
        <w:rPr>
          <w:rFonts w:hint="default" w:ascii="Times New Roman" w:hAnsi="Times New Roman" w:eastAsia="宋体" w:cs="Times New Roman"/>
          <w:caps w:val="0"/>
          <w:smallCaps w:val="0"/>
          <w:color w:val="auto"/>
          <w:sz w:val="24"/>
          <w:szCs w:val="24"/>
          <w:highlight w:val="none"/>
          <w:u w:val="none" w:color="auto"/>
          <w:lang w:val="en-US" w:eastAsia="zh-CN" w:bidi="ar"/>
        </w:rPr>
        <w:t>本项目评价区域</w:t>
      </w:r>
      <w:r>
        <w:rPr>
          <w:rFonts w:hint="default" w:ascii="Times New Roman" w:hAnsi="Times New Roman" w:eastAsia="宋体" w:cs="Times New Roman"/>
          <w:caps w:val="0"/>
          <w:smallCaps w:val="0"/>
          <w:color w:val="auto"/>
          <w:sz w:val="24"/>
          <w:szCs w:val="24"/>
          <w:highlight w:val="none"/>
          <w:u w:val="none" w:color="auto"/>
          <w:lang w:bidi="ar"/>
        </w:rPr>
        <w:t>人类活动频繁</w:t>
      </w:r>
      <w:r>
        <w:rPr>
          <w:rFonts w:hint="default" w:ascii="Times New Roman" w:hAnsi="Times New Roman" w:eastAsia="宋体" w:cs="Times New Roman"/>
          <w:caps w:val="0"/>
          <w:smallCaps w:val="0"/>
          <w:color w:val="auto"/>
          <w:sz w:val="24"/>
          <w:szCs w:val="24"/>
          <w:highlight w:val="none"/>
          <w:u w:val="none" w:color="auto"/>
          <w:lang w:eastAsia="zh-CN" w:bidi="ar"/>
        </w:rPr>
        <w:t>，</w:t>
      </w:r>
      <w:r>
        <w:rPr>
          <w:rFonts w:hint="default" w:ascii="Times New Roman" w:hAnsi="Times New Roman" w:eastAsia="宋体" w:cs="Times New Roman"/>
          <w:caps w:val="0"/>
          <w:smallCaps w:val="0"/>
          <w:color w:val="auto"/>
          <w:sz w:val="24"/>
          <w:szCs w:val="24"/>
          <w:highlight w:val="none"/>
          <w:u w:val="none" w:color="auto"/>
          <w:lang w:bidi="ar"/>
        </w:rPr>
        <w:t>受人类活动的干扰，区域内野生动物的种类、分布及数量都很少，以鸟类为主。</w:t>
      </w:r>
    </w:p>
    <w:p w14:paraId="0FC8EA54">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调查样线布置</w:t>
      </w:r>
    </w:p>
    <w:p w14:paraId="016BE2B0">
      <w:pPr>
        <w:spacing w:line="360" w:lineRule="auto"/>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本项目</w:t>
      </w:r>
      <w:r>
        <w:rPr>
          <w:rFonts w:hint="default" w:ascii="Times New Roman" w:hAnsi="Times New Roman" w:eastAsia="宋体" w:cs="Times New Roman"/>
          <w:color w:val="auto"/>
          <w:sz w:val="24"/>
          <w:szCs w:val="21"/>
          <w:highlight w:val="none"/>
          <w:u w:val="none" w:color="auto"/>
          <w:lang w:bidi="ar"/>
        </w:rPr>
        <w:t>野生动物现状</w:t>
      </w:r>
      <w:r>
        <w:rPr>
          <w:rFonts w:hint="default" w:ascii="Times New Roman" w:hAnsi="Times New Roman" w:eastAsia="宋体" w:cs="Times New Roman"/>
          <w:color w:val="auto"/>
          <w:sz w:val="24"/>
          <w:szCs w:val="21"/>
          <w:highlight w:val="none"/>
          <w:u w:val="none" w:color="auto"/>
        </w:rPr>
        <w:t>调查</w:t>
      </w:r>
      <w:r>
        <w:rPr>
          <w:rFonts w:hint="default" w:ascii="Times New Roman" w:hAnsi="Times New Roman" w:eastAsia="宋体" w:cs="Times New Roman"/>
          <w:color w:val="auto"/>
          <w:sz w:val="24"/>
          <w:szCs w:val="21"/>
          <w:highlight w:val="none"/>
          <w:u w:val="none" w:color="auto"/>
          <w:lang w:val="en-US" w:eastAsia="zh-CN" w:bidi="ar"/>
        </w:rPr>
        <w:t>根据生境类型分别</w:t>
      </w:r>
      <w:r>
        <w:rPr>
          <w:rFonts w:hint="default" w:ascii="Times New Roman" w:hAnsi="Times New Roman" w:eastAsia="宋体" w:cs="Times New Roman"/>
          <w:color w:val="auto"/>
          <w:sz w:val="24"/>
          <w:szCs w:val="21"/>
          <w:highlight w:val="none"/>
          <w:u w:val="none" w:color="auto"/>
        </w:rPr>
        <w:t>设置了评价范围内有代表性的</w:t>
      </w:r>
      <w:r>
        <w:rPr>
          <w:rFonts w:hint="default" w:ascii="Times New Roman" w:hAnsi="Times New Roman" w:eastAsia="宋体" w:cs="Times New Roman"/>
          <w:color w:val="auto"/>
          <w:sz w:val="24"/>
          <w:szCs w:val="21"/>
          <w:highlight w:val="none"/>
          <w:u w:val="none" w:color="auto"/>
          <w:lang w:val="en-US" w:eastAsia="zh-CN"/>
        </w:rPr>
        <w:t>3</w:t>
      </w:r>
      <w:r>
        <w:rPr>
          <w:rFonts w:hint="default" w:ascii="Times New Roman" w:hAnsi="Times New Roman" w:eastAsia="宋体" w:cs="Times New Roman"/>
          <w:color w:val="auto"/>
          <w:sz w:val="24"/>
          <w:szCs w:val="21"/>
          <w:highlight w:val="none"/>
          <w:u w:val="none" w:color="auto"/>
        </w:rPr>
        <w:t>条调查样线。在调查过程中，确定植物种类及资源状况、珍稀濒危植物种类及生存状况等。</w:t>
      </w:r>
    </w:p>
    <w:p w14:paraId="7855B32F">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7</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项目野生动物样线调查分布环境特征</w:t>
      </w:r>
    </w:p>
    <w:tbl>
      <w:tblPr>
        <w:tblStyle w:val="3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70"/>
        <w:gridCol w:w="999"/>
        <w:gridCol w:w="2129"/>
        <w:gridCol w:w="1998"/>
        <w:gridCol w:w="1065"/>
        <w:gridCol w:w="960"/>
        <w:gridCol w:w="783"/>
      </w:tblGrid>
      <w:tr w14:paraId="4B0A4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0" w:type="dxa"/>
            <w:noWrap w:val="0"/>
            <w:vAlign w:val="center"/>
          </w:tcPr>
          <w:p w14:paraId="227D10F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样线编号</w:t>
            </w:r>
          </w:p>
        </w:tc>
        <w:tc>
          <w:tcPr>
            <w:tcW w:w="999" w:type="dxa"/>
            <w:noWrap w:val="0"/>
            <w:vAlign w:val="center"/>
          </w:tcPr>
          <w:p w14:paraId="5B8165A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地名</w:t>
            </w:r>
          </w:p>
        </w:tc>
        <w:tc>
          <w:tcPr>
            <w:tcW w:w="2129" w:type="dxa"/>
            <w:noWrap w:val="0"/>
            <w:vAlign w:val="center"/>
          </w:tcPr>
          <w:p w14:paraId="78F45C2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起点坐标</w:t>
            </w:r>
          </w:p>
        </w:tc>
        <w:tc>
          <w:tcPr>
            <w:tcW w:w="1998" w:type="dxa"/>
            <w:noWrap w:val="0"/>
            <w:vAlign w:val="center"/>
          </w:tcPr>
          <w:p w14:paraId="3293021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终点坐标</w:t>
            </w:r>
          </w:p>
        </w:tc>
        <w:tc>
          <w:tcPr>
            <w:tcW w:w="1065" w:type="dxa"/>
            <w:noWrap w:val="0"/>
            <w:vAlign w:val="center"/>
          </w:tcPr>
          <w:p w14:paraId="3B8E8B5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海拔幅度(m)</w:t>
            </w:r>
          </w:p>
        </w:tc>
        <w:tc>
          <w:tcPr>
            <w:tcW w:w="960" w:type="dxa"/>
            <w:noWrap w:val="0"/>
            <w:vAlign w:val="center"/>
          </w:tcPr>
          <w:p w14:paraId="3389076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生境</w:t>
            </w:r>
          </w:p>
        </w:tc>
        <w:tc>
          <w:tcPr>
            <w:tcW w:w="783" w:type="dxa"/>
            <w:noWrap w:val="0"/>
            <w:vAlign w:val="center"/>
          </w:tcPr>
          <w:p w14:paraId="6556FF3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样线长度（m）</w:t>
            </w:r>
          </w:p>
        </w:tc>
      </w:tr>
      <w:tr w14:paraId="18AF3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0" w:type="dxa"/>
            <w:noWrap w:val="0"/>
            <w:vAlign w:val="center"/>
          </w:tcPr>
          <w:p w14:paraId="2B613D9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YX1</w:t>
            </w:r>
          </w:p>
        </w:tc>
        <w:tc>
          <w:tcPr>
            <w:tcW w:w="999" w:type="dxa"/>
            <w:noWrap w:val="0"/>
            <w:vAlign w:val="center"/>
          </w:tcPr>
          <w:p w14:paraId="3167714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老虎尾巴</w:t>
            </w:r>
          </w:p>
        </w:tc>
        <w:tc>
          <w:tcPr>
            <w:tcW w:w="2129" w:type="dxa"/>
            <w:noWrap w:val="0"/>
            <w:vAlign w:val="center"/>
          </w:tcPr>
          <w:p w14:paraId="16E59F2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33</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48.33</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21</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53.11</w:t>
            </w:r>
            <w:r>
              <w:rPr>
                <w:rFonts w:hint="default" w:ascii="Times New Roman" w:hAnsi="Times New Roman" w:eastAsia="宋体" w:cs="Times New Roman"/>
                <w:bCs/>
                <w:color w:val="auto"/>
                <w:sz w:val="21"/>
                <w:szCs w:val="21"/>
                <w:highlight w:val="none"/>
                <w:u w:val="none" w:color="auto"/>
                <w:lang w:val="en-US" w:eastAsia="zh-CN"/>
              </w:rPr>
              <w:t>"</w:t>
            </w:r>
          </w:p>
        </w:tc>
        <w:tc>
          <w:tcPr>
            <w:tcW w:w="1998" w:type="dxa"/>
            <w:noWrap w:val="0"/>
            <w:vAlign w:val="center"/>
          </w:tcPr>
          <w:p w14:paraId="665DC83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33</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36.81</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22</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31.97</w:t>
            </w:r>
            <w:r>
              <w:rPr>
                <w:rFonts w:hint="default" w:ascii="Times New Roman" w:hAnsi="Times New Roman" w:eastAsia="宋体" w:cs="Times New Roman"/>
                <w:bCs/>
                <w:color w:val="auto"/>
                <w:sz w:val="21"/>
                <w:szCs w:val="21"/>
                <w:highlight w:val="none"/>
                <w:u w:val="none" w:color="auto"/>
                <w:lang w:val="en-US" w:eastAsia="zh-CN"/>
              </w:rPr>
              <w:t>"</w:t>
            </w:r>
          </w:p>
        </w:tc>
        <w:tc>
          <w:tcPr>
            <w:tcW w:w="1065" w:type="dxa"/>
            <w:noWrap w:val="0"/>
            <w:vAlign w:val="center"/>
          </w:tcPr>
          <w:p w14:paraId="2394D09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23-26</w:t>
            </w:r>
          </w:p>
        </w:tc>
        <w:tc>
          <w:tcPr>
            <w:tcW w:w="960" w:type="dxa"/>
            <w:noWrap w:val="0"/>
            <w:vAlign w:val="center"/>
          </w:tcPr>
          <w:p w14:paraId="0430B75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湿地</w:t>
            </w:r>
          </w:p>
        </w:tc>
        <w:tc>
          <w:tcPr>
            <w:tcW w:w="783" w:type="dxa"/>
            <w:noWrap w:val="0"/>
            <w:vAlign w:val="center"/>
          </w:tcPr>
          <w:p w14:paraId="562A70D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1243</w:t>
            </w:r>
          </w:p>
        </w:tc>
      </w:tr>
      <w:tr w14:paraId="6C2D3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0" w:type="dxa"/>
            <w:noWrap w:val="0"/>
            <w:vAlign w:val="center"/>
          </w:tcPr>
          <w:p w14:paraId="0CCDA42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YX2</w:t>
            </w:r>
          </w:p>
        </w:tc>
        <w:tc>
          <w:tcPr>
            <w:tcW w:w="999" w:type="dxa"/>
            <w:noWrap w:val="0"/>
            <w:vAlign w:val="center"/>
          </w:tcPr>
          <w:p w14:paraId="126555A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西湖二组</w:t>
            </w:r>
          </w:p>
        </w:tc>
        <w:tc>
          <w:tcPr>
            <w:tcW w:w="2129" w:type="dxa"/>
            <w:noWrap w:val="0"/>
            <w:vAlign w:val="center"/>
          </w:tcPr>
          <w:p w14:paraId="2E57001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35</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4.21</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22</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33.43</w:t>
            </w:r>
            <w:r>
              <w:rPr>
                <w:rFonts w:hint="default" w:ascii="Times New Roman" w:hAnsi="Times New Roman" w:eastAsia="宋体" w:cs="Times New Roman"/>
                <w:bCs/>
                <w:color w:val="auto"/>
                <w:sz w:val="21"/>
                <w:szCs w:val="21"/>
                <w:highlight w:val="none"/>
                <w:u w:val="none" w:color="auto"/>
                <w:lang w:val="en-US" w:eastAsia="zh-CN"/>
              </w:rPr>
              <w:t>"</w:t>
            </w:r>
          </w:p>
        </w:tc>
        <w:tc>
          <w:tcPr>
            <w:tcW w:w="1998" w:type="dxa"/>
            <w:noWrap w:val="0"/>
            <w:vAlign w:val="center"/>
          </w:tcPr>
          <w:p w14:paraId="5E34EC4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w:t>
            </w:r>
            <w:r>
              <w:rPr>
                <w:rFonts w:hint="default" w:ascii="Times New Roman" w:hAnsi="Times New Roman" w:eastAsia="宋体" w:cs="Times New Roman"/>
                <w:bCs/>
                <w:color w:val="auto"/>
                <w:sz w:val="21"/>
                <w:szCs w:val="21"/>
                <w:highlight w:val="none"/>
                <w:u w:val="none" w:color="auto"/>
                <w:lang w:val="en-US" w:eastAsia="zh-CN"/>
              </w:rPr>
              <w:t>4'</w:t>
            </w:r>
            <w:r>
              <w:rPr>
                <w:rFonts w:hint="eastAsia" w:ascii="Times New Roman" w:hAnsi="Times New Roman" w:eastAsia="宋体" w:cs="Times New Roman"/>
                <w:bCs/>
                <w:color w:val="auto"/>
                <w:sz w:val="21"/>
                <w:szCs w:val="21"/>
                <w:highlight w:val="none"/>
                <w:u w:val="none" w:color="auto"/>
                <w:lang w:val="en-US" w:eastAsia="zh-CN"/>
              </w:rPr>
              <w:t>16.95</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22</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28.70</w:t>
            </w:r>
            <w:r>
              <w:rPr>
                <w:rFonts w:hint="default" w:ascii="Times New Roman" w:hAnsi="Times New Roman" w:eastAsia="宋体" w:cs="Times New Roman"/>
                <w:bCs/>
                <w:color w:val="auto"/>
                <w:sz w:val="21"/>
                <w:szCs w:val="21"/>
                <w:highlight w:val="none"/>
                <w:u w:val="none" w:color="auto"/>
                <w:lang w:val="en-US" w:eastAsia="zh-CN"/>
              </w:rPr>
              <w:t>"</w:t>
            </w:r>
          </w:p>
        </w:tc>
        <w:tc>
          <w:tcPr>
            <w:tcW w:w="1065" w:type="dxa"/>
            <w:noWrap w:val="0"/>
            <w:vAlign w:val="center"/>
          </w:tcPr>
          <w:p w14:paraId="6F660CA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29-34</w:t>
            </w:r>
          </w:p>
        </w:tc>
        <w:tc>
          <w:tcPr>
            <w:tcW w:w="960" w:type="dxa"/>
            <w:noWrap w:val="0"/>
            <w:vAlign w:val="center"/>
          </w:tcPr>
          <w:p w14:paraId="4EBFC80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湿地</w:t>
            </w:r>
          </w:p>
        </w:tc>
        <w:tc>
          <w:tcPr>
            <w:tcW w:w="783" w:type="dxa"/>
            <w:noWrap w:val="0"/>
            <w:vAlign w:val="center"/>
          </w:tcPr>
          <w:p w14:paraId="2A45EA2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1282</w:t>
            </w:r>
          </w:p>
        </w:tc>
      </w:tr>
      <w:tr w14:paraId="2EAE7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0" w:type="dxa"/>
            <w:noWrap w:val="0"/>
            <w:vAlign w:val="center"/>
          </w:tcPr>
          <w:p w14:paraId="744F163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YX3</w:t>
            </w:r>
          </w:p>
        </w:tc>
        <w:tc>
          <w:tcPr>
            <w:tcW w:w="999" w:type="dxa"/>
            <w:noWrap w:val="0"/>
            <w:vAlign w:val="center"/>
          </w:tcPr>
          <w:p w14:paraId="763B084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何家湾</w:t>
            </w:r>
          </w:p>
        </w:tc>
        <w:tc>
          <w:tcPr>
            <w:tcW w:w="2129" w:type="dxa"/>
            <w:noWrap w:val="0"/>
            <w:vAlign w:val="center"/>
          </w:tcPr>
          <w:p w14:paraId="3A4D5DC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w:t>
            </w:r>
            <w:r>
              <w:rPr>
                <w:rFonts w:hint="default" w:ascii="Times New Roman" w:hAnsi="Times New Roman" w:eastAsia="宋体" w:cs="Times New Roman"/>
                <w:bCs/>
                <w:color w:val="auto"/>
                <w:sz w:val="21"/>
                <w:szCs w:val="21"/>
                <w:highlight w:val="none"/>
                <w:u w:val="none" w:color="auto"/>
                <w:lang w:val="en-US" w:eastAsia="zh-CN"/>
              </w:rPr>
              <w:t>4'</w:t>
            </w:r>
            <w:r>
              <w:rPr>
                <w:rFonts w:hint="eastAsia" w:ascii="Times New Roman" w:hAnsi="Times New Roman" w:eastAsia="宋体" w:cs="Times New Roman"/>
                <w:bCs/>
                <w:color w:val="auto"/>
                <w:sz w:val="21"/>
                <w:szCs w:val="21"/>
                <w:highlight w:val="none"/>
                <w:u w:val="none" w:color="auto"/>
                <w:lang w:val="en-US" w:eastAsia="zh-CN"/>
              </w:rPr>
              <w:t>4.03</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22</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21.87</w:t>
            </w:r>
            <w:r>
              <w:rPr>
                <w:rFonts w:hint="default" w:ascii="Times New Roman" w:hAnsi="Times New Roman" w:eastAsia="宋体" w:cs="Times New Roman"/>
                <w:bCs/>
                <w:color w:val="auto"/>
                <w:sz w:val="21"/>
                <w:szCs w:val="21"/>
                <w:highlight w:val="none"/>
                <w:u w:val="none" w:color="auto"/>
                <w:lang w:val="en-US" w:eastAsia="zh-CN"/>
              </w:rPr>
              <w:t>"</w:t>
            </w:r>
          </w:p>
        </w:tc>
        <w:tc>
          <w:tcPr>
            <w:tcW w:w="1998" w:type="dxa"/>
            <w:noWrap w:val="0"/>
            <w:vAlign w:val="center"/>
          </w:tcPr>
          <w:p w14:paraId="7D4D864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E112°</w:t>
            </w:r>
            <w:r>
              <w:rPr>
                <w:rFonts w:hint="eastAsia" w:ascii="Times New Roman" w:hAnsi="Times New Roman" w:eastAsia="宋体" w:cs="Times New Roman"/>
                <w:bCs/>
                <w:color w:val="auto"/>
                <w:sz w:val="21"/>
                <w:szCs w:val="21"/>
                <w:highlight w:val="none"/>
                <w:u w:val="none" w:color="auto"/>
                <w:lang w:val="en-US" w:eastAsia="zh-CN"/>
              </w:rPr>
              <w:t>3</w:t>
            </w:r>
            <w:r>
              <w:rPr>
                <w:rFonts w:hint="default" w:ascii="Times New Roman" w:hAnsi="Times New Roman" w:eastAsia="宋体" w:cs="Times New Roman"/>
                <w:bCs/>
                <w:color w:val="auto"/>
                <w:sz w:val="21"/>
                <w:szCs w:val="21"/>
                <w:highlight w:val="none"/>
                <w:u w:val="none" w:color="auto"/>
                <w:lang w:val="en-US" w:eastAsia="zh-CN"/>
              </w:rPr>
              <w:t>4'1</w:t>
            </w:r>
            <w:r>
              <w:rPr>
                <w:rFonts w:hint="eastAsia" w:ascii="Times New Roman" w:hAnsi="Times New Roman" w:eastAsia="宋体" w:cs="Times New Roman"/>
                <w:bCs/>
                <w:color w:val="auto"/>
                <w:sz w:val="21"/>
                <w:szCs w:val="21"/>
                <w:highlight w:val="none"/>
                <w:u w:val="none" w:color="auto"/>
                <w:lang w:val="en-US" w:eastAsia="zh-CN"/>
              </w:rPr>
              <w:t>0.17</w:t>
            </w:r>
            <w:r>
              <w:rPr>
                <w:rFonts w:hint="default" w:ascii="Times New Roman" w:hAnsi="Times New Roman" w:eastAsia="宋体" w:cs="Times New Roman"/>
                <w:bCs/>
                <w:color w:val="auto"/>
                <w:sz w:val="21"/>
                <w:szCs w:val="21"/>
                <w:highlight w:val="none"/>
                <w:u w:val="none" w:color="auto"/>
                <w:lang w:val="en-US" w:eastAsia="zh-CN"/>
              </w:rPr>
              <w:t>"</w:t>
            </w:r>
            <w:r>
              <w:rPr>
                <w:rFonts w:hint="default" w:ascii="Times New Roman" w:hAnsi="Times New Roman" w:eastAsia="宋体" w:cs="Times New Roman"/>
                <w:bCs/>
                <w:color w:val="auto"/>
                <w:sz w:val="21"/>
                <w:szCs w:val="21"/>
                <w:highlight w:val="none"/>
                <w:u w:val="none" w:color="auto"/>
                <w:lang w:val="en-US" w:eastAsia="zh-CN"/>
              </w:rPr>
              <w:tab/>
            </w:r>
            <w:r>
              <w:rPr>
                <w:rFonts w:hint="default" w:ascii="Times New Roman" w:hAnsi="Times New Roman" w:eastAsia="宋体" w:cs="Times New Roman"/>
                <w:bCs/>
                <w:color w:val="auto"/>
                <w:sz w:val="21"/>
                <w:szCs w:val="21"/>
                <w:highlight w:val="none"/>
                <w:u w:val="none" w:color="auto"/>
                <w:lang w:val="en-US" w:eastAsia="zh-CN"/>
              </w:rPr>
              <w:t>N29°</w:t>
            </w:r>
            <w:r>
              <w:rPr>
                <w:rFonts w:hint="eastAsia" w:ascii="Times New Roman" w:hAnsi="Times New Roman" w:eastAsia="宋体" w:cs="Times New Roman"/>
                <w:bCs/>
                <w:color w:val="auto"/>
                <w:sz w:val="21"/>
                <w:szCs w:val="21"/>
                <w:highlight w:val="none"/>
                <w:u w:val="none" w:color="auto"/>
                <w:lang w:val="en-US" w:eastAsia="zh-CN"/>
              </w:rPr>
              <w:t>22</w:t>
            </w:r>
            <w:r>
              <w:rPr>
                <w:rFonts w:hint="default" w:ascii="Times New Roman" w:hAnsi="Times New Roman" w:eastAsia="宋体" w:cs="Times New Roman"/>
                <w:bCs/>
                <w:color w:val="auto"/>
                <w:sz w:val="21"/>
                <w:szCs w:val="21"/>
                <w:highlight w:val="none"/>
                <w:u w:val="none" w:color="auto"/>
                <w:lang w:val="en-US" w:eastAsia="zh-CN"/>
              </w:rPr>
              <w:t>'</w:t>
            </w:r>
            <w:r>
              <w:rPr>
                <w:rFonts w:hint="eastAsia" w:ascii="Times New Roman" w:hAnsi="Times New Roman" w:eastAsia="宋体" w:cs="Times New Roman"/>
                <w:bCs/>
                <w:color w:val="auto"/>
                <w:sz w:val="21"/>
                <w:szCs w:val="21"/>
                <w:highlight w:val="none"/>
                <w:u w:val="none" w:color="auto"/>
                <w:lang w:val="en-US" w:eastAsia="zh-CN"/>
              </w:rPr>
              <w:t>59.82</w:t>
            </w:r>
            <w:r>
              <w:rPr>
                <w:rFonts w:hint="default" w:ascii="Times New Roman" w:hAnsi="Times New Roman" w:eastAsia="宋体" w:cs="Times New Roman"/>
                <w:bCs/>
                <w:color w:val="auto"/>
                <w:sz w:val="21"/>
                <w:szCs w:val="21"/>
                <w:highlight w:val="none"/>
                <w:u w:val="none" w:color="auto"/>
                <w:lang w:val="en-US" w:eastAsia="zh-CN"/>
              </w:rPr>
              <w:t>"</w:t>
            </w:r>
          </w:p>
        </w:tc>
        <w:tc>
          <w:tcPr>
            <w:tcW w:w="1065" w:type="dxa"/>
            <w:noWrap w:val="0"/>
            <w:vAlign w:val="center"/>
          </w:tcPr>
          <w:p w14:paraId="72C1C81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24-30</w:t>
            </w:r>
          </w:p>
        </w:tc>
        <w:tc>
          <w:tcPr>
            <w:tcW w:w="960" w:type="dxa"/>
            <w:noWrap w:val="0"/>
            <w:vAlign w:val="center"/>
          </w:tcPr>
          <w:p w14:paraId="7F88741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湿地</w:t>
            </w:r>
          </w:p>
        </w:tc>
        <w:tc>
          <w:tcPr>
            <w:tcW w:w="783" w:type="dxa"/>
            <w:noWrap w:val="0"/>
            <w:vAlign w:val="center"/>
          </w:tcPr>
          <w:p w14:paraId="0CFF4DB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1182</w:t>
            </w:r>
          </w:p>
        </w:tc>
      </w:tr>
    </w:tbl>
    <w:p w14:paraId="51A60CB8">
      <w:pPr>
        <w:pStyle w:val="5"/>
        <w:bidi w:val="0"/>
        <w:rPr>
          <w:rFonts w:hint="default" w:ascii="Times New Roman" w:hAnsi="Times New Roman" w:cs="Times New Roman"/>
          <w:color w:val="auto"/>
          <w:u w:val="none" w:color="auto"/>
          <w:lang w:val="zh-CN" w:eastAsia="zh-CN"/>
        </w:rPr>
      </w:pPr>
      <w:r>
        <w:rPr>
          <w:rFonts w:hint="default" w:ascii="Times New Roman" w:hAnsi="Times New Roman" w:cs="Times New Roman"/>
          <w:color w:val="auto"/>
          <w:u w:val="none" w:color="auto"/>
          <w:lang w:val="zh-CN" w:eastAsia="zh-CN"/>
        </w:rPr>
        <w:t>物种组成及分布特征</w:t>
      </w:r>
    </w:p>
    <w:p w14:paraId="21EBA9F7">
      <w:pPr>
        <w:spacing w:line="360" w:lineRule="auto"/>
        <w:ind w:firstLine="424" w:firstLineChars="177"/>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caps w:val="0"/>
          <w:smallCaps w:val="0"/>
          <w:color w:val="auto"/>
          <w:sz w:val="24"/>
          <w:szCs w:val="24"/>
          <w:u w:val="none" w:color="auto"/>
        </w:rPr>
        <w:t>根据实地考察及对相关资料的综合分析，评价区范围内共有野生脊椎动物</w:t>
      </w:r>
      <w:r>
        <w:rPr>
          <w:rFonts w:hint="default" w:ascii="Times New Roman" w:hAnsi="Times New Roman" w:eastAsia="宋体" w:cs="Times New Roman"/>
          <w:caps w:val="0"/>
          <w:smallCaps w:val="0"/>
          <w:color w:val="auto"/>
          <w:sz w:val="24"/>
          <w:szCs w:val="24"/>
          <w:u w:val="none" w:color="auto"/>
          <w:lang w:val="en-US" w:eastAsia="zh-CN"/>
        </w:rPr>
        <w:t>4纲19目54科93种</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lang w:val="en-US" w:eastAsia="zh-CN"/>
        </w:rPr>
        <w:t>无</w:t>
      </w:r>
      <w:r>
        <w:rPr>
          <w:rFonts w:hint="default" w:ascii="Times New Roman" w:hAnsi="Times New Roman" w:eastAsia="宋体" w:cs="Times New Roman"/>
          <w:caps w:val="0"/>
          <w:smallCaps w:val="0"/>
          <w:color w:val="auto"/>
          <w:sz w:val="24"/>
          <w:szCs w:val="24"/>
          <w:u w:val="none" w:color="auto"/>
        </w:rPr>
        <w:t>国家级重点保护野生动物，有湖南省级重点保护野生动物</w:t>
      </w:r>
      <w:r>
        <w:rPr>
          <w:rFonts w:hint="default" w:ascii="Times New Roman" w:hAnsi="Times New Roman" w:eastAsia="宋体" w:cs="Times New Roman"/>
          <w:caps w:val="0"/>
          <w:smallCaps w:val="0"/>
          <w:color w:val="auto"/>
          <w:sz w:val="24"/>
          <w:szCs w:val="24"/>
          <w:u w:val="none" w:color="auto"/>
          <w:lang w:val="en-US" w:eastAsia="zh-CN"/>
        </w:rPr>
        <w:t>34</w:t>
      </w:r>
      <w:r>
        <w:rPr>
          <w:rFonts w:hint="default" w:ascii="Times New Roman" w:hAnsi="Times New Roman" w:eastAsia="宋体" w:cs="Times New Roman"/>
          <w:caps w:val="0"/>
          <w:smallCaps w:val="0"/>
          <w:color w:val="auto"/>
          <w:sz w:val="24"/>
          <w:szCs w:val="24"/>
          <w:u w:val="none" w:color="auto"/>
        </w:rPr>
        <w:t>种。评价区各纲的种类组成、区系、保护等级参见</w:t>
      </w:r>
      <w:r>
        <w:rPr>
          <w:rFonts w:hint="default" w:ascii="Times New Roman" w:hAnsi="Times New Roman" w:eastAsia="宋体" w:cs="Times New Roman"/>
          <w:caps w:val="0"/>
          <w:smallCaps w:val="0"/>
          <w:color w:val="auto"/>
          <w:sz w:val="24"/>
          <w:szCs w:val="24"/>
          <w:u w:val="none" w:color="auto"/>
          <w:lang w:val="en-US" w:eastAsia="zh-CN"/>
        </w:rPr>
        <w:t>下表</w:t>
      </w:r>
      <w:r>
        <w:rPr>
          <w:rFonts w:hint="default" w:ascii="Times New Roman" w:hAnsi="Times New Roman" w:eastAsia="宋体" w:cs="Times New Roman"/>
          <w:caps w:val="0"/>
          <w:smallCaps w:val="0"/>
          <w:color w:val="auto"/>
          <w:sz w:val="24"/>
          <w:szCs w:val="24"/>
          <w:u w:val="none" w:color="auto"/>
        </w:rPr>
        <w:t>。</w:t>
      </w:r>
    </w:p>
    <w:p w14:paraId="49D74701">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8</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评价区陆生脊椎动物种类组成、区系和保护等级</w:t>
      </w:r>
    </w:p>
    <w:tbl>
      <w:tblPr>
        <w:tblStyle w:val="3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050"/>
        <w:gridCol w:w="633"/>
        <w:gridCol w:w="633"/>
        <w:gridCol w:w="799"/>
        <w:gridCol w:w="952"/>
        <w:gridCol w:w="1028"/>
        <w:gridCol w:w="1036"/>
        <w:gridCol w:w="829"/>
        <w:gridCol w:w="829"/>
        <w:gridCol w:w="633"/>
      </w:tblGrid>
      <w:tr w14:paraId="49BF8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49" w:type="pct"/>
            <w:gridSpan w:val="4"/>
            <w:tcBorders>
              <w:tl2br w:val="nil"/>
              <w:tr2bl w:val="nil"/>
            </w:tcBorders>
            <w:vAlign w:val="center"/>
          </w:tcPr>
          <w:p w14:paraId="63E96A6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种类组成</w:t>
            </w:r>
          </w:p>
        </w:tc>
        <w:tc>
          <w:tcPr>
            <w:tcW w:w="1790" w:type="pct"/>
            <w:gridSpan w:val="3"/>
            <w:tcBorders>
              <w:tl2br w:val="nil"/>
              <w:tr2bl w:val="nil"/>
            </w:tcBorders>
            <w:vAlign w:val="center"/>
          </w:tcPr>
          <w:p w14:paraId="6D2D305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动物区系</w:t>
            </w:r>
          </w:p>
        </w:tc>
        <w:tc>
          <w:tcPr>
            <w:tcW w:w="1360" w:type="pct"/>
            <w:gridSpan w:val="3"/>
            <w:tcBorders>
              <w:tl2br w:val="nil"/>
              <w:tr2bl w:val="nil"/>
            </w:tcBorders>
            <w:vAlign w:val="center"/>
          </w:tcPr>
          <w:p w14:paraId="12A338C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保护级别</w:t>
            </w:r>
          </w:p>
        </w:tc>
      </w:tr>
      <w:tr w14:paraId="32D56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45EF524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纲</w:t>
            </w:r>
          </w:p>
        </w:tc>
        <w:tc>
          <w:tcPr>
            <w:tcW w:w="376" w:type="pct"/>
            <w:tcBorders>
              <w:tl2br w:val="nil"/>
              <w:tr2bl w:val="nil"/>
            </w:tcBorders>
            <w:vAlign w:val="center"/>
          </w:tcPr>
          <w:p w14:paraId="6A42DF9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目</w:t>
            </w:r>
          </w:p>
        </w:tc>
        <w:tc>
          <w:tcPr>
            <w:tcW w:w="376" w:type="pct"/>
            <w:tcBorders>
              <w:tl2br w:val="nil"/>
              <w:tr2bl w:val="nil"/>
            </w:tcBorders>
            <w:vAlign w:val="center"/>
          </w:tcPr>
          <w:p w14:paraId="3A9E0D8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科</w:t>
            </w:r>
          </w:p>
        </w:tc>
        <w:tc>
          <w:tcPr>
            <w:tcW w:w="473" w:type="pct"/>
            <w:tcBorders>
              <w:tl2br w:val="nil"/>
              <w:tr2bl w:val="nil"/>
            </w:tcBorders>
            <w:vAlign w:val="center"/>
          </w:tcPr>
          <w:p w14:paraId="55164C4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种</w:t>
            </w:r>
          </w:p>
        </w:tc>
        <w:tc>
          <w:tcPr>
            <w:tcW w:w="565" w:type="pct"/>
            <w:tcBorders>
              <w:tl2br w:val="nil"/>
              <w:tr2bl w:val="nil"/>
            </w:tcBorders>
            <w:vAlign w:val="center"/>
          </w:tcPr>
          <w:p w14:paraId="16ED7C0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东洋种</w:t>
            </w:r>
          </w:p>
        </w:tc>
        <w:tc>
          <w:tcPr>
            <w:tcW w:w="610" w:type="pct"/>
            <w:tcBorders>
              <w:tl2br w:val="nil"/>
              <w:tr2bl w:val="nil"/>
            </w:tcBorders>
            <w:vAlign w:val="center"/>
          </w:tcPr>
          <w:p w14:paraId="65446FD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古北种</w:t>
            </w:r>
          </w:p>
        </w:tc>
        <w:tc>
          <w:tcPr>
            <w:tcW w:w="614" w:type="pct"/>
            <w:tcBorders>
              <w:tl2br w:val="nil"/>
              <w:tr2bl w:val="nil"/>
            </w:tcBorders>
            <w:vAlign w:val="center"/>
          </w:tcPr>
          <w:p w14:paraId="7C196FA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广布种</w:t>
            </w:r>
          </w:p>
        </w:tc>
        <w:tc>
          <w:tcPr>
            <w:tcW w:w="492" w:type="pct"/>
            <w:tcBorders>
              <w:tl2br w:val="nil"/>
              <w:tr2bl w:val="nil"/>
            </w:tcBorders>
            <w:vAlign w:val="center"/>
          </w:tcPr>
          <w:p w14:paraId="5EC137C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国家</w:t>
            </w:r>
          </w:p>
          <w:p w14:paraId="50C8C6C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I级</w:t>
            </w:r>
          </w:p>
        </w:tc>
        <w:tc>
          <w:tcPr>
            <w:tcW w:w="492" w:type="pct"/>
            <w:tcBorders>
              <w:tl2br w:val="nil"/>
              <w:tr2bl w:val="nil"/>
            </w:tcBorders>
            <w:vAlign w:val="center"/>
          </w:tcPr>
          <w:p w14:paraId="2F9E97F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国家</w:t>
            </w:r>
          </w:p>
          <w:p w14:paraId="1E5BA88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Ⅱ级</w:t>
            </w:r>
          </w:p>
        </w:tc>
        <w:tc>
          <w:tcPr>
            <w:tcW w:w="376" w:type="pct"/>
            <w:tcBorders>
              <w:tl2br w:val="nil"/>
              <w:tr2bl w:val="nil"/>
            </w:tcBorders>
            <w:vAlign w:val="center"/>
          </w:tcPr>
          <w:p w14:paraId="09FA422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湖南省级</w:t>
            </w:r>
          </w:p>
        </w:tc>
      </w:tr>
      <w:tr w14:paraId="095A9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65377F2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两栖纲</w:t>
            </w:r>
          </w:p>
        </w:tc>
        <w:tc>
          <w:tcPr>
            <w:tcW w:w="376" w:type="pct"/>
            <w:tcBorders>
              <w:tl2br w:val="nil"/>
              <w:tr2bl w:val="nil"/>
            </w:tcBorders>
            <w:vAlign w:val="center"/>
          </w:tcPr>
          <w:p w14:paraId="5C6B895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w:t>
            </w:r>
          </w:p>
        </w:tc>
        <w:tc>
          <w:tcPr>
            <w:tcW w:w="376" w:type="pct"/>
            <w:tcBorders>
              <w:tl2br w:val="nil"/>
              <w:tr2bl w:val="nil"/>
            </w:tcBorders>
            <w:vAlign w:val="center"/>
          </w:tcPr>
          <w:p w14:paraId="07A156F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4</w:t>
            </w:r>
          </w:p>
        </w:tc>
        <w:tc>
          <w:tcPr>
            <w:tcW w:w="473" w:type="pct"/>
            <w:tcBorders>
              <w:tl2br w:val="nil"/>
              <w:tr2bl w:val="nil"/>
            </w:tcBorders>
            <w:vAlign w:val="center"/>
          </w:tcPr>
          <w:p w14:paraId="658589F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7</w:t>
            </w:r>
          </w:p>
        </w:tc>
        <w:tc>
          <w:tcPr>
            <w:tcW w:w="565" w:type="pct"/>
            <w:tcBorders>
              <w:tl2br w:val="nil"/>
              <w:tr2bl w:val="nil"/>
            </w:tcBorders>
            <w:vAlign w:val="center"/>
          </w:tcPr>
          <w:p w14:paraId="49AC01A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4</w:t>
            </w:r>
          </w:p>
        </w:tc>
        <w:tc>
          <w:tcPr>
            <w:tcW w:w="610" w:type="pct"/>
            <w:tcBorders>
              <w:tl2br w:val="nil"/>
              <w:tr2bl w:val="nil"/>
            </w:tcBorders>
            <w:vAlign w:val="center"/>
          </w:tcPr>
          <w:p w14:paraId="42A1DA5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614" w:type="pct"/>
            <w:tcBorders>
              <w:tl2br w:val="nil"/>
              <w:tr2bl w:val="nil"/>
            </w:tcBorders>
            <w:vAlign w:val="center"/>
          </w:tcPr>
          <w:p w14:paraId="0C40255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3</w:t>
            </w:r>
          </w:p>
        </w:tc>
        <w:tc>
          <w:tcPr>
            <w:tcW w:w="492" w:type="pct"/>
            <w:tcBorders>
              <w:tl2br w:val="nil"/>
              <w:tr2bl w:val="nil"/>
            </w:tcBorders>
            <w:vAlign w:val="center"/>
          </w:tcPr>
          <w:p w14:paraId="2407FAD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492" w:type="pct"/>
            <w:tcBorders>
              <w:tl2br w:val="nil"/>
              <w:tr2bl w:val="nil"/>
            </w:tcBorders>
            <w:vAlign w:val="center"/>
          </w:tcPr>
          <w:p w14:paraId="4C7AC41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0</w:t>
            </w:r>
          </w:p>
        </w:tc>
        <w:tc>
          <w:tcPr>
            <w:tcW w:w="376" w:type="pct"/>
            <w:tcBorders>
              <w:tl2br w:val="nil"/>
              <w:tr2bl w:val="nil"/>
            </w:tcBorders>
            <w:vAlign w:val="center"/>
          </w:tcPr>
          <w:p w14:paraId="3FC3FB7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2</w:t>
            </w:r>
          </w:p>
        </w:tc>
      </w:tr>
      <w:tr w14:paraId="5E61C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0824BE6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爬行纲</w:t>
            </w:r>
          </w:p>
        </w:tc>
        <w:tc>
          <w:tcPr>
            <w:tcW w:w="376" w:type="pct"/>
            <w:tcBorders>
              <w:tl2br w:val="nil"/>
              <w:tr2bl w:val="nil"/>
            </w:tcBorders>
            <w:vAlign w:val="center"/>
          </w:tcPr>
          <w:p w14:paraId="0C19131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2</w:t>
            </w:r>
          </w:p>
        </w:tc>
        <w:tc>
          <w:tcPr>
            <w:tcW w:w="376" w:type="pct"/>
            <w:tcBorders>
              <w:tl2br w:val="nil"/>
              <w:tr2bl w:val="nil"/>
            </w:tcBorders>
            <w:vAlign w:val="center"/>
          </w:tcPr>
          <w:p w14:paraId="21CEDA6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9</w:t>
            </w:r>
          </w:p>
        </w:tc>
        <w:tc>
          <w:tcPr>
            <w:tcW w:w="473" w:type="pct"/>
            <w:tcBorders>
              <w:tl2br w:val="nil"/>
              <w:tr2bl w:val="nil"/>
            </w:tcBorders>
            <w:vAlign w:val="center"/>
          </w:tcPr>
          <w:p w14:paraId="4A45E2A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14</w:t>
            </w:r>
          </w:p>
        </w:tc>
        <w:tc>
          <w:tcPr>
            <w:tcW w:w="565" w:type="pct"/>
            <w:tcBorders>
              <w:tl2br w:val="nil"/>
              <w:tr2bl w:val="nil"/>
            </w:tcBorders>
            <w:vAlign w:val="center"/>
          </w:tcPr>
          <w:p w14:paraId="244AFAE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6</w:t>
            </w:r>
          </w:p>
        </w:tc>
        <w:tc>
          <w:tcPr>
            <w:tcW w:w="610" w:type="pct"/>
            <w:tcBorders>
              <w:tl2br w:val="nil"/>
              <w:tr2bl w:val="nil"/>
            </w:tcBorders>
            <w:vAlign w:val="center"/>
          </w:tcPr>
          <w:p w14:paraId="7C7A06A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614" w:type="pct"/>
            <w:tcBorders>
              <w:tl2br w:val="nil"/>
              <w:tr2bl w:val="nil"/>
            </w:tcBorders>
            <w:vAlign w:val="center"/>
          </w:tcPr>
          <w:p w14:paraId="5C8D0AB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8</w:t>
            </w:r>
          </w:p>
        </w:tc>
        <w:tc>
          <w:tcPr>
            <w:tcW w:w="492" w:type="pct"/>
            <w:tcBorders>
              <w:tl2br w:val="nil"/>
              <w:tr2bl w:val="nil"/>
            </w:tcBorders>
            <w:vAlign w:val="center"/>
          </w:tcPr>
          <w:p w14:paraId="6DCC479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492" w:type="pct"/>
            <w:tcBorders>
              <w:tl2br w:val="nil"/>
              <w:tr2bl w:val="nil"/>
            </w:tcBorders>
            <w:vAlign w:val="center"/>
          </w:tcPr>
          <w:p w14:paraId="3DDD346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376" w:type="pct"/>
            <w:tcBorders>
              <w:tl2br w:val="nil"/>
              <w:tr2bl w:val="nil"/>
            </w:tcBorders>
            <w:vAlign w:val="center"/>
          </w:tcPr>
          <w:p w14:paraId="2AA7196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13</w:t>
            </w:r>
          </w:p>
        </w:tc>
      </w:tr>
      <w:tr w14:paraId="40BA0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3AAE7A7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鸟纲</w:t>
            </w:r>
          </w:p>
        </w:tc>
        <w:tc>
          <w:tcPr>
            <w:tcW w:w="376" w:type="pct"/>
            <w:tcBorders>
              <w:tl2br w:val="nil"/>
              <w:tr2bl w:val="nil"/>
            </w:tcBorders>
            <w:vAlign w:val="center"/>
          </w:tcPr>
          <w:p w14:paraId="1B70161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12</w:t>
            </w:r>
          </w:p>
        </w:tc>
        <w:tc>
          <w:tcPr>
            <w:tcW w:w="376" w:type="pct"/>
            <w:tcBorders>
              <w:tl2br w:val="nil"/>
              <w:tr2bl w:val="nil"/>
            </w:tcBorders>
            <w:vAlign w:val="center"/>
          </w:tcPr>
          <w:p w14:paraId="7C55D89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34</w:t>
            </w:r>
          </w:p>
        </w:tc>
        <w:tc>
          <w:tcPr>
            <w:tcW w:w="473" w:type="pct"/>
            <w:tcBorders>
              <w:tl2br w:val="nil"/>
              <w:tr2bl w:val="nil"/>
            </w:tcBorders>
            <w:vAlign w:val="center"/>
          </w:tcPr>
          <w:p w14:paraId="6EA8FA9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rPr>
            </w:pPr>
            <w:r>
              <w:rPr>
                <w:rFonts w:hint="default" w:ascii="Times New Roman" w:hAnsi="Times New Roman" w:eastAsia="宋体" w:cs="Times New Roman"/>
                <w:caps w:val="0"/>
                <w:smallCaps w:val="0"/>
                <w:color w:val="auto"/>
                <w:sz w:val="21"/>
                <w:szCs w:val="21"/>
                <w:u w:val="none" w:color="auto"/>
                <w:lang w:val="en-US" w:eastAsia="zh-CN"/>
              </w:rPr>
              <w:t>60</w:t>
            </w:r>
          </w:p>
        </w:tc>
        <w:tc>
          <w:tcPr>
            <w:tcW w:w="565" w:type="pct"/>
            <w:tcBorders>
              <w:tl2br w:val="nil"/>
              <w:tr2bl w:val="nil"/>
            </w:tcBorders>
            <w:vAlign w:val="center"/>
          </w:tcPr>
          <w:p w14:paraId="0F617B2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rPr>
            </w:pPr>
            <w:r>
              <w:rPr>
                <w:rFonts w:hint="default" w:ascii="Times New Roman" w:hAnsi="Times New Roman" w:eastAsia="宋体" w:cs="Times New Roman"/>
                <w:caps w:val="0"/>
                <w:smallCaps w:val="0"/>
                <w:color w:val="auto"/>
                <w:sz w:val="21"/>
                <w:szCs w:val="21"/>
                <w:u w:val="none" w:color="auto"/>
                <w:lang w:val="en-US" w:eastAsia="zh-CN"/>
              </w:rPr>
              <w:t>40</w:t>
            </w:r>
          </w:p>
        </w:tc>
        <w:tc>
          <w:tcPr>
            <w:tcW w:w="610" w:type="pct"/>
            <w:tcBorders>
              <w:tl2br w:val="nil"/>
              <w:tr2bl w:val="nil"/>
            </w:tcBorders>
            <w:vAlign w:val="center"/>
          </w:tcPr>
          <w:p w14:paraId="74CC198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5</w:t>
            </w:r>
          </w:p>
        </w:tc>
        <w:tc>
          <w:tcPr>
            <w:tcW w:w="614" w:type="pct"/>
            <w:tcBorders>
              <w:tl2br w:val="nil"/>
              <w:tr2bl w:val="nil"/>
            </w:tcBorders>
            <w:vAlign w:val="center"/>
          </w:tcPr>
          <w:p w14:paraId="3105411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15</w:t>
            </w:r>
          </w:p>
        </w:tc>
        <w:tc>
          <w:tcPr>
            <w:tcW w:w="492" w:type="pct"/>
            <w:tcBorders>
              <w:tl2br w:val="nil"/>
              <w:tr2bl w:val="nil"/>
            </w:tcBorders>
            <w:vAlign w:val="center"/>
          </w:tcPr>
          <w:p w14:paraId="5A6A839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492" w:type="pct"/>
            <w:tcBorders>
              <w:tl2br w:val="nil"/>
              <w:tr2bl w:val="nil"/>
            </w:tcBorders>
            <w:vAlign w:val="center"/>
          </w:tcPr>
          <w:p w14:paraId="7585845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0</w:t>
            </w:r>
          </w:p>
        </w:tc>
        <w:tc>
          <w:tcPr>
            <w:tcW w:w="376" w:type="pct"/>
            <w:tcBorders>
              <w:tl2br w:val="nil"/>
              <w:tr2bl w:val="nil"/>
            </w:tcBorders>
            <w:vAlign w:val="center"/>
          </w:tcPr>
          <w:p w14:paraId="26FC66A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12</w:t>
            </w:r>
          </w:p>
        </w:tc>
      </w:tr>
      <w:tr w14:paraId="2BE4B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1C4D0D7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哺乳纲</w:t>
            </w:r>
          </w:p>
        </w:tc>
        <w:tc>
          <w:tcPr>
            <w:tcW w:w="376" w:type="pct"/>
            <w:tcBorders>
              <w:tl2br w:val="nil"/>
              <w:tr2bl w:val="nil"/>
            </w:tcBorders>
            <w:vAlign w:val="center"/>
          </w:tcPr>
          <w:p w14:paraId="4482BF8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4</w:t>
            </w:r>
          </w:p>
        </w:tc>
        <w:tc>
          <w:tcPr>
            <w:tcW w:w="376" w:type="pct"/>
            <w:tcBorders>
              <w:tl2br w:val="nil"/>
              <w:tr2bl w:val="nil"/>
            </w:tcBorders>
            <w:vAlign w:val="center"/>
          </w:tcPr>
          <w:p w14:paraId="6F265EC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7</w:t>
            </w:r>
          </w:p>
        </w:tc>
        <w:tc>
          <w:tcPr>
            <w:tcW w:w="473" w:type="pct"/>
            <w:tcBorders>
              <w:tl2br w:val="nil"/>
              <w:tr2bl w:val="nil"/>
            </w:tcBorders>
            <w:vAlign w:val="center"/>
          </w:tcPr>
          <w:p w14:paraId="22ACDFD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12</w:t>
            </w:r>
          </w:p>
        </w:tc>
        <w:tc>
          <w:tcPr>
            <w:tcW w:w="565" w:type="pct"/>
            <w:tcBorders>
              <w:tl2br w:val="nil"/>
              <w:tr2bl w:val="nil"/>
            </w:tcBorders>
            <w:vAlign w:val="center"/>
          </w:tcPr>
          <w:p w14:paraId="7027AD2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5</w:t>
            </w:r>
          </w:p>
        </w:tc>
        <w:tc>
          <w:tcPr>
            <w:tcW w:w="610" w:type="pct"/>
            <w:tcBorders>
              <w:tl2br w:val="nil"/>
              <w:tr2bl w:val="nil"/>
            </w:tcBorders>
            <w:vAlign w:val="center"/>
          </w:tcPr>
          <w:p w14:paraId="14976EB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614" w:type="pct"/>
            <w:tcBorders>
              <w:tl2br w:val="nil"/>
              <w:tr2bl w:val="nil"/>
            </w:tcBorders>
            <w:vAlign w:val="center"/>
          </w:tcPr>
          <w:p w14:paraId="05CB51C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7</w:t>
            </w:r>
          </w:p>
        </w:tc>
        <w:tc>
          <w:tcPr>
            <w:tcW w:w="492" w:type="pct"/>
            <w:tcBorders>
              <w:tl2br w:val="nil"/>
              <w:tr2bl w:val="nil"/>
            </w:tcBorders>
            <w:vAlign w:val="center"/>
          </w:tcPr>
          <w:p w14:paraId="5633FC7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492" w:type="pct"/>
            <w:tcBorders>
              <w:tl2br w:val="nil"/>
              <w:tr2bl w:val="nil"/>
            </w:tcBorders>
            <w:vAlign w:val="center"/>
          </w:tcPr>
          <w:p w14:paraId="22D1298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lang w:val="en-US" w:eastAsia="zh-CN"/>
              </w:rPr>
              <w:t>0</w:t>
            </w:r>
          </w:p>
        </w:tc>
        <w:tc>
          <w:tcPr>
            <w:tcW w:w="376" w:type="pct"/>
            <w:tcBorders>
              <w:tl2br w:val="nil"/>
              <w:tr2bl w:val="nil"/>
            </w:tcBorders>
            <w:vAlign w:val="center"/>
          </w:tcPr>
          <w:p w14:paraId="477F64D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eastAsia="zh-CN"/>
              </w:rPr>
            </w:pPr>
            <w:r>
              <w:rPr>
                <w:rFonts w:hint="default" w:ascii="Times New Roman" w:hAnsi="Times New Roman" w:eastAsia="宋体" w:cs="Times New Roman"/>
                <w:caps w:val="0"/>
                <w:smallCaps w:val="0"/>
                <w:color w:val="auto"/>
                <w:sz w:val="21"/>
                <w:szCs w:val="21"/>
                <w:u w:val="none" w:color="auto"/>
                <w:lang w:val="en-US" w:eastAsia="zh-CN"/>
              </w:rPr>
              <w:t>7</w:t>
            </w:r>
          </w:p>
        </w:tc>
      </w:tr>
      <w:tr w14:paraId="6A33E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3" w:type="pct"/>
            <w:tcBorders>
              <w:tl2br w:val="nil"/>
              <w:tr2bl w:val="nil"/>
            </w:tcBorders>
            <w:vAlign w:val="center"/>
          </w:tcPr>
          <w:p w14:paraId="652FFD5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smallCaps w:val="0"/>
                <w:color w:val="auto"/>
                <w:sz w:val="21"/>
                <w:szCs w:val="21"/>
                <w:u w:val="none" w:color="auto"/>
              </w:rPr>
            </w:pPr>
            <w:r>
              <w:rPr>
                <w:rFonts w:hint="default" w:ascii="Times New Roman" w:hAnsi="Times New Roman" w:eastAsia="宋体" w:cs="Times New Roman"/>
                <w:b/>
                <w:bCs/>
                <w:caps w:val="0"/>
                <w:smallCaps w:val="0"/>
                <w:color w:val="auto"/>
                <w:sz w:val="21"/>
                <w:szCs w:val="21"/>
                <w:u w:val="none" w:color="auto"/>
              </w:rPr>
              <w:t>合计</w:t>
            </w:r>
          </w:p>
        </w:tc>
        <w:tc>
          <w:tcPr>
            <w:tcW w:w="633" w:type="dxa"/>
            <w:tcBorders>
              <w:tl2br w:val="nil"/>
              <w:tr2bl w:val="nil"/>
            </w:tcBorders>
            <w:vAlign w:val="center"/>
          </w:tcPr>
          <w:p w14:paraId="591E15D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19</w:t>
            </w:r>
          </w:p>
        </w:tc>
        <w:tc>
          <w:tcPr>
            <w:tcW w:w="633" w:type="dxa"/>
            <w:tcBorders>
              <w:tl2br w:val="nil"/>
              <w:tr2bl w:val="nil"/>
            </w:tcBorders>
            <w:vAlign w:val="center"/>
          </w:tcPr>
          <w:p w14:paraId="76BD35E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54</w:t>
            </w:r>
          </w:p>
        </w:tc>
        <w:tc>
          <w:tcPr>
            <w:tcW w:w="799" w:type="dxa"/>
            <w:tcBorders>
              <w:tl2br w:val="nil"/>
              <w:tr2bl w:val="nil"/>
            </w:tcBorders>
            <w:vAlign w:val="center"/>
          </w:tcPr>
          <w:p w14:paraId="7546286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93</w:t>
            </w:r>
          </w:p>
        </w:tc>
        <w:tc>
          <w:tcPr>
            <w:tcW w:w="952" w:type="dxa"/>
            <w:tcBorders>
              <w:tl2br w:val="nil"/>
              <w:tr2bl w:val="nil"/>
            </w:tcBorders>
            <w:vAlign w:val="center"/>
          </w:tcPr>
          <w:p w14:paraId="08F8658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55</w:t>
            </w:r>
          </w:p>
        </w:tc>
        <w:tc>
          <w:tcPr>
            <w:tcW w:w="1028" w:type="dxa"/>
            <w:tcBorders>
              <w:tl2br w:val="nil"/>
              <w:tr2bl w:val="nil"/>
            </w:tcBorders>
            <w:vAlign w:val="center"/>
          </w:tcPr>
          <w:p w14:paraId="0351AC5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5</w:t>
            </w:r>
          </w:p>
        </w:tc>
        <w:tc>
          <w:tcPr>
            <w:tcW w:w="1036" w:type="dxa"/>
            <w:tcBorders>
              <w:tl2br w:val="nil"/>
              <w:tr2bl w:val="nil"/>
            </w:tcBorders>
            <w:vAlign w:val="center"/>
          </w:tcPr>
          <w:p w14:paraId="0F9095D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33</w:t>
            </w:r>
          </w:p>
        </w:tc>
        <w:tc>
          <w:tcPr>
            <w:tcW w:w="492" w:type="pct"/>
            <w:tcBorders>
              <w:tl2br w:val="nil"/>
              <w:tr2bl w:val="nil"/>
            </w:tcBorders>
            <w:vAlign w:val="center"/>
          </w:tcPr>
          <w:p w14:paraId="30A4DBE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0</w:t>
            </w:r>
          </w:p>
        </w:tc>
        <w:tc>
          <w:tcPr>
            <w:tcW w:w="492" w:type="pct"/>
            <w:tcBorders>
              <w:tl2br w:val="nil"/>
              <w:tr2bl w:val="nil"/>
            </w:tcBorders>
            <w:vAlign w:val="center"/>
          </w:tcPr>
          <w:p w14:paraId="638CB25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0</w:t>
            </w:r>
          </w:p>
        </w:tc>
        <w:tc>
          <w:tcPr>
            <w:tcW w:w="376" w:type="pct"/>
            <w:tcBorders>
              <w:tl2br w:val="nil"/>
              <w:tr2bl w:val="nil"/>
            </w:tcBorders>
            <w:vAlign w:val="center"/>
          </w:tcPr>
          <w:p w14:paraId="2D97305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u w:val="none" w:color="auto"/>
                <w:lang w:val="en-US" w:eastAsia="zh-CN"/>
              </w:rPr>
            </w:pPr>
            <w:r>
              <w:rPr>
                <w:rFonts w:hint="default" w:ascii="Times New Roman" w:hAnsi="Times New Roman" w:eastAsia="宋体" w:cs="Times New Roman"/>
                <w:caps w:val="0"/>
                <w:smallCaps w:val="0"/>
                <w:color w:val="auto"/>
                <w:sz w:val="21"/>
                <w:szCs w:val="21"/>
                <w:u w:val="none" w:color="auto"/>
                <w:lang w:val="en-US" w:eastAsia="zh-CN"/>
              </w:rPr>
              <w:t>34</w:t>
            </w:r>
          </w:p>
        </w:tc>
      </w:tr>
    </w:tbl>
    <w:p w14:paraId="659D96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szCs w:val="24"/>
          <w:highlight w:val="none"/>
          <w:u w:val="none" w:color="auto"/>
          <w:lang w:val="en-US" w:eastAsia="zh-CN" w:bidi="ar"/>
        </w:rPr>
      </w:pPr>
      <w:r>
        <w:rPr>
          <w:rFonts w:hint="default" w:ascii="Times New Roman" w:hAnsi="Times New Roman" w:eastAsia="宋体" w:cs="Times New Roman"/>
          <w:bCs/>
          <w:caps w:val="0"/>
          <w:smallCaps w:val="0"/>
          <w:color w:val="auto"/>
          <w:sz w:val="24"/>
          <w:szCs w:val="24"/>
          <w:u w:val="none" w:color="auto"/>
        </w:rPr>
        <w:t>从动物区系成分分析，评价区脊椎动物东洋种数量较多。其中东洋种</w:t>
      </w:r>
      <w:r>
        <w:rPr>
          <w:rFonts w:hint="default" w:ascii="Times New Roman" w:hAnsi="Times New Roman" w:eastAsia="宋体" w:cs="Times New Roman"/>
          <w:bCs/>
          <w:caps w:val="0"/>
          <w:smallCaps w:val="0"/>
          <w:color w:val="auto"/>
          <w:sz w:val="24"/>
          <w:szCs w:val="24"/>
          <w:u w:val="none" w:color="auto"/>
          <w:lang w:val="en-US" w:eastAsia="zh-CN"/>
        </w:rPr>
        <w:t>55</w:t>
      </w:r>
      <w:r>
        <w:rPr>
          <w:rFonts w:hint="default" w:ascii="Times New Roman" w:hAnsi="Times New Roman" w:eastAsia="宋体" w:cs="Times New Roman"/>
          <w:bCs/>
          <w:caps w:val="0"/>
          <w:smallCaps w:val="0"/>
          <w:color w:val="auto"/>
          <w:sz w:val="24"/>
          <w:szCs w:val="24"/>
          <w:u w:val="none" w:color="auto"/>
        </w:rPr>
        <w:t>种，占评价区总种数的</w:t>
      </w:r>
      <w:r>
        <w:rPr>
          <w:rFonts w:hint="default" w:ascii="Times New Roman" w:hAnsi="Times New Roman" w:eastAsia="宋体" w:cs="Times New Roman"/>
          <w:bCs/>
          <w:caps w:val="0"/>
          <w:smallCaps w:val="0"/>
          <w:color w:val="auto"/>
          <w:sz w:val="24"/>
          <w:szCs w:val="24"/>
          <w:u w:val="none" w:color="auto"/>
          <w:lang w:val="en-US" w:eastAsia="zh-CN"/>
        </w:rPr>
        <w:t>59.14</w:t>
      </w:r>
      <w:r>
        <w:rPr>
          <w:rFonts w:hint="default" w:ascii="Times New Roman" w:hAnsi="Times New Roman" w:eastAsia="宋体" w:cs="Times New Roman"/>
          <w:bCs/>
          <w:caps w:val="0"/>
          <w:smallCaps w:val="0"/>
          <w:color w:val="auto"/>
          <w:sz w:val="24"/>
          <w:szCs w:val="24"/>
          <w:u w:val="none" w:color="auto"/>
        </w:rPr>
        <w:t>%；古北种5种，占评价区总种数的</w:t>
      </w:r>
      <w:r>
        <w:rPr>
          <w:rFonts w:hint="default" w:ascii="Times New Roman" w:hAnsi="Times New Roman" w:eastAsia="宋体" w:cs="Times New Roman"/>
          <w:bCs/>
          <w:caps w:val="0"/>
          <w:smallCaps w:val="0"/>
          <w:color w:val="auto"/>
          <w:sz w:val="24"/>
          <w:szCs w:val="24"/>
          <w:u w:val="none" w:color="auto"/>
          <w:lang w:val="en-US" w:eastAsia="zh-CN"/>
        </w:rPr>
        <w:t>5.38</w:t>
      </w:r>
      <w:r>
        <w:rPr>
          <w:rFonts w:hint="default" w:ascii="Times New Roman" w:hAnsi="Times New Roman" w:eastAsia="宋体" w:cs="Times New Roman"/>
          <w:bCs/>
          <w:caps w:val="0"/>
          <w:smallCaps w:val="0"/>
          <w:color w:val="auto"/>
          <w:sz w:val="24"/>
          <w:szCs w:val="24"/>
          <w:u w:val="none" w:color="auto"/>
        </w:rPr>
        <w:t>%；广布种</w:t>
      </w:r>
      <w:r>
        <w:rPr>
          <w:rFonts w:hint="default" w:ascii="Times New Roman" w:hAnsi="Times New Roman" w:eastAsia="宋体" w:cs="Times New Roman"/>
          <w:bCs/>
          <w:caps w:val="0"/>
          <w:smallCaps w:val="0"/>
          <w:color w:val="auto"/>
          <w:sz w:val="24"/>
          <w:szCs w:val="24"/>
          <w:u w:val="none" w:color="auto"/>
          <w:lang w:val="en-US" w:eastAsia="zh-CN"/>
        </w:rPr>
        <w:t>34</w:t>
      </w:r>
      <w:r>
        <w:rPr>
          <w:rFonts w:hint="default" w:ascii="Times New Roman" w:hAnsi="Times New Roman" w:eastAsia="宋体" w:cs="Times New Roman"/>
          <w:bCs/>
          <w:caps w:val="0"/>
          <w:smallCaps w:val="0"/>
          <w:color w:val="auto"/>
          <w:sz w:val="24"/>
          <w:szCs w:val="24"/>
          <w:u w:val="none" w:color="auto"/>
        </w:rPr>
        <w:t>种，占评价区总种数的</w:t>
      </w:r>
      <w:r>
        <w:rPr>
          <w:rFonts w:hint="default" w:ascii="Times New Roman" w:hAnsi="Times New Roman" w:eastAsia="宋体" w:cs="Times New Roman"/>
          <w:bCs/>
          <w:caps w:val="0"/>
          <w:smallCaps w:val="0"/>
          <w:color w:val="auto"/>
          <w:sz w:val="24"/>
          <w:szCs w:val="24"/>
          <w:u w:val="none" w:color="auto"/>
          <w:lang w:val="en-US" w:eastAsia="zh-CN"/>
        </w:rPr>
        <w:t>35.48</w:t>
      </w:r>
      <w:r>
        <w:rPr>
          <w:rFonts w:hint="default" w:ascii="Times New Roman" w:hAnsi="Times New Roman" w:eastAsia="宋体" w:cs="Times New Roman"/>
          <w:bCs/>
          <w:caps w:val="0"/>
          <w:smallCaps w:val="0"/>
          <w:color w:val="auto"/>
          <w:sz w:val="24"/>
          <w:szCs w:val="24"/>
          <w:u w:val="none" w:color="auto"/>
        </w:rPr>
        <w:t>%。可见，评价区动物区系特征中，东洋种所占比例较大，这与评价区地处东洋界的地理位置是吻合的。</w:t>
      </w:r>
    </w:p>
    <w:p w14:paraId="63EED93F">
      <w:pPr>
        <w:pStyle w:val="9"/>
        <w:bidi w:val="0"/>
        <w:rPr>
          <w:rFonts w:hint="default" w:ascii="Times New Roman" w:hAnsi="Times New Roman" w:cs="Times New Roman"/>
          <w:color w:val="auto"/>
          <w:u w:val="none" w:color="auto"/>
          <w:lang w:val="zh-CN" w:eastAsia="zh-CN"/>
        </w:rPr>
      </w:pPr>
      <w:r>
        <w:rPr>
          <w:rFonts w:hint="default" w:ascii="Times New Roman" w:hAnsi="Times New Roman" w:cs="Times New Roman"/>
          <w:color w:val="auto"/>
          <w:u w:val="none" w:color="auto"/>
          <w:lang w:val="en-US" w:eastAsia="zh-CN"/>
        </w:rPr>
        <w:t>两栖类</w:t>
      </w:r>
    </w:p>
    <w:p w14:paraId="52725EEB">
      <w:pPr>
        <w:autoSpaceDE w:val="0"/>
        <w:autoSpaceDN w:val="0"/>
        <w:adjustRightInd w:val="0"/>
        <w:snapToGrid w:val="0"/>
        <w:spacing w:line="360" w:lineRule="auto"/>
        <w:ind w:firstLine="480" w:firstLineChars="200"/>
        <w:rPr>
          <w:rFonts w:hint="default" w:ascii="Times New Roman" w:hAnsi="Times New Roman" w:eastAsia="宋体" w:cs="Times New Roman"/>
          <w:bCs/>
          <w:caps w:val="0"/>
          <w:smallCaps w:val="0"/>
          <w:color w:val="auto"/>
          <w:kern w:val="0"/>
          <w:sz w:val="24"/>
          <w:szCs w:val="24"/>
          <w:u w:val="none" w:color="auto"/>
          <w:lang w:val="zh-CN"/>
        </w:rPr>
      </w:pPr>
      <w:r>
        <w:rPr>
          <w:rFonts w:hint="default" w:ascii="Times New Roman" w:hAnsi="Times New Roman" w:eastAsia="宋体" w:cs="Times New Roman"/>
          <w:bCs/>
          <w:caps w:val="0"/>
          <w:smallCaps w:val="0"/>
          <w:color w:val="auto"/>
          <w:kern w:val="0"/>
          <w:sz w:val="24"/>
          <w:szCs w:val="24"/>
          <w:u w:val="none" w:color="auto"/>
        </w:rPr>
        <w:t>主要通过座谈访问和查阅已发表的在评价区及其附近的相关文献资料，得出评价区野生两栖类种类、数量及分布现状如下：</w:t>
      </w:r>
    </w:p>
    <w:p w14:paraId="05972D1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9"/>
        <w:rPr>
          <w:rFonts w:hint="default" w:ascii="Times New Roman" w:hAnsi="Times New Roman" w:eastAsia="宋体" w:cs="Times New Roman"/>
          <w:b/>
          <w:bCs/>
          <w:caps w:val="0"/>
          <w:smallCaps w:val="0"/>
          <w:color w:val="auto"/>
          <w:kern w:val="0"/>
          <w:sz w:val="24"/>
          <w:szCs w:val="24"/>
          <w:u w:val="none" w:color="auto"/>
          <w:lang w:val="zh-CN"/>
        </w:rPr>
      </w:pPr>
      <w:r>
        <w:rPr>
          <w:rFonts w:hint="default" w:ascii="Times New Roman" w:hAnsi="Times New Roman" w:eastAsia="宋体" w:cs="Times New Roman"/>
          <w:b/>
          <w:bCs/>
          <w:caps w:val="0"/>
          <w:smallCaps w:val="0"/>
          <w:color w:val="auto"/>
          <w:kern w:val="0"/>
          <w:sz w:val="24"/>
          <w:szCs w:val="24"/>
          <w:u w:val="none" w:color="auto"/>
          <w:lang w:val="zh-CN"/>
        </w:rPr>
        <w:t>（1）种类、数量及分布</w:t>
      </w:r>
    </w:p>
    <w:p w14:paraId="3D23B3EE">
      <w:pPr>
        <w:autoSpaceDE w:val="0"/>
        <w:autoSpaceDN w:val="0"/>
        <w:adjustRightInd w:val="0"/>
        <w:snapToGrid w:val="0"/>
        <w:spacing w:line="360" w:lineRule="auto"/>
        <w:ind w:firstLine="480" w:firstLineChars="200"/>
        <w:rPr>
          <w:rFonts w:hint="default" w:ascii="Times New Roman" w:hAnsi="Times New Roman" w:eastAsia="宋体" w:cs="Times New Roman"/>
          <w:bCs/>
          <w:caps w:val="0"/>
          <w:smallCaps w:val="0"/>
          <w:color w:val="auto"/>
          <w:kern w:val="0"/>
          <w:sz w:val="24"/>
          <w:szCs w:val="24"/>
          <w:u w:val="none" w:color="auto"/>
          <w:lang w:val="zh-CN"/>
        </w:rPr>
      </w:pPr>
      <w:r>
        <w:rPr>
          <w:rFonts w:hint="default" w:ascii="Times New Roman" w:hAnsi="Times New Roman" w:eastAsia="宋体" w:cs="Times New Roman"/>
          <w:bCs/>
          <w:caps w:val="0"/>
          <w:smallCaps w:val="0"/>
          <w:color w:val="auto"/>
          <w:kern w:val="0"/>
          <w:sz w:val="24"/>
          <w:szCs w:val="24"/>
          <w:u w:val="none" w:color="auto"/>
          <w:lang w:val="zh-CN"/>
        </w:rPr>
        <w:t>根据现场调查、区域文献及相关资料，评价区内有两栖类1目4科7种，以蛙科种类最多，共3种，占评价区两栖类总种数的42.86%。评价区域内未发现国家级重点保护两栖类；有湖南省级重点保护两栖类2种，为中华蟾蜍和黑斑侧褶蛙；无《中国生物多样性红色名录》评级为极危（CR）、濒危（EN）、易危（VU）级别的物种；有中国特有种2种，为镇海林蛙（</w:t>
      </w:r>
      <w:r>
        <w:rPr>
          <w:rFonts w:hint="default" w:ascii="Times New Roman" w:hAnsi="Times New Roman" w:eastAsia="宋体" w:cs="Times New Roman"/>
          <w:bCs/>
          <w:i/>
          <w:iCs/>
          <w:caps w:val="0"/>
          <w:smallCaps w:val="0"/>
          <w:color w:val="auto"/>
          <w:kern w:val="0"/>
          <w:sz w:val="24"/>
          <w:szCs w:val="24"/>
          <w:u w:val="none" w:color="auto"/>
          <w:lang w:val="zh-CN"/>
        </w:rPr>
        <w:t>Rana zhenhaiensis</w:t>
      </w:r>
      <w:r>
        <w:rPr>
          <w:rFonts w:hint="default" w:ascii="Times New Roman" w:hAnsi="Times New Roman" w:eastAsia="宋体" w:cs="Times New Roman"/>
          <w:bCs/>
          <w:caps w:val="0"/>
          <w:smallCaps w:val="0"/>
          <w:color w:val="auto"/>
          <w:kern w:val="0"/>
          <w:sz w:val="24"/>
          <w:szCs w:val="24"/>
          <w:u w:val="none" w:color="auto"/>
          <w:lang w:val="zh-CN"/>
        </w:rPr>
        <w:t>）和湖北侧褶蛙。评价区内中华蟾蜍、黑斑侧褶蛙等适应能力强，分布广，为评价区常见种。</w:t>
      </w:r>
    </w:p>
    <w:p w14:paraId="0C245FA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aps w:val="0"/>
          <w:smallCaps w:val="0"/>
          <w:color w:val="auto"/>
          <w:kern w:val="0"/>
          <w:sz w:val="24"/>
          <w:szCs w:val="24"/>
          <w:u w:val="none" w:color="auto"/>
          <w:lang w:val="zh-CN"/>
        </w:rPr>
      </w:pPr>
      <w:r>
        <w:rPr>
          <w:rFonts w:hint="default" w:ascii="Times New Roman" w:hAnsi="Times New Roman" w:eastAsia="宋体" w:cs="Times New Roman"/>
          <w:b/>
          <w:bCs/>
          <w:caps w:val="0"/>
          <w:smallCaps w:val="0"/>
          <w:color w:val="auto"/>
          <w:kern w:val="0"/>
          <w:sz w:val="24"/>
          <w:szCs w:val="24"/>
          <w:u w:val="none" w:color="auto"/>
          <w:lang w:val="zh-CN"/>
        </w:rPr>
        <w:t>（2）生态类型</w:t>
      </w:r>
    </w:p>
    <w:p w14:paraId="4476922A">
      <w:pPr>
        <w:spacing w:line="360" w:lineRule="auto"/>
        <w:ind w:firstLine="480" w:firstLineChars="200"/>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根据生活习性的不同，评价区内7种两栖动物可以分为2种生态类型：</w:t>
      </w:r>
    </w:p>
    <w:p w14:paraId="031C3ECF">
      <w:pPr>
        <w:spacing w:line="360" w:lineRule="auto"/>
        <w:ind w:firstLine="480" w:firstLineChars="200"/>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静水型（在静水或缓流中觅食）：有黑斑侧褶蛙、湖北侧褶蛙2种，主要在评价区内的沟渠、水库区域活动。</w:t>
      </w:r>
    </w:p>
    <w:p w14:paraId="7FD3DD65">
      <w:pPr>
        <w:spacing w:line="360" w:lineRule="auto"/>
        <w:ind w:firstLine="480" w:firstLineChars="200"/>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陆栖型（在陆地上活动觅食）：包括中华蟾蜍、镇海林蛙、川村陆蛙、小弧斑姬蛙（</w:t>
      </w:r>
      <w:r>
        <w:rPr>
          <w:rFonts w:hint="default" w:ascii="Times New Roman" w:hAnsi="Times New Roman" w:eastAsia="宋体" w:cs="Times New Roman"/>
          <w:bCs/>
          <w:i/>
          <w:iCs/>
          <w:caps w:val="0"/>
          <w:smallCaps w:val="0"/>
          <w:color w:val="auto"/>
          <w:kern w:val="0"/>
          <w:sz w:val="24"/>
          <w:szCs w:val="24"/>
          <w:u w:val="none" w:color="auto"/>
        </w:rPr>
        <w:t>Microhyla</w:t>
      </w:r>
      <w:r>
        <w:rPr>
          <w:rFonts w:hint="default" w:ascii="Times New Roman" w:hAnsi="Times New Roman" w:eastAsia="宋体" w:cs="Times New Roman"/>
          <w:bCs/>
          <w:i/>
          <w:iCs/>
          <w:caps w:val="0"/>
          <w:smallCaps w:val="0"/>
          <w:color w:val="auto"/>
          <w:kern w:val="0"/>
          <w:sz w:val="24"/>
          <w:szCs w:val="24"/>
          <w:u w:val="none" w:color="auto"/>
          <w:lang w:val="en-US" w:eastAsia="zh-CN"/>
        </w:rPr>
        <w:t xml:space="preserve"> </w:t>
      </w:r>
      <w:r>
        <w:rPr>
          <w:rFonts w:hint="default" w:ascii="Times New Roman" w:hAnsi="Times New Roman" w:eastAsia="宋体" w:cs="Times New Roman"/>
          <w:bCs/>
          <w:i/>
          <w:iCs/>
          <w:caps w:val="0"/>
          <w:smallCaps w:val="0"/>
          <w:color w:val="auto"/>
          <w:kern w:val="0"/>
          <w:sz w:val="24"/>
          <w:szCs w:val="24"/>
          <w:u w:val="none" w:color="auto"/>
        </w:rPr>
        <w:t>heymonsi</w:t>
      </w:r>
      <w:r>
        <w:rPr>
          <w:rFonts w:hint="default" w:ascii="Times New Roman" w:hAnsi="Times New Roman" w:eastAsia="宋体" w:cs="Times New Roman"/>
          <w:bCs/>
          <w:caps w:val="0"/>
          <w:smallCaps w:val="0"/>
          <w:color w:val="auto"/>
          <w:kern w:val="0"/>
          <w:sz w:val="24"/>
          <w:szCs w:val="24"/>
          <w:u w:val="none" w:color="auto"/>
        </w:rPr>
        <w:t>）和饰纹姬蛙5种，它们主要是在评价区内离水源不远的陆地上活动。</w:t>
      </w:r>
    </w:p>
    <w:p w14:paraId="29288F10">
      <w:pPr>
        <w:spacing w:line="360" w:lineRule="auto"/>
        <w:ind w:firstLine="482" w:firstLineChars="200"/>
        <w:rPr>
          <w:rFonts w:hint="default" w:ascii="Times New Roman" w:hAnsi="Times New Roman" w:eastAsia="宋体" w:cs="Times New Roman"/>
          <w:b/>
          <w:bCs w:val="0"/>
          <w:caps w:val="0"/>
          <w:smallCaps w:val="0"/>
          <w:color w:val="auto"/>
          <w:kern w:val="0"/>
          <w:sz w:val="24"/>
          <w:szCs w:val="24"/>
          <w:u w:val="none" w:color="auto"/>
          <w:lang w:eastAsia="zh-CN"/>
        </w:rPr>
      </w:pPr>
      <w:r>
        <w:rPr>
          <w:rFonts w:hint="default" w:ascii="Times New Roman" w:hAnsi="Times New Roman" w:eastAsia="宋体" w:cs="Times New Roman"/>
          <w:b/>
          <w:bCs w:val="0"/>
          <w:caps w:val="0"/>
          <w:smallCaps w:val="0"/>
          <w:color w:val="auto"/>
          <w:kern w:val="0"/>
          <w:sz w:val="24"/>
          <w:szCs w:val="24"/>
          <w:u w:val="none" w:color="auto"/>
          <w:lang w:eastAsia="zh-CN"/>
        </w:rPr>
        <w:t>（</w:t>
      </w:r>
      <w:r>
        <w:rPr>
          <w:rFonts w:hint="default" w:ascii="Times New Roman" w:hAnsi="Times New Roman" w:eastAsia="宋体" w:cs="Times New Roman"/>
          <w:b/>
          <w:bCs w:val="0"/>
          <w:caps w:val="0"/>
          <w:smallCaps w:val="0"/>
          <w:color w:val="auto"/>
          <w:kern w:val="0"/>
          <w:sz w:val="24"/>
          <w:szCs w:val="24"/>
          <w:u w:val="none" w:color="auto"/>
          <w:lang w:val="en-US" w:eastAsia="zh-CN"/>
        </w:rPr>
        <w:t>3</w:t>
      </w:r>
      <w:r>
        <w:rPr>
          <w:rFonts w:hint="default" w:ascii="Times New Roman" w:hAnsi="Times New Roman" w:eastAsia="宋体" w:cs="Times New Roman"/>
          <w:b/>
          <w:bCs w:val="0"/>
          <w:caps w:val="0"/>
          <w:smallCaps w:val="0"/>
          <w:color w:val="auto"/>
          <w:kern w:val="0"/>
          <w:sz w:val="24"/>
          <w:szCs w:val="24"/>
          <w:u w:val="none" w:color="auto"/>
          <w:lang w:eastAsia="zh-CN"/>
        </w:rPr>
        <w:t>）区系类型</w:t>
      </w:r>
    </w:p>
    <w:p w14:paraId="00B86FC0">
      <w:pPr>
        <w:widowControl/>
        <w:spacing w:line="360" w:lineRule="auto"/>
        <w:ind w:firstLine="480" w:firstLineChars="200"/>
        <w:rPr>
          <w:rFonts w:hint="default" w:ascii="Times New Roman" w:hAnsi="Times New Roman" w:eastAsia="宋体" w:cs="Times New Roman"/>
          <w:caps w:val="0"/>
          <w:smallCaps w:val="0"/>
          <w:color w:val="auto"/>
          <w:kern w:val="0"/>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评价区内分布的7种两栖类中，东洋种有4种，占两栖动物总数的57.14%，广布种3种，占两栖动物总数的42.86%，无古北种分布。评价区内的两栖类以东洋界成分占优势，这与评价区内地处东洋界的地理位置一致。</w:t>
      </w:r>
    </w:p>
    <w:p w14:paraId="29FA51AA">
      <w:pPr>
        <w:pStyle w:val="9"/>
        <w:bidi w:val="0"/>
        <w:rPr>
          <w:rFonts w:hint="default" w:ascii="Times New Roman" w:hAnsi="Times New Roman" w:cs="Times New Roman"/>
          <w:color w:val="auto"/>
          <w:u w:val="none" w:color="auto"/>
          <w:lang w:val="zh-CN" w:eastAsia="zh-CN"/>
        </w:rPr>
      </w:pPr>
      <w:r>
        <w:rPr>
          <w:rFonts w:hint="default" w:ascii="Times New Roman" w:hAnsi="Times New Roman" w:cs="Times New Roman"/>
          <w:color w:val="auto"/>
          <w:u w:val="none" w:color="auto"/>
          <w:lang w:val="en-US" w:eastAsia="zh-CN"/>
        </w:rPr>
        <w:t>爬行类</w:t>
      </w:r>
    </w:p>
    <w:p w14:paraId="2E766005">
      <w:pPr>
        <w:spacing w:line="360" w:lineRule="auto"/>
        <w:ind w:firstLine="480" w:firstLineChars="200"/>
        <w:jc w:val="left"/>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主要通过</w:t>
      </w:r>
      <w:r>
        <w:rPr>
          <w:rFonts w:hint="default" w:ascii="Times New Roman" w:hAnsi="Times New Roman" w:eastAsia="宋体" w:cs="Times New Roman"/>
          <w:bCs/>
          <w:caps w:val="0"/>
          <w:smallCaps w:val="0"/>
          <w:color w:val="auto"/>
          <w:kern w:val="0"/>
          <w:sz w:val="24"/>
          <w:szCs w:val="24"/>
          <w:u w:val="none" w:color="auto"/>
          <w:lang w:val="zh-CN"/>
        </w:rPr>
        <w:t>调查访问和查阅已发表的在评价区及附近的相关的文献资料，得出评价区野生</w:t>
      </w:r>
      <w:r>
        <w:rPr>
          <w:rFonts w:hint="default" w:ascii="Times New Roman" w:hAnsi="Times New Roman" w:eastAsia="宋体" w:cs="Times New Roman"/>
          <w:bCs/>
          <w:caps w:val="0"/>
          <w:smallCaps w:val="0"/>
          <w:color w:val="auto"/>
          <w:sz w:val="24"/>
          <w:szCs w:val="24"/>
          <w:u w:val="none" w:color="auto"/>
        </w:rPr>
        <w:t>爬行类种类、数量及分布</w:t>
      </w:r>
      <w:r>
        <w:rPr>
          <w:rFonts w:hint="default" w:ascii="Times New Roman" w:hAnsi="Times New Roman" w:eastAsia="宋体" w:cs="Times New Roman"/>
          <w:bCs/>
          <w:caps w:val="0"/>
          <w:smallCaps w:val="0"/>
          <w:color w:val="auto"/>
          <w:kern w:val="0"/>
          <w:sz w:val="24"/>
          <w:szCs w:val="24"/>
          <w:u w:val="none" w:color="auto"/>
          <w:lang w:val="zh-CN"/>
        </w:rPr>
        <w:t>现状如下：</w:t>
      </w:r>
    </w:p>
    <w:p w14:paraId="627E625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（1）</w:t>
      </w:r>
      <w:r>
        <w:rPr>
          <w:rFonts w:hint="default" w:ascii="Times New Roman" w:hAnsi="Times New Roman" w:eastAsia="宋体" w:cs="Times New Roman"/>
          <w:b/>
          <w:bCs/>
          <w:caps w:val="0"/>
          <w:smallCaps w:val="0"/>
          <w:color w:val="auto"/>
          <w:kern w:val="0"/>
          <w:sz w:val="24"/>
          <w:szCs w:val="24"/>
          <w:u w:val="none" w:color="auto"/>
          <w:lang w:val="zh-CN"/>
        </w:rPr>
        <w:t>种类、数量及分布</w:t>
      </w:r>
    </w:p>
    <w:p w14:paraId="1DA8D04F">
      <w:pPr>
        <w:spacing w:line="360" w:lineRule="auto"/>
        <w:ind w:firstLine="480" w:firstLineChars="200"/>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评价区内爬行类共有2目</w:t>
      </w:r>
      <w:r>
        <w:rPr>
          <w:rFonts w:hint="default" w:ascii="Times New Roman" w:hAnsi="Times New Roman" w:eastAsia="宋体" w:cs="Times New Roman"/>
          <w:bCs/>
          <w:caps w:val="0"/>
          <w:smallCaps w:val="0"/>
          <w:color w:val="auto"/>
          <w:sz w:val="24"/>
          <w:szCs w:val="24"/>
          <w:u w:val="none" w:color="auto"/>
          <w:lang w:val="en-US" w:eastAsia="zh-CN"/>
        </w:rPr>
        <w:t>9</w:t>
      </w:r>
      <w:r>
        <w:rPr>
          <w:rFonts w:hint="default" w:ascii="Times New Roman" w:hAnsi="Times New Roman" w:eastAsia="宋体" w:cs="Times New Roman"/>
          <w:bCs/>
          <w:caps w:val="0"/>
          <w:smallCaps w:val="0"/>
          <w:color w:val="auto"/>
          <w:sz w:val="24"/>
          <w:szCs w:val="24"/>
          <w:u w:val="none" w:color="auto"/>
        </w:rPr>
        <w:t>科</w:t>
      </w:r>
      <w:r>
        <w:rPr>
          <w:rFonts w:hint="default" w:ascii="Times New Roman" w:hAnsi="Times New Roman" w:eastAsia="宋体" w:cs="Times New Roman"/>
          <w:bCs/>
          <w:caps w:val="0"/>
          <w:smallCaps w:val="0"/>
          <w:color w:val="auto"/>
          <w:sz w:val="24"/>
          <w:szCs w:val="24"/>
          <w:u w:val="none" w:color="auto"/>
          <w:lang w:val="en-US" w:eastAsia="zh-CN"/>
        </w:rPr>
        <w:t>14</w:t>
      </w:r>
      <w:r>
        <w:rPr>
          <w:rFonts w:hint="default" w:ascii="Times New Roman" w:hAnsi="Times New Roman" w:eastAsia="宋体" w:cs="Times New Roman"/>
          <w:bCs/>
          <w:caps w:val="0"/>
          <w:smallCaps w:val="0"/>
          <w:color w:val="auto"/>
          <w:sz w:val="24"/>
          <w:szCs w:val="24"/>
          <w:u w:val="none" w:color="auto"/>
        </w:rPr>
        <w:t>种，以游蛇科的种类最多，共4种，占评价区野生爬行类种类总数的28.57%。评价区内有1</w:t>
      </w:r>
      <w:r>
        <w:rPr>
          <w:rFonts w:hint="default" w:ascii="Times New Roman" w:hAnsi="Times New Roman" w:eastAsia="宋体" w:cs="Times New Roman"/>
          <w:bCs/>
          <w:caps w:val="0"/>
          <w:smallCaps w:val="0"/>
          <w:color w:val="auto"/>
          <w:sz w:val="24"/>
          <w:szCs w:val="24"/>
          <w:u w:val="none" w:color="auto"/>
          <w:lang w:val="en-US" w:eastAsia="zh-CN"/>
        </w:rPr>
        <w:t>3</w:t>
      </w:r>
      <w:r>
        <w:rPr>
          <w:rFonts w:hint="default" w:ascii="Times New Roman" w:hAnsi="Times New Roman" w:eastAsia="宋体" w:cs="Times New Roman"/>
          <w:bCs/>
          <w:caps w:val="0"/>
          <w:smallCaps w:val="0"/>
          <w:color w:val="auto"/>
          <w:sz w:val="24"/>
          <w:szCs w:val="24"/>
          <w:u w:val="none" w:color="auto"/>
        </w:rPr>
        <w:t>种湖南省级重点保护野生爬行类；有《中国生物多样性红色名录》评级为濒危（EN）级别的</w:t>
      </w:r>
      <w:r>
        <w:rPr>
          <w:rFonts w:hint="default" w:ascii="Times New Roman" w:hAnsi="Times New Roman" w:eastAsia="宋体" w:cs="Times New Roman"/>
          <w:bCs/>
          <w:caps w:val="0"/>
          <w:smallCaps w:val="0"/>
          <w:color w:val="auto"/>
          <w:sz w:val="24"/>
          <w:szCs w:val="24"/>
          <w:u w:val="none" w:color="auto"/>
          <w:lang w:val="en-US" w:eastAsia="zh-CN"/>
        </w:rPr>
        <w:t>1</w:t>
      </w:r>
      <w:r>
        <w:rPr>
          <w:rFonts w:hint="default" w:ascii="Times New Roman" w:hAnsi="Times New Roman" w:eastAsia="宋体" w:cs="Times New Roman"/>
          <w:bCs/>
          <w:caps w:val="0"/>
          <w:smallCaps w:val="0"/>
          <w:color w:val="auto"/>
          <w:sz w:val="24"/>
          <w:szCs w:val="24"/>
          <w:u w:val="none" w:color="auto"/>
        </w:rPr>
        <w:t>种，为中华鳖，易危（VU）级别的4种，为中国水蛇、银环蛇、乌梢蛇和黑眉锦蛇；有中国特有1种，为北草蜥。在评价区内北草蜥、乌梢蛇等较为常见，主要分布于林缘灌丛及农田区域。</w:t>
      </w:r>
    </w:p>
    <w:p w14:paraId="37A88C2F">
      <w:pPr>
        <w:autoSpaceDE w:val="0"/>
        <w:autoSpaceDN w:val="0"/>
        <w:adjustRightInd w:val="0"/>
        <w:spacing w:line="360" w:lineRule="auto"/>
        <w:ind w:firstLine="482" w:firstLineChars="200"/>
        <w:rPr>
          <w:rFonts w:hint="default" w:ascii="Times New Roman" w:hAnsi="Times New Roman" w:eastAsia="宋体" w:cs="Times New Roman"/>
          <w:b/>
          <w:caps w:val="0"/>
          <w:smallCaps w:val="0"/>
          <w:color w:val="auto"/>
          <w:kern w:val="0"/>
          <w:sz w:val="24"/>
          <w:szCs w:val="24"/>
          <w:u w:val="none" w:color="auto"/>
          <w:lang w:val="zh-CN"/>
        </w:rPr>
      </w:pPr>
      <w:r>
        <w:rPr>
          <w:rFonts w:hint="default" w:ascii="Times New Roman" w:hAnsi="Times New Roman" w:eastAsia="宋体" w:cs="Times New Roman"/>
          <w:b/>
          <w:caps w:val="0"/>
          <w:smallCaps w:val="0"/>
          <w:color w:val="auto"/>
          <w:kern w:val="0"/>
          <w:sz w:val="24"/>
          <w:szCs w:val="24"/>
          <w:u w:val="none" w:color="auto"/>
          <w:lang w:val="zh-CN"/>
        </w:rPr>
        <w:t>（2）生态类型</w:t>
      </w:r>
    </w:p>
    <w:p w14:paraId="01526730">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按照生活习性，评价区内爬行类可分为以下4种生态类型：</w:t>
      </w:r>
    </w:p>
    <w:p w14:paraId="4AAF10D6">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灌丛石隙型（经常活动在灌丛下面，路边石缝中的爬行类）：包括中国石龙子、北草蜥、短尾蝮、中国小头蛇（</w:t>
      </w:r>
      <w:r>
        <w:rPr>
          <w:rFonts w:hint="default" w:ascii="Times New Roman" w:hAnsi="Times New Roman" w:eastAsia="宋体" w:cs="Times New Roman"/>
          <w:bCs/>
          <w:i/>
          <w:iCs/>
          <w:caps w:val="0"/>
          <w:smallCaps w:val="0"/>
          <w:color w:val="auto"/>
          <w:sz w:val="24"/>
          <w:szCs w:val="24"/>
          <w:u w:val="none" w:color="auto"/>
        </w:rPr>
        <w:t>Oligodon chinensis</w:t>
      </w:r>
      <w:r>
        <w:rPr>
          <w:rFonts w:hint="default" w:ascii="Times New Roman" w:hAnsi="Times New Roman" w:eastAsia="宋体" w:cs="Times New Roman"/>
          <w:bCs/>
          <w:caps w:val="0"/>
          <w:smallCaps w:val="0"/>
          <w:color w:val="auto"/>
          <w:sz w:val="24"/>
          <w:szCs w:val="24"/>
          <w:u w:val="none" w:color="auto"/>
        </w:rPr>
        <w:t>）、赤链蛇5种，在评价区内分布较为广泛，主要活动于评价区内路旁的杂草、灌丛、林地中。</w:t>
      </w:r>
    </w:p>
    <w:p w14:paraId="4C158C0E">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林栖傍水型（在山谷间有溪流的山坡上活动）：包括银环蛇、乌梢蛇、王锦蛇、黑眉锦蛇、虎斑颈槽蛇、乌华游蛇</w:t>
      </w:r>
      <w:r>
        <w:rPr>
          <w:rFonts w:hint="default" w:ascii="Times New Roman" w:hAnsi="Times New Roman" w:eastAsia="宋体" w:cs="Times New Roman"/>
          <w:bCs/>
          <w:caps w:val="0"/>
          <w:smallCaps w:val="0"/>
          <w:color w:val="auto"/>
          <w:sz w:val="24"/>
          <w:szCs w:val="24"/>
          <w:u w:val="none" w:color="auto"/>
          <w:lang w:val="en-US" w:eastAsia="zh-CN"/>
        </w:rPr>
        <w:t>6</w:t>
      </w:r>
      <w:r>
        <w:rPr>
          <w:rFonts w:hint="default" w:ascii="Times New Roman" w:hAnsi="Times New Roman" w:eastAsia="宋体" w:cs="Times New Roman"/>
          <w:bCs/>
          <w:caps w:val="0"/>
          <w:smallCaps w:val="0"/>
          <w:color w:val="auto"/>
          <w:sz w:val="24"/>
          <w:szCs w:val="24"/>
          <w:u w:val="none" w:color="auto"/>
        </w:rPr>
        <w:t>种，主要分布在靠近水域的林地、灌丛内。</w:t>
      </w:r>
    </w:p>
    <w:p w14:paraId="0FB5845D">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住宅型（在住宅区的建筑物中筑巢、繁殖、活动的爬行类）：仅多疣壁虎1种，主要在居民点附近活动，与人为活动关系密切。</w:t>
      </w:r>
    </w:p>
    <w:p w14:paraId="3AC8B507">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水栖型（在水中生活、觅食的爬行类）：包括中华鳖、中国水蛇</w:t>
      </w:r>
      <w:r>
        <w:rPr>
          <w:rFonts w:hint="default" w:ascii="Times New Roman" w:hAnsi="Times New Roman" w:eastAsia="宋体" w:cs="Times New Roman"/>
          <w:bCs/>
          <w:caps w:val="0"/>
          <w:smallCaps w:val="0"/>
          <w:color w:val="auto"/>
          <w:sz w:val="24"/>
          <w:szCs w:val="24"/>
          <w:u w:val="none" w:color="auto"/>
          <w:lang w:val="en-US" w:eastAsia="zh-CN"/>
        </w:rPr>
        <w:t>2</w:t>
      </w:r>
      <w:r>
        <w:rPr>
          <w:rFonts w:hint="default" w:ascii="Times New Roman" w:hAnsi="Times New Roman" w:eastAsia="宋体" w:cs="Times New Roman"/>
          <w:bCs/>
          <w:caps w:val="0"/>
          <w:smallCaps w:val="0"/>
          <w:color w:val="auto"/>
          <w:sz w:val="24"/>
          <w:szCs w:val="24"/>
          <w:u w:val="none" w:color="auto"/>
        </w:rPr>
        <w:t>种，主要在评价区内的水库区域。</w:t>
      </w:r>
    </w:p>
    <w:p w14:paraId="29BADBCA">
      <w:pPr>
        <w:spacing w:line="360" w:lineRule="auto"/>
        <w:ind w:firstLine="482" w:firstLineChars="200"/>
        <w:jc w:val="left"/>
        <w:rPr>
          <w:rFonts w:hint="default" w:ascii="Times New Roman" w:hAnsi="Times New Roman" w:eastAsia="宋体" w:cs="Times New Roman"/>
          <w:b/>
          <w:bCs w:val="0"/>
          <w:caps w:val="0"/>
          <w:smallCaps w:val="0"/>
          <w:color w:val="auto"/>
          <w:sz w:val="24"/>
          <w:szCs w:val="24"/>
          <w:u w:val="none" w:color="auto"/>
        </w:rPr>
      </w:pPr>
      <w:r>
        <w:rPr>
          <w:rFonts w:hint="default" w:ascii="Times New Roman" w:hAnsi="Times New Roman" w:eastAsia="宋体" w:cs="Times New Roman"/>
          <w:b/>
          <w:bCs w:val="0"/>
          <w:caps w:val="0"/>
          <w:smallCaps w:val="0"/>
          <w:color w:val="auto"/>
          <w:sz w:val="24"/>
          <w:szCs w:val="24"/>
          <w:u w:val="none" w:color="auto"/>
        </w:rPr>
        <w:t>（3）区系类型</w:t>
      </w:r>
    </w:p>
    <w:p w14:paraId="412FC472">
      <w:pPr>
        <w:spacing w:line="360" w:lineRule="auto"/>
        <w:ind w:firstLine="480" w:firstLineChars="200"/>
        <w:jc w:val="left"/>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评价区内分布的</w:t>
      </w:r>
      <w:r>
        <w:rPr>
          <w:rFonts w:hint="default" w:ascii="Times New Roman" w:hAnsi="Times New Roman" w:eastAsia="宋体" w:cs="Times New Roman"/>
          <w:bCs/>
          <w:caps w:val="0"/>
          <w:smallCaps w:val="0"/>
          <w:color w:val="auto"/>
          <w:sz w:val="24"/>
          <w:szCs w:val="24"/>
          <w:u w:val="none" w:color="auto"/>
          <w:lang w:val="en-US" w:eastAsia="zh-CN"/>
        </w:rPr>
        <w:t>14</w:t>
      </w:r>
      <w:r>
        <w:rPr>
          <w:rFonts w:hint="default" w:ascii="Times New Roman" w:hAnsi="Times New Roman" w:eastAsia="宋体" w:cs="Times New Roman"/>
          <w:bCs/>
          <w:caps w:val="0"/>
          <w:smallCaps w:val="0"/>
          <w:color w:val="auto"/>
          <w:sz w:val="24"/>
          <w:szCs w:val="24"/>
          <w:u w:val="none" w:color="auto"/>
        </w:rPr>
        <w:t>种爬行动物中，东洋种</w:t>
      </w:r>
      <w:r>
        <w:rPr>
          <w:rFonts w:hint="default" w:ascii="Times New Roman" w:hAnsi="Times New Roman" w:eastAsia="宋体" w:cs="Times New Roman"/>
          <w:bCs/>
          <w:caps w:val="0"/>
          <w:smallCaps w:val="0"/>
          <w:color w:val="auto"/>
          <w:sz w:val="24"/>
          <w:szCs w:val="24"/>
          <w:u w:val="none" w:color="auto"/>
          <w:lang w:val="en-US" w:eastAsia="zh-CN"/>
        </w:rPr>
        <w:t>6</w:t>
      </w:r>
      <w:r>
        <w:rPr>
          <w:rFonts w:hint="default" w:ascii="Times New Roman" w:hAnsi="Times New Roman" w:eastAsia="宋体" w:cs="Times New Roman"/>
          <w:bCs/>
          <w:caps w:val="0"/>
          <w:smallCaps w:val="0"/>
          <w:color w:val="auto"/>
          <w:sz w:val="24"/>
          <w:szCs w:val="24"/>
          <w:u w:val="none" w:color="auto"/>
        </w:rPr>
        <w:t>种，占评价区总种数的</w:t>
      </w:r>
      <w:r>
        <w:rPr>
          <w:rFonts w:hint="default" w:ascii="Times New Roman" w:hAnsi="Times New Roman" w:eastAsia="宋体" w:cs="Times New Roman"/>
          <w:bCs/>
          <w:caps w:val="0"/>
          <w:smallCaps w:val="0"/>
          <w:color w:val="auto"/>
          <w:sz w:val="24"/>
          <w:szCs w:val="24"/>
          <w:u w:val="none" w:color="auto"/>
          <w:lang w:val="en-US" w:eastAsia="zh-CN"/>
        </w:rPr>
        <w:t>42.86</w:t>
      </w:r>
      <w:r>
        <w:rPr>
          <w:rFonts w:hint="default" w:ascii="Times New Roman" w:hAnsi="Times New Roman" w:eastAsia="宋体" w:cs="Times New Roman"/>
          <w:bCs/>
          <w:caps w:val="0"/>
          <w:smallCaps w:val="0"/>
          <w:color w:val="auto"/>
          <w:sz w:val="24"/>
          <w:szCs w:val="24"/>
          <w:u w:val="none" w:color="auto"/>
        </w:rPr>
        <w:t>%；广布种</w:t>
      </w:r>
      <w:r>
        <w:rPr>
          <w:rFonts w:hint="default" w:ascii="Times New Roman" w:hAnsi="Times New Roman" w:eastAsia="宋体" w:cs="Times New Roman"/>
          <w:bCs/>
          <w:caps w:val="0"/>
          <w:smallCaps w:val="0"/>
          <w:color w:val="auto"/>
          <w:sz w:val="24"/>
          <w:szCs w:val="24"/>
          <w:u w:val="none" w:color="auto"/>
          <w:lang w:val="en-US" w:eastAsia="zh-CN"/>
        </w:rPr>
        <w:t>8</w:t>
      </w:r>
      <w:r>
        <w:rPr>
          <w:rFonts w:hint="default" w:ascii="Times New Roman" w:hAnsi="Times New Roman" w:eastAsia="宋体" w:cs="Times New Roman"/>
          <w:bCs/>
          <w:caps w:val="0"/>
          <w:smallCaps w:val="0"/>
          <w:color w:val="auto"/>
          <w:sz w:val="24"/>
          <w:szCs w:val="24"/>
          <w:u w:val="none" w:color="auto"/>
        </w:rPr>
        <w:t>种，占评价区总种数的</w:t>
      </w:r>
      <w:r>
        <w:rPr>
          <w:rFonts w:hint="default" w:ascii="Times New Roman" w:hAnsi="Times New Roman" w:eastAsia="宋体" w:cs="Times New Roman"/>
          <w:bCs/>
          <w:caps w:val="0"/>
          <w:smallCaps w:val="0"/>
          <w:color w:val="auto"/>
          <w:sz w:val="24"/>
          <w:szCs w:val="24"/>
          <w:u w:val="none" w:color="auto"/>
          <w:lang w:val="en-US" w:eastAsia="zh-CN"/>
        </w:rPr>
        <w:t>57.14</w:t>
      </w:r>
      <w:r>
        <w:rPr>
          <w:rFonts w:hint="default" w:ascii="Times New Roman" w:hAnsi="Times New Roman" w:eastAsia="宋体" w:cs="Times New Roman"/>
          <w:bCs/>
          <w:caps w:val="0"/>
          <w:smallCaps w:val="0"/>
          <w:color w:val="auto"/>
          <w:sz w:val="24"/>
          <w:szCs w:val="24"/>
          <w:u w:val="none" w:color="auto"/>
        </w:rPr>
        <w:t>%。评价区内的爬行类广布种成分占优势，无古北种分布。</w:t>
      </w:r>
    </w:p>
    <w:p w14:paraId="12A983D5">
      <w:pPr>
        <w:pStyle w:val="9"/>
        <w:bidi w:val="0"/>
        <w:rPr>
          <w:rFonts w:hint="default" w:ascii="Times New Roman" w:hAnsi="Times New Roman" w:cs="Times New Roman"/>
          <w:color w:val="auto"/>
          <w:u w:val="none" w:color="auto"/>
          <w:lang w:val="zh-CN" w:eastAsia="zh-CN"/>
        </w:rPr>
      </w:pPr>
      <w:bookmarkStart w:id="253" w:name="_Toc443555137"/>
      <w:bookmarkEnd w:id="253"/>
      <w:r>
        <w:rPr>
          <w:rFonts w:hint="default" w:ascii="Times New Roman" w:hAnsi="Times New Roman" w:cs="Times New Roman"/>
          <w:color w:val="auto"/>
          <w:u w:val="none" w:color="auto"/>
          <w:lang w:val="en-US" w:eastAsia="zh-CN"/>
        </w:rPr>
        <w:t>鸟类</w:t>
      </w:r>
    </w:p>
    <w:p w14:paraId="39C3CA5E">
      <w:pPr>
        <w:spacing w:line="360" w:lineRule="auto"/>
        <w:ind w:firstLine="480" w:firstLineChars="200"/>
        <w:jc w:val="left"/>
        <w:rPr>
          <w:rFonts w:hint="default" w:ascii="Times New Roman" w:hAnsi="Times New Roman" w:eastAsia="宋体" w:cs="Times New Roman"/>
          <w:bCs/>
          <w:caps w:val="0"/>
          <w:smallCaps w:val="0"/>
          <w:color w:val="auto"/>
          <w:kern w:val="0"/>
          <w:sz w:val="24"/>
          <w:szCs w:val="24"/>
          <w:u w:val="none" w:color="auto"/>
          <w:lang w:val="zh-CN"/>
        </w:rPr>
      </w:pPr>
      <w:r>
        <w:rPr>
          <w:rFonts w:hint="default" w:ascii="Times New Roman" w:hAnsi="Times New Roman" w:eastAsia="宋体" w:cs="Times New Roman"/>
          <w:caps w:val="0"/>
          <w:smallCaps w:val="0"/>
          <w:color w:val="auto"/>
          <w:kern w:val="0"/>
          <w:sz w:val="24"/>
          <w:szCs w:val="24"/>
          <w:u w:val="none" w:color="auto"/>
        </w:rPr>
        <w:t>通过实地调查，</w:t>
      </w:r>
      <w:r>
        <w:rPr>
          <w:rFonts w:hint="default" w:ascii="Times New Roman" w:hAnsi="Times New Roman" w:eastAsia="宋体" w:cs="Times New Roman"/>
          <w:bCs/>
          <w:caps w:val="0"/>
          <w:smallCaps w:val="0"/>
          <w:color w:val="auto"/>
          <w:kern w:val="0"/>
          <w:sz w:val="24"/>
          <w:szCs w:val="24"/>
          <w:u w:val="none" w:color="auto"/>
          <w:lang w:val="zh-CN"/>
        </w:rPr>
        <w:t>并查阅相关文献</w:t>
      </w:r>
      <w:r>
        <w:rPr>
          <w:rFonts w:hint="default" w:ascii="Times New Roman" w:hAnsi="Times New Roman" w:eastAsia="宋体" w:cs="Times New Roman"/>
          <w:bCs/>
          <w:caps w:val="0"/>
          <w:smallCaps w:val="0"/>
          <w:color w:val="auto"/>
          <w:kern w:val="0"/>
          <w:sz w:val="24"/>
          <w:szCs w:val="24"/>
          <w:u w:val="none" w:color="auto"/>
        </w:rPr>
        <w:t>与访问</w:t>
      </w:r>
      <w:r>
        <w:rPr>
          <w:rFonts w:hint="default" w:ascii="Times New Roman" w:hAnsi="Times New Roman" w:eastAsia="宋体" w:cs="Times New Roman"/>
          <w:bCs/>
          <w:caps w:val="0"/>
          <w:smallCaps w:val="0"/>
          <w:color w:val="auto"/>
          <w:kern w:val="0"/>
          <w:sz w:val="24"/>
          <w:szCs w:val="24"/>
          <w:u w:val="none" w:color="auto"/>
          <w:lang w:val="zh-CN"/>
        </w:rPr>
        <w:t>，进行综合分析，得出</w:t>
      </w:r>
      <w:r>
        <w:rPr>
          <w:rFonts w:hint="default" w:ascii="Times New Roman" w:hAnsi="Times New Roman" w:eastAsia="宋体" w:cs="Times New Roman"/>
          <w:bCs/>
          <w:caps w:val="0"/>
          <w:smallCaps w:val="0"/>
          <w:color w:val="auto"/>
          <w:kern w:val="0"/>
          <w:sz w:val="24"/>
          <w:szCs w:val="24"/>
          <w:u w:val="none" w:color="auto"/>
        </w:rPr>
        <w:t>评价区</w:t>
      </w:r>
      <w:r>
        <w:rPr>
          <w:rFonts w:hint="default" w:ascii="Times New Roman" w:hAnsi="Times New Roman" w:eastAsia="宋体" w:cs="Times New Roman"/>
          <w:bCs/>
          <w:caps w:val="0"/>
          <w:smallCaps w:val="0"/>
          <w:color w:val="auto"/>
          <w:kern w:val="0"/>
          <w:sz w:val="24"/>
          <w:szCs w:val="24"/>
          <w:u w:val="none" w:color="auto"/>
          <w:lang w:val="zh-CN"/>
        </w:rPr>
        <w:t>内野生</w:t>
      </w:r>
      <w:r>
        <w:rPr>
          <w:rFonts w:hint="default" w:ascii="Times New Roman" w:hAnsi="Times New Roman" w:eastAsia="宋体" w:cs="Times New Roman"/>
          <w:bCs/>
          <w:caps w:val="0"/>
          <w:smallCaps w:val="0"/>
          <w:color w:val="auto"/>
          <w:kern w:val="0"/>
          <w:sz w:val="24"/>
          <w:szCs w:val="24"/>
          <w:u w:val="none" w:color="auto"/>
        </w:rPr>
        <w:t>鸟类种类、数量及分布</w:t>
      </w:r>
      <w:r>
        <w:rPr>
          <w:rFonts w:hint="default" w:ascii="Times New Roman" w:hAnsi="Times New Roman" w:eastAsia="宋体" w:cs="Times New Roman"/>
          <w:bCs/>
          <w:caps w:val="0"/>
          <w:smallCaps w:val="0"/>
          <w:color w:val="auto"/>
          <w:kern w:val="0"/>
          <w:sz w:val="24"/>
          <w:szCs w:val="24"/>
          <w:u w:val="none" w:color="auto"/>
          <w:lang w:val="zh-CN"/>
        </w:rPr>
        <w:t>现状如下：</w:t>
      </w:r>
    </w:p>
    <w:p w14:paraId="3BBBF433">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outlineLvl w:val="9"/>
        <w:rPr>
          <w:rFonts w:hint="default" w:ascii="Times New Roman" w:hAnsi="Times New Roman" w:eastAsia="宋体" w:cs="Times New Roman"/>
          <w:b/>
          <w:caps w:val="0"/>
          <w:smallCaps w:val="0"/>
          <w:color w:val="auto"/>
          <w:kern w:val="0"/>
          <w:sz w:val="24"/>
          <w:szCs w:val="24"/>
          <w:u w:val="none" w:color="auto"/>
          <w:lang w:val="zh-CN"/>
        </w:rPr>
      </w:pPr>
      <w:r>
        <w:rPr>
          <w:rFonts w:hint="default" w:ascii="Times New Roman" w:hAnsi="Times New Roman" w:eastAsia="宋体" w:cs="Times New Roman"/>
          <w:b/>
          <w:caps w:val="0"/>
          <w:smallCaps w:val="0"/>
          <w:color w:val="auto"/>
          <w:kern w:val="0"/>
          <w:sz w:val="24"/>
          <w:szCs w:val="24"/>
          <w:u w:val="none" w:color="auto"/>
          <w:lang w:val="zh-CN"/>
        </w:rPr>
        <w:t>（1）种类、数量及分布</w:t>
      </w:r>
    </w:p>
    <w:p w14:paraId="53560562">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Cs/>
          <w:caps w:val="0"/>
          <w:smallCaps w:val="0"/>
          <w:color w:val="auto"/>
          <w:kern w:val="0"/>
          <w:sz w:val="24"/>
          <w:szCs w:val="24"/>
          <w:u w:val="none" w:color="auto"/>
        </w:rPr>
        <w:t>评价区内共分布有野生鸟类</w:t>
      </w:r>
      <w:r>
        <w:rPr>
          <w:rFonts w:hint="default" w:ascii="Times New Roman" w:hAnsi="Times New Roman" w:eastAsia="宋体" w:cs="Times New Roman"/>
          <w:bCs/>
          <w:caps w:val="0"/>
          <w:smallCaps w:val="0"/>
          <w:color w:val="auto"/>
          <w:kern w:val="0"/>
          <w:sz w:val="24"/>
          <w:szCs w:val="24"/>
          <w:u w:val="none" w:color="auto"/>
          <w:lang w:val="en-US" w:eastAsia="zh-CN"/>
        </w:rPr>
        <w:t>60</w:t>
      </w:r>
      <w:r>
        <w:rPr>
          <w:rFonts w:hint="default" w:ascii="Times New Roman" w:hAnsi="Times New Roman" w:eastAsia="宋体" w:cs="Times New Roman"/>
          <w:bCs/>
          <w:caps w:val="0"/>
          <w:smallCaps w:val="0"/>
          <w:color w:val="auto"/>
          <w:kern w:val="0"/>
          <w:sz w:val="24"/>
          <w:szCs w:val="24"/>
          <w:u w:val="none" w:color="auto"/>
        </w:rPr>
        <w:t>种，隶属于</w:t>
      </w:r>
      <w:r>
        <w:rPr>
          <w:rFonts w:hint="default" w:ascii="Times New Roman" w:hAnsi="Times New Roman" w:eastAsia="宋体" w:cs="Times New Roman"/>
          <w:bCs/>
          <w:caps w:val="0"/>
          <w:smallCaps w:val="0"/>
          <w:color w:val="auto"/>
          <w:kern w:val="0"/>
          <w:sz w:val="24"/>
          <w:szCs w:val="24"/>
          <w:u w:val="none" w:color="auto"/>
          <w:lang w:val="en-US" w:eastAsia="zh-CN"/>
        </w:rPr>
        <w:t>12</w:t>
      </w:r>
      <w:r>
        <w:rPr>
          <w:rFonts w:hint="default" w:ascii="Times New Roman" w:hAnsi="Times New Roman" w:eastAsia="宋体" w:cs="Times New Roman"/>
          <w:bCs/>
          <w:caps w:val="0"/>
          <w:smallCaps w:val="0"/>
          <w:color w:val="auto"/>
          <w:kern w:val="0"/>
          <w:sz w:val="24"/>
          <w:szCs w:val="24"/>
          <w:u w:val="none" w:color="auto"/>
        </w:rPr>
        <w:t>目34科。其中，以雀形目鸟类最多，共</w:t>
      </w:r>
      <w:r>
        <w:rPr>
          <w:rFonts w:hint="default" w:ascii="Times New Roman" w:hAnsi="Times New Roman" w:eastAsia="宋体" w:cs="Times New Roman"/>
          <w:bCs/>
          <w:caps w:val="0"/>
          <w:smallCaps w:val="0"/>
          <w:color w:val="auto"/>
          <w:kern w:val="0"/>
          <w:sz w:val="24"/>
          <w:szCs w:val="24"/>
          <w:u w:val="none" w:color="auto"/>
          <w:lang w:val="en-US" w:eastAsia="zh-CN"/>
        </w:rPr>
        <w:t>36</w:t>
      </w:r>
      <w:r>
        <w:rPr>
          <w:rFonts w:hint="default" w:ascii="Times New Roman" w:hAnsi="Times New Roman" w:eastAsia="宋体" w:cs="Times New Roman"/>
          <w:bCs/>
          <w:caps w:val="0"/>
          <w:smallCaps w:val="0"/>
          <w:color w:val="auto"/>
          <w:kern w:val="0"/>
          <w:sz w:val="24"/>
          <w:szCs w:val="24"/>
          <w:u w:val="none" w:color="auto"/>
        </w:rPr>
        <w:t>种，占评价区内野生鸟类总数的</w:t>
      </w:r>
      <w:r>
        <w:rPr>
          <w:rFonts w:hint="default" w:ascii="Times New Roman" w:hAnsi="Times New Roman" w:eastAsia="宋体" w:cs="Times New Roman"/>
          <w:bCs/>
          <w:caps w:val="0"/>
          <w:smallCaps w:val="0"/>
          <w:color w:val="auto"/>
          <w:kern w:val="0"/>
          <w:sz w:val="24"/>
          <w:szCs w:val="24"/>
          <w:u w:val="none" w:color="auto"/>
          <w:lang w:val="en-US" w:eastAsia="zh-CN"/>
        </w:rPr>
        <w:t>60</w:t>
      </w:r>
      <w:r>
        <w:rPr>
          <w:rFonts w:hint="default" w:ascii="Times New Roman" w:hAnsi="Times New Roman" w:eastAsia="宋体" w:cs="Times New Roman"/>
          <w:bCs/>
          <w:caps w:val="0"/>
          <w:smallCaps w:val="0"/>
          <w:color w:val="auto"/>
          <w:kern w:val="0"/>
          <w:sz w:val="24"/>
          <w:szCs w:val="24"/>
          <w:u w:val="none" w:color="auto"/>
        </w:rPr>
        <w:t>%。评价区内</w:t>
      </w:r>
      <w:r>
        <w:rPr>
          <w:rFonts w:hint="default" w:ascii="Times New Roman" w:hAnsi="Times New Roman" w:eastAsia="宋体" w:cs="Times New Roman"/>
          <w:bCs/>
          <w:caps w:val="0"/>
          <w:smallCaps w:val="0"/>
          <w:color w:val="auto"/>
          <w:kern w:val="0"/>
          <w:sz w:val="24"/>
          <w:szCs w:val="24"/>
          <w:u w:val="none" w:color="auto"/>
          <w:lang w:val="en-US" w:eastAsia="zh-CN"/>
        </w:rPr>
        <w:t>无</w:t>
      </w:r>
      <w:r>
        <w:rPr>
          <w:rFonts w:hint="default" w:ascii="Times New Roman" w:hAnsi="Times New Roman" w:eastAsia="宋体" w:cs="Times New Roman"/>
          <w:bCs/>
          <w:caps w:val="0"/>
          <w:smallCaps w:val="0"/>
          <w:color w:val="auto"/>
          <w:kern w:val="0"/>
          <w:sz w:val="24"/>
          <w:szCs w:val="24"/>
          <w:u w:val="none" w:color="auto"/>
        </w:rPr>
        <w:t>国家级重点保护野生鸟类；有湖南省级重点保护野生鸟</w:t>
      </w:r>
      <w:r>
        <w:rPr>
          <w:rFonts w:hint="default" w:ascii="Times New Roman" w:hAnsi="Times New Roman" w:eastAsia="宋体" w:cs="Times New Roman"/>
          <w:bCs/>
          <w:caps w:val="0"/>
          <w:smallCaps w:val="0"/>
          <w:color w:val="auto"/>
          <w:kern w:val="0"/>
          <w:sz w:val="24"/>
          <w:szCs w:val="24"/>
          <w:highlight w:val="none"/>
          <w:u w:val="none" w:color="auto"/>
        </w:rPr>
        <w:t>类</w:t>
      </w:r>
      <w:r>
        <w:rPr>
          <w:rFonts w:hint="default" w:ascii="Times New Roman" w:hAnsi="Times New Roman" w:eastAsia="宋体" w:cs="Times New Roman"/>
          <w:bCs/>
          <w:caps w:val="0"/>
          <w:smallCaps w:val="0"/>
          <w:color w:val="auto"/>
          <w:kern w:val="0"/>
          <w:sz w:val="24"/>
          <w:szCs w:val="24"/>
          <w:highlight w:val="none"/>
          <w:u w:val="none" w:color="auto"/>
          <w:lang w:val="en-US" w:eastAsia="zh-CN"/>
        </w:rPr>
        <w:t>12</w:t>
      </w:r>
      <w:r>
        <w:rPr>
          <w:rFonts w:hint="default" w:ascii="Times New Roman" w:hAnsi="Times New Roman" w:eastAsia="宋体" w:cs="Times New Roman"/>
          <w:bCs/>
          <w:caps w:val="0"/>
          <w:smallCaps w:val="0"/>
          <w:color w:val="auto"/>
          <w:kern w:val="0"/>
          <w:sz w:val="24"/>
          <w:szCs w:val="24"/>
          <w:highlight w:val="none"/>
          <w:u w:val="none" w:color="auto"/>
        </w:rPr>
        <w:t>种</w:t>
      </w:r>
      <w:r>
        <w:rPr>
          <w:rFonts w:hint="default" w:ascii="Times New Roman" w:hAnsi="Times New Roman" w:eastAsia="宋体" w:cs="Times New Roman"/>
          <w:bCs/>
          <w:caps w:val="0"/>
          <w:smallCaps w:val="0"/>
          <w:color w:val="auto"/>
          <w:kern w:val="0"/>
          <w:sz w:val="24"/>
          <w:szCs w:val="24"/>
          <w:u w:val="none" w:color="auto"/>
        </w:rPr>
        <w:t>，为</w:t>
      </w:r>
      <w:r>
        <w:rPr>
          <w:rFonts w:hint="default" w:ascii="Times New Roman" w:hAnsi="Times New Roman" w:eastAsia="宋体" w:cs="Times New Roman"/>
          <w:caps w:val="0"/>
          <w:smallCaps w:val="0"/>
          <w:color w:val="auto"/>
          <w:sz w:val="24"/>
          <w:szCs w:val="24"/>
          <w:u w:val="none" w:color="auto"/>
          <w:lang w:val="en-US" w:eastAsia="zh-CN"/>
        </w:rPr>
        <w:t>大白鹭（</w:t>
      </w:r>
      <w:r>
        <w:rPr>
          <w:rFonts w:hint="default" w:ascii="Times New Roman" w:hAnsi="Times New Roman" w:eastAsia="宋体" w:cs="Times New Roman"/>
          <w:i/>
          <w:iCs/>
          <w:caps w:val="0"/>
          <w:smallCaps w:val="0"/>
          <w:color w:val="auto"/>
          <w:sz w:val="24"/>
          <w:szCs w:val="24"/>
          <w:u w:val="none" w:color="auto"/>
          <w:lang w:val="en-US" w:eastAsia="zh-CN"/>
        </w:rPr>
        <w:t>Ardea alba</w:t>
      </w:r>
      <w:r>
        <w:rPr>
          <w:rFonts w:hint="default" w:ascii="Times New Roman" w:hAnsi="Times New Roman" w:eastAsia="宋体" w:cs="Times New Roman"/>
          <w:caps w:val="0"/>
          <w:smallCaps w:val="0"/>
          <w:color w:val="auto"/>
          <w:sz w:val="24"/>
          <w:szCs w:val="24"/>
          <w:u w:val="none" w:color="auto"/>
          <w:lang w:val="en-US" w:eastAsia="zh-CN"/>
        </w:rPr>
        <w:t>）、牛背鹭（</w:t>
      </w:r>
      <w:r>
        <w:rPr>
          <w:rFonts w:hint="default" w:ascii="Times New Roman" w:hAnsi="Times New Roman" w:eastAsia="宋体" w:cs="Times New Roman"/>
          <w:i/>
          <w:iCs/>
          <w:caps w:val="0"/>
          <w:smallCaps w:val="0"/>
          <w:color w:val="auto"/>
          <w:sz w:val="24"/>
          <w:szCs w:val="24"/>
          <w:u w:val="none" w:color="auto"/>
          <w:lang w:val="en-US" w:eastAsia="zh-CN"/>
        </w:rPr>
        <w:t>Bubulcus ibis</w:t>
      </w:r>
      <w:r>
        <w:rPr>
          <w:rFonts w:hint="default" w:ascii="Times New Roman" w:hAnsi="Times New Roman" w:eastAsia="宋体" w:cs="Times New Roman"/>
          <w:caps w:val="0"/>
          <w:smallCaps w:val="0"/>
          <w:color w:val="auto"/>
          <w:sz w:val="24"/>
          <w:szCs w:val="24"/>
          <w:u w:val="none" w:color="auto"/>
          <w:lang w:val="en-US" w:eastAsia="zh-CN"/>
        </w:rPr>
        <w:t>）、</w:t>
      </w:r>
      <w:r>
        <w:rPr>
          <w:rFonts w:hint="default" w:ascii="Times New Roman" w:hAnsi="Times New Roman" w:eastAsia="宋体" w:cs="Times New Roman"/>
          <w:bCs/>
          <w:caps w:val="0"/>
          <w:smallCaps w:val="0"/>
          <w:color w:val="auto"/>
          <w:kern w:val="0"/>
          <w:sz w:val="24"/>
          <w:szCs w:val="24"/>
          <w:u w:val="none" w:color="auto"/>
        </w:rPr>
        <w:t>喜鹊（</w:t>
      </w:r>
      <w:r>
        <w:rPr>
          <w:rFonts w:hint="default" w:ascii="Times New Roman" w:hAnsi="Times New Roman" w:eastAsia="宋体" w:cs="Times New Roman"/>
          <w:bCs/>
          <w:i/>
          <w:caps w:val="0"/>
          <w:smallCaps w:val="0"/>
          <w:color w:val="auto"/>
          <w:kern w:val="0"/>
          <w:sz w:val="24"/>
          <w:szCs w:val="24"/>
          <w:u w:val="none" w:color="auto"/>
        </w:rPr>
        <w:t>Pica pica</w:t>
      </w:r>
      <w:r>
        <w:rPr>
          <w:rFonts w:hint="default" w:ascii="Times New Roman" w:hAnsi="Times New Roman" w:eastAsia="宋体" w:cs="Times New Roman"/>
          <w:bCs/>
          <w:caps w:val="0"/>
          <w:smallCaps w:val="0"/>
          <w:color w:val="auto"/>
          <w:kern w:val="0"/>
          <w:sz w:val="24"/>
          <w:szCs w:val="24"/>
          <w:u w:val="none" w:color="auto"/>
        </w:rPr>
        <w:t>）、山斑鸠</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i/>
          <w:iCs/>
          <w:caps w:val="0"/>
          <w:smallCaps w:val="0"/>
          <w:color w:val="auto"/>
          <w:kern w:val="0"/>
          <w:sz w:val="24"/>
          <w:szCs w:val="24"/>
          <w:u w:val="none" w:color="auto"/>
        </w:rPr>
        <w:t>Streptopelia orientalis</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rPr>
        <w:t>普通翠鸟（</w:t>
      </w:r>
      <w:r>
        <w:rPr>
          <w:rFonts w:hint="default" w:ascii="Times New Roman" w:hAnsi="Times New Roman" w:eastAsia="宋体" w:cs="Times New Roman"/>
          <w:bCs/>
          <w:i/>
          <w:iCs/>
          <w:caps w:val="0"/>
          <w:smallCaps w:val="0"/>
          <w:color w:val="auto"/>
          <w:kern w:val="0"/>
          <w:sz w:val="24"/>
          <w:szCs w:val="24"/>
          <w:u w:val="none" w:color="auto"/>
        </w:rPr>
        <w:t>Alcedo atthis</w:t>
      </w:r>
      <w:r>
        <w:rPr>
          <w:rFonts w:hint="default" w:ascii="Times New Roman" w:hAnsi="Times New Roman" w:eastAsia="宋体" w:cs="Times New Roman"/>
          <w:bCs/>
          <w:caps w:val="0"/>
          <w:smallCaps w:val="0"/>
          <w:color w:val="auto"/>
          <w:kern w:val="0"/>
          <w:sz w:val="24"/>
          <w:szCs w:val="24"/>
          <w:u w:val="none" w:color="auto"/>
        </w:rPr>
        <w:t>）、家燕</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i/>
          <w:iCs/>
          <w:caps w:val="0"/>
          <w:smallCaps w:val="0"/>
          <w:color w:val="auto"/>
          <w:kern w:val="0"/>
          <w:sz w:val="24"/>
          <w:szCs w:val="24"/>
          <w:u w:val="none" w:color="auto"/>
          <w:lang w:val="en-US" w:eastAsia="zh-CN"/>
        </w:rPr>
        <w:t>Hirundo rustica</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highlight w:val="none"/>
          <w:u w:val="none" w:color="auto"/>
          <w:lang w:eastAsia="zh-CN"/>
        </w:rPr>
        <w:t>小䴙䴘</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lang w:val="en-US" w:eastAsia="zh-CN"/>
        </w:rPr>
        <w:t>黑卷尾（</w:t>
      </w:r>
      <w:r>
        <w:rPr>
          <w:rFonts w:hint="default" w:ascii="Times New Roman" w:hAnsi="Times New Roman" w:eastAsia="宋体" w:cs="Times New Roman"/>
          <w:bCs/>
          <w:i/>
          <w:iCs/>
          <w:caps w:val="0"/>
          <w:smallCaps w:val="0"/>
          <w:color w:val="auto"/>
          <w:kern w:val="0"/>
          <w:sz w:val="24"/>
          <w:szCs w:val="24"/>
          <w:u w:val="none" w:color="auto"/>
          <w:lang w:val="en-US" w:eastAsia="zh-CN"/>
        </w:rPr>
        <w:t>Dicrurus macrocercus</w:t>
      </w:r>
      <w:r>
        <w:rPr>
          <w:rFonts w:hint="default" w:ascii="Times New Roman" w:hAnsi="Times New Roman" w:eastAsia="宋体" w:cs="Times New Roman"/>
          <w:bCs/>
          <w:caps w:val="0"/>
          <w:smallCaps w:val="0"/>
          <w:color w:val="auto"/>
          <w:kern w:val="0"/>
          <w:sz w:val="24"/>
          <w:szCs w:val="24"/>
          <w:u w:val="none" w:color="auto"/>
          <w:lang w:val="en-US" w:eastAsia="zh-CN"/>
        </w:rPr>
        <w:t>）、</w:t>
      </w:r>
      <w:r>
        <w:rPr>
          <w:rFonts w:hint="default" w:ascii="Times New Roman" w:hAnsi="Times New Roman" w:eastAsia="宋体" w:cs="Times New Roman"/>
          <w:color w:val="auto"/>
          <w:kern w:val="0"/>
          <w:sz w:val="24"/>
          <w:szCs w:val="24"/>
          <w:u w:val="none" w:color="auto"/>
        </w:rPr>
        <w:t>白头鹎</w:t>
      </w:r>
      <w:r>
        <w:rPr>
          <w:rFonts w:hint="default" w:ascii="Times New Roman" w:hAnsi="Times New Roman" w:eastAsia="宋体" w:cs="Times New Roman"/>
          <w:color w:val="auto"/>
          <w:kern w:val="0"/>
          <w:sz w:val="24"/>
          <w:szCs w:val="24"/>
          <w:u w:val="none" w:color="auto"/>
          <w:lang w:eastAsia="zh-CN"/>
        </w:rPr>
        <w:t>（</w:t>
      </w:r>
      <w:r>
        <w:rPr>
          <w:rFonts w:hint="default" w:ascii="Times New Roman" w:hAnsi="Times New Roman" w:eastAsia="宋体" w:cs="Times New Roman"/>
          <w:i/>
          <w:iCs/>
          <w:color w:val="auto"/>
          <w:kern w:val="0"/>
          <w:sz w:val="24"/>
          <w:szCs w:val="24"/>
          <w:u w:val="none" w:color="auto"/>
          <w:lang w:eastAsia="zh-CN"/>
        </w:rPr>
        <w:t>Pycnonotus sinensis</w:t>
      </w:r>
      <w:r>
        <w:rPr>
          <w:rFonts w:hint="default" w:ascii="Times New Roman" w:hAnsi="Times New Roman" w:eastAsia="宋体" w:cs="Times New Roman"/>
          <w:color w:val="auto"/>
          <w:kern w:val="0"/>
          <w:sz w:val="24"/>
          <w:szCs w:val="24"/>
          <w:u w:val="none" w:color="auto"/>
          <w:lang w:eastAsia="zh-CN"/>
        </w:rPr>
        <w:t>）、乌鸫（</w:t>
      </w:r>
      <w:r>
        <w:rPr>
          <w:rFonts w:hint="default" w:ascii="Times New Roman" w:hAnsi="Times New Roman" w:eastAsia="宋体" w:cs="Times New Roman"/>
          <w:i/>
          <w:iCs/>
          <w:color w:val="auto"/>
          <w:kern w:val="0"/>
          <w:sz w:val="24"/>
          <w:szCs w:val="24"/>
          <w:u w:val="none" w:color="auto"/>
          <w:lang w:eastAsia="zh-CN"/>
        </w:rPr>
        <w:t>Turdus merula</w:t>
      </w:r>
      <w:r>
        <w:rPr>
          <w:rFonts w:hint="default" w:ascii="Times New Roman" w:hAnsi="Times New Roman" w:eastAsia="宋体" w:cs="Times New Roman"/>
          <w:color w:val="auto"/>
          <w:kern w:val="0"/>
          <w:sz w:val="24"/>
          <w:szCs w:val="24"/>
          <w:u w:val="none" w:color="auto"/>
          <w:lang w:eastAsia="zh-CN"/>
        </w:rPr>
        <w:t>）、环颈雉、红尾伯劳</w:t>
      </w:r>
      <w:r>
        <w:rPr>
          <w:rFonts w:hint="default" w:ascii="Times New Roman" w:hAnsi="Times New Roman" w:eastAsia="宋体" w:cs="Times New Roman"/>
          <w:bCs/>
          <w:caps w:val="0"/>
          <w:smallCaps w:val="0"/>
          <w:color w:val="auto"/>
          <w:kern w:val="0"/>
          <w:sz w:val="24"/>
          <w:szCs w:val="24"/>
          <w:u w:val="none" w:color="auto"/>
        </w:rPr>
        <w:t>。</w:t>
      </w:r>
    </w:p>
    <w:p w14:paraId="30AA964D">
      <w:pPr>
        <w:keepNext w:val="0"/>
        <w:keepLines w:val="0"/>
        <w:pageBreakBefore w:val="0"/>
        <w:widowControl w:val="0"/>
        <w:kinsoku/>
        <w:wordWrap/>
        <w:overflowPunct/>
        <w:topLinePunct w:val="0"/>
        <w:autoSpaceDE w:val="0"/>
        <w:autoSpaceDN w:val="0"/>
        <w:bidi w:val="0"/>
        <w:adjustRightInd w:val="0"/>
        <w:spacing w:line="360" w:lineRule="auto"/>
        <w:ind w:firstLine="482" w:firstLineChars="200"/>
        <w:jc w:val="left"/>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（2）生态类型</w:t>
      </w:r>
    </w:p>
    <w:p w14:paraId="5AF11CA1">
      <w:pPr>
        <w:keepNext w:val="0"/>
        <w:keepLines w:val="0"/>
        <w:pageBreakBefore w:val="0"/>
        <w:widowControl w:val="0"/>
        <w:kinsoku/>
        <w:wordWrap/>
        <w:overflowPunct/>
        <w:topLinePunct w:val="0"/>
        <w:bidi w:val="0"/>
        <w:spacing w:line="360" w:lineRule="auto"/>
        <w:ind w:firstLine="480" w:firstLineChars="200"/>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kern w:val="0"/>
          <w:sz w:val="24"/>
          <w:szCs w:val="24"/>
          <w:u w:val="none" w:color="auto"/>
          <w:lang w:val="zh-CN"/>
        </w:rPr>
        <w:t>根据鸟类生活习性的不同，将野生鸟类分为以下</w:t>
      </w:r>
      <w:r>
        <w:rPr>
          <w:rFonts w:hint="default" w:ascii="Times New Roman" w:hAnsi="Times New Roman" w:eastAsia="宋体" w:cs="Times New Roman"/>
          <w:bCs/>
          <w:caps w:val="0"/>
          <w:smallCaps w:val="0"/>
          <w:color w:val="auto"/>
          <w:kern w:val="0"/>
          <w:sz w:val="24"/>
          <w:szCs w:val="24"/>
          <w:u w:val="none" w:color="auto"/>
        </w:rPr>
        <w:t>6</w:t>
      </w:r>
      <w:r>
        <w:rPr>
          <w:rFonts w:hint="default" w:ascii="Times New Roman" w:hAnsi="Times New Roman" w:eastAsia="宋体" w:cs="Times New Roman"/>
          <w:bCs/>
          <w:caps w:val="0"/>
          <w:smallCaps w:val="0"/>
          <w:color w:val="auto"/>
          <w:kern w:val="0"/>
          <w:sz w:val="24"/>
          <w:szCs w:val="24"/>
          <w:u w:val="none" w:color="auto"/>
          <w:lang w:val="zh-CN"/>
        </w:rPr>
        <w:t>种生态类型</w:t>
      </w:r>
      <w:r>
        <w:rPr>
          <w:rFonts w:hint="default" w:ascii="Times New Roman" w:hAnsi="Times New Roman" w:eastAsia="宋体" w:cs="Times New Roman"/>
          <w:bCs/>
          <w:caps w:val="0"/>
          <w:smallCaps w:val="0"/>
          <w:color w:val="auto"/>
          <w:sz w:val="24"/>
          <w:szCs w:val="24"/>
          <w:u w:val="none" w:color="auto"/>
        </w:rPr>
        <w:t>：</w:t>
      </w:r>
    </w:p>
    <w:p w14:paraId="26020F5D">
      <w:pPr>
        <w:keepNext w:val="0"/>
        <w:keepLines w:val="0"/>
        <w:pageBreakBefore w:val="0"/>
        <w:widowControl w:val="0"/>
        <w:kinsoku/>
        <w:wordWrap/>
        <w:overflowPunct/>
        <w:topLinePunct w:val="0"/>
        <w:bidi w:val="0"/>
        <w:spacing w:line="360" w:lineRule="auto"/>
        <w:ind w:firstLine="482" w:firstLineChars="200"/>
        <w:jc w:val="both"/>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
          <w:bCs/>
          <w:caps w:val="0"/>
          <w:smallCaps w:val="0"/>
          <w:color w:val="auto"/>
          <w:sz w:val="24"/>
          <w:szCs w:val="24"/>
          <w:u w:val="none" w:color="auto"/>
        </w:rPr>
        <w:t>游禽</w:t>
      </w:r>
      <w:r>
        <w:rPr>
          <w:rFonts w:hint="default" w:ascii="Times New Roman" w:hAnsi="Times New Roman" w:eastAsia="宋体" w:cs="Times New Roman"/>
          <w:bCs/>
          <w:caps w:val="0"/>
          <w:smallCaps w:val="0"/>
          <w:color w:val="auto"/>
          <w:sz w:val="24"/>
          <w:szCs w:val="24"/>
          <w:u w:val="none" w:color="auto"/>
        </w:rPr>
        <w:t>（脚向后伸，趾间有蹼，有扁阔的或尖嘴，善于游泳、潜水和在水中掏取食物）：主要分布于</w:t>
      </w:r>
      <w:r>
        <w:rPr>
          <w:rFonts w:hint="default" w:ascii="Times New Roman" w:hAnsi="Times New Roman" w:eastAsia="宋体" w:cs="Times New Roman"/>
          <w:bCs/>
          <w:caps w:val="0"/>
          <w:smallCaps w:val="0"/>
          <w:color w:val="auto"/>
          <w:sz w:val="24"/>
          <w:szCs w:val="24"/>
          <w:u w:val="none" w:color="auto"/>
          <w:lang w:val="en-US" w:eastAsia="zh-CN"/>
        </w:rPr>
        <w:t>河流、</w:t>
      </w:r>
      <w:r>
        <w:rPr>
          <w:rFonts w:hint="default" w:ascii="Times New Roman" w:hAnsi="Times New Roman" w:eastAsia="宋体" w:cs="Times New Roman"/>
          <w:bCs/>
          <w:caps w:val="0"/>
          <w:smallCaps w:val="0"/>
          <w:color w:val="auto"/>
          <w:sz w:val="24"/>
          <w:szCs w:val="24"/>
          <w:u w:val="none" w:color="auto"/>
        </w:rPr>
        <w:t>池塘</w:t>
      </w:r>
      <w:r>
        <w:rPr>
          <w:rFonts w:hint="default" w:ascii="Times New Roman" w:hAnsi="Times New Roman" w:eastAsia="宋体" w:cs="Times New Roman"/>
          <w:bCs/>
          <w:caps w:val="0"/>
          <w:smallCaps w:val="0"/>
          <w:color w:val="auto"/>
          <w:sz w:val="24"/>
          <w:szCs w:val="24"/>
          <w:u w:val="none" w:color="auto"/>
          <w:lang w:val="en-US" w:eastAsia="zh-CN"/>
        </w:rPr>
        <w:t>区域。</w:t>
      </w:r>
      <w:r>
        <w:rPr>
          <w:rFonts w:hint="default" w:ascii="Times New Roman" w:hAnsi="Times New Roman" w:eastAsia="宋体" w:cs="Times New Roman"/>
          <w:bCs/>
          <w:caps w:val="0"/>
          <w:smallCaps w:val="0"/>
          <w:color w:val="auto"/>
          <w:sz w:val="24"/>
          <w:szCs w:val="24"/>
          <w:u w:val="none" w:color="auto"/>
        </w:rPr>
        <w:t>评价区内仅有䴙䴘目的1种，为小䴙䴘</w:t>
      </w:r>
      <w:r>
        <w:rPr>
          <w:rFonts w:hint="default" w:ascii="Times New Roman" w:hAnsi="Times New Roman" w:eastAsia="宋体" w:cs="Times New Roman"/>
          <w:bCs/>
          <w:caps w:val="0"/>
          <w:smallCaps w:val="0"/>
          <w:color w:val="auto"/>
          <w:sz w:val="24"/>
          <w:szCs w:val="24"/>
          <w:u w:val="none" w:color="auto"/>
          <w:lang w:eastAsia="zh-CN"/>
        </w:rPr>
        <w:t>（</w:t>
      </w:r>
      <w:r>
        <w:rPr>
          <w:rFonts w:hint="default" w:ascii="Times New Roman" w:hAnsi="Times New Roman" w:eastAsia="宋体" w:cs="Times New Roman"/>
          <w:bCs/>
          <w:i/>
          <w:iCs/>
          <w:caps w:val="0"/>
          <w:smallCaps w:val="0"/>
          <w:color w:val="auto"/>
          <w:sz w:val="24"/>
          <w:szCs w:val="24"/>
          <w:u w:val="none" w:color="auto"/>
          <w:lang w:eastAsia="zh-CN"/>
        </w:rPr>
        <w:t>Tachybaptus ruficollis</w:t>
      </w:r>
      <w:r>
        <w:rPr>
          <w:rFonts w:hint="default" w:ascii="Times New Roman" w:hAnsi="Times New Roman" w:eastAsia="宋体" w:cs="Times New Roman"/>
          <w:bCs/>
          <w:caps w:val="0"/>
          <w:smallCaps w:val="0"/>
          <w:color w:val="auto"/>
          <w:sz w:val="24"/>
          <w:szCs w:val="24"/>
          <w:u w:val="none" w:color="auto"/>
          <w:lang w:eastAsia="zh-CN"/>
        </w:rPr>
        <w:t>）</w:t>
      </w:r>
      <w:r>
        <w:rPr>
          <w:rFonts w:hint="default" w:ascii="Times New Roman" w:hAnsi="Times New Roman" w:eastAsia="宋体" w:cs="Times New Roman"/>
          <w:bCs/>
          <w:caps w:val="0"/>
          <w:smallCaps w:val="0"/>
          <w:color w:val="auto"/>
          <w:sz w:val="24"/>
          <w:szCs w:val="24"/>
          <w:u w:val="none" w:color="auto"/>
        </w:rPr>
        <w:t>。</w:t>
      </w:r>
    </w:p>
    <w:p w14:paraId="322F4B38">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caps w:val="0"/>
          <w:smallCaps w:val="0"/>
          <w:color w:val="auto"/>
          <w:sz w:val="24"/>
          <w:szCs w:val="24"/>
          <w:u w:val="none" w:color="auto"/>
          <w:lang w:val="en-US" w:eastAsia="zh-CN"/>
        </w:rPr>
      </w:pPr>
      <w:r>
        <w:rPr>
          <w:rFonts w:hint="default" w:ascii="Times New Roman" w:hAnsi="Times New Roman" w:eastAsia="宋体" w:cs="Times New Roman"/>
          <w:b/>
          <w:bCs/>
          <w:caps w:val="0"/>
          <w:smallCaps w:val="0"/>
          <w:color w:val="auto"/>
          <w:sz w:val="24"/>
          <w:szCs w:val="24"/>
          <w:u w:val="none" w:color="auto"/>
        </w:rPr>
        <w:t>涉禽</w:t>
      </w:r>
      <w:r>
        <w:rPr>
          <w:rFonts w:hint="default" w:ascii="Times New Roman" w:hAnsi="Times New Roman" w:eastAsia="宋体" w:cs="Times New Roman"/>
          <w:caps w:val="0"/>
          <w:smallCaps w:val="0"/>
          <w:color w:val="auto"/>
          <w:sz w:val="24"/>
          <w:szCs w:val="24"/>
          <w:u w:val="none" w:color="auto"/>
        </w:rPr>
        <w:t>（嘴，颈和脚都比较长，脚趾也很长，适于涉水行进，不会游泳，常用长嘴插入水底或地面取食）：主要分布于河流、水库岸边的滩涂，以及池塘、水田等处。</w:t>
      </w:r>
      <w:r>
        <w:rPr>
          <w:rFonts w:hint="default" w:ascii="Times New Roman" w:hAnsi="Times New Roman" w:eastAsia="宋体" w:cs="Times New Roman"/>
          <w:bCs/>
          <w:caps w:val="0"/>
          <w:smallCaps w:val="0"/>
          <w:color w:val="auto"/>
          <w:sz w:val="24"/>
          <w:szCs w:val="24"/>
          <w:u w:val="none" w:color="auto"/>
        </w:rPr>
        <w:t>评价区</w:t>
      </w:r>
      <w:r>
        <w:rPr>
          <w:rFonts w:hint="default" w:ascii="Times New Roman" w:hAnsi="Times New Roman" w:eastAsia="宋体" w:cs="Times New Roman"/>
          <w:caps w:val="0"/>
          <w:smallCaps w:val="0"/>
          <w:color w:val="auto"/>
          <w:sz w:val="24"/>
          <w:szCs w:val="24"/>
          <w:u w:val="none" w:color="auto"/>
          <w:lang w:val="en-US" w:eastAsia="zh-CN"/>
        </w:rPr>
        <w:t>记录的有鹳形目的大白鹭、牛背鹭。</w:t>
      </w:r>
    </w:p>
    <w:p w14:paraId="4EBACE1C">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caps w:val="0"/>
          <w:smallCaps w:val="0"/>
          <w:color w:val="auto"/>
          <w:sz w:val="24"/>
          <w:szCs w:val="24"/>
          <w:u w:val="none" w:color="auto"/>
          <w:lang w:eastAsia="zh-CN"/>
        </w:rPr>
      </w:pPr>
      <w:r>
        <w:rPr>
          <w:rFonts w:hint="default" w:ascii="Times New Roman" w:hAnsi="Times New Roman" w:eastAsia="宋体" w:cs="Times New Roman"/>
          <w:b/>
          <w:caps w:val="0"/>
          <w:smallCaps w:val="0"/>
          <w:color w:val="auto"/>
          <w:sz w:val="24"/>
          <w:szCs w:val="24"/>
          <w:u w:val="none" w:color="auto"/>
        </w:rPr>
        <w:t>陆禽</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体格结实</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嘴坚硬</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脚强而有力</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适于挖土</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多在地面活动觅食</w:t>
      </w:r>
      <w:r>
        <w:rPr>
          <w:rFonts w:hint="default" w:ascii="Times New Roman" w:hAnsi="Times New Roman" w:eastAsia="宋体" w:cs="Times New Roman"/>
          <w:caps w:val="0"/>
          <w:smallCaps w:val="0"/>
          <w:color w:val="auto"/>
          <w:sz w:val="24"/>
          <w:szCs w:val="24"/>
          <w:u w:val="none" w:color="auto"/>
        </w:rPr>
        <w:t>）：主要分布于道路两侧的林地及林缘地带或农田及居民点区域。评价区包括鸡形目、鸽形目的环颈雉</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i/>
          <w:iCs/>
          <w:caps w:val="0"/>
          <w:smallCaps w:val="0"/>
          <w:color w:val="auto"/>
          <w:sz w:val="24"/>
          <w:szCs w:val="24"/>
          <w:u w:val="none" w:color="auto"/>
          <w:lang w:eastAsia="zh-CN"/>
        </w:rPr>
        <w:t>Phasianus colchicus</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rPr>
        <w:t>、山斑鸠</w:t>
      </w:r>
      <w:r>
        <w:rPr>
          <w:rFonts w:hint="default" w:ascii="Times New Roman" w:hAnsi="Times New Roman" w:eastAsia="宋体" w:cs="Times New Roman"/>
          <w:caps w:val="0"/>
          <w:smallCaps w:val="0"/>
          <w:color w:val="auto"/>
          <w:sz w:val="24"/>
          <w:szCs w:val="24"/>
          <w:u w:val="none" w:color="auto"/>
          <w:lang w:val="en-US" w:eastAsia="zh-CN"/>
        </w:rPr>
        <w:t>2</w:t>
      </w:r>
      <w:r>
        <w:rPr>
          <w:rFonts w:hint="default" w:ascii="Times New Roman" w:hAnsi="Times New Roman" w:eastAsia="宋体" w:cs="Times New Roman"/>
          <w:caps w:val="0"/>
          <w:smallCaps w:val="0"/>
          <w:color w:val="auto"/>
          <w:sz w:val="24"/>
          <w:szCs w:val="24"/>
          <w:u w:val="none" w:color="auto"/>
        </w:rPr>
        <w:t>种</w:t>
      </w:r>
      <w:r>
        <w:rPr>
          <w:rFonts w:hint="default" w:ascii="Times New Roman" w:hAnsi="Times New Roman" w:eastAsia="宋体" w:cs="Times New Roman"/>
          <w:caps w:val="0"/>
          <w:smallCaps w:val="0"/>
          <w:color w:val="auto"/>
          <w:sz w:val="24"/>
          <w:szCs w:val="24"/>
          <w:u w:val="none" w:color="auto"/>
          <w:lang w:eastAsia="zh-CN"/>
        </w:rPr>
        <w:t>。</w:t>
      </w:r>
    </w:p>
    <w:p w14:paraId="3AEF2854">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caps w:val="0"/>
          <w:smallCaps w:val="0"/>
          <w:color w:val="auto"/>
          <w:sz w:val="24"/>
          <w:szCs w:val="24"/>
          <w:u w:val="none" w:color="auto"/>
          <w:lang w:val="en-US" w:eastAsia="zh-CN"/>
        </w:rPr>
      </w:pPr>
      <w:r>
        <w:rPr>
          <w:rFonts w:hint="default" w:ascii="Times New Roman" w:hAnsi="Times New Roman" w:eastAsia="宋体" w:cs="Times New Roman"/>
          <w:b/>
          <w:caps w:val="0"/>
          <w:smallCaps w:val="0"/>
          <w:color w:val="auto"/>
          <w:sz w:val="24"/>
          <w:szCs w:val="24"/>
          <w:u w:val="none" w:color="auto"/>
        </w:rPr>
        <w:t>猛禽</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具有弯曲如钩的锐利嘴和爪，翅膀强大有力，能在天空翱翔或滑翔，捕食空中或地下活的猎物</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bCs/>
          <w:caps w:val="0"/>
          <w:smallCaps w:val="0"/>
          <w:color w:val="auto"/>
          <w:sz w:val="24"/>
          <w:szCs w:val="24"/>
          <w:u w:val="none" w:color="auto"/>
        </w:rPr>
        <w:t>它们主要分布于针叶林或阔叶林</w:t>
      </w:r>
      <w:r>
        <w:rPr>
          <w:rFonts w:hint="default" w:ascii="Times New Roman" w:hAnsi="Times New Roman" w:eastAsia="宋体" w:cs="Times New Roman"/>
          <w:bCs/>
          <w:caps w:val="0"/>
          <w:smallCaps w:val="0"/>
          <w:color w:val="auto"/>
          <w:sz w:val="24"/>
          <w:szCs w:val="24"/>
          <w:u w:val="none" w:color="auto"/>
          <w:lang w:eastAsia="zh-CN"/>
        </w:rPr>
        <w:t>，</w:t>
      </w:r>
      <w:r>
        <w:rPr>
          <w:rFonts w:hint="default" w:ascii="Times New Roman" w:hAnsi="Times New Roman" w:eastAsia="宋体" w:cs="Times New Roman"/>
          <w:bCs/>
          <w:caps w:val="0"/>
          <w:smallCaps w:val="0"/>
          <w:color w:val="auto"/>
          <w:sz w:val="24"/>
          <w:szCs w:val="24"/>
          <w:u w:val="none" w:color="auto"/>
        </w:rPr>
        <w:t>处于食物链顶端，在生态系统中占有重要地位，它们在控制啮齿类动物的数量，维持环境健康和生态平衡方面具有不可替代的作用。由于猛禽数量稀少，我国将所有猛禽都列为国家重点保护鸟类</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en-US" w:eastAsia="zh-CN"/>
        </w:rPr>
        <w:t>评价区未发现该种鸟类。</w:t>
      </w:r>
    </w:p>
    <w:p w14:paraId="6774D4C0">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caps w:val="0"/>
          <w:smallCaps w:val="0"/>
          <w:color w:val="auto"/>
          <w:sz w:val="24"/>
          <w:szCs w:val="24"/>
          <w:u w:val="none" w:color="auto"/>
          <w:lang w:eastAsia="zh-CN"/>
        </w:rPr>
      </w:pPr>
      <w:r>
        <w:rPr>
          <w:rFonts w:hint="default" w:ascii="Times New Roman" w:hAnsi="Times New Roman" w:eastAsia="宋体" w:cs="Times New Roman"/>
          <w:b/>
          <w:caps w:val="0"/>
          <w:smallCaps w:val="0"/>
          <w:color w:val="auto"/>
          <w:sz w:val="24"/>
          <w:szCs w:val="24"/>
          <w:u w:val="none" w:color="auto"/>
        </w:rPr>
        <w:t>攀禽</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嘴、脚和尾的构造都很特殊</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善于在树上攀缘</w:t>
      </w:r>
      <w:r>
        <w:rPr>
          <w:rFonts w:hint="default" w:ascii="Times New Roman" w:hAnsi="Times New Roman" w:eastAsia="宋体" w:cs="Times New Roman"/>
          <w:caps w:val="0"/>
          <w:smallCaps w:val="0"/>
          <w:color w:val="auto"/>
          <w:sz w:val="24"/>
          <w:szCs w:val="24"/>
          <w:u w:val="none" w:color="auto"/>
        </w:rPr>
        <w:t>）：除了佛法僧目翠鸟科的种类主要分布于水域附近外，其他种类主要分布于各种树林中，有部分也在林缘村庄内活动。</w:t>
      </w:r>
      <w:r>
        <w:rPr>
          <w:rFonts w:hint="default" w:ascii="Times New Roman" w:hAnsi="Times New Roman" w:eastAsia="宋体" w:cs="Times New Roman"/>
          <w:bCs/>
          <w:caps w:val="0"/>
          <w:smallCaps w:val="0"/>
          <w:color w:val="auto"/>
          <w:sz w:val="24"/>
          <w:szCs w:val="24"/>
          <w:u w:val="none" w:color="auto"/>
        </w:rPr>
        <w:t>评价区</w:t>
      </w:r>
      <w:r>
        <w:rPr>
          <w:rFonts w:hint="default" w:ascii="Times New Roman" w:hAnsi="Times New Roman" w:eastAsia="宋体" w:cs="Times New Roman"/>
          <w:caps w:val="0"/>
          <w:smallCaps w:val="0"/>
          <w:color w:val="auto"/>
          <w:sz w:val="24"/>
          <w:szCs w:val="24"/>
          <w:u w:val="none" w:color="auto"/>
        </w:rPr>
        <w:t>包括佛法僧目和啄木鸟目的普通翠鸟和纹胸啄木鸟</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i/>
          <w:iCs/>
          <w:caps w:val="0"/>
          <w:smallCaps w:val="0"/>
          <w:color w:val="auto"/>
          <w:sz w:val="24"/>
          <w:szCs w:val="24"/>
          <w:u w:val="none" w:color="auto"/>
          <w:lang w:eastAsia="zh-CN"/>
        </w:rPr>
        <w:t>Picoides atratus</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rPr>
        <w:t>，共</w:t>
      </w:r>
      <w:r>
        <w:rPr>
          <w:rFonts w:hint="default" w:ascii="Times New Roman" w:hAnsi="Times New Roman" w:eastAsia="宋体" w:cs="Times New Roman"/>
          <w:caps w:val="0"/>
          <w:smallCaps w:val="0"/>
          <w:color w:val="auto"/>
          <w:sz w:val="24"/>
          <w:szCs w:val="24"/>
          <w:u w:val="none" w:color="auto"/>
          <w:lang w:val="en-US" w:eastAsia="zh-CN"/>
        </w:rPr>
        <w:t>2</w:t>
      </w:r>
      <w:r>
        <w:rPr>
          <w:rFonts w:hint="default" w:ascii="Times New Roman" w:hAnsi="Times New Roman" w:eastAsia="宋体" w:cs="Times New Roman"/>
          <w:caps w:val="0"/>
          <w:smallCaps w:val="0"/>
          <w:color w:val="auto"/>
          <w:sz w:val="24"/>
          <w:szCs w:val="24"/>
          <w:u w:val="none" w:color="auto"/>
        </w:rPr>
        <w:t>种</w:t>
      </w:r>
      <w:r>
        <w:rPr>
          <w:rFonts w:hint="default" w:ascii="Times New Roman" w:hAnsi="Times New Roman" w:eastAsia="宋体" w:cs="Times New Roman"/>
          <w:caps w:val="0"/>
          <w:smallCaps w:val="0"/>
          <w:color w:val="auto"/>
          <w:sz w:val="24"/>
          <w:szCs w:val="24"/>
          <w:u w:val="none" w:color="auto"/>
          <w:lang w:eastAsia="zh-CN"/>
        </w:rPr>
        <w:t>。</w:t>
      </w:r>
    </w:p>
    <w:p w14:paraId="17862DEA">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鸣禽</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zh-CN"/>
        </w:rPr>
        <w:t>鸣管和鸣肌特别发达。一般体形较小，体态轻捷，活泼灵巧，善于鸣叫和歌唱，且巧于筑巢</w:t>
      </w:r>
      <w:r>
        <w:rPr>
          <w:rFonts w:hint="default" w:ascii="Times New Roman" w:hAnsi="Times New Roman" w:eastAsia="宋体" w:cs="Times New Roman"/>
          <w:caps w:val="0"/>
          <w:smallCaps w:val="0"/>
          <w:color w:val="auto"/>
          <w:sz w:val="24"/>
          <w:szCs w:val="24"/>
          <w:u w:val="none" w:color="auto"/>
        </w:rPr>
        <w:t>）：雀形目的所有鸟类都为鸣禽，共</w:t>
      </w:r>
      <w:r>
        <w:rPr>
          <w:rFonts w:hint="default" w:ascii="Times New Roman" w:hAnsi="Times New Roman" w:eastAsia="宋体" w:cs="Times New Roman"/>
          <w:caps w:val="0"/>
          <w:smallCaps w:val="0"/>
          <w:color w:val="auto"/>
          <w:sz w:val="24"/>
          <w:szCs w:val="24"/>
          <w:u w:val="none" w:color="auto"/>
          <w:lang w:val="en-US" w:eastAsia="zh-CN"/>
        </w:rPr>
        <w:t>36</w:t>
      </w:r>
      <w:r>
        <w:rPr>
          <w:rFonts w:hint="default" w:ascii="Times New Roman" w:hAnsi="Times New Roman" w:eastAsia="宋体" w:cs="Times New Roman"/>
          <w:caps w:val="0"/>
          <w:smallCaps w:val="0"/>
          <w:color w:val="auto"/>
          <w:sz w:val="24"/>
          <w:szCs w:val="24"/>
          <w:u w:val="none" w:color="auto"/>
        </w:rPr>
        <w:t>种，</w:t>
      </w:r>
      <w:r>
        <w:rPr>
          <w:rFonts w:hint="default" w:ascii="Times New Roman" w:hAnsi="Times New Roman" w:eastAsia="宋体" w:cs="Times New Roman"/>
          <w:bCs/>
          <w:caps w:val="0"/>
          <w:smallCaps w:val="0"/>
          <w:color w:val="auto"/>
          <w:sz w:val="24"/>
          <w:szCs w:val="24"/>
          <w:u w:val="none" w:color="auto"/>
        </w:rPr>
        <w:t>为典型的森林鸟类。它们在评价区内广泛分布，</w:t>
      </w:r>
      <w:r>
        <w:rPr>
          <w:rFonts w:hint="default" w:ascii="Times New Roman" w:hAnsi="Times New Roman" w:eastAsia="宋体" w:cs="Times New Roman"/>
          <w:caps w:val="0"/>
          <w:smallCaps w:val="0"/>
          <w:color w:val="auto"/>
          <w:sz w:val="24"/>
          <w:szCs w:val="24"/>
          <w:u w:val="none" w:color="auto"/>
        </w:rPr>
        <w:t>主要生境为森林、灌丛、农田、居住地等，</w:t>
      </w:r>
      <w:r>
        <w:rPr>
          <w:rFonts w:hint="default" w:ascii="Times New Roman" w:hAnsi="Times New Roman" w:eastAsia="宋体" w:cs="Times New Roman"/>
          <w:bCs/>
          <w:caps w:val="0"/>
          <w:smallCaps w:val="0"/>
          <w:color w:val="auto"/>
          <w:sz w:val="24"/>
          <w:szCs w:val="24"/>
          <w:u w:val="none" w:color="auto"/>
        </w:rPr>
        <w:t>不论是种类还是数量，鸣禽都占绝对优势。野外实地调查中，目击到的种类中，大多数为雀形目种类，如</w:t>
      </w:r>
      <w:r>
        <w:rPr>
          <w:rFonts w:hint="default" w:ascii="Times New Roman" w:hAnsi="Times New Roman" w:eastAsia="宋体" w:cs="Times New Roman"/>
          <w:bCs/>
          <w:caps w:val="0"/>
          <w:smallCaps w:val="0"/>
          <w:color w:val="auto"/>
          <w:sz w:val="24"/>
          <w:szCs w:val="24"/>
          <w:u w:val="none" w:color="auto"/>
          <w:lang w:val="en-US" w:eastAsia="zh-CN"/>
        </w:rPr>
        <w:t>喜鹊</w:t>
      </w:r>
      <w:r>
        <w:rPr>
          <w:rFonts w:hint="default" w:ascii="Times New Roman" w:hAnsi="Times New Roman" w:eastAsia="宋体" w:cs="Times New Roman"/>
          <w:bCs/>
          <w:caps w:val="0"/>
          <w:smallCaps w:val="0"/>
          <w:color w:val="auto"/>
          <w:sz w:val="24"/>
          <w:szCs w:val="24"/>
          <w:u w:val="none" w:color="auto"/>
        </w:rPr>
        <w:t>、</w:t>
      </w:r>
      <w:r>
        <w:rPr>
          <w:rFonts w:hint="default" w:ascii="Times New Roman" w:hAnsi="Times New Roman" w:eastAsia="宋体" w:cs="Times New Roman"/>
          <w:bCs/>
          <w:caps w:val="0"/>
          <w:smallCaps w:val="0"/>
          <w:color w:val="auto"/>
          <w:sz w:val="24"/>
          <w:szCs w:val="24"/>
          <w:u w:val="none" w:color="auto"/>
          <w:lang w:val="en-US" w:eastAsia="zh-CN"/>
        </w:rPr>
        <w:t>家燕、</w:t>
      </w:r>
      <w:r>
        <w:rPr>
          <w:rFonts w:hint="default" w:ascii="Times New Roman" w:hAnsi="Times New Roman" w:eastAsia="宋体" w:cs="Times New Roman"/>
          <w:bCs/>
          <w:caps w:val="0"/>
          <w:smallCaps w:val="0"/>
          <w:color w:val="auto"/>
          <w:sz w:val="24"/>
          <w:szCs w:val="24"/>
          <w:u w:val="none" w:color="auto"/>
          <w:lang w:eastAsia="zh-CN"/>
        </w:rPr>
        <w:t>树麻雀、</w:t>
      </w:r>
      <w:r>
        <w:rPr>
          <w:rFonts w:hint="default" w:ascii="Times New Roman" w:hAnsi="Times New Roman" w:eastAsia="宋体" w:cs="Times New Roman"/>
          <w:bCs/>
          <w:caps w:val="0"/>
          <w:smallCaps w:val="0"/>
          <w:color w:val="auto"/>
          <w:sz w:val="24"/>
          <w:szCs w:val="24"/>
          <w:u w:val="none" w:color="auto"/>
          <w:lang w:val="en-US" w:eastAsia="zh-CN"/>
        </w:rPr>
        <w:t>黑卷尾、白头鹎、</w:t>
      </w:r>
      <w:r>
        <w:rPr>
          <w:rFonts w:hint="default" w:ascii="Times New Roman" w:hAnsi="Times New Roman" w:eastAsia="宋体" w:cs="Times New Roman"/>
          <w:color w:val="auto"/>
          <w:kern w:val="0"/>
          <w:sz w:val="24"/>
          <w:szCs w:val="24"/>
          <w:u w:val="none" w:color="auto"/>
          <w:lang w:eastAsia="zh-CN"/>
        </w:rPr>
        <w:t>乌鸫、</w:t>
      </w:r>
      <w:r>
        <w:rPr>
          <w:rFonts w:hint="default" w:ascii="Times New Roman" w:hAnsi="Times New Roman" w:eastAsia="宋体" w:cs="Times New Roman"/>
          <w:bCs/>
          <w:caps w:val="0"/>
          <w:smallCaps w:val="0"/>
          <w:color w:val="auto"/>
          <w:sz w:val="24"/>
          <w:szCs w:val="24"/>
          <w:u w:val="none" w:color="auto"/>
          <w:lang w:val="en-US" w:eastAsia="zh-CN"/>
        </w:rPr>
        <w:t>黄雀（</w:t>
      </w:r>
      <w:r>
        <w:rPr>
          <w:rFonts w:hint="default" w:ascii="Times New Roman" w:hAnsi="Times New Roman" w:eastAsia="宋体" w:cs="Times New Roman"/>
          <w:bCs/>
          <w:i/>
          <w:iCs/>
          <w:caps w:val="0"/>
          <w:smallCaps w:val="0"/>
          <w:color w:val="auto"/>
          <w:sz w:val="24"/>
          <w:szCs w:val="24"/>
          <w:u w:val="none" w:color="auto"/>
          <w:lang w:val="en-US" w:eastAsia="zh-CN"/>
        </w:rPr>
        <w:t>Carduelis spinus</w:t>
      </w:r>
      <w:r>
        <w:rPr>
          <w:rFonts w:hint="default" w:ascii="Times New Roman" w:hAnsi="Times New Roman" w:eastAsia="宋体" w:cs="Times New Roman"/>
          <w:bCs/>
          <w:caps w:val="0"/>
          <w:smallCaps w:val="0"/>
          <w:color w:val="auto"/>
          <w:sz w:val="24"/>
          <w:szCs w:val="24"/>
          <w:u w:val="none" w:color="auto"/>
          <w:lang w:val="en-US" w:eastAsia="zh-CN"/>
        </w:rPr>
        <w:t>）、渡鸦（</w:t>
      </w:r>
      <w:r>
        <w:rPr>
          <w:rFonts w:hint="default" w:ascii="Times New Roman" w:hAnsi="Times New Roman" w:eastAsia="宋体" w:cs="Times New Roman"/>
          <w:bCs/>
          <w:i/>
          <w:iCs/>
          <w:caps w:val="0"/>
          <w:smallCaps w:val="0"/>
          <w:color w:val="auto"/>
          <w:sz w:val="24"/>
          <w:szCs w:val="24"/>
          <w:u w:val="none" w:color="auto"/>
          <w:lang w:val="en-US" w:eastAsia="zh-CN"/>
        </w:rPr>
        <w:fldChar w:fldCharType="begin"/>
      </w:r>
      <w:r>
        <w:rPr>
          <w:rFonts w:hint="default" w:ascii="Times New Roman" w:hAnsi="Times New Roman" w:eastAsia="宋体" w:cs="Times New Roman"/>
          <w:bCs/>
          <w:i/>
          <w:iCs/>
          <w:caps w:val="0"/>
          <w:smallCaps w:val="0"/>
          <w:color w:val="auto"/>
          <w:sz w:val="24"/>
          <w:szCs w:val="24"/>
          <w:u w:val="none" w:color="auto"/>
          <w:lang w:val="en-US" w:eastAsia="zh-CN"/>
        </w:rPr>
        <w:instrText xml:space="preserve"> HYPERLINK "http://www.zoology.csdb.cn/dbb/ynswrvert/8281" </w:instrText>
      </w:r>
      <w:r>
        <w:rPr>
          <w:rFonts w:hint="default" w:ascii="Times New Roman" w:hAnsi="Times New Roman" w:eastAsia="宋体" w:cs="Times New Roman"/>
          <w:bCs/>
          <w:i/>
          <w:iCs/>
          <w:caps w:val="0"/>
          <w:smallCaps w:val="0"/>
          <w:color w:val="auto"/>
          <w:sz w:val="24"/>
          <w:szCs w:val="24"/>
          <w:u w:val="none" w:color="auto"/>
          <w:lang w:val="en-US" w:eastAsia="zh-CN"/>
        </w:rPr>
        <w:fldChar w:fldCharType="separate"/>
      </w:r>
      <w:r>
        <w:rPr>
          <w:rFonts w:hint="default" w:ascii="Times New Roman" w:hAnsi="Times New Roman" w:eastAsia="宋体" w:cs="Times New Roman"/>
          <w:bCs/>
          <w:i/>
          <w:iCs/>
          <w:caps w:val="0"/>
          <w:smallCaps w:val="0"/>
          <w:color w:val="auto"/>
          <w:sz w:val="24"/>
          <w:szCs w:val="24"/>
          <w:u w:val="none" w:color="auto"/>
          <w:lang w:val="en-US" w:eastAsia="zh-CN"/>
        </w:rPr>
        <w:t>Corvus corax</w:t>
      </w:r>
      <w:r>
        <w:rPr>
          <w:rFonts w:hint="default" w:ascii="Times New Roman" w:hAnsi="Times New Roman" w:eastAsia="宋体" w:cs="Times New Roman"/>
          <w:bCs/>
          <w:i/>
          <w:iCs/>
          <w:caps w:val="0"/>
          <w:smallCaps w:val="0"/>
          <w:color w:val="auto"/>
          <w:sz w:val="24"/>
          <w:szCs w:val="24"/>
          <w:u w:val="none" w:color="auto"/>
          <w:lang w:val="en-US" w:eastAsia="zh-CN"/>
        </w:rPr>
        <w:fldChar w:fldCharType="end"/>
      </w:r>
      <w:r>
        <w:rPr>
          <w:rFonts w:hint="default" w:ascii="Times New Roman" w:hAnsi="Times New Roman" w:eastAsia="宋体" w:cs="Times New Roman"/>
          <w:bCs/>
          <w:caps w:val="0"/>
          <w:smallCaps w:val="0"/>
          <w:color w:val="auto"/>
          <w:sz w:val="24"/>
          <w:szCs w:val="24"/>
          <w:u w:val="none" w:color="auto"/>
          <w:lang w:val="en-US" w:eastAsia="zh-CN"/>
        </w:rPr>
        <w:t>）</w:t>
      </w:r>
      <w:r>
        <w:rPr>
          <w:rFonts w:hint="default" w:ascii="Times New Roman" w:hAnsi="Times New Roman" w:eastAsia="宋体" w:cs="Times New Roman"/>
          <w:bCs/>
          <w:caps w:val="0"/>
          <w:smallCaps w:val="0"/>
          <w:color w:val="auto"/>
          <w:sz w:val="24"/>
          <w:szCs w:val="24"/>
          <w:u w:val="none" w:color="auto"/>
        </w:rPr>
        <w:t>等。</w:t>
      </w:r>
    </w:p>
    <w:p w14:paraId="10520987">
      <w:pPr>
        <w:keepNext w:val="0"/>
        <w:keepLines w:val="0"/>
        <w:pageBreakBefore w:val="0"/>
        <w:widowControl w:val="0"/>
        <w:kinsoku/>
        <w:wordWrap/>
        <w:overflowPunct/>
        <w:topLinePunct w:val="0"/>
        <w:autoSpaceDE w:val="0"/>
        <w:autoSpaceDN w:val="0"/>
        <w:bidi w:val="0"/>
        <w:adjustRightInd w:val="0"/>
        <w:spacing w:line="360" w:lineRule="auto"/>
        <w:ind w:firstLine="482" w:firstLineChars="200"/>
        <w:jc w:val="left"/>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（3）居留型</w:t>
      </w:r>
    </w:p>
    <w:p w14:paraId="4F4EBD9B">
      <w:pPr>
        <w:keepNext w:val="0"/>
        <w:keepLines w:val="0"/>
        <w:pageBreakBefore w:val="0"/>
        <w:widowControl w:val="0"/>
        <w:kinsoku/>
        <w:wordWrap/>
        <w:overflowPunct/>
        <w:topLinePunct w:val="0"/>
        <w:bidi w:val="0"/>
        <w:spacing w:line="360" w:lineRule="auto"/>
        <w:ind w:firstLine="480" w:firstLineChars="200"/>
        <w:textAlignment w:val="auto"/>
        <w:outlineLvl w:val="9"/>
        <w:rPr>
          <w:rFonts w:hint="default" w:ascii="Times New Roman" w:hAnsi="Times New Roman" w:eastAsia="宋体" w:cs="Times New Roman"/>
          <w:caps w:val="0"/>
          <w:smallCaps w:val="0"/>
          <w:color w:val="auto"/>
          <w:sz w:val="24"/>
          <w:szCs w:val="24"/>
          <w:u w:val="none" w:color="auto"/>
          <w:lang w:val="zh-CN"/>
        </w:rPr>
      </w:pPr>
      <w:r>
        <w:rPr>
          <w:rFonts w:hint="default" w:ascii="Times New Roman" w:hAnsi="Times New Roman" w:eastAsia="宋体" w:cs="Times New Roman"/>
          <w:caps w:val="0"/>
          <w:smallCaps w:val="0"/>
          <w:color w:val="auto"/>
          <w:sz w:val="24"/>
          <w:szCs w:val="24"/>
          <w:u w:val="none" w:color="auto"/>
          <w:lang w:val="zh-CN"/>
        </w:rPr>
        <w:t>鸟类迁徙是鸟类随着季节变化进行的，方向确定的，有规律地和长距离的迁居活动。根据鸟类迁徙的行为，可将评价区的鸟类分成以下3种居留型。</w:t>
      </w:r>
    </w:p>
    <w:p w14:paraId="3CD1754E">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9"/>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
          <w:bCs/>
          <w:caps w:val="0"/>
          <w:smallCaps w:val="0"/>
          <w:color w:val="auto"/>
          <w:kern w:val="0"/>
          <w:sz w:val="24"/>
          <w:szCs w:val="24"/>
          <w:u w:val="none" w:color="auto"/>
          <w:lang w:val="zh-CN"/>
        </w:rPr>
        <w:t>留鸟</w:t>
      </w:r>
      <w:r>
        <w:rPr>
          <w:rFonts w:hint="default" w:ascii="Times New Roman" w:hAnsi="Times New Roman" w:eastAsia="宋体" w:cs="Times New Roman"/>
          <w:bCs/>
          <w:caps w:val="0"/>
          <w:smallCaps w:val="0"/>
          <w:color w:val="auto"/>
          <w:kern w:val="0"/>
          <w:sz w:val="24"/>
          <w:szCs w:val="24"/>
          <w:u w:val="none" w:color="auto"/>
          <w:lang w:val="zh-CN"/>
        </w:rPr>
        <w:t>（长期栖居在生殖地域，不作周期性迁徙的鸟类）：共</w:t>
      </w:r>
      <w:r>
        <w:rPr>
          <w:rFonts w:hint="default" w:ascii="Times New Roman" w:hAnsi="Times New Roman" w:eastAsia="宋体" w:cs="Times New Roman"/>
          <w:bCs/>
          <w:caps w:val="0"/>
          <w:smallCaps w:val="0"/>
          <w:color w:val="auto"/>
          <w:kern w:val="0"/>
          <w:sz w:val="24"/>
          <w:szCs w:val="24"/>
          <w:u w:val="none" w:color="auto"/>
          <w:lang w:val="en-US" w:eastAsia="zh-CN"/>
        </w:rPr>
        <w:t>48</w:t>
      </w:r>
      <w:r>
        <w:rPr>
          <w:rFonts w:hint="default" w:ascii="Times New Roman" w:hAnsi="Times New Roman" w:eastAsia="宋体" w:cs="Times New Roman"/>
          <w:bCs/>
          <w:caps w:val="0"/>
          <w:smallCaps w:val="0"/>
          <w:color w:val="auto"/>
          <w:kern w:val="0"/>
          <w:sz w:val="24"/>
          <w:szCs w:val="24"/>
          <w:u w:val="none" w:color="auto"/>
          <w:lang w:val="zh-CN"/>
        </w:rPr>
        <w:t>种，占评价区所有鸟类种数的</w:t>
      </w:r>
      <w:r>
        <w:rPr>
          <w:rFonts w:hint="default" w:ascii="Times New Roman" w:hAnsi="Times New Roman" w:eastAsia="宋体" w:cs="Times New Roman"/>
          <w:bCs/>
          <w:caps w:val="0"/>
          <w:smallCaps w:val="0"/>
          <w:color w:val="auto"/>
          <w:kern w:val="0"/>
          <w:sz w:val="24"/>
          <w:szCs w:val="24"/>
          <w:u w:val="none" w:color="auto"/>
          <w:lang w:val="en-US" w:eastAsia="zh-CN"/>
        </w:rPr>
        <w:t>80</w:t>
      </w:r>
      <w:r>
        <w:rPr>
          <w:rFonts w:hint="default" w:ascii="Times New Roman" w:hAnsi="Times New Roman" w:eastAsia="宋体" w:cs="Times New Roman"/>
          <w:bCs/>
          <w:caps w:val="0"/>
          <w:smallCaps w:val="0"/>
          <w:color w:val="auto"/>
          <w:kern w:val="0"/>
          <w:sz w:val="24"/>
          <w:szCs w:val="24"/>
          <w:u w:val="none" w:color="auto"/>
          <w:lang w:val="zh-CN"/>
        </w:rPr>
        <w:t>%，在评价区内占的比例最大，主要包括</w:t>
      </w:r>
      <w:r>
        <w:rPr>
          <w:rFonts w:hint="default" w:ascii="Times New Roman" w:hAnsi="Times New Roman" w:eastAsia="宋体" w:cs="Times New Roman"/>
          <w:bCs/>
          <w:caps w:val="0"/>
          <w:smallCaps w:val="0"/>
          <w:color w:val="auto"/>
          <w:kern w:val="0"/>
          <w:sz w:val="24"/>
          <w:szCs w:val="24"/>
          <w:u w:val="none" w:color="auto"/>
        </w:rPr>
        <w:t>鹎科</w:t>
      </w:r>
      <w:r>
        <w:rPr>
          <w:rFonts w:hint="default" w:ascii="Times New Roman" w:hAnsi="Times New Roman" w:eastAsia="宋体" w:cs="Times New Roman"/>
          <w:bCs/>
          <w:caps w:val="0"/>
          <w:smallCaps w:val="0"/>
          <w:color w:val="auto"/>
          <w:kern w:val="0"/>
          <w:sz w:val="24"/>
          <w:szCs w:val="24"/>
          <w:u w:val="none" w:color="auto"/>
          <w:lang w:val="zh-CN"/>
        </w:rPr>
        <w:t>、</w:t>
      </w:r>
      <w:r>
        <w:rPr>
          <w:rFonts w:hint="default" w:ascii="Times New Roman" w:hAnsi="Times New Roman" w:eastAsia="宋体" w:cs="Times New Roman"/>
          <w:bCs/>
          <w:caps w:val="0"/>
          <w:smallCaps w:val="0"/>
          <w:color w:val="auto"/>
          <w:kern w:val="0"/>
          <w:sz w:val="24"/>
          <w:szCs w:val="24"/>
          <w:u w:val="none" w:color="auto"/>
        </w:rPr>
        <w:t>鹡鸰科、</w:t>
      </w:r>
      <w:r>
        <w:rPr>
          <w:rFonts w:hint="default" w:ascii="Times New Roman" w:hAnsi="Times New Roman" w:eastAsia="宋体" w:cs="Times New Roman"/>
          <w:bCs/>
          <w:caps w:val="0"/>
          <w:smallCaps w:val="0"/>
          <w:color w:val="auto"/>
          <w:kern w:val="0"/>
          <w:sz w:val="24"/>
          <w:szCs w:val="24"/>
          <w:u w:val="none" w:color="auto"/>
          <w:lang w:val="zh-CN"/>
        </w:rPr>
        <w:t>鸠鸽科、</w:t>
      </w:r>
      <w:r>
        <w:rPr>
          <w:rFonts w:hint="default" w:ascii="Times New Roman" w:hAnsi="Times New Roman" w:eastAsia="宋体" w:cs="Times New Roman"/>
          <w:bCs/>
          <w:caps w:val="0"/>
          <w:smallCaps w:val="0"/>
          <w:color w:val="auto"/>
          <w:kern w:val="0"/>
          <w:sz w:val="24"/>
          <w:szCs w:val="24"/>
          <w:u w:val="none" w:color="auto"/>
        </w:rPr>
        <w:t>椋鸟科、雀科、山雀科、绣眼鸟科、莺鹛科、</w:t>
      </w:r>
      <w:r>
        <w:rPr>
          <w:rFonts w:hint="default" w:ascii="Times New Roman" w:hAnsi="Times New Roman" w:eastAsia="宋体" w:cs="Times New Roman"/>
          <w:bCs/>
          <w:caps w:val="0"/>
          <w:smallCaps w:val="0"/>
          <w:color w:val="auto"/>
          <w:kern w:val="0"/>
          <w:sz w:val="24"/>
          <w:szCs w:val="24"/>
          <w:u w:val="none" w:color="auto"/>
          <w:lang w:val="zh-CN"/>
        </w:rPr>
        <w:t>鸦科、噪鹛科等鸟类，其中以鸦科种类鸟类居多。</w:t>
      </w:r>
    </w:p>
    <w:p w14:paraId="39CD93B9">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9"/>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
          <w:bCs/>
          <w:caps w:val="0"/>
          <w:smallCaps w:val="0"/>
          <w:color w:val="auto"/>
          <w:kern w:val="0"/>
          <w:sz w:val="24"/>
          <w:szCs w:val="24"/>
          <w:u w:val="none" w:color="auto"/>
          <w:lang w:val="zh-CN"/>
        </w:rPr>
        <w:t>冬候鸟</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冬季在某个地区生活</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春季飞到较远而且较冷的地区繁殖</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秋季又飞回原地区的鸟</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共</w:t>
      </w:r>
      <w:r>
        <w:rPr>
          <w:rFonts w:hint="default" w:ascii="Times New Roman" w:hAnsi="Times New Roman" w:eastAsia="宋体" w:cs="Times New Roman"/>
          <w:bCs/>
          <w:caps w:val="0"/>
          <w:smallCaps w:val="0"/>
          <w:color w:val="auto"/>
          <w:kern w:val="0"/>
          <w:sz w:val="24"/>
          <w:szCs w:val="24"/>
          <w:u w:val="none" w:color="auto"/>
          <w:lang w:val="en-US" w:eastAsia="zh-CN"/>
        </w:rPr>
        <w:t>7</w:t>
      </w:r>
      <w:r>
        <w:rPr>
          <w:rFonts w:hint="default" w:ascii="Times New Roman" w:hAnsi="Times New Roman" w:eastAsia="宋体" w:cs="Times New Roman"/>
          <w:bCs/>
          <w:caps w:val="0"/>
          <w:smallCaps w:val="0"/>
          <w:color w:val="auto"/>
          <w:kern w:val="0"/>
          <w:sz w:val="24"/>
          <w:szCs w:val="24"/>
          <w:u w:val="none" w:color="auto"/>
          <w:lang w:val="zh-CN"/>
        </w:rPr>
        <w:t>种</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占评价区所有鸟类的</w:t>
      </w:r>
      <w:r>
        <w:rPr>
          <w:rFonts w:hint="default" w:ascii="Times New Roman" w:hAnsi="Times New Roman" w:eastAsia="宋体" w:cs="Times New Roman"/>
          <w:bCs/>
          <w:caps w:val="0"/>
          <w:smallCaps w:val="0"/>
          <w:color w:val="auto"/>
          <w:kern w:val="0"/>
          <w:sz w:val="24"/>
          <w:szCs w:val="24"/>
          <w:u w:val="none" w:color="auto"/>
          <w:lang w:val="en-US" w:eastAsia="zh-CN"/>
        </w:rPr>
        <w:t>11.67</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种类较少</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有</w:t>
      </w:r>
      <w:r>
        <w:rPr>
          <w:rFonts w:hint="default" w:ascii="Times New Roman" w:hAnsi="Times New Roman" w:eastAsia="宋体" w:cs="Times New Roman"/>
          <w:bCs/>
          <w:caps w:val="0"/>
          <w:smallCaps w:val="0"/>
          <w:color w:val="auto"/>
          <w:kern w:val="0"/>
          <w:sz w:val="24"/>
          <w:szCs w:val="24"/>
          <w:u w:val="none" w:color="auto"/>
          <w:lang w:val="en-US" w:eastAsia="zh-CN"/>
        </w:rPr>
        <w:t>大白鹭、</w:t>
      </w:r>
      <w:r>
        <w:rPr>
          <w:rFonts w:hint="default" w:ascii="Times New Roman" w:hAnsi="Times New Roman" w:eastAsia="宋体" w:cs="Times New Roman"/>
          <w:bCs/>
          <w:caps w:val="0"/>
          <w:smallCaps w:val="0"/>
          <w:color w:val="auto"/>
          <w:kern w:val="0"/>
          <w:sz w:val="24"/>
          <w:szCs w:val="24"/>
          <w:u w:val="none" w:color="auto"/>
        </w:rPr>
        <w:t>黄腰柳莺（</w:t>
      </w:r>
      <w:r>
        <w:rPr>
          <w:rFonts w:hint="default" w:ascii="Times New Roman" w:hAnsi="Times New Roman" w:eastAsia="宋体" w:cs="Times New Roman"/>
          <w:bCs/>
          <w:i/>
          <w:iCs/>
          <w:caps w:val="0"/>
          <w:smallCaps w:val="0"/>
          <w:color w:val="auto"/>
          <w:kern w:val="0"/>
          <w:sz w:val="24"/>
          <w:szCs w:val="24"/>
          <w:u w:val="none" w:color="auto"/>
        </w:rPr>
        <w:t>Phylloscopus proregulus</w:t>
      </w:r>
      <w:r>
        <w:rPr>
          <w:rFonts w:hint="default" w:ascii="Times New Roman" w:hAnsi="Times New Roman" w:eastAsia="宋体" w:cs="Times New Roman"/>
          <w:bCs/>
          <w:caps w:val="0"/>
          <w:smallCaps w:val="0"/>
          <w:color w:val="auto"/>
          <w:kern w:val="0"/>
          <w:sz w:val="24"/>
          <w:szCs w:val="24"/>
          <w:u w:val="none" w:color="auto"/>
        </w:rPr>
        <w:t>）、黄眉柳莺（</w:t>
      </w:r>
      <w:r>
        <w:rPr>
          <w:rFonts w:hint="default" w:ascii="Times New Roman" w:hAnsi="Times New Roman" w:eastAsia="宋体" w:cs="Times New Roman"/>
          <w:bCs/>
          <w:i/>
          <w:iCs/>
          <w:caps w:val="0"/>
          <w:smallCaps w:val="0"/>
          <w:color w:val="auto"/>
          <w:kern w:val="0"/>
          <w:sz w:val="24"/>
          <w:szCs w:val="24"/>
          <w:u w:val="none" w:color="auto"/>
        </w:rPr>
        <w:t>Phylloscopus inornatus</w:t>
      </w:r>
      <w:r>
        <w:rPr>
          <w:rFonts w:hint="default" w:ascii="Times New Roman" w:hAnsi="Times New Roman" w:eastAsia="宋体" w:cs="Times New Roman"/>
          <w:bCs/>
          <w:caps w:val="0"/>
          <w:smallCaps w:val="0"/>
          <w:color w:val="auto"/>
          <w:kern w:val="0"/>
          <w:sz w:val="24"/>
          <w:szCs w:val="24"/>
          <w:u w:val="none" w:color="auto"/>
        </w:rPr>
        <w:t>）、北红尾鸲（</w:t>
      </w:r>
      <w:r>
        <w:rPr>
          <w:rFonts w:hint="default" w:ascii="Times New Roman" w:hAnsi="Times New Roman" w:eastAsia="宋体" w:cs="Times New Roman"/>
          <w:bCs/>
          <w:i/>
          <w:caps w:val="0"/>
          <w:smallCaps w:val="0"/>
          <w:color w:val="auto"/>
          <w:kern w:val="0"/>
          <w:sz w:val="24"/>
          <w:szCs w:val="24"/>
          <w:u w:val="none" w:color="auto"/>
        </w:rPr>
        <w:t>Phoenicurus auroreus</w:t>
      </w:r>
      <w:r>
        <w:rPr>
          <w:rFonts w:hint="default" w:ascii="Times New Roman" w:hAnsi="Times New Roman" w:eastAsia="宋体" w:cs="Times New Roman"/>
          <w:bCs/>
          <w:caps w:val="0"/>
          <w:smallCaps w:val="0"/>
          <w:color w:val="auto"/>
          <w:kern w:val="0"/>
          <w:sz w:val="24"/>
          <w:szCs w:val="24"/>
          <w:u w:val="none" w:color="auto"/>
        </w:rPr>
        <w:t>）、灰鹡鸰</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i/>
          <w:iCs/>
          <w:caps w:val="0"/>
          <w:smallCaps w:val="0"/>
          <w:color w:val="auto"/>
          <w:kern w:val="0"/>
          <w:sz w:val="24"/>
          <w:szCs w:val="24"/>
          <w:u w:val="none" w:color="auto"/>
          <w:lang w:eastAsia="zh-CN"/>
        </w:rPr>
        <w:t>Motacilla cinerea</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rPr>
        <w:t>、树鹨</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i/>
          <w:iCs/>
          <w:caps w:val="0"/>
          <w:smallCaps w:val="0"/>
          <w:color w:val="auto"/>
          <w:kern w:val="0"/>
          <w:sz w:val="24"/>
          <w:szCs w:val="24"/>
          <w:u w:val="none" w:color="auto"/>
          <w:lang w:eastAsia="zh-CN"/>
        </w:rPr>
        <w:t>Anthus hodgsoni</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rPr>
        <w:t>和小鹀</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i/>
          <w:iCs/>
          <w:caps w:val="0"/>
          <w:smallCaps w:val="0"/>
          <w:color w:val="auto"/>
          <w:kern w:val="0"/>
          <w:sz w:val="24"/>
          <w:szCs w:val="24"/>
          <w:u w:val="none" w:color="auto"/>
          <w:lang w:eastAsia="zh-CN"/>
        </w:rPr>
        <w:t>Emberiza pusilla</w:t>
      </w:r>
      <w:r>
        <w:rPr>
          <w:rFonts w:hint="default" w:ascii="Times New Roman" w:hAnsi="Times New Roman" w:eastAsia="宋体" w:cs="Times New Roman"/>
          <w:bCs/>
          <w:caps w:val="0"/>
          <w:smallCaps w:val="0"/>
          <w:color w:val="auto"/>
          <w:kern w:val="0"/>
          <w:sz w:val="24"/>
          <w:szCs w:val="24"/>
          <w:u w:val="none" w:color="auto"/>
          <w:lang w:eastAsia="zh-CN"/>
        </w:rPr>
        <w:t>）</w:t>
      </w:r>
      <w:r>
        <w:rPr>
          <w:rFonts w:hint="default" w:ascii="Times New Roman" w:hAnsi="Times New Roman" w:eastAsia="宋体" w:cs="Times New Roman"/>
          <w:bCs/>
          <w:caps w:val="0"/>
          <w:smallCaps w:val="0"/>
          <w:color w:val="auto"/>
          <w:kern w:val="0"/>
          <w:sz w:val="24"/>
          <w:szCs w:val="24"/>
          <w:u w:val="none" w:color="auto"/>
          <w:lang w:val="zh-CN"/>
        </w:rPr>
        <w:t>。</w:t>
      </w:r>
    </w:p>
    <w:p w14:paraId="079F8DBA">
      <w:pPr>
        <w:keepNext w:val="0"/>
        <w:keepLines w:val="0"/>
        <w:pageBreakBefore w:val="0"/>
        <w:widowControl w:val="0"/>
        <w:kinsoku/>
        <w:wordWrap/>
        <w:overflowPunct/>
        <w:topLinePunct w:val="0"/>
        <w:bidi w:val="0"/>
        <w:spacing w:line="360" w:lineRule="auto"/>
        <w:ind w:firstLine="482" w:firstLineChars="200"/>
        <w:textAlignment w:val="auto"/>
        <w:outlineLvl w:val="9"/>
        <w:rPr>
          <w:rFonts w:hint="default" w:ascii="Times New Roman" w:hAnsi="Times New Roman" w:eastAsia="宋体" w:cs="Times New Roman"/>
          <w:bCs/>
          <w:caps w:val="0"/>
          <w:smallCaps w:val="0"/>
          <w:color w:val="auto"/>
          <w:kern w:val="0"/>
          <w:sz w:val="24"/>
          <w:szCs w:val="24"/>
          <w:u w:val="none" w:color="auto"/>
        </w:rPr>
      </w:pPr>
      <w:r>
        <w:rPr>
          <w:rFonts w:hint="default" w:ascii="Times New Roman" w:hAnsi="Times New Roman" w:eastAsia="宋体" w:cs="Times New Roman"/>
          <w:b/>
          <w:bCs/>
          <w:caps w:val="0"/>
          <w:smallCaps w:val="0"/>
          <w:color w:val="auto"/>
          <w:kern w:val="0"/>
          <w:sz w:val="24"/>
          <w:szCs w:val="24"/>
          <w:u w:val="none" w:color="auto"/>
          <w:lang w:val="zh-CN"/>
        </w:rPr>
        <w:t>夏候鸟</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夏候鸟是指春季或夏季在某个地区繁殖、秋季飞到较暖的地区去过冬、第二年春季再飞回原地区的鸟</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共</w:t>
      </w:r>
      <w:r>
        <w:rPr>
          <w:rFonts w:hint="default" w:ascii="Times New Roman" w:hAnsi="Times New Roman" w:eastAsia="宋体" w:cs="Times New Roman"/>
          <w:bCs/>
          <w:caps w:val="0"/>
          <w:smallCaps w:val="0"/>
          <w:color w:val="auto"/>
          <w:kern w:val="0"/>
          <w:sz w:val="24"/>
          <w:szCs w:val="24"/>
          <w:u w:val="none" w:color="auto"/>
          <w:lang w:val="en-US" w:eastAsia="zh-CN"/>
        </w:rPr>
        <w:t>5</w:t>
      </w:r>
      <w:r>
        <w:rPr>
          <w:rFonts w:hint="default" w:ascii="Times New Roman" w:hAnsi="Times New Roman" w:eastAsia="宋体" w:cs="Times New Roman"/>
          <w:bCs/>
          <w:caps w:val="0"/>
          <w:smallCaps w:val="0"/>
          <w:color w:val="auto"/>
          <w:kern w:val="0"/>
          <w:sz w:val="24"/>
          <w:szCs w:val="24"/>
          <w:u w:val="none" w:color="auto"/>
          <w:lang w:val="zh-CN"/>
        </w:rPr>
        <w:t>种</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占评价区所有鸟类的</w:t>
      </w:r>
      <w:r>
        <w:rPr>
          <w:rFonts w:hint="default" w:ascii="Times New Roman" w:hAnsi="Times New Roman" w:eastAsia="宋体" w:cs="Times New Roman"/>
          <w:bCs/>
          <w:caps w:val="0"/>
          <w:smallCaps w:val="0"/>
          <w:color w:val="auto"/>
          <w:kern w:val="0"/>
          <w:sz w:val="24"/>
          <w:szCs w:val="24"/>
          <w:u w:val="none" w:color="auto"/>
          <w:lang w:val="en-US" w:eastAsia="zh-CN"/>
        </w:rPr>
        <w:t>8.33</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包括红尾伯劳（</w:t>
      </w:r>
      <w:r>
        <w:rPr>
          <w:rFonts w:hint="default" w:ascii="Times New Roman" w:hAnsi="Times New Roman" w:eastAsia="宋体" w:cs="Times New Roman"/>
          <w:bCs/>
          <w:i/>
          <w:iCs/>
          <w:caps w:val="0"/>
          <w:smallCaps w:val="0"/>
          <w:color w:val="auto"/>
          <w:kern w:val="0"/>
          <w:sz w:val="24"/>
          <w:szCs w:val="24"/>
          <w:u w:val="none" w:color="auto"/>
          <w:lang w:val="zh-CN"/>
        </w:rPr>
        <w:t>Lanius cristatus</w:t>
      </w:r>
      <w:r>
        <w:rPr>
          <w:rFonts w:hint="default" w:ascii="Times New Roman" w:hAnsi="Times New Roman" w:eastAsia="宋体" w:cs="Times New Roman"/>
          <w:bCs/>
          <w:caps w:val="0"/>
          <w:smallCaps w:val="0"/>
          <w:color w:val="auto"/>
          <w:kern w:val="0"/>
          <w:sz w:val="24"/>
          <w:szCs w:val="24"/>
          <w:u w:val="none" w:color="auto"/>
          <w:lang w:val="zh-CN"/>
        </w:rPr>
        <w:t>）、东方大苇莺</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i/>
          <w:caps w:val="0"/>
          <w:smallCaps w:val="0"/>
          <w:color w:val="auto"/>
          <w:kern w:val="0"/>
          <w:sz w:val="24"/>
          <w:szCs w:val="24"/>
          <w:u w:val="none" w:color="auto"/>
        </w:rPr>
        <w:t>Acrocephalus orientali</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caps w:val="0"/>
          <w:smallCaps w:val="0"/>
          <w:color w:val="auto"/>
          <w:kern w:val="0"/>
          <w:sz w:val="24"/>
          <w:szCs w:val="24"/>
          <w:u w:val="none" w:color="auto"/>
          <w:lang w:val="zh-CN"/>
        </w:rPr>
        <w:t>、家燕、灰椋鸟（</w:t>
      </w:r>
      <w:r>
        <w:rPr>
          <w:rFonts w:hint="default" w:ascii="Times New Roman" w:hAnsi="Times New Roman" w:eastAsia="宋体" w:cs="Times New Roman"/>
          <w:bCs/>
          <w:i/>
          <w:iCs/>
          <w:caps w:val="0"/>
          <w:smallCaps w:val="0"/>
          <w:color w:val="auto"/>
          <w:kern w:val="0"/>
          <w:sz w:val="24"/>
          <w:szCs w:val="24"/>
          <w:u w:val="none" w:color="auto"/>
          <w:lang w:val="zh-CN"/>
        </w:rPr>
        <w:t>Sturnus cineraceus</w:t>
      </w:r>
      <w:r>
        <w:rPr>
          <w:rFonts w:hint="default" w:ascii="Times New Roman" w:hAnsi="Times New Roman" w:eastAsia="宋体" w:cs="Times New Roman"/>
          <w:bCs/>
          <w:caps w:val="0"/>
          <w:smallCaps w:val="0"/>
          <w:color w:val="auto"/>
          <w:kern w:val="0"/>
          <w:sz w:val="24"/>
          <w:szCs w:val="24"/>
          <w:u w:val="none" w:color="auto"/>
          <w:lang w:val="zh-CN"/>
        </w:rPr>
        <w:t>）和黑喉石鵖</w:t>
      </w:r>
      <w:r>
        <w:rPr>
          <w:rFonts w:hint="default" w:ascii="Times New Roman" w:hAnsi="Times New Roman" w:eastAsia="宋体" w:cs="Times New Roman"/>
          <w:bCs/>
          <w:caps w:val="0"/>
          <w:smallCaps w:val="0"/>
          <w:color w:val="auto"/>
          <w:kern w:val="0"/>
          <w:sz w:val="24"/>
          <w:szCs w:val="24"/>
          <w:u w:val="none" w:color="auto"/>
        </w:rPr>
        <w:t>（</w:t>
      </w:r>
      <w:r>
        <w:rPr>
          <w:rFonts w:hint="default" w:ascii="Times New Roman" w:hAnsi="Times New Roman" w:eastAsia="宋体" w:cs="Times New Roman"/>
          <w:bCs/>
          <w:i/>
          <w:iCs/>
          <w:caps w:val="0"/>
          <w:smallCaps w:val="0"/>
          <w:color w:val="auto"/>
          <w:kern w:val="0"/>
          <w:sz w:val="24"/>
          <w:szCs w:val="24"/>
          <w:u w:val="none" w:color="auto"/>
        </w:rPr>
        <w:t>Saxicola torquatu</w:t>
      </w:r>
      <w:r>
        <w:rPr>
          <w:rFonts w:hint="default" w:ascii="Times New Roman" w:hAnsi="Times New Roman" w:eastAsia="宋体" w:cs="Times New Roman"/>
          <w:bCs/>
          <w:caps w:val="0"/>
          <w:smallCaps w:val="0"/>
          <w:color w:val="auto"/>
          <w:kern w:val="0"/>
          <w:sz w:val="24"/>
          <w:szCs w:val="24"/>
          <w:u w:val="none" w:color="auto"/>
        </w:rPr>
        <w:t>s）。</w:t>
      </w:r>
    </w:p>
    <w:p w14:paraId="0BB66B35">
      <w:pPr>
        <w:keepNext w:val="0"/>
        <w:keepLines w:val="0"/>
        <w:pageBreakBefore w:val="0"/>
        <w:widowControl w:val="0"/>
        <w:kinsoku/>
        <w:wordWrap/>
        <w:overflowPunct/>
        <w:topLinePunct w:val="0"/>
        <w:autoSpaceDE/>
        <w:autoSpaceDN/>
        <w:bidi w:val="0"/>
        <w:adjustRightInd/>
        <w:snapToGrid/>
        <w:spacing w:before="0" w:after="0" w:afterLines="0" w:line="360" w:lineRule="auto"/>
        <w:ind w:firstLine="480" w:firstLineChars="200"/>
        <w:jc w:val="both"/>
        <w:textAlignment w:val="auto"/>
        <w:rPr>
          <w:rFonts w:hint="default" w:ascii="Times New Roman" w:hAnsi="Times New Roman" w:eastAsia="宋体" w:cs="Times New Roman"/>
          <w:caps w:val="0"/>
          <w:smallCaps w:val="0"/>
          <w:color w:val="auto"/>
          <w:kern w:val="2"/>
          <w:sz w:val="24"/>
          <w:szCs w:val="24"/>
          <w:u w:val="none" w:color="auto"/>
          <w:lang w:val="en-US" w:eastAsia="zh-CN" w:bidi="ar-SA"/>
        </w:rPr>
      </w:pPr>
      <w:r>
        <w:rPr>
          <w:rFonts w:hint="default" w:ascii="Times New Roman" w:hAnsi="Times New Roman" w:eastAsia="宋体" w:cs="Times New Roman"/>
          <w:bCs/>
          <w:caps w:val="0"/>
          <w:smallCaps w:val="0"/>
          <w:color w:val="auto"/>
          <w:kern w:val="0"/>
          <w:sz w:val="24"/>
          <w:szCs w:val="24"/>
          <w:u w:val="none" w:color="auto"/>
          <w:lang w:val="zh-CN"/>
        </w:rPr>
        <w:t>综上所述，评价区迁徙鸟类（冬候鸟和夏候鸟）共</w:t>
      </w:r>
      <w:r>
        <w:rPr>
          <w:rFonts w:hint="default" w:ascii="Times New Roman" w:hAnsi="Times New Roman" w:eastAsia="宋体" w:cs="Times New Roman"/>
          <w:bCs/>
          <w:caps w:val="0"/>
          <w:smallCaps w:val="0"/>
          <w:color w:val="auto"/>
          <w:kern w:val="0"/>
          <w:sz w:val="24"/>
          <w:szCs w:val="24"/>
          <w:u w:val="none" w:color="auto"/>
          <w:lang w:val="en-US" w:eastAsia="zh-CN"/>
        </w:rPr>
        <w:t>12</w:t>
      </w:r>
      <w:r>
        <w:rPr>
          <w:rFonts w:hint="default" w:ascii="Times New Roman" w:hAnsi="Times New Roman" w:eastAsia="宋体" w:cs="Times New Roman"/>
          <w:bCs/>
          <w:caps w:val="0"/>
          <w:smallCaps w:val="0"/>
          <w:color w:val="auto"/>
          <w:kern w:val="0"/>
          <w:sz w:val="24"/>
          <w:szCs w:val="24"/>
          <w:u w:val="none" w:color="auto"/>
          <w:lang w:val="zh-CN"/>
        </w:rPr>
        <w:t>种，占评价区鸟类总数的</w:t>
      </w:r>
      <w:r>
        <w:rPr>
          <w:rFonts w:hint="default" w:ascii="Times New Roman" w:hAnsi="Times New Roman" w:eastAsia="宋体" w:cs="Times New Roman"/>
          <w:bCs/>
          <w:caps w:val="0"/>
          <w:smallCaps w:val="0"/>
          <w:color w:val="auto"/>
          <w:kern w:val="0"/>
          <w:sz w:val="24"/>
          <w:szCs w:val="24"/>
          <w:u w:val="none" w:color="auto"/>
          <w:lang w:val="en-US" w:eastAsia="zh-CN"/>
        </w:rPr>
        <w:t>20</w:t>
      </w:r>
      <w:r>
        <w:rPr>
          <w:rFonts w:hint="default" w:ascii="Times New Roman" w:hAnsi="Times New Roman" w:eastAsia="宋体" w:cs="Times New Roman"/>
          <w:bCs/>
          <w:caps w:val="0"/>
          <w:smallCaps w:val="0"/>
          <w:color w:val="auto"/>
          <w:kern w:val="0"/>
          <w:sz w:val="24"/>
          <w:szCs w:val="24"/>
          <w:u w:val="none" w:color="auto"/>
          <w:lang w:val="zh-CN"/>
        </w:rPr>
        <w:t>%，迁徙鸟类占的比重较小。迁徙鸟类中，以雀形目鸟类居多，可见评价区的迁徙鸟类是以鸣禽为主。繁殖鸟（包括留鸟）占的比例</w:t>
      </w:r>
      <w:r>
        <w:rPr>
          <w:rFonts w:hint="default" w:ascii="Times New Roman" w:hAnsi="Times New Roman" w:eastAsia="宋体" w:cs="Times New Roman"/>
          <w:bCs/>
          <w:caps w:val="0"/>
          <w:smallCaps w:val="0"/>
          <w:color w:val="auto"/>
          <w:kern w:val="0"/>
          <w:sz w:val="24"/>
          <w:szCs w:val="24"/>
          <w:u w:val="none" w:color="auto"/>
          <w:lang w:val="en-US" w:eastAsia="zh-CN"/>
        </w:rPr>
        <w:t>较</w:t>
      </w:r>
      <w:r>
        <w:rPr>
          <w:rFonts w:hint="default" w:ascii="Times New Roman" w:hAnsi="Times New Roman" w:eastAsia="宋体" w:cs="Times New Roman"/>
          <w:bCs/>
          <w:caps w:val="0"/>
          <w:smallCaps w:val="0"/>
          <w:color w:val="auto"/>
          <w:kern w:val="0"/>
          <w:sz w:val="24"/>
          <w:szCs w:val="24"/>
          <w:u w:val="none" w:color="auto"/>
          <w:lang w:val="zh-CN"/>
        </w:rPr>
        <w:t>大，共</w:t>
      </w:r>
      <w:r>
        <w:rPr>
          <w:rFonts w:hint="default" w:ascii="Times New Roman" w:hAnsi="Times New Roman" w:eastAsia="宋体" w:cs="Times New Roman"/>
          <w:bCs/>
          <w:caps w:val="0"/>
          <w:smallCaps w:val="0"/>
          <w:color w:val="auto"/>
          <w:kern w:val="0"/>
          <w:sz w:val="24"/>
          <w:szCs w:val="24"/>
          <w:u w:val="none" w:color="auto"/>
          <w:lang w:val="en-US" w:eastAsia="zh-CN"/>
        </w:rPr>
        <w:t>48</w:t>
      </w:r>
      <w:r>
        <w:rPr>
          <w:rFonts w:hint="default" w:ascii="Times New Roman" w:hAnsi="Times New Roman" w:eastAsia="宋体" w:cs="Times New Roman"/>
          <w:bCs/>
          <w:caps w:val="0"/>
          <w:smallCaps w:val="0"/>
          <w:color w:val="auto"/>
          <w:kern w:val="0"/>
          <w:sz w:val="24"/>
          <w:szCs w:val="24"/>
          <w:u w:val="none" w:color="auto"/>
          <w:lang w:val="zh-CN"/>
        </w:rPr>
        <w:t>种，占评价区鸟类总数的</w:t>
      </w:r>
      <w:r>
        <w:rPr>
          <w:rFonts w:hint="default" w:ascii="Times New Roman" w:hAnsi="Times New Roman" w:eastAsia="宋体" w:cs="Times New Roman"/>
          <w:bCs/>
          <w:caps w:val="0"/>
          <w:smallCaps w:val="0"/>
          <w:color w:val="auto"/>
          <w:kern w:val="0"/>
          <w:sz w:val="24"/>
          <w:szCs w:val="24"/>
          <w:u w:val="none" w:color="auto"/>
          <w:lang w:val="en-US" w:eastAsia="zh-CN"/>
        </w:rPr>
        <w:t>80</w:t>
      </w:r>
      <w:r>
        <w:rPr>
          <w:rFonts w:hint="default" w:ascii="Times New Roman" w:hAnsi="Times New Roman" w:eastAsia="宋体" w:cs="Times New Roman"/>
          <w:bCs/>
          <w:caps w:val="0"/>
          <w:smallCaps w:val="0"/>
          <w:color w:val="auto"/>
          <w:kern w:val="0"/>
          <w:sz w:val="24"/>
          <w:szCs w:val="24"/>
          <w:u w:val="none" w:color="auto"/>
          <w:lang w:val="zh-CN"/>
        </w:rPr>
        <w:t>%。即评价区的鸟类中，多数种类在评价区内繁殖</w:t>
      </w:r>
      <w:r>
        <w:rPr>
          <w:rFonts w:hint="default" w:ascii="Times New Roman" w:hAnsi="Times New Roman" w:eastAsia="宋体" w:cs="Times New Roman"/>
          <w:caps w:val="0"/>
          <w:smallCaps w:val="0"/>
          <w:color w:val="auto"/>
          <w:sz w:val="24"/>
          <w:szCs w:val="24"/>
          <w:u w:val="none" w:color="auto"/>
          <w:lang w:val="zh-CN"/>
        </w:rPr>
        <w:t>。</w:t>
      </w:r>
    </w:p>
    <w:p w14:paraId="48EF38EF">
      <w:pPr>
        <w:pStyle w:val="9"/>
        <w:bidi w:val="0"/>
        <w:rPr>
          <w:rFonts w:hint="default" w:ascii="Times New Roman" w:hAnsi="Times New Roman" w:cs="Times New Roman"/>
          <w:color w:val="auto"/>
          <w:u w:val="none" w:color="auto"/>
          <w:lang w:val="zh-CN" w:eastAsia="zh-CN"/>
        </w:rPr>
      </w:pPr>
      <w:r>
        <w:rPr>
          <w:rFonts w:hint="default" w:ascii="Times New Roman" w:hAnsi="Times New Roman" w:cs="Times New Roman"/>
          <w:color w:val="auto"/>
          <w:u w:val="none" w:color="auto"/>
          <w:lang w:val="en-US" w:eastAsia="zh-CN"/>
        </w:rPr>
        <w:t>哺乳类</w:t>
      </w:r>
    </w:p>
    <w:p w14:paraId="6E541364">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Cs/>
          <w:caps w:val="0"/>
          <w:smallCaps w:val="0"/>
          <w:color w:val="auto"/>
          <w:spacing w:val="-4"/>
          <w:kern w:val="0"/>
          <w:sz w:val="24"/>
          <w:szCs w:val="24"/>
          <w:u w:val="none" w:color="auto"/>
          <w:lang w:val="zh-CN"/>
        </w:rPr>
        <w:t>主要通过调查访问和评价区附近的相关文献，并结合实地调查中观察到的评价区的生境状况，对评价区内的哺乳类种类、数量及分布现状进行了全面调查，得出如下结论：</w:t>
      </w:r>
    </w:p>
    <w:p w14:paraId="3209B74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（1）</w:t>
      </w:r>
      <w:r>
        <w:rPr>
          <w:rFonts w:hint="default" w:ascii="Times New Roman" w:hAnsi="Times New Roman" w:eastAsia="宋体" w:cs="Times New Roman"/>
          <w:b/>
          <w:bCs/>
          <w:caps w:val="0"/>
          <w:smallCaps w:val="0"/>
          <w:color w:val="auto"/>
          <w:sz w:val="24"/>
          <w:szCs w:val="24"/>
          <w:u w:val="none" w:color="auto"/>
        </w:rPr>
        <w:t>种类、数量及分布</w:t>
      </w:r>
    </w:p>
    <w:p w14:paraId="1FE59A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caps w:val="0"/>
          <w:smallCaps w:val="0"/>
          <w:color w:val="auto"/>
          <w:sz w:val="24"/>
          <w:szCs w:val="24"/>
          <w:u w:val="none" w:color="auto"/>
        </w:rPr>
        <w:t>通过野外勘查、调查访问和查阅相关资料，评价区的哺乳类共有4目7科12种。以啮齿目和翼手目最多，各5种，各占总种数的41.67%。评价区内未发现国家级重点保护哺乳类；有湖南省级重点保护哺乳类7种，为华南兔、东北刺猬、大蹄蝠（</w:t>
      </w:r>
      <w:r>
        <w:rPr>
          <w:rFonts w:hint="default" w:ascii="Times New Roman" w:hAnsi="Times New Roman" w:eastAsia="宋体" w:cs="Times New Roman"/>
          <w:i/>
          <w:iCs/>
          <w:caps w:val="0"/>
          <w:smallCaps w:val="0"/>
          <w:color w:val="auto"/>
          <w:sz w:val="24"/>
          <w:szCs w:val="24"/>
          <w:u w:val="none" w:color="auto"/>
        </w:rPr>
        <w:t>Hipposideros armiger</w:t>
      </w:r>
      <w:r>
        <w:rPr>
          <w:rFonts w:hint="default" w:ascii="Times New Roman" w:hAnsi="Times New Roman" w:eastAsia="宋体" w:cs="Times New Roman"/>
          <w:caps w:val="0"/>
          <w:smallCaps w:val="0"/>
          <w:color w:val="auto"/>
          <w:sz w:val="24"/>
          <w:szCs w:val="24"/>
          <w:u w:val="none" w:color="auto"/>
        </w:rPr>
        <w:t>）、普氏蹄蝠（</w:t>
      </w:r>
      <w:r>
        <w:rPr>
          <w:rFonts w:hint="default" w:ascii="Times New Roman" w:hAnsi="Times New Roman" w:eastAsia="宋体" w:cs="Times New Roman"/>
          <w:i/>
          <w:iCs/>
          <w:caps w:val="0"/>
          <w:smallCaps w:val="0"/>
          <w:color w:val="auto"/>
          <w:sz w:val="24"/>
          <w:szCs w:val="24"/>
          <w:u w:val="none" w:color="auto"/>
        </w:rPr>
        <w:t>Hipposideros pratti</w:t>
      </w:r>
      <w:r>
        <w:rPr>
          <w:rFonts w:hint="default" w:ascii="Times New Roman" w:hAnsi="Times New Roman" w:eastAsia="宋体" w:cs="Times New Roman"/>
          <w:caps w:val="0"/>
          <w:smallCaps w:val="0"/>
          <w:color w:val="auto"/>
          <w:sz w:val="24"/>
          <w:szCs w:val="24"/>
          <w:u w:val="none" w:color="auto"/>
        </w:rPr>
        <w:t>）、马铁菊头蝠（</w:t>
      </w:r>
      <w:r>
        <w:rPr>
          <w:rFonts w:hint="default" w:ascii="Times New Roman" w:hAnsi="Times New Roman" w:eastAsia="宋体" w:cs="Times New Roman"/>
          <w:i/>
          <w:iCs/>
          <w:caps w:val="0"/>
          <w:smallCaps w:val="0"/>
          <w:color w:val="auto"/>
          <w:sz w:val="24"/>
          <w:szCs w:val="24"/>
          <w:u w:val="none" w:color="auto"/>
        </w:rPr>
        <w:t>Rhinolophus ferrumequinum</w:t>
      </w:r>
      <w:r>
        <w:rPr>
          <w:rFonts w:hint="default" w:ascii="Times New Roman" w:hAnsi="Times New Roman" w:eastAsia="宋体" w:cs="Times New Roman"/>
          <w:caps w:val="0"/>
          <w:smallCaps w:val="0"/>
          <w:color w:val="auto"/>
          <w:sz w:val="24"/>
          <w:szCs w:val="24"/>
          <w:u w:val="none" w:color="auto"/>
        </w:rPr>
        <w:t>）、东亚伏翼（</w:t>
      </w:r>
      <w:r>
        <w:rPr>
          <w:rFonts w:hint="default" w:ascii="Times New Roman" w:hAnsi="Times New Roman" w:eastAsia="宋体" w:cs="Times New Roman"/>
          <w:i/>
          <w:iCs/>
          <w:caps w:val="0"/>
          <w:smallCaps w:val="0"/>
          <w:color w:val="auto"/>
          <w:sz w:val="24"/>
          <w:szCs w:val="24"/>
          <w:u w:val="none" w:color="auto"/>
        </w:rPr>
        <w:t>Pipistrellusabramus</w:t>
      </w:r>
      <w:r>
        <w:rPr>
          <w:rFonts w:hint="default" w:ascii="Times New Roman" w:hAnsi="Times New Roman" w:eastAsia="宋体" w:cs="Times New Roman"/>
          <w:caps w:val="0"/>
          <w:smallCaps w:val="0"/>
          <w:color w:val="auto"/>
          <w:sz w:val="24"/>
          <w:szCs w:val="24"/>
          <w:u w:val="none" w:color="auto"/>
        </w:rPr>
        <w:t>）和东方蝙蝠（</w:t>
      </w:r>
      <w:r>
        <w:rPr>
          <w:rFonts w:hint="default" w:ascii="Times New Roman" w:hAnsi="Times New Roman" w:eastAsia="宋体" w:cs="Times New Roman"/>
          <w:i/>
          <w:iCs/>
          <w:caps w:val="0"/>
          <w:smallCaps w:val="0"/>
          <w:color w:val="auto"/>
          <w:sz w:val="24"/>
          <w:szCs w:val="24"/>
          <w:u w:val="none" w:color="auto"/>
        </w:rPr>
        <w:t>Vespertilio sinensis</w:t>
      </w:r>
      <w:r>
        <w:rPr>
          <w:rFonts w:hint="default" w:ascii="Times New Roman" w:hAnsi="Times New Roman" w:eastAsia="宋体" w:cs="Times New Roman"/>
          <w:caps w:val="0"/>
          <w:smallCaps w:val="0"/>
          <w:color w:val="auto"/>
          <w:sz w:val="24"/>
          <w:szCs w:val="24"/>
          <w:u w:val="none" w:color="auto"/>
        </w:rPr>
        <w:t>）；无《中国生物多样性红色名录》评级为极危（CR）、濒危（EN）、易危（VU）物种和中国特有种哺乳类。</w:t>
      </w:r>
    </w:p>
    <w:p w14:paraId="02DBD671">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caps w:val="0"/>
          <w:smallCaps w:val="0"/>
          <w:color w:val="auto"/>
          <w:sz w:val="24"/>
          <w:szCs w:val="24"/>
          <w:u w:val="none" w:color="auto"/>
        </w:rPr>
      </w:pPr>
      <w:r>
        <w:rPr>
          <w:rFonts w:hint="default" w:ascii="Times New Roman" w:hAnsi="Times New Roman" w:eastAsia="宋体" w:cs="Times New Roman"/>
          <w:b/>
          <w:caps w:val="0"/>
          <w:smallCaps w:val="0"/>
          <w:color w:val="auto"/>
          <w:sz w:val="24"/>
          <w:szCs w:val="24"/>
          <w:u w:val="none" w:color="auto"/>
        </w:rPr>
        <w:t>（2）生态类型</w:t>
      </w:r>
    </w:p>
    <w:p w14:paraId="329B54E9">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按生活习性来分，可以将评价区内的12种哺乳类分为以下2种生态类型：</w:t>
      </w:r>
    </w:p>
    <w:p w14:paraId="3EE0D679">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半地下生活型（主要在地面活动觅食、栖息、避敌于洞穴中，有的也在地下寻找食物）：此种类型有华南兔、黑线姬鼠、巢鼠、黄胸鼠、东北刺猬、东方田鼠（</w:t>
      </w:r>
      <w:r>
        <w:rPr>
          <w:rFonts w:hint="default" w:ascii="Times New Roman" w:hAnsi="Times New Roman" w:eastAsia="宋体" w:cs="Times New Roman"/>
          <w:bCs/>
          <w:i/>
          <w:iCs/>
          <w:caps w:val="0"/>
          <w:smallCaps w:val="0"/>
          <w:color w:val="auto"/>
          <w:sz w:val="24"/>
          <w:szCs w:val="24"/>
          <w:u w:val="none" w:color="auto"/>
        </w:rPr>
        <w:t>Microtus fortis</w:t>
      </w:r>
      <w:r>
        <w:rPr>
          <w:rFonts w:hint="default" w:ascii="Times New Roman" w:hAnsi="Times New Roman" w:eastAsia="宋体" w:cs="Times New Roman"/>
          <w:bCs/>
          <w:caps w:val="0"/>
          <w:smallCaps w:val="0"/>
          <w:color w:val="auto"/>
          <w:sz w:val="24"/>
          <w:szCs w:val="24"/>
          <w:u w:val="none" w:color="auto"/>
        </w:rPr>
        <w:t>）和针毛鼠（</w:t>
      </w:r>
      <w:r>
        <w:rPr>
          <w:rFonts w:hint="default" w:ascii="Times New Roman" w:hAnsi="Times New Roman" w:eastAsia="宋体" w:cs="Times New Roman"/>
          <w:bCs/>
          <w:i/>
          <w:iCs/>
          <w:caps w:val="0"/>
          <w:smallCaps w:val="0"/>
          <w:color w:val="auto"/>
          <w:sz w:val="24"/>
          <w:szCs w:val="24"/>
          <w:u w:val="none" w:color="auto"/>
        </w:rPr>
        <w:t>Niviventer fulvescens</w:t>
      </w:r>
      <w:r>
        <w:rPr>
          <w:rFonts w:hint="default" w:ascii="Times New Roman" w:hAnsi="Times New Roman" w:eastAsia="宋体" w:cs="Times New Roman"/>
          <w:bCs/>
          <w:caps w:val="0"/>
          <w:smallCaps w:val="0"/>
          <w:color w:val="auto"/>
          <w:sz w:val="24"/>
          <w:szCs w:val="24"/>
          <w:u w:val="none" w:color="auto"/>
        </w:rPr>
        <w:t>）7种。它们在评价区内林地和田野中活动，其中部分鼠类动物与人类关系较为密切。</w:t>
      </w:r>
    </w:p>
    <w:p w14:paraId="4740488F">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岩洞栖息型（在岩洞中倒挂栖息的小型哺乳类）：有马铁菊头蝠、大蹄蝠、普氏蹄蝠、东亚伏翼（</w:t>
      </w:r>
      <w:r>
        <w:rPr>
          <w:rFonts w:hint="default" w:ascii="Times New Roman" w:hAnsi="Times New Roman" w:eastAsia="宋体" w:cs="Times New Roman"/>
          <w:bCs/>
          <w:i/>
          <w:iCs/>
          <w:caps w:val="0"/>
          <w:smallCaps w:val="0"/>
          <w:color w:val="auto"/>
          <w:sz w:val="24"/>
          <w:szCs w:val="24"/>
          <w:u w:val="none" w:color="auto"/>
        </w:rPr>
        <w:t>Pipistrellus abramus</w:t>
      </w:r>
      <w:r>
        <w:rPr>
          <w:rFonts w:hint="default" w:ascii="Times New Roman" w:hAnsi="Times New Roman" w:eastAsia="宋体" w:cs="Times New Roman"/>
          <w:bCs/>
          <w:caps w:val="0"/>
          <w:smallCaps w:val="0"/>
          <w:color w:val="auto"/>
          <w:sz w:val="24"/>
          <w:szCs w:val="24"/>
          <w:u w:val="none" w:color="auto"/>
        </w:rPr>
        <w:t>）、东方蝙蝠5种。它们在建设范围内主要分布于山区的岩洞洞穴中。</w:t>
      </w:r>
    </w:p>
    <w:p w14:paraId="5E2CF5ED">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（3）区系类型</w:t>
      </w:r>
    </w:p>
    <w:p w14:paraId="27995C09">
      <w:pPr>
        <w:keepNext w:val="0"/>
        <w:keepLines w:val="0"/>
        <w:pageBreakBefore w:val="0"/>
        <w:widowControl w:val="0"/>
        <w:tabs>
          <w:tab w:val="left" w:pos="2592"/>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bCs/>
          <w:caps w:val="0"/>
          <w:smallCaps w:val="0"/>
          <w:color w:val="auto"/>
          <w:sz w:val="24"/>
          <w:szCs w:val="24"/>
          <w:u w:val="none" w:color="auto"/>
        </w:rPr>
        <w:t>评价区内分布的12种哺乳类中，东洋种5种，占比41.67；广布种7种，占比58.33；无古北种分布，与评价区内地处东洋界的地理位置一致。</w:t>
      </w:r>
    </w:p>
    <w:p w14:paraId="6A03E75B">
      <w:pPr>
        <w:pStyle w:val="5"/>
        <w:bidi w:val="0"/>
        <w:rPr>
          <w:rFonts w:hint="default" w:ascii="Times New Roman" w:hAnsi="Times New Roman" w:cs="Times New Roman"/>
          <w:color w:val="auto"/>
          <w:u w:val="none" w:color="auto"/>
          <w:lang w:val="zh-CN" w:eastAsia="zh-CN"/>
        </w:rPr>
      </w:pPr>
      <w:r>
        <w:rPr>
          <w:rFonts w:hint="default" w:ascii="Times New Roman" w:hAnsi="Times New Roman" w:cs="Times New Roman"/>
          <w:color w:val="auto"/>
          <w:u w:val="none" w:color="auto"/>
          <w:lang w:val="en-US" w:eastAsia="zh-CN"/>
        </w:rPr>
        <w:t>重要动物物种</w:t>
      </w:r>
    </w:p>
    <w:p w14:paraId="34B2BEE7">
      <w:pPr>
        <w:adjustRightInd w:val="0"/>
        <w:snapToGrid w:val="0"/>
        <w:spacing w:line="360" w:lineRule="auto"/>
        <w:ind w:firstLine="480" w:firstLineChars="200"/>
        <w:rPr>
          <w:rFonts w:hint="default" w:ascii="Times New Roman" w:hAnsi="Times New Roman" w:eastAsia="宋体" w:cs="Times New Roman"/>
          <w:caps w:val="0"/>
          <w:smallCaps w:val="0"/>
          <w:color w:val="auto"/>
          <w:kern w:val="0"/>
          <w:sz w:val="24"/>
          <w:szCs w:val="24"/>
          <w:u w:val="none" w:color="auto"/>
          <w:lang w:val="zh-CN"/>
        </w:rPr>
      </w:pPr>
      <w:r>
        <w:rPr>
          <w:rFonts w:hint="default" w:ascii="Times New Roman" w:hAnsi="Times New Roman" w:eastAsia="宋体" w:cs="Times New Roman"/>
          <w:caps w:val="0"/>
          <w:smallCaps w:val="0"/>
          <w:color w:val="auto"/>
          <w:sz w:val="24"/>
          <w:szCs w:val="24"/>
          <w:u w:val="none" w:color="auto"/>
        </w:rPr>
        <w:t>评价区范围内陆生野生脊椎动物中，</w:t>
      </w:r>
      <w:r>
        <w:rPr>
          <w:rFonts w:hint="default" w:ascii="Times New Roman" w:hAnsi="Times New Roman" w:eastAsia="宋体" w:cs="Times New Roman"/>
          <w:caps w:val="0"/>
          <w:smallCaps w:val="0"/>
          <w:color w:val="auto"/>
          <w:sz w:val="24"/>
          <w:szCs w:val="24"/>
          <w:u w:val="none" w:color="auto"/>
          <w:lang w:val="en-US" w:eastAsia="zh-CN"/>
        </w:rPr>
        <w:t>未</w:t>
      </w:r>
      <w:r>
        <w:rPr>
          <w:rFonts w:hint="default" w:ascii="Times New Roman" w:hAnsi="Times New Roman" w:eastAsia="宋体" w:cs="Times New Roman"/>
          <w:caps w:val="0"/>
          <w:smallCaps w:val="0"/>
          <w:color w:val="auto"/>
          <w:sz w:val="24"/>
          <w:szCs w:val="24"/>
          <w:u w:val="none" w:color="auto"/>
        </w:rPr>
        <w:t>发现国家级重点保护野生动物，有湖南省级保护野生动物</w:t>
      </w:r>
      <w:r>
        <w:rPr>
          <w:rFonts w:hint="default" w:ascii="Times New Roman" w:hAnsi="Times New Roman" w:eastAsia="宋体" w:cs="Times New Roman"/>
          <w:caps w:val="0"/>
          <w:smallCaps w:val="0"/>
          <w:color w:val="auto"/>
          <w:sz w:val="24"/>
          <w:szCs w:val="24"/>
          <w:u w:val="none" w:color="auto"/>
          <w:lang w:val="en-US" w:eastAsia="zh-CN"/>
        </w:rPr>
        <w:t>34</w:t>
      </w:r>
      <w:r>
        <w:rPr>
          <w:rFonts w:hint="default" w:ascii="Times New Roman" w:hAnsi="Times New Roman" w:eastAsia="宋体" w:cs="Times New Roman"/>
          <w:caps w:val="0"/>
          <w:smallCaps w:val="0"/>
          <w:color w:val="auto"/>
          <w:sz w:val="24"/>
          <w:szCs w:val="24"/>
          <w:u w:val="none" w:color="auto"/>
        </w:rPr>
        <w:t>种，</w:t>
      </w:r>
      <w:r>
        <w:rPr>
          <w:rFonts w:hint="default" w:ascii="Times New Roman" w:hAnsi="Times New Roman" w:eastAsia="宋体" w:cs="Times New Roman"/>
          <w:caps w:val="0"/>
          <w:smallCaps w:val="0"/>
          <w:color w:val="auto"/>
          <w:sz w:val="24"/>
          <w:szCs w:val="24"/>
          <w:u w:val="none" w:color="auto"/>
          <w:lang w:val="en-US" w:eastAsia="zh-CN"/>
        </w:rPr>
        <w:t>包括</w:t>
      </w:r>
      <w:r>
        <w:rPr>
          <w:rFonts w:hint="default" w:ascii="Times New Roman" w:hAnsi="Times New Roman" w:eastAsia="宋体" w:cs="Times New Roman"/>
          <w:caps w:val="0"/>
          <w:smallCaps w:val="0"/>
          <w:color w:val="auto"/>
          <w:sz w:val="24"/>
          <w:szCs w:val="24"/>
          <w:u w:val="none" w:color="auto"/>
        </w:rPr>
        <w:t>：鸟类</w:t>
      </w:r>
      <w:r>
        <w:rPr>
          <w:rFonts w:hint="default" w:ascii="Times New Roman" w:hAnsi="Times New Roman" w:eastAsia="宋体" w:cs="Times New Roman"/>
          <w:caps w:val="0"/>
          <w:smallCaps w:val="0"/>
          <w:color w:val="auto"/>
          <w:sz w:val="24"/>
          <w:szCs w:val="24"/>
          <w:u w:val="none" w:color="auto"/>
          <w:lang w:val="en-US" w:eastAsia="zh-CN"/>
        </w:rPr>
        <w:t>12</w:t>
      </w:r>
      <w:r>
        <w:rPr>
          <w:rFonts w:hint="default" w:ascii="Times New Roman" w:hAnsi="Times New Roman" w:eastAsia="宋体" w:cs="Times New Roman"/>
          <w:caps w:val="0"/>
          <w:smallCaps w:val="0"/>
          <w:color w:val="auto"/>
          <w:sz w:val="24"/>
          <w:szCs w:val="24"/>
          <w:u w:val="none" w:color="auto"/>
        </w:rPr>
        <w:t>种，分别为大白鹭、牛背鹭</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rPr>
        <w:t>喜鹊、山斑鸠、普通翠鸟</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lang w:val="en-US" w:eastAsia="zh-CN"/>
        </w:rPr>
        <w:t>家燕、小䴙䴘、黑卷尾、白头鹎、乌鸫、红尾伯劳、环颈雉</w:t>
      </w:r>
      <w:r>
        <w:rPr>
          <w:rFonts w:hint="default" w:ascii="Times New Roman" w:hAnsi="Times New Roman" w:eastAsia="宋体" w:cs="Times New Roman"/>
          <w:caps w:val="0"/>
          <w:smallCaps w:val="0"/>
          <w:color w:val="auto"/>
          <w:sz w:val="24"/>
          <w:szCs w:val="24"/>
          <w:u w:val="none" w:color="auto"/>
        </w:rPr>
        <w:t>；两栖类</w:t>
      </w:r>
      <w:r>
        <w:rPr>
          <w:rFonts w:hint="default" w:ascii="Times New Roman" w:hAnsi="Times New Roman" w:eastAsia="宋体" w:cs="Times New Roman"/>
          <w:caps w:val="0"/>
          <w:smallCaps w:val="0"/>
          <w:color w:val="auto"/>
          <w:sz w:val="24"/>
          <w:szCs w:val="24"/>
          <w:u w:val="none" w:color="auto"/>
          <w:lang w:val="en-US" w:eastAsia="zh-CN"/>
        </w:rPr>
        <w:t>2</w:t>
      </w:r>
      <w:r>
        <w:rPr>
          <w:rFonts w:hint="default" w:ascii="Times New Roman" w:hAnsi="Times New Roman" w:eastAsia="宋体" w:cs="Times New Roman"/>
          <w:caps w:val="0"/>
          <w:smallCaps w:val="0"/>
          <w:color w:val="auto"/>
          <w:sz w:val="24"/>
          <w:szCs w:val="24"/>
          <w:u w:val="none" w:color="auto"/>
        </w:rPr>
        <w:t>种，分别为：</w:t>
      </w:r>
      <w:r>
        <w:rPr>
          <w:rFonts w:hint="default" w:ascii="Times New Roman" w:hAnsi="Times New Roman" w:eastAsia="宋体" w:cs="Times New Roman"/>
          <w:caps w:val="0"/>
          <w:smallCaps w:val="0"/>
          <w:color w:val="auto"/>
          <w:sz w:val="24"/>
          <w:szCs w:val="24"/>
          <w:u w:val="none" w:color="auto"/>
          <w:lang w:val="en-US" w:eastAsia="zh-CN"/>
        </w:rPr>
        <w:t>中华蟾蜍、黑斑侧褶蛙</w:t>
      </w:r>
      <w:r>
        <w:rPr>
          <w:rFonts w:hint="default" w:ascii="Times New Roman" w:hAnsi="Times New Roman" w:eastAsia="宋体" w:cs="Times New Roman"/>
          <w:caps w:val="0"/>
          <w:smallCaps w:val="0"/>
          <w:color w:val="auto"/>
          <w:sz w:val="24"/>
          <w:szCs w:val="24"/>
          <w:u w:val="none" w:color="auto"/>
        </w:rPr>
        <w:t>；</w:t>
      </w:r>
      <w:r>
        <w:rPr>
          <w:rFonts w:hint="default" w:ascii="Times New Roman" w:hAnsi="Times New Roman" w:eastAsia="宋体" w:cs="Times New Roman"/>
          <w:caps w:val="0"/>
          <w:smallCaps w:val="0"/>
          <w:color w:val="auto"/>
          <w:sz w:val="24"/>
          <w:szCs w:val="24"/>
          <w:u w:val="none" w:color="auto"/>
          <w:lang w:val="en-US" w:eastAsia="zh-CN"/>
        </w:rPr>
        <w:t>爬行类13种：中华鳖、北草蜥、中国石龙子、赤链蛇、灰鼠蛇、短尾蝮、乌梢蛇、黑眉锦蛇、中国小头蛇、银环蛇、虎斑颈槽蛇、乌华游蛇、多疣壁虎；</w:t>
      </w:r>
      <w:r>
        <w:rPr>
          <w:rFonts w:hint="default" w:ascii="Times New Roman" w:hAnsi="Times New Roman" w:eastAsia="宋体" w:cs="Times New Roman"/>
          <w:caps w:val="0"/>
          <w:smallCaps w:val="0"/>
          <w:color w:val="auto"/>
          <w:sz w:val="24"/>
          <w:szCs w:val="24"/>
          <w:u w:val="none" w:color="auto"/>
        </w:rPr>
        <w:t>哺乳类</w:t>
      </w:r>
      <w:r>
        <w:rPr>
          <w:rFonts w:hint="default" w:ascii="Times New Roman" w:hAnsi="Times New Roman" w:eastAsia="宋体" w:cs="Times New Roman"/>
          <w:caps w:val="0"/>
          <w:smallCaps w:val="0"/>
          <w:color w:val="auto"/>
          <w:sz w:val="24"/>
          <w:szCs w:val="24"/>
          <w:u w:val="none" w:color="auto"/>
          <w:lang w:val="en-US" w:eastAsia="zh-CN"/>
        </w:rPr>
        <w:t>7</w:t>
      </w:r>
      <w:r>
        <w:rPr>
          <w:rFonts w:hint="default" w:ascii="Times New Roman" w:hAnsi="Times New Roman" w:eastAsia="宋体" w:cs="Times New Roman"/>
          <w:caps w:val="0"/>
          <w:smallCaps w:val="0"/>
          <w:color w:val="auto"/>
          <w:sz w:val="24"/>
          <w:szCs w:val="24"/>
          <w:u w:val="none" w:color="auto"/>
        </w:rPr>
        <w:t>种：</w:t>
      </w:r>
      <w:r>
        <w:rPr>
          <w:rFonts w:hint="default" w:ascii="Times New Roman" w:hAnsi="Times New Roman" w:eastAsia="宋体" w:cs="Times New Roman"/>
          <w:caps w:val="0"/>
          <w:smallCaps w:val="0"/>
          <w:color w:val="auto"/>
          <w:sz w:val="24"/>
          <w:szCs w:val="24"/>
          <w:u w:val="none" w:color="auto"/>
          <w:lang w:val="en-US" w:eastAsia="zh-CN"/>
        </w:rPr>
        <w:t>华南兔、东北刺猬、大蹄蝠、普氏蹄蝠、马铁菊头蝠、东亚伏翼、东方蝙蝠</w:t>
      </w:r>
      <w:r>
        <w:rPr>
          <w:rFonts w:hint="default" w:ascii="Times New Roman" w:hAnsi="Times New Roman" w:eastAsia="宋体" w:cs="Times New Roman"/>
          <w:caps w:val="0"/>
          <w:smallCaps w:val="0"/>
          <w:color w:val="auto"/>
          <w:sz w:val="24"/>
          <w:szCs w:val="24"/>
          <w:u w:val="none" w:color="auto"/>
        </w:rPr>
        <w:t>。</w:t>
      </w:r>
    </w:p>
    <w:p w14:paraId="4851030E">
      <w:pPr>
        <w:spacing w:line="276" w:lineRule="auto"/>
        <w:ind w:firstLine="0" w:firstLineChars="0"/>
        <w:jc w:val="center"/>
        <w:rPr>
          <w:rFonts w:hint="default" w:ascii="Times New Roman" w:hAnsi="Times New Roman" w:eastAsia="宋体" w:cs="Times New Roman"/>
          <w:b/>
          <w:bCs/>
          <w:caps w:val="0"/>
          <w:smallCaps w:val="0"/>
          <w:color w:val="auto"/>
          <w:sz w:val="24"/>
          <w:szCs w:val="24"/>
          <w:u w:val="none" w:color="auto"/>
        </w:rPr>
        <w:sectPr>
          <w:headerReference r:id="rId11" w:type="default"/>
          <w:footerReference r:id="rId12" w:type="default"/>
          <w:pgSz w:w="11905"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14:paraId="215FACBF">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9</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重要野生动物调查结果统计表</w:t>
      </w:r>
    </w:p>
    <w:tbl>
      <w:tblPr>
        <w:tblStyle w:val="3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346"/>
        <w:gridCol w:w="673"/>
        <w:gridCol w:w="583"/>
        <w:gridCol w:w="897"/>
        <w:gridCol w:w="5981"/>
        <w:gridCol w:w="1989"/>
        <w:gridCol w:w="658"/>
        <w:gridCol w:w="1461"/>
      </w:tblGrid>
      <w:tr w14:paraId="1D981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3" w:type="pct"/>
            <w:tcBorders>
              <w:tl2br w:val="nil"/>
              <w:tr2bl w:val="nil"/>
            </w:tcBorders>
            <w:noWrap w:val="0"/>
            <w:vAlign w:val="center"/>
          </w:tcPr>
          <w:p w14:paraId="498E37A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序号</w:t>
            </w:r>
          </w:p>
        </w:tc>
        <w:tc>
          <w:tcPr>
            <w:tcW w:w="475" w:type="pct"/>
            <w:tcBorders>
              <w:tl2br w:val="nil"/>
              <w:tr2bl w:val="nil"/>
            </w:tcBorders>
            <w:noWrap w:val="0"/>
            <w:vAlign w:val="center"/>
          </w:tcPr>
          <w:p w14:paraId="7CC6420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物种名称</w:t>
            </w:r>
          </w:p>
        </w:tc>
        <w:tc>
          <w:tcPr>
            <w:tcW w:w="237" w:type="pct"/>
            <w:tcBorders>
              <w:tl2br w:val="nil"/>
              <w:tr2bl w:val="nil"/>
            </w:tcBorders>
            <w:noWrap w:val="0"/>
            <w:vAlign w:val="center"/>
          </w:tcPr>
          <w:p w14:paraId="1E60BFA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保护级别</w:t>
            </w:r>
          </w:p>
        </w:tc>
        <w:tc>
          <w:tcPr>
            <w:tcW w:w="205" w:type="pct"/>
            <w:tcBorders>
              <w:tl2br w:val="nil"/>
              <w:tr2bl w:val="nil"/>
            </w:tcBorders>
            <w:noWrap w:val="0"/>
            <w:vAlign w:val="center"/>
          </w:tcPr>
          <w:p w14:paraId="4500F99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濒危等级</w:t>
            </w:r>
          </w:p>
        </w:tc>
        <w:tc>
          <w:tcPr>
            <w:tcW w:w="316" w:type="pct"/>
            <w:tcBorders>
              <w:tl2br w:val="nil"/>
              <w:tr2bl w:val="nil"/>
            </w:tcBorders>
            <w:noWrap w:val="0"/>
            <w:vAlign w:val="center"/>
          </w:tcPr>
          <w:p w14:paraId="563C56C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特有种（是/否）</w:t>
            </w:r>
          </w:p>
        </w:tc>
        <w:tc>
          <w:tcPr>
            <w:tcW w:w="2111" w:type="pct"/>
            <w:tcBorders>
              <w:tl2br w:val="nil"/>
              <w:tr2bl w:val="nil"/>
            </w:tcBorders>
            <w:noWrap w:val="0"/>
            <w:vAlign w:val="center"/>
          </w:tcPr>
          <w:p w14:paraId="20E544A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lang w:val="en-US" w:eastAsia="zh-CN"/>
              </w:rPr>
            </w:pPr>
            <w:r>
              <w:rPr>
                <w:rFonts w:hint="default" w:ascii="Times New Roman" w:hAnsi="Times New Roman" w:eastAsia="宋体" w:cs="Times New Roman"/>
                <w:b/>
                <w:caps w:val="0"/>
                <w:smallCaps w:val="0"/>
                <w:color w:val="auto"/>
                <w:sz w:val="18"/>
                <w:szCs w:val="18"/>
                <w:u w:val="none" w:color="auto"/>
                <w:lang w:val="en-US" w:eastAsia="zh-CN"/>
              </w:rPr>
              <w:t>生态学特征</w:t>
            </w:r>
          </w:p>
        </w:tc>
        <w:tc>
          <w:tcPr>
            <w:tcW w:w="702" w:type="pct"/>
            <w:tcBorders>
              <w:tl2br w:val="nil"/>
              <w:tr2bl w:val="nil"/>
            </w:tcBorders>
            <w:noWrap w:val="0"/>
            <w:vAlign w:val="center"/>
          </w:tcPr>
          <w:p w14:paraId="7E746BC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分布区域</w:t>
            </w:r>
          </w:p>
        </w:tc>
        <w:tc>
          <w:tcPr>
            <w:tcW w:w="232" w:type="pct"/>
            <w:tcBorders>
              <w:tl2br w:val="nil"/>
              <w:tr2bl w:val="nil"/>
            </w:tcBorders>
            <w:noWrap w:val="0"/>
            <w:vAlign w:val="center"/>
          </w:tcPr>
          <w:p w14:paraId="4D28FC2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资料来源</w:t>
            </w:r>
          </w:p>
        </w:tc>
        <w:tc>
          <w:tcPr>
            <w:tcW w:w="515" w:type="pct"/>
            <w:tcBorders>
              <w:tl2br w:val="nil"/>
              <w:tr2bl w:val="nil"/>
            </w:tcBorders>
            <w:noWrap w:val="0"/>
            <w:vAlign w:val="center"/>
          </w:tcPr>
          <w:p w14:paraId="1F867DF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
                <w:caps w:val="0"/>
                <w:smallCaps w:val="0"/>
                <w:color w:val="auto"/>
                <w:sz w:val="18"/>
                <w:szCs w:val="18"/>
                <w:u w:val="none" w:color="auto"/>
              </w:rPr>
              <w:t>工程占用情况（是/否）</w:t>
            </w:r>
          </w:p>
        </w:tc>
      </w:tr>
      <w:tr w14:paraId="32ED4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6CB5261A">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649E746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rPr>
            </w:pPr>
            <w:r>
              <w:rPr>
                <w:rFonts w:hint="default" w:ascii="Times New Roman" w:hAnsi="Times New Roman" w:eastAsia="宋体" w:cs="Times New Roman"/>
                <w:b w:val="0"/>
                <w:bCs/>
                <w:i w:val="0"/>
                <w:iCs w:val="0"/>
                <w:caps w:val="0"/>
                <w:smallCaps w:val="0"/>
                <w:color w:val="auto"/>
                <w:sz w:val="18"/>
                <w:szCs w:val="18"/>
                <w:u w:val="none" w:color="auto"/>
              </w:rPr>
              <w:t>华南兔</w:t>
            </w:r>
          </w:p>
          <w:p w14:paraId="4AA2FC7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kern w:val="2"/>
                <w:sz w:val="18"/>
                <w:szCs w:val="18"/>
                <w:u w:val="none" w:color="auto"/>
                <w:lang w:val="en-US" w:eastAsia="zh-CN" w:bidi="ar-SA"/>
              </w:rPr>
            </w:pPr>
            <w:r>
              <w:rPr>
                <w:rFonts w:hint="default" w:ascii="Times New Roman" w:hAnsi="Times New Roman" w:eastAsia="宋体" w:cs="Times New Roman"/>
                <w:b w:val="0"/>
                <w:bCs/>
                <w:i/>
                <w:iCs/>
                <w:caps w:val="0"/>
                <w:smallCaps w:val="0"/>
                <w:color w:val="auto"/>
                <w:sz w:val="18"/>
                <w:szCs w:val="18"/>
                <w:u w:val="none" w:color="auto"/>
              </w:rPr>
              <w:t>Lepus sinensis</w:t>
            </w:r>
          </w:p>
        </w:tc>
        <w:tc>
          <w:tcPr>
            <w:tcW w:w="237" w:type="pct"/>
            <w:tcBorders>
              <w:tl2br w:val="nil"/>
              <w:tr2bl w:val="nil"/>
            </w:tcBorders>
            <w:noWrap w:val="0"/>
            <w:vAlign w:val="center"/>
          </w:tcPr>
          <w:p w14:paraId="0671EBE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645F91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6CD6FBB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7DEEAD0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耳较长；上唇分裂；尾短；四肢较细，后肢比前肢长。体背面一般是棕黑色；额部和鼻部的毛色较浅，是浅棕黑色；鼻的两侧，各有一个淡色区；耳背面棕黑色；身体两侧和臀部棕黄色。身体腹面下颏部分浅棕黄色，颈下浅棕色，腹部和四肢内侧黄白色，四肢外侧黄棕色，尾背面黄棕褐色，尾腹面淡黄色。一般不挖洞，多在凹坎下或草丛中营窝。夜行性，但白天也能见到。善跑跳，遇敌时迅速窜入草丛。纯草食性动物，亦常到农田中盗食各种作物的幼苗及嫩枝叶。产仔多在4-5月。每年繁殖2-4窝，每窝通常3-5只。</w:t>
            </w:r>
          </w:p>
        </w:tc>
        <w:tc>
          <w:tcPr>
            <w:tcW w:w="702" w:type="pct"/>
            <w:tcBorders>
              <w:tl2br w:val="nil"/>
              <w:tr2bl w:val="nil"/>
            </w:tcBorders>
            <w:noWrap w:val="0"/>
            <w:vAlign w:val="center"/>
          </w:tcPr>
          <w:p w14:paraId="0CDE7FE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rPr>
              <w:t>主要分布于评价区内的</w:t>
            </w:r>
            <w:r>
              <w:rPr>
                <w:rFonts w:hint="default" w:ascii="Times New Roman" w:hAnsi="Times New Roman" w:eastAsia="宋体" w:cs="Times New Roman"/>
                <w:b w:val="0"/>
                <w:bCs/>
                <w:caps w:val="0"/>
                <w:smallCaps w:val="0"/>
                <w:color w:val="auto"/>
                <w:sz w:val="18"/>
                <w:szCs w:val="18"/>
                <w:u w:val="none" w:color="auto"/>
                <w:lang w:val="en-US" w:eastAsia="zh-CN"/>
              </w:rPr>
              <w:t>林缘</w:t>
            </w:r>
            <w:r>
              <w:rPr>
                <w:rFonts w:hint="default" w:ascii="Times New Roman" w:hAnsi="Times New Roman" w:eastAsia="宋体" w:cs="Times New Roman"/>
                <w:b w:val="0"/>
                <w:bCs/>
                <w:caps w:val="0"/>
                <w:smallCaps w:val="0"/>
                <w:color w:val="auto"/>
                <w:sz w:val="18"/>
                <w:szCs w:val="18"/>
                <w:u w:val="none" w:color="auto"/>
              </w:rPr>
              <w:t>、农田、灌丛</w:t>
            </w:r>
            <w:r>
              <w:rPr>
                <w:rFonts w:hint="default" w:ascii="Times New Roman" w:hAnsi="Times New Roman" w:eastAsia="宋体" w:cs="Times New Roman"/>
                <w:b w:val="0"/>
                <w:bCs/>
                <w:caps w:val="0"/>
                <w:smallCaps w:val="0"/>
                <w:color w:val="auto"/>
                <w:sz w:val="18"/>
                <w:szCs w:val="18"/>
                <w:u w:val="none" w:color="auto"/>
                <w:lang w:eastAsia="zh-CN"/>
              </w:rPr>
              <w:t>、</w:t>
            </w:r>
            <w:r>
              <w:rPr>
                <w:rFonts w:hint="default" w:ascii="Times New Roman" w:hAnsi="Times New Roman" w:eastAsia="宋体" w:cs="Times New Roman"/>
                <w:b w:val="0"/>
                <w:bCs/>
                <w:caps w:val="0"/>
                <w:smallCaps w:val="0"/>
                <w:color w:val="auto"/>
                <w:sz w:val="18"/>
                <w:szCs w:val="18"/>
                <w:u w:val="none" w:color="auto"/>
                <w:lang w:val="en-US" w:eastAsia="zh-CN"/>
              </w:rPr>
              <w:t>草丛及居民点附近</w:t>
            </w:r>
          </w:p>
        </w:tc>
        <w:tc>
          <w:tcPr>
            <w:tcW w:w="232" w:type="pct"/>
            <w:tcBorders>
              <w:tl2br w:val="nil"/>
              <w:tr2bl w:val="nil"/>
            </w:tcBorders>
            <w:noWrap w:val="0"/>
            <w:vAlign w:val="center"/>
          </w:tcPr>
          <w:p w14:paraId="245A926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tcBorders>
              <w:tl2br w:val="nil"/>
              <w:tr2bl w:val="nil"/>
            </w:tcBorders>
            <w:noWrap w:val="0"/>
            <w:vAlign w:val="center"/>
          </w:tcPr>
          <w:p w14:paraId="58FB171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2A809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63BB352D">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2687EAD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东北刺猬</w:t>
            </w:r>
          </w:p>
          <w:p w14:paraId="5A4EC3F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Erinaceus amurensis</w:t>
            </w:r>
          </w:p>
        </w:tc>
        <w:tc>
          <w:tcPr>
            <w:tcW w:w="237" w:type="pct"/>
            <w:tcBorders>
              <w:tl2br w:val="nil"/>
              <w:tr2bl w:val="nil"/>
            </w:tcBorders>
            <w:noWrap w:val="0"/>
            <w:vAlign w:val="center"/>
          </w:tcPr>
          <w:p w14:paraId="6C9BC6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2B89A67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45086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1B9355F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以其背部覆盖的保护性棘刺而闻名</w:t>
            </w:r>
            <w:r>
              <w:rPr>
                <w:rFonts w:hint="default" w:ascii="Times New Roman" w:hAnsi="Times New Roman" w:eastAsia="宋体" w:cs="Times New Roman"/>
                <w:bCs/>
                <w:caps w:val="0"/>
                <w:smallCaps w:val="0"/>
                <w:color w:val="auto"/>
                <w:sz w:val="18"/>
                <w:szCs w:val="18"/>
                <w:u w:val="none" w:color="auto"/>
                <w:lang w:eastAsia="zh-CN"/>
              </w:rPr>
              <w:t>，体长约15~30厘米，体重约为600~1500克。体色多样，通常为棕色、黑色、白色、奶油色或上述颜色的混合。夜行性动物，畏光喜暗，冬眠期约为6个月。</w:t>
            </w:r>
          </w:p>
        </w:tc>
        <w:tc>
          <w:tcPr>
            <w:tcW w:w="702" w:type="pct"/>
            <w:tcBorders>
              <w:tl2br w:val="nil"/>
              <w:tr2bl w:val="nil"/>
            </w:tcBorders>
            <w:noWrap w:val="0"/>
            <w:vAlign w:val="center"/>
          </w:tcPr>
          <w:p w14:paraId="1762230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w:t>
            </w:r>
            <w:r>
              <w:rPr>
                <w:rFonts w:hint="default" w:ascii="Times New Roman" w:hAnsi="Times New Roman" w:eastAsia="宋体" w:cs="Times New Roman"/>
                <w:b w:val="0"/>
                <w:bCs/>
                <w:caps w:val="0"/>
                <w:smallCaps w:val="0"/>
                <w:color w:val="auto"/>
                <w:sz w:val="18"/>
                <w:szCs w:val="18"/>
                <w:u w:val="none" w:color="auto"/>
                <w:lang w:val="en-US" w:eastAsia="zh-CN"/>
              </w:rPr>
              <w:t>山地森林、草原、农田、灌丛等。</w:t>
            </w:r>
          </w:p>
        </w:tc>
        <w:tc>
          <w:tcPr>
            <w:tcW w:w="232" w:type="pct"/>
            <w:tcBorders>
              <w:tl2br w:val="nil"/>
              <w:tr2bl w:val="nil"/>
            </w:tcBorders>
            <w:noWrap w:val="0"/>
            <w:vAlign w:val="center"/>
          </w:tcPr>
          <w:p w14:paraId="071B6D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restart"/>
            <w:tcBorders>
              <w:tl2br w:val="nil"/>
              <w:tr2bl w:val="nil"/>
            </w:tcBorders>
            <w:noWrap w:val="0"/>
            <w:vAlign w:val="center"/>
          </w:tcPr>
          <w:p w14:paraId="1459564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7B88D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3EAC2544">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1BD134D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大蹄蝠</w:t>
            </w:r>
          </w:p>
          <w:p w14:paraId="5377ED4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Hipposideros armiger</w:t>
            </w:r>
          </w:p>
        </w:tc>
        <w:tc>
          <w:tcPr>
            <w:tcW w:w="237" w:type="pct"/>
            <w:tcBorders>
              <w:tl2br w:val="nil"/>
              <w:tr2bl w:val="nil"/>
            </w:tcBorders>
            <w:noWrap w:val="0"/>
            <w:vAlign w:val="center"/>
          </w:tcPr>
          <w:p w14:paraId="02867C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44EEC02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63FA12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148BAE4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体形甚大，前臂可达近100毫米，耳也大、三角形，毛长而细密，体色变化大，背色烟褐甚至黑褐，腹色灰褐，有些偏紫褐。群居性，也与其他蝙蝠生活在一起，冬眠，性凶猛，夏季夜间外出觅食，主要以鳞翅目蛾类昆虫为食，繁殖期与栖息地息息相关，中国大蹄蝠一般夏初繁殖。</w:t>
            </w:r>
          </w:p>
        </w:tc>
        <w:tc>
          <w:tcPr>
            <w:tcW w:w="702" w:type="pct"/>
            <w:tcBorders>
              <w:tl2br w:val="nil"/>
              <w:tr2bl w:val="nil"/>
            </w:tcBorders>
            <w:noWrap w:val="0"/>
            <w:vAlign w:val="center"/>
          </w:tcPr>
          <w:p w14:paraId="59619BE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w:t>
            </w:r>
            <w:r>
              <w:rPr>
                <w:rFonts w:hint="default" w:ascii="Times New Roman" w:hAnsi="Times New Roman" w:eastAsia="宋体" w:cs="Times New Roman"/>
                <w:b w:val="0"/>
                <w:bCs/>
                <w:caps w:val="0"/>
                <w:smallCaps w:val="0"/>
                <w:color w:val="auto"/>
                <w:sz w:val="18"/>
                <w:szCs w:val="18"/>
                <w:u w:val="none" w:color="auto"/>
                <w:lang w:val="en-US" w:eastAsia="zh-CN"/>
              </w:rPr>
              <w:t>湿度较大的洞穴或废弃坑道的高处</w:t>
            </w:r>
          </w:p>
        </w:tc>
        <w:tc>
          <w:tcPr>
            <w:tcW w:w="232" w:type="pct"/>
            <w:tcBorders>
              <w:tl2br w:val="nil"/>
              <w:tr2bl w:val="nil"/>
            </w:tcBorders>
            <w:noWrap w:val="0"/>
            <w:vAlign w:val="center"/>
          </w:tcPr>
          <w:p w14:paraId="2E7B43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continue"/>
            <w:tcBorders>
              <w:tl2br w:val="nil"/>
              <w:tr2bl w:val="nil"/>
            </w:tcBorders>
            <w:noWrap w:val="0"/>
            <w:vAlign w:val="center"/>
          </w:tcPr>
          <w:p w14:paraId="62C46AB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48E29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5A7CDBD3">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68BAD63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普氏蹄蝠</w:t>
            </w:r>
          </w:p>
          <w:p w14:paraId="5756BE4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Hipposideros pratti</w:t>
            </w:r>
          </w:p>
        </w:tc>
        <w:tc>
          <w:tcPr>
            <w:tcW w:w="237" w:type="pct"/>
            <w:tcBorders>
              <w:tl2br w:val="nil"/>
              <w:tr2bl w:val="nil"/>
            </w:tcBorders>
            <w:noWrap w:val="0"/>
            <w:vAlign w:val="center"/>
          </w:tcPr>
          <w:p w14:paraId="7F96A0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7FECA7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NT</w:t>
            </w:r>
          </w:p>
        </w:tc>
        <w:tc>
          <w:tcPr>
            <w:tcW w:w="316" w:type="pct"/>
            <w:tcBorders>
              <w:tl2br w:val="nil"/>
              <w:tr2bl w:val="nil"/>
            </w:tcBorders>
            <w:noWrap w:val="0"/>
            <w:vAlign w:val="center"/>
          </w:tcPr>
          <w:p w14:paraId="188879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3D8218D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体型较大，前臂长超过80mm以上，鼻叶的马蹄叶基部两侧各具2片小叶，头骨的吻鼻部至额部不呈斜面，而在两者之间具一凹进部分。性较凶猛，以周围夜出性飞虫为食。</w:t>
            </w:r>
          </w:p>
        </w:tc>
        <w:tc>
          <w:tcPr>
            <w:tcW w:w="702" w:type="pct"/>
            <w:tcBorders>
              <w:tl2br w:val="nil"/>
              <w:tr2bl w:val="nil"/>
            </w:tcBorders>
            <w:noWrap w:val="0"/>
            <w:vAlign w:val="center"/>
          </w:tcPr>
          <w:p w14:paraId="15FA3CA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w:t>
            </w:r>
            <w:r>
              <w:rPr>
                <w:rFonts w:hint="default" w:ascii="Times New Roman" w:hAnsi="Times New Roman" w:eastAsia="宋体" w:cs="Times New Roman"/>
                <w:b w:val="0"/>
                <w:bCs/>
                <w:caps w:val="0"/>
                <w:smallCaps w:val="0"/>
                <w:color w:val="auto"/>
                <w:sz w:val="18"/>
                <w:szCs w:val="18"/>
                <w:u w:val="none" w:color="auto"/>
                <w:lang w:val="en-US" w:eastAsia="zh-CN"/>
              </w:rPr>
              <w:t>温暖潮湿的洞穴中</w:t>
            </w:r>
          </w:p>
        </w:tc>
        <w:tc>
          <w:tcPr>
            <w:tcW w:w="232" w:type="pct"/>
            <w:tcBorders>
              <w:tl2br w:val="nil"/>
              <w:tr2bl w:val="nil"/>
            </w:tcBorders>
            <w:noWrap w:val="0"/>
            <w:vAlign w:val="center"/>
          </w:tcPr>
          <w:p w14:paraId="3B4BE9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continue"/>
            <w:tcBorders>
              <w:tl2br w:val="nil"/>
              <w:tr2bl w:val="nil"/>
            </w:tcBorders>
            <w:noWrap w:val="0"/>
            <w:vAlign w:val="center"/>
          </w:tcPr>
          <w:p w14:paraId="544B06B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2510C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3DEDBD7D">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04C66FE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马铁菊头蝠</w:t>
            </w:r>
          </w:p>
          <w:p w14:paraId="75B55EF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Rhinolophus ferrumequinum</w:t>
            </w:r>
          </w:p>
        </w:tc>
        <w:tc>
          <w:tcPr>
            <w:tcW w:w="237" w:type="pct"/>
            <w:tcBorders>
              <w:tl2br w:val="nil"/>
              <w:tr2bl w:val="nil"/>
            </w:tcBorders>
            <w:noWrap w:val="0"/>
            <w:vAlign w:val="center"/>
          </w:tcPr>
          <w:p w14:paraId="186601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5FEBE9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4F2835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78C1D55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体型较大，耳大而略宽阔，耳端部削尖，不具耳屏，全身被有细密柔软的毛，背毛淡棕褐色，腹毛为灰棕色。群栖性，昼伏夜出，冬眠，以鞘翅目及鳞翅目昆虫为食，每年6月上、中旬产子，每胎1子</w:t>
            </w:r>
            <w:r>
              <w:rPr>
                <w:rFonts w:hint="default" w:ascii="Times New Roman" w:hAnsi="Times New Roman" w:eastAsia="宋体" w:cs="Times New Roman"/>
                <w:bCs/>
                <w:caps w:val="0"/>
                <w:smallCaps w:val="0"/>
                <w:color w:val="auto"/>
                <w:sz w:val="18"/>
                <w:szCs w:val="18"/>
                <w:u w:val="none" w:color="auto"/>
                <w:lang w:eastAsia="zh-CN"/>
              </w:rPr>
              <w:t>。</w:t>
            </w:r>
          </w:p>
        </w:tc>
        <w:tc>
          <w:tcPr>
            <w:tcW w:w="702" w:type="pct"/>
            <w:tcBorders>
              <w:tl2br w:val="nil"/>
              <w:tr2bl w:val="nil"/>
            </w:tcBorders>
            <w:noWrap w:val="0"/>
            <w:vAlign w:val="center"/>
          </w:tcPr>
          <w:p w14:paraId="06C1DF5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w:t>
            </w:r>
            <w:r>
              <w:rPr>
                <w:rFonts w:hint="default" w:ascii="Times New Roman" w:hAnsi="Times New Roman" w:eastAsia="宋体" w:cs="Times New Roman"/>
                <w:b w:val="0"/>
                <w:bCs/>
                <w:caps w:val="0"/>
                <w:smallCaps w:val="0"/>
                <w:color w:val="auto"/>
                <w:sz w:val="18"/>
                <w:szCs w:val="18"/>
                <w:u w:val="none" w:color="auto"/>
                <w:lang w:val="en-US" w:eastAsia="zh-CN"/>
              </w:rPr>
              <w:t>的天然洞穴、高层建筑或庙宇的缝隙中。</w:t>
            </w:r>
          </w:p>
        </w:tc>
        <w:tc>
          <w:tcPr>
            <w:tcW w:w="232" w:type="pct"/>
            <w:tcBorders>
              <w:tl2br w:val="nil"/>
              <w:tr2bl w:val="nil"/>
            </w:tcBorders>
            <w:noWrap w:val="0"/>
            <w:vAlign w:val="center"/>
          </w:tcPr>
          <w:p w14:paraId="73F42B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continue"/>
            <w:tcBorders>
              <w:tl2br w:val="nil"/>
              <w:tr2bl w:val="nil"/>
            </w:tcBorders>
            <w:noWrap w:val="0"/>
            <w:vAlign w:val="center"/>
          </w:tcPr>
          <w:p w14:paraId="5573B4A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2EE74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065B925D">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72AE501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东亚伏翼</w:t>
            </w:r>
          </w:p>
          <w:p w14:paraId="7207071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Pipistrellus abramus</w:t>
            </w:r>
          </w:p>
        </w:tc>
        <w:tc>
          <w:tcPr>
            <w:tcW w:w="237" w:type="pct"/>
            <w:tcBorders>
              <w:tl2br w:val="nil"/>
              <w:tr2bl w:val="nil"/>
            </w:tcBorders>
            <w:noWrap w:val="0"/>
            <w:vAlign w:val="center"/>
          </w:tcPr>
          <w:p w14:paraId="387F33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028FC5F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3B007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146D0EE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体型较小</w:t>
            </w:r>
            <w:r>
              <w:rPr>
                <w:rFonts w:hint="default" w:ascii="Times New Roman" w:hAnsi="Times New Roman" w:eastAsia="宋体" w:cs="Times New Roman"/>
                <w:bCs/>
                <w:caps w:val="0"/>
                <w:smallCaps w:val="0"/>
                <w:color w:val="auto"/>
                <w:sz w:val="18"/>
                <w:szCs w:val="18"/>
                <w:u w:val="none" w:color="auto"/>
                <w:lang w:eastAsia="zh-CN"/>
              </w:rPr>
              <w:t>，背毛通常为灰褐色或棕褐色，头骨较宽，颧弓纤细，吻突宽扁，上颌内门齿齿冠双叉形。以蚊等小型昆虫为食，并有冬眠的习性，一般在11月至次年3月冬眠，出眠后在6～7月间产仔。</w:t>
            </w:r>
          </w:p>
        </w:tc>
        <w:tc>
          <w:tcPr>
            <w:tcW w:w="702" w:type="pct"/>
            <w:tcBorders>
              <w:tl2br w:val="nil"/>
              <w:tr2bl w:val="nil"/>
            </w:tcBorders>
            <w:noWrap w:val="0"/>
            <w:vAlign w:val="center"/>
          </w:tcPr>
          <w:p w14:paraId="60DD616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w:t>
            </w:r>
            <w:r>
              <w:rPr>
                <w:rFonts w:hint="default" w:ascii="Times New Roman" w:hAnsi="Times New Roman" w:eastAsia="宋体" w:cs="Times New Roman"/>
                <w:b w:val="0"/>
                <w:bCs/>
                <w:caps w:val="0"/>
                <w:smallCaps w:val="0"/>
                <w:color w:val="auto"/>
                <w:sz w:val="18"/>
                <w:szCs w:val="18"/>
                <w:u w:val="none" w:color="auto"/>
                <w:lang w:val="en-US" w:eastAsia="zh-CN"/>
              </w:rPr>
              <w:t>的房屋屋檐下，也常隐匿在屋顶瓦隙或树洞中</w:t>
            </w:r>
          </w:p>
        </w:tc>
        <w:tc>
          <w:tcPr>
            <w:tcW w:w="232" w:type="pct"/>
            <w:tcBorders>
              <w:tl2br w:val="nil"/>
              <w:tr2bl w:val="nil"/>
            </w:tcBorders>
            <w:noWrap w:val="0"/>
            <w:vAlign w:val="center"/>
          </w:tcPr>
          <w:p w14:paraId="35C41A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continue"/>
            <w:tcBorders>
              <w:tl2br w:val="nil"/>
              <w:tr2bl w:val="nil"/>
            </w:tcBorders>
            <w:noWrap w:val="0"/>
            <w:vAlign w:val="center"/>
          </w:tcPr>
          <w:p w14:paraId="6A66DB1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3CB74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42DFDAA6">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1B68899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东方蝙蝠</w:t>
            </w:r>
          </w:p>
          <w:p w14:paraId="5B92A9F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Vespertilio sinensis</w:t>
            </w:r>
          </w:p>
        </w:tc>
        <w:tc>
          <w:tcPr>
            <w:tcW w:w="237" w:type="pct"/>
            <w:tcBorders>
              <w:tl2br w:val="nil"/>
              <w:tr2bl w:val="nil"/>
            </w:tcBorders>
            <w:noWrap w:val="0"/>
            <w:vAlign w:val="center"/>
          </w:tcPr>
          <w:p w14:paraId="757221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195131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10D0E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5EE973F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体型中等大小，耳短而宽略呈三角形，通体毛基均黑褐色。多数独居或两三只成小群，有时大批聚居在一起，春末产仔，6～7月间为哺育时期，每胎产2仔</w:t>
            </w:r>
            <w:r>
              <w:rPr>
                <w:rFonts w:hint="default" w:ascii="Times New Roman" w:hAnsi="Times New Roman" w:eastAsia="宋体" w:cs="Times New Roman"/>
                <w:bCs/>
                <w:caps w:val="0"/>
                <w:smallCaps w:val="0"/>
                <w:color w:val="auto"/>
                <w:sz w:val="18"/>
                <w:szCs w:val="18"/>
                <w:u w:val="none" w:color="auto"/>
                <w:lang w:eastAsia="zh-CN"/>
              </w:rPr>
              <w:t>。</w:t>
            </w:r>
          </w:p>
        </w:tc>
        <w:tc>
          <w:tcPr>
            <w:tcW w:w="702" w:type="pct"/>
            <w:tcBorders>
              <w:tl2br w:val="nil"/>
              <w:tr2bl w:val="nil"/>
            </w:tcBorders>
            <w:noWrap w:val="0"/>
            <w:vAlign w:val="center"/>
          </w:tcPr>
          <w:p w14:paraId="215005E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caps w:val="0"/>
                <w:smallCaps w:val="0"/>
                <w:color w:val="auto"/>
                <w:sz w:val="18"/>
                <w:szCs w:val="18"/>
                <w:u w:val="none" w:color="auto"/>
              </w:rPr>
              <w:t>主要分布于评价区内</w:t>
            </w:r>
            <w:r>
              <w:rPr>
                <w:rFonts w:hint="default" w:ascii="Times New Roman" w:hAnsi="Times New Roman" w:eastAsia="宋体" w:cs="Times New Roman"/>
                <w:b w:val="0"/>
                <w:bCs/>
                <w:caps w:val="0"/>
                <w:smallCaps w:val="0"/>
                <w:color w:val="auto"/>
                <w:sz w:val="18"/>
                <w:szCs w:val="18"/>
                <w:u w:val="none" w:color="auto"/>
                <w:lang w:val="en-US" w:eastAsia="zh-CN"/>
              </w:rPr>
              <w:t>的屋檐、天花板、门窗的裂缝中，也栖于树洞中</w:t>
            </w:r>
          </w:p>
        </w:tc>
        <w:tc>
          <w:tcPr>
            <w:tcW w:w="232" w:type="pct"/>
            <w:tcBorders>
              <w:tl2br w:val="nil"/>
              <w:tr2bl w:val="nil"/>
            </w:tcBorders>
            <w:noWrap w:val="0"/>
            <w:vAlign w:val="center"/>
          </w:tcPr>
          <w:p w14:paraId="1BFB0C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文献纪录</w:t>
            </w:r>
          </w:p>
        </w:tc>
        <w:tc>
          <w:tcPr>
            <w:tcW w:w="515" w:type="pct"/>
            <w:vMerge w:val="continue"/>
            <w:tcBorders>
              <w:tl2br w:val="nil"/>
              <w:tr2bl w:val="nil"/>
            </w:tcBorders>
            <w:noWrap w:val="0"/>
            <w:vAlign w:val="center"/>
          </w:tcPr>
          <w:p w14:paraId="398D8A1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40B84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83C82D3">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2655FBF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中华蟾蜍</w:t>
            </w:r>
          </w:p>
          <w:p w14:paraId="4FCEBFB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Bufo gargarizans</w:t>
            </w:r>
          </w:p>
        </w:tc>
        <w:tc>
          <w:tcPr>
            <w:tcW w:w="237" w:type="pct"/>
            <w:tcBorders>
              <w:tl2br w:val="nil"/>
              <w:tr2bl w:val="nil"/>
            </w:tcBorders>
            <w:noWrap w:val="0"/>
            <w:vAlign w:val="center"/>
          </w:tcPr>
          <w:p w14:paraId="5A0DC0F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90084F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LC</w:t>
            </w:r>
          </w:p>
        </w:tc>
        <w:tc>
          <w:tcPr>
            <w:tcW w:w="316" w:type="pct"/>
            <w:tcBorders>
              <w:tl2br w:val="nil"/>
              <w:tr2bl w:val="nil"/>
            </w:tcBorders>
            <w:noWrap w:val="0"/>
            <w:vAlign w:val="center"/>
          </w:tcPr>
          <w:p w14:paraId="1787346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63DC9ED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又名癞蛤蟆、虾蟆、蚧巴子。体形如蛙，四肢比蛙粗壮。头宽大，口阔，皮肤粗糙，全身布满大小不等的圆形瘰疣，头顶部两侧有一对大而发达的耳后腺。雄性背面多呈橄榄黄色，有不规则的花斑，疣粒上有红点，雌性背面呈浅绿色，花斑酱色，疣粒上也有红点；头后背正中常有浅绿色脊线，上颌缘及四肢有深棕色纹</w:t>
            </w:r>
            <w:r>
              <w:rPr>
                <w:rFonts w:hint="default" w:ascii="Times New Roman" w:hAnsi="Times New Roman" w:eastAsia="宋体" w:cs="Times New Roman"/>
                <w:bCs/>
                <w:caps w:val="0"/>
                <w:smallCaps w:val="0"/>
                <w:color w:val="auto"/>
                <w:sz w:val="18"/>
                <w:szCs w:val="18"/>
                <w:u w:val="none" w:color="auto"/>
                <w:lang w:eastAsia="zh-CN"/>
              </w:rPr>
              <w:t>。喜湿、喜暗、喜暖。夜间和雨后最为活跃，以蜗牛、蛞蝓、蚂蚁、蚊子、孑孓、蝗虫、土蚕、金龟子、蝼蛄、蝇明及多种有趋光性的蛾蝶为食。雌雄异体，体外受精，体外发育，雌体产卵于浅水沟。一只雌蟾蜍年产卵</w:t>
            </w:r>
            <w:r>
              <w:rPr>
                <w:rFonts w:hint="default" w:ascii="Times New Roman" w:hAnsi="Times New Roman" w:eastAsia="宋体" w:cs="Times New Roman"/>
                <w:bCs/>
                <w:caps w:val="0"/>
                <w:smallCaps w:val="0"/>
                <w:color w:val="auto"/>
                <w:sz w:val="18"/>
                <w:szCs w:val="18"/>
                <w:u w:val="none" w:color="auto"/>
                <w:lang w:val="en-US" w:eastAsia="zh-CN"/>
              </w:rPr>
              <w:t>2-</w:t>
            </w:r>
            <w:r>
              <w:rPr>
                <w:rFonts w:hint="default" w:ascii="Times New Roman" w:hAnsi="Times New Roman" w:eastAsia="宋体" w:cs="Times New Roman"/>
                <w:bCs/>
                <w:caps w:val="0"/>
                <w:smallCaps w:val="0"/>
                <w:color w:val="auto"/>
                <w:sz w:val="18"/>
                <w:szCs w:val="18"/>
                <w:u w:val="none" w:color="auto"/>
                <w:lang w:eastAsia="zh-CN"/>
              </w:rPr>
              <w:t>5次，每次产卵3000</w:t>
            </w:r>
            <w:r>
              <w:rPr>
                <w:rFonts w:hint="default" w:ascii="Times New Roman" w:hAnsi="Times New Roman" w:eastAsia="宋体" w:cs="Times New Roman"/>
                <w:bCs/>
                <w:caps w:val="0"/>
                <w:smallCaps w:val="0"/>
                <w:color w:val="auto"/>
                <w:sz w:val="18"/>
                <w:szCs w:val="18"/>
                <w:u w:val="none" w:color="auto"/>
                <w:lang w:val="en-US" w:eastAsia="zh-CN"/>
              </w:rPr>
              <w:t>-</w:t>
            </w:r>
            <w:r>
              <w:rPr>
                <w:rFonts w:hint="default" w:ascii="Times New Roman" w:hAnsi="Times New Roman" w:eastAsia="宋体" w:cs="Times New Roman"/>
                <w:bCs/>
                <w:caps w:val="0"/>
                <w:smallCaps w:val="0"/>
                <w:color w:val="auto"/>
                <w:sz w:val="18"/>
                <w:szCs w:val="18"/>
                <w:u w:val="none" w:color="auto"/>
                <w:lang w:eastAsia="zh-CN"/>
              </w:rPr>
              <w:t>5000粒，每年3月产卵。</w:t>
            </w:r>
          </w:p>
        </w:tc>
        <w:tc>
          <w:tcPr>
            <w:tcW w:w="702" w:type="pct"/>
            <w:tcBorders>
              <w:tl2br w:val="nil"/>
              <w:tr2bl w:val="nil"/>
            </w:tcBorders>
            <w:noWrap w:val="0"/>
            <w:vAlign w:val="center"/>
          </w:tcPr>
          <w:p w14:paraId="5B3769D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主要分布于评价区内的田野、池沼及附近</w:t>
            </w:r>
          </w:p>
        </w:tc>
        <w:tc>
          <w:tcPr>
            <w:tcW w:w="232" w:type="pct"/>
            <w:tcBorders>
              <w:tl2br w:val="nil"/>
              <w:tr2bl w:val="nil"/>
            </w:tcBorders>
            <w:noWrap w:val="0"/>
            <w:vAlign w:val="center"/>
          </w:tcPr>
          <w:p w14:paraId="48C8C8D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2B0B7B6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否，工程不占用水域，田野及坑塘区域分布在工程周边</w:t>
            </w:r>
          </w:p>
        </w:tc>
      </w:tr>
      <w:tr w14:paraId="28A0C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BC48619">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c>
          <w:tcPr>
            <w:tcW w:w="475" w:type="pct"/>
            <w:tcBorders>
              <w:tl2br w:val="nil"/>
              <w:tr2bl w:val="nil"/>
            </w:tcBorders>
            <w:noWrap w:val="0"/>
            <w:vAlign w:val="center"/>
          </w:tcPr>
          <w:p w14:paraId="0749A14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rPr>
            </w:pPr>
            <w:r>
              <w:rPr>
                <w:rFonts w:hint="default" w:ascii="Times New Roman" w:hAnsi="Times New Roman" w:eastAsia="宋体" w:cs="Times New Roman"/>
                <w:caps w:val="0"/>
                <w:smallCaps w:val="0"/>
                <w:color w:val="auto"/>
                <w:kern w:val="0"/>
                <w:sz w:val="18"/>
                <w:szCs w:val="18"/>
                <w:u w:val="none" w:color="auto"/>
              </w:rPr>
              <w:t>黑斑侧褶蛙</w:t>
            </w:r>
            <w:r>
              <w:rPr>
                <w:rFonts w:hint="default" w:ascii="Times New Roman" w:hAnsi="Times New Roman" w:eastAsia="宋体" w:cs="Times New Roman"/>
                <w:i/>
                <w:iCs/>
                <w:caps w:val="0"/>
                <w:smallCaps w:val="0"/>
                <w:color w:val="auto"/>
                <w:sz w:val="18"/>
                <w:szCs w:val="18"/>
                <w:u w:val="none" w:color="auto"/>
              </w:rPr>
              <w:t>Pelophylax nigromaculatus</w:t>
            </w:r>
          </w:p>
        </w:tc>
        <w:tc>
          <w:tcPr>
            <w:tcW w:w="237" w:type="pct"/>
            <w:tcBorders>
              <w:tl2br w:val="nil"/>
              <w:tr2bl w:val="nil"/>
            </w:tcBorders>
            <w:noWrap w:val="0"/>
            <w:vAlign w:val="center"/>
          </w:tcPr>
          <w:p w14:paraId="5169F38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930D70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3E40F02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376919C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又名：黑斑蛙、青蛙、田鸡、青鸡、青头蛤蟆、三道眉。背面皮肤较粗糙，背侧褶明显，褶间有多行长短不一的纵肤棱，后背、肛周及股后下方有圆疣和痣粒；腹面光滑。体背面颜色多样，有淡绿色、黄绿色、深绿色、灰褐色等，杂有许多大小不一的黑横纹。白天隐蔽于草丛和泥窝内，黄昏和夜间活动；跳跃力强，一次跳跃可达1米以上。以昆虫纲、腹足纲、蛛形纲等动物为食。成蛙在10</w:t>
            </w:r>
            <w:r>
              <w:rPr>
                <w:rFonts w:hint="default" w:ascii="Times New Roman" w:hAnsi="Times New Roman" w:eastAsia="宋体" w:cs="Times New Roman"/>
                <w:bCs/>
                <w:caps w:val="0"/>
                <w:smallCaps w:val="0"/>
                <w:color w:val="auto"/>
                <w:sz w:val="18"/>
                <w:szCs w:val="18"/>
                <w:u w:val="none" w:color="auto"/>
                <w:lang w:val="en-US" w:eastAsia="zh-CN"/>
              </w:rPr>
              <w:t>-</w:t>
            </w:r>
            <w:r>
              <w:rPr>
                <w:rFonts w:hint="default" w:ascii="Times New Roman" w:hAnsi="Times New Roman" w:eastAsia="宋体" w:cs="Times New Roman"/>
                <w:bCs/>
                <w:caps w:val="0"/>
                <w:smallCaps w:val="0"/>
                <w:color w:val="auto"/>
                <w:sz w:val="18"/>
                <w:szCs w:val="18"/>
                <w:u w:val="none" w:color="auto"/>
              </w:rPr>
              <w:t>11月进入冬眠，翌年3</w:t>
            </w:r>
            <w:r>
              <w:rPr>
                <w:rFonts w:hint="default" w:ascii="Times New Roman" w:hAnsi="Times New Roman" w:eastAsia="宋体" w:cs="Times New Roman"/>
                <w:bCs/>
                <w:caps w:val="0"/>
                <w:smallCaps w:val="0"/>
                <w:color w:val="auto"/>
                <w:sz w:val="18"/>
                <w:szCs w:val="18"/>
                <w:u w:val="none" w:color="auto"/>
                <w:lang w:val="en-US" w:eastAsia="zh-CN"/>
              </w:rPr>
              <w:t>-</w:t>
            </w:r>
            <w:r>
              <w:rPr>
                <w:rFonts w:hint="default" w:ascii="Times New Roman" w:hAnsi="Times New Roman" w:eastAsia="宋体" w:cs="Times New Roman"/>
                <w:bCs/>
                <w:caps w:val="0"/>
                <w:smallCaps w:val="0"/>
                <w:color w:val="auto"/>
                <w:sz w:val="18"/>
                <w:szCs w:val="18"/>
                <w:u w:val="none" w:color="auto"/>
              </w:rPr>
              <w:t>5月出蛰。繁殖季节为3月下旬至4月，产卵于稻田、池塘浅水处，卵群成团状，每团3000</w:t>
            </w:r>
            <w:r>
              <w:rPr>
                <w:rFonts w:hint="default" w:ascii="Times New Roman" w:hAnsi="Times New Roman" w:eastAsia="宋体" w:cs="Times New Roman"/>
                <w:bCs/>
                <w:caps w:val="0"/>
                <w:smallCaps w:val="0"/>
                <w:color w:val="auto"/>
                <w:sz w:val="18"/>
                <w:szCs w:val="18"/>
                <w:u w:val="none" w:color="auto"/>
                <w:lang w:val="en-US" w:eastAsia="zh-CN"/>
              </w:rPr>
              <w:t>-</w:t>
            </w:r>
            <w:r>
              <w:rPr>
                <w:rFonts w:hint="default" w:ascii="Times New Roman" w:hAnsi="Times New Roman" w:eastAsia="宋体" w:cs="Times New Roman"/>
                <w:bCs/>
                <w:caps w:val="0"/>
                <w:smallCaps w:val="0"/>
                <w:color w:val="auto"/>
                <w:sz w:val="18"/>
                <w:szCs w:val="18"/>
                <w:u w:val="none" w:color="auto"/>
              </w:rPr>
              <w:t>5500粒。</w:t>
            </w:r>
          </w:p>
        </w:tc>
        <w:tc>
          <w:tcPr>
            <w:tcW w:w="702" w:type="pct"/>
            <w:tcBorders>
              <w:tl2br w:val="nil"/>
              <w:tr2bl w:val="nil"/>
            </w:tcBorders>
            <w:noWrap w:val="0"/>
            <w:vAlign w:val="center"/>
          </w:tcPr>
          <w:p w14:paraId="201899D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主要分布于评价区内的田野、池沼及附近</w:t>
            </w:r>
          </w:p>
        </w:tc>
        <w:tc>
          <w:tcPr>
            <w:tcW w:w="232" w:type="pct"/>
            <w:tcBorders>
              <w:tl2br w:val="nil"/>
              <w:tr2bl w:val="nil"/>
            </w:tcBorders>
            <w:noWrap w:val="0"/>
            <w:vAlign w:val="center"/>
          </w:tcPr>
          <w:p w14:paraId="1E19725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62605EA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否，工程不占用水域，田野及坑塘区域分布在工程周边</w:t>
            </w:r>
          </w:p>
        </w:tc>
      </w:tr>
      <w:tr w14:paraId="07B6D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8FD3A84">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7F551D9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中华鳖</w:t>
            </w:r>
          </w:p>
          <w:p w14:paraId="6326B54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kern w:val="2"/>
                <w:sz w:val="18"/>
                <w:szCs w:val="18"/>
                <w:u w:val="none" w:color="auto"/>
                <w:lang w:val="en-US" w:eastAsia="zh-CN" w:bidi="ar-SA"/>
              </w:rPr>
            </w:pPr>
            <w:r>
              <w:rPr>
                <w:rFonts w:hint="default" w:ascii="Times New Roman" w:hAnsi="Times New Roman" w:eastAsia="宋体" w:cs="Times New Roman"/>
                <w:b w:val="0"/>
                <w:bCs/>
                <w:i/>
                <w:iCs/>
                <w:caps w:val="0"/>
                <w:smallCaps w:val="0"/>
                <w:color w:val="auto"/>
                <w:sz w:val="18"/>
                <w:szCs w:val="18"/>
                <w:u w:val="none" w:color="auto"/>
                <w:lang w:val="en-US" w:eastAsia="zh-CN"/>
              </w:rPr>
              <w:t>Trionyx Sinensis</w:t>
            </w:r>
          </w:p>
        </w:tc>
        <w:tc>
          <w:tcPr>
            <w:tcW w:w="237" w:type="pct"/>
            <w:tcBorders>
              <w:tl2br w:val="nil"/>
              <w:tr2bl w:val="nil"/>
            </w:tcBorders>
            <w:noWrap w:val="0"/>
            <w:vAlign w:val="center"/>
          </w:tcPr>
          <w:p w14:paraId="4D6A446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844167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EN</w:t>
            </w:r>
          </w:p>
        </w:tc>
        <w:tc>
          <w:tcPr>
            <w:tcW w:w="316" w:type="pct"/>
            <w:tcBorders>
              <w:tl2br w:val="nil"/>
              <w:tr2bl w:val="nil"/>
            </w:tcBorders>
            <w:noWrap w:val="0"/>
            <w:vAlign w:val="center"/>
          </w:tcPr>
          <w:p w14:paraId="31F325F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3DF703A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lang w:val="en-US" w:eastAsia="zh-CN"/>
              </w:rPr>
              <w:t>身体扁平，呈椭圆形；背和腹有龟甲，四肢为柔软的革质皮肤，没有角质鳞片；头部粗大，前端略呈三角形；背甲暗绿色或黄褐色，周边为肥厚的结缔组织，俗称“裙边”。生性怯懦怕声响，白天潜伏在水中或淤泥中，夜间出来觅食，比较能耐受饥饿。喜欢吃鱼虾、昆虫等，也食水草、谷类等植物性饵料，特别喜欢吃臭鱼、烂虾等腐败变质饵料。雌性在繁殖季节一般可产卵3~4次，1次产卵10枚左右，经过40~70天地温孵化。寿命为30-50年。</w:t>
            </w:r>
          </w:p>
        </w:tc>
        <w:tc>
          <w:tcPr>
            <w:tcW w:w="702" w:type="pct"/>
            <w:tcBorders>
              <w:tl2br w:val="nil"/>
              <w:tr2bl w:val="nil"/>
            </w:tcBorders>
            <w:noWrap w:val="0"/>
            <w:vAlign w:val="center"/>
          </w:tcPr>
          <w:p w14:paraId="0431CE1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主要分布于评价区内的田野、池沼及附近</w:t>
            </w:r>
          </w:p>
        </w:tc>
        <w:tc>
          <w:tcPr>
            <w:tcW w:w="232" w:type="pct"/>
            <w:tcBorders>
              <w:tl2br w:val="nil"/>
              <w:tr2bl w:val="nil"/>
            </w:tcBorders>
            <w:noWrap w:val="0"/>
            <w:vAlign w:val="center"/>
          </w:tcPr>
          <w:p w14:paraId="49C6404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文献记录</w:t>
            </w:r>
          </w:p>
        </w:tc>
        <w:tc>
          <w:tcPr>
            <w:tcW w:w="515" w:type="pct"/>
            <w:tcBorders>
              <w:tl2br w:val="nil"/>
              <w:tr2bl w:val="nil"/>
            </w:tcBorders>
            <w:noWrap w:val="0"/>
            <w:vAlign w:val="center"/>
          </w:tcPr>
          <w:p w14:paraId="65A3852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否，工程不占用水域，田野及坑塘区域分布在工程周边</w:t>
            </w:r>
          </w:p>
        </w:tc>
      </w:tr>
      <w:tr w14:paraId="7031D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6EDA786B">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13375C1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北草蜥</w:t>
            </w:r>
          </w:p>
          <w:p w14:paraId="58EF95E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Takydromus septentrionalis</w:t>
            </w:r>
          </w:p>
        </w:tc>
        <w:tc>
          <w:tcPr>
            <w:tcW w:w="237" w:type="pct"/>
            <w:tcBorders>
              <w:tl2br w:val="nil"/>
              <w:tr2bl w:val="nil"/>
            </w:tcBorders>
            <w:noWrap w:val="0"/>
            <w:vAlign w:val="center"/>
          </w:tcPr>
          <w:p w14:paraId="1EB9B53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2CE815C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064A053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是</w:t>
            </w:r>
          </w:p>
        </w:tc>
        <w:tc>
          <w:tcPr>
            <w:tcW w:w="2111" w:type="pct"/>
            <w:tcBorders>
              <w:tl2br w:val="nil"/>
              <w:tr2bl w:val="nil"/>
            </w:tcBorders>
            <w:noWrap w:val="0"/>
            <w:vAlign w:val="center"/>
          </w:tcPr>
          <w:p w14:paraId="6506E33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olor w:val="auto"/>
                <w:sz w:val="21"/>
                <w:szCs w:val="21"/>
                <w:u w:val="none" w:color="auto"/>
                <w:lang w:val="en-US" w:eastAsia="zh-CN"/>
              </w:rPr>
              <w:t>体瘦长，尾长约为头体长的3倍；体背部中段起棱，有大棱鳞6纵行；腹部起棱大鳞8纵行，纵横排列，略呈方形；颏片3对，鼠蹊窝1对；头、体、尾及四肢背面均为棕绿色，腹面灰棕色或灰白色，眼后至肩部有1条浅纵纹；雄性背鳞外缘有1条鲜绿色纵纹，体侧杂有深色斑。昼夜活动，主要以昆虫、蚯蚓等为食；有冬眠习性，冬眠时多躲藏于草根、树根下或田埂边之土洞中，路边的石下也是良好的栖身之处；胆子很小，在受到惊扰时迅速逃跑。北草蜥卵生，卵乳白色，每次产2～6枚，5～6月份多产3～4枚，7～8月份多产2枚。</w:t>
            </w:r>
          </w:p>
        </w:tc>
        <w:tc>
          <w:tcPr>
            <w:tcW w:w="702" w:type="pct"/>
            <w:tcBorders>
              <w:tl2br w:val="nil"/>
              <w:tr2bl w:val="nil"/>
            </w:tcBorders>
            <w:noWrap w:val="0"/>
            <w:vAlign w:val="center"/>
          </w:tcPr>
          <w:p w14:paraId="06A5ED1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主要分布于评价区内的田野、草丛或石块缝隙里</w:t>
            </w:r>
          </w:p>
        </w:tc>
        <w:tc>
          <w:tcPr>
            <w:tcW w:w="232" w:type="pct"/>
            <w:tcBorders>
              <w:tl2br w:val="nil"/>
              <w:tr2bl w:val="nil"/>
            </w:tcBorders>
            <w:noWrap w:val="0"/>
            <w:vAlign w:val="center"/>
          </w:tcPr>
          <w:p w14:paraId="07A045E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502E94F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10515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3B2BD9A4">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713962B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多疣壁虎</w:t>
            </w:r>
          </w:p>
          <w:p w14:paraId="2F3CCC1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Gekko japonicus</w:t>
            </w:r>
          </w:p>
        </w:tc>
        <w:tc>
          <w:tcPr>
            <w:tcW w:w="237" w:type="pct"/>
            <w:tcBorders>
              <w:tl2br w:val="nil"/>
              <w:tr2bl w:val="nil"/>
            </w:tcBorders>
            <w:noWrap w:val="0"/>
            <w:vAlign w:val="center"/>
          </w:tcPr>
          <w:p w14:paraId="1709542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2AD22A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320DA3D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121652F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olor w:val="auto"/>
                <w:sz w:val="21"/>
                <w:szCs w:val="21"/>
                <w:u w:val="none" w:color="auto"/>
                <w:lang w:val="en-US" w:eastAsia="zh-CN"/>
              </w:rPr>
            </w:pPr>
            <w:r>
              <w:rPr>
                <w:rFonts w:hint="default" w:ascii="Times New Roman" w:hAnsi="Times New Roman" w:eastAsia="宋体" w:cs="Times New Roman"/>
                <w:bCs/>
                <w:color w:val="auto"/>
                <w:sz w:val="21"/>
                <w:szCs w:val="21"/>
                <w:u w:val="none" w:color="auto"/>
                <w:lang w:val="en-US" w:eastAsia="zh-CN"/>
              </w:rPr>
              <w:t>体形中等，头体扁平。头中等大，卵圆形。吻斜扁，除吻鼻部鳞稍大外，其余均为粒鳞，二额中部稍凹。4月出蛰，夜间活动，夏秋之季活动频繁，常于19时至清晨6时进行觅食。主要以各种昆虫、蜘蛛为食。</w:t>
            </w:r>
          </w:p>
        </w:tc>
        <w:tc>
          <w:tcPr>
            <w:tcW w:w="702" w:type="pct"/>
            <w:tcBorders>
              <w:tl2br w:val="nil"/>
              <w:tr2bl w:val="nil"/>
            </w:tcBorders>
            <w:noWrap w:val="0"/>
            <w:vAlign w:val="center"/>
          </w:tcPr>
          <w:p w14:paraId="55ACBEB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主要分布于评价区内的建筑物内及附近地区</w:t>
            </w:r>
          </w:p>
        </w:tc>
        <w:tc>
          <w:tcPr>
            <w:tcW w:w="232" w:type="pct"/>
            <w:tcBorders>
              <w:tl2br w:val="nil"/>
              <w:tr2bl w:val="nil"/>
            </w:tcBorders>
            <w:noWrap w:val="0"/>
            <w:vAlign w:val="center"/>
          </w:tcPr>
          <w:p w14:paraId="3345FEB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现场调查</w:t>
            </w:r>
          </w:p>
        </w:tc>
        <w:tc>
          <w:tcPr>
            <w:tcW w:w="515" w:type="pct"/>
            <w:tcBorders>
              <w:tl2br w:val="nil"/>
              <w:tr2bl w:val="nil"/>
            </w:tcBorders>
            <w:noWrap w:val="0"/>
            <w:vAlign w:val="center"/>
          </w:tcPr>
          <w:p w14:paraId="47E06CF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17664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02FF3B19">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10F3769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中国石龙子</w:t>
            </w:r>
          </w:p>
          <w:p w14:paraId="5805375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Plestiodon chinensis</w:t>
            </w:r>
          </w:p>
        </w:tc>
        <w:tc>
          <w:tcPr>
            <w:tcW w:w="237" w:type="pct"/>
            <w:tcBorders>
              <w:tl2br w:val="nil"/>
              <w:tr2bl w:val="nil"/>
            </w:tcBorders>
            <w:noWrap w:val="0"/>
            <w:vAlign w:val="center"/>
          </w:tcPr>
          <w:p w14:paraId="2B70129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386B4B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0DE4876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1496BAC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又名有山龙子、四脚蛇、中国石龙蜥、猪婆蛇、石龙子、石龙蜥、山弹、泉龙。周身被有覆瓦状排列的细鳞，鳞片质薄而光滑；吻端圆凸；鼻孔1对，眼分列于头部两侧；舌短，稍分叉；四肢发达，尾细长，末端尖锐。体背黄铜色，有金属光泽，鳞片周围淡灰色，略现网状斑纹。以各种无脊椎动物如金龟子、蝼蛄、地老虎、天牛、蝗虫、蝽象、叩头虫及蛾类幼虫为食，亦吞食小蛙、幼蜥等脊椎动物。刚出眠时多在中午活动，夏季自清晨至傍晚均在外活动觅食。秋季则全天活动觅食。卵生，每次产卵5-9枚，多者可达16枚。</w:t>
            </w:r>
          </w:p>
        </w:tc>
        <w:tc>
          <w:tcPr>
            <w:tcW w:w="702" w:type="pct"/>
            <w:tcBorders>
              <w:tl2br w:val="nil"/>
              <w:tr2bl w:val="nil"/>
            </w:tcBorders>
            <w:noWrap w:val="0"/>
            <w:vAlign w:val="center"/>
          </w:tcPr>
          <w:p w14:paraId="6393646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主要分布于评价区内的田野、草丛或石块缝隙里</w:t>
            </w:r>
          </w:p>
        </w:tc>
        <w:tc>
          <w:tcPr>
            <w:tcW w:w="232" w:type="pct"/>
            <w:tcBorders>
              <w:tl2br w:val="nil"/>
              <w:tr2bl w:val="nil"/>
            </w:tcBorders>
            <w:noWrap w:val="0"/>
            <w:vAlign w:val="center"/>
          </w:tcPr>
          <w:p w14:paraId="49460AB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08622B9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599ED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8694B33">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587C47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赤链蛇</w:t>
            </w:r>
          </w:p>
          <w:p w14:paraId="6CF2C68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kern w:val="2"/>
                <w:sz w:val="18"/>
                <w:szCs w:val="18"/>
                <w:u w:val="none" w:color="auto"/>
                <w:lang w:val="en-US" w:eastAsia="zh-CN" w:bidi="ar-SA"/>
              </w:rPr>
            </w:pPr>
            <w:r>
              <w:rPr>
                <w:rFonts w:hint="default" w:ascii="Times New Roman" w:hAnsi="Times New Roman" w:eastAsia="宋体" w:cs="Times New Roman"/>
                <w:b w:val="0"/>
                <w:bCs/>
                <w:i/>
                <w:iCs/>
                <w:caps w:val="0"/>
                <w:smallCaps w:val="0"/>
                <w:color w:val="auto"/>
                <w:sz w:val="18"/>
                <w:szCs w:val="18"/>
                <w:u w:val="none" w:color="auto"/>
                <w:lang w:val="en-US" w:eastAsia="zh-CN"/>
              </w:rPr>
              <w:t>Lycodon rufozonatus</w:t>
            </w:r>
          </w:p>
        </w:tc>
        <w:tc>
          <w:tcPr>
            <w:tcW w:w="237" w:type="pct"/>
            <w:tcBorders>
              <w:tl2br w:val="nil"/>
              <w:tr2bl w:val="nil"/>
            </w:tcBorders>
            <w:noWrap w:val="0"/>
            <w:vAlign w:val="center"/>
          </w:tcPr>
          <w:p w14:paraId="2AE2CD8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4BAFFBE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59249AD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272337A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lang w:val="en-US" w:eastAsia="zh-CN"/>
              </w:rPr>
              <w:t>吻较前突且宽圆。头较宽且甚扁，与颈可区分。颊鳞1枚，细长。头背黑褐色，鳞沟红色。枕部具倒“V”形红色斑。体、尾背面黑褐色，具约等距排列的红色横斑。头、尾腹面污白色，腹鳞两侧散布少数黑褐色点斑。多于傍晚出没于水源地附近。食性极广，捕食鱼类、蛙类、蛇类、蜥蜴、小型哺乳动物、鸟类等。多于傍晚或夜间活动觅食。遇到敌害时头常缩成近似三角形并摇动尾巴警告，如警告敌害无效，会弯成“S”型并发起攻击，野生性情个体较凶猛。</w:t>
            </w:r>
          </w:p>
        </w:tc>
        <w:tc>
          <w:tcPr>
            <w:tcW w:w="702" w:type="pct"/>
            <w:tcBorders>
              <w:tl2br w:val="nil"/>
              <w:tr2bl w:val="nil"/>
            </w:tcBorders>
            <w:noWrap w:val="0"/>
            <w:vAlign w:val="center"/>
          </w:tcPr>
          <w:p w14:paraId="396942D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主要分布于评价区内的田野、村舍附近</w:t>
            </w:r>
          </w:p>
        </w:tc>
        <w:tc>
          <w:tcPr>
            <w:tcW w:w="232" w:type="pct"/>
            <w:tcBorders>
              <w:tl2br w:val="nil"/>
              <w:tr2bl w:val="nil"/>
            </w:tcBorders>
            <w:noWrap w:val="0"/>
            <w:vAlign w:val="center"/>
          </w:tcPr>
          <w:p w14:paraId="02FBACC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restart"/>
            <w:tcBorders>
              <w:tl2br w:val="nil"/>
              <w:tr2bl w:val="nil"/>
            </w:tcBorders>
            <w:noWrap w:val="0"/>
            <w:vAlign w:val="center"/>
          </w:tcPr>
          <w:p w14:paraId="749F8DF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7D6D6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53942DEA">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054CF76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短尾蝮</w:t>
            </w:r>
          </w:p>
          <w:p w14:paraId="05E1CCF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Gloydius brevicaudus</w:t>
            </w:r>
          </w:p>
        </w:tc>
        <w:tc>
          <w:tcPr>
            <w:tcW w:w="237" w:type="pct"/>
            <w:tcBorders>
              <w:tl2br w:val="nil"/>
              <w:tr2bl w:val="nil"/>
            </w:tcBorders>
            <w:noWrap w:val="0"/>
            <w:vAlign w:val="center"/>
          </w:tcPr>
          <w:p w14:paraId="095BF52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42F7432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38B0970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3042780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型短粗，头略呈三角形，与颈区分明显。头侧具1条黑色或黑褐色眉纹，上、下缘镶白边。通身背面黄褐色、灰褐色、黑褐色或肉红色。身体两侧各具1行大圆斑，圆斑在脊部交错或并列，少数融合。捕食鱼类、蛙类、蜥蜴、小型哺乳动物等。</w:t>
            </w:r>
          </w:p>
        </w:tc>
        <w:tc>
          <w:tcPr>
            <w:tcW w:w="702" w:type="pct"/>
            <w:tcBorders>
              <w:tl2br w:val="nil"/>
              <w:tr2bl w:val="nil"/>
            </w:tcBorders>
            <w:noWrap w:val="0"/>
            <w:vAlign w:val="center"/>
          </w:tcPr>
          <w:p w14:paraId="38B350D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主要分布于评价区内的草丛中，活动于耕作区、沟渠、路边和村落周围</w:t>
            </w:r>
          </w:p>
        </w:tc>
        <w:tc>
          <w:tcPr>
            <w:tcW w:w="232" w:type="pct"/>
            <w:tcBorders>
              <w:tl2br w:val="nil"/>
              <w:tr2bl w:val="nil"/>
            </w:tcBorders>
            <w:noWrap w:val="0"/>
            <w:vAlign w:val="center"/>
          </w:tcPr>
          <w:p w14:paraId="5B3501B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0AB2BDB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3F0A4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05B2BC7A">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9918CF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中国小头蛇</w:t>
            </w:r>
          </w:p>
          <w:p w14:paraId="46366C9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Oligodon chinensis</w:t>
            </w:r>
          </w:p>
        </w:tc>
        <w:tc>
          <w:tcPr>
            <w:tcW w:w="237" w:type="pct"/>
            <w:tcBorders>
              <w:tl2br w:val="nil"/>
              <w:tr2bl w:val="nil"/>
            </w:tcBorders>
            <w:noWrap w:val="0"/>
            <w:vAlign w:val="center"/>
          </w:tcPr>
          <w:p w14:paraId="1E57197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E3632C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6FD6623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38442C3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头小，吻稍尖，瞳孔圆，背鳞无棱光滑，腹鳞有侧棱。头背面和侧面，第5至第6枚上唇鳞贯眼到前额鳞和额鳞前缘处，有一黑褐色八字纹；自额鳞后角始，向颈两侧延伸形成一“人”形黑褐纹。具有夜行性，以小型脊椎动物或其卵为食。它们有时会进入家屋寻找食物。</w:t>
            </w:r>
          </w:p>
        </w:tc>
        <w:tc>
          <w:tcPr>
            <w:tcW w:w="702" w:type="pct"/>
            <w:tcBorders>
              <w:tl2br w:val="nil"/>
              <w:tr2bl w:val="nil"/>
            </w:tcBorders>
            <w:noWrap w:val="0"/>
            <w:vAlign w:val="center"/>
          </w:tcPr>
          <w:p w14:paraId="713CA44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主要分布于评价区内的林地或农耕地</w:t>
            </w:r>
          </w:p>
        </w:tc>
        <w:tc>
          <w:tcPr>
            <w:tcW w:w="232" w:type="pct"/>
            <w:tcBorders>
              <w:tl2br w:val="nil"/>
              <w:tr2bl w:val="nil"/>
            </w:tcBorders>
            <w:noWrap w:val="0"/>
            <w:vAlign w:val="center"/>
          </w:tcPr>
          <w:p w14:paraId="0A35AD7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4735F36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1073B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081F5916">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3503782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银环蛇</w:t>
            </w:r>
          </w:p>
          <w:p w14:paraId="5BBA2A2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Bungarusmulticinctus</w:t>
            </w:r>
          </w:p>
        </w:tc>
        <w:tc>
          <w:tcPr>
            <w:tcW w:w="237" w:type="pct"/>
            <w:tcBorders>
              <w:tl2br w:val="nil"/>
              <w:tr2bl w:val="nil"/>
            </w:tcBorders>
            <w:noWrap w:val="0"/>
            <w:vAlign w:val="center"/>
          </w:tcPr>
          <w:p w14:paraId="53298BB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6F3305D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5C14EE9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041F818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型中等偏大，成年个体通常身长介于0.6至1.2米之间。其最显著的特征是在黑色背景上有数十个白色或银白色的横纹，这些横纹环绕整个躯体，使其外观极为醒目。银环蛇的腹面通常为乳白色，头部椭圆形而略扁，眼睛小，瞳孔圆形，尾部相对较短且末端尖细。以其他蛇类（包括非毒蛇和小型毒蛇）、小型哺乳动物、蛙类等为食，其捕食方式主要依赖于强有力的神经毒素。</w:t>
            </w:r>
          </w:p>
        </w:tc>
        <w:tc>
          <w:tcPr>
            <w:tcW w:w="702" w:type="pct"/>
            <w:tcBorders>
              <w:tl2br w:val="nil"/>
              <w:tr2bl w:val="nil"/>
            </w:tcBorders>
            <w:noWrap w:val="0"/>
            <w:vAlign w:val="center"/>
          </w:tcPr>
          <w:p w14:paraId="78A86A5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主要分布于评价区内的稻田、灌丛、林缘和村边等</w:t>
            </w:r>
          </w:p>
        </w:tc>
        <w:tc>
          <w:tcPr>
            <w:tcW w:w="232" w:type="pct"/>
            <w:tcBorders>
              <w:tl2br w:val="nil"/>
              <w:tr2bl w:val="nil"/>
            </w:tcBorders>
            <w:noWrap w:val="0"/>
            <w:vAlign w:val="center"/>
          </w:tcPr>
          <w:p w14:paraId="1D20FE8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38A5D89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40813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2BFD5C9">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2B9869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虎斑颈槽蛇</w:t>
            </w:r>
          </w:p>
          <w:p w14:paraId="6544080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Rhabdophis tigrinus</w:t>
            </w:r>
          </w:p>
        </w:tc>
        <w:tc>
          <w:tcPr>
            <w:tcW w:w="237" w:type="pct"/>
            <w:tcBorders>
              <w:tl2br w:val="nil"/>
              <w:tr2bl w:val="nil"/>
            </w:tcBorders>
            <w:noWrap w:val="0"/>
            <w:vAlign w:val="center"/>
          </w:tcPr>
          <w:p w14:paraId="35F5034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176736A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6DC4678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0A76E79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型中等偏小，头椭圆形，与颈区分明显。颈背正中2行背鳞间具1个纵行浅凹槽。体侧斑纹两色间隔。通身背面橄榄绿色或草绿色或浅蓝色或蓝色（底色变异较大），体前段两侧具常呈方形的粗大的黑色与橘红色斑块，相间排列，后段犹可见黑色斑块，橘红色则渐趋消失。以鱼类、蛙类、蟾蜍等为食。受惊扰时体前段膨扁且竖起。</w:t>
            </w:r>
          </w:p>
        </w:tc>
        <w:tc>
          <w:tcPr>
            <w:tcW w:w="702" w:type="pct"/>
            <w:tcBorders>
              <w:tl2br w:val="nil"/>
              <w:tr2bl w:val="nil"/>
            </w:tcBorders>
            <w:noWrap w:val="0"/>
            <w:vAlign w:val="center"/>
          </w:tcPr>
          <w:p w14:paraId="0FFF6AF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主要分布于评价区内的山地、农田、水边及林地边缘</w:t>
            </w:r>
          </w:p>
        </w:tc>
        <w:tc>
          <w:tcPr>
            <w:tcW w:w="232" w:type="pct"/>
            <w:tcBorders>
              <w:tl2br w:val="nil"/>
              <w:tr2bl w:val="nil"/>
            </w:tcBorders>
            <w:noWrap w:val="0"/>
            <w:vAlign w:val="center"/>
          </w:tcPr>
          <w:p w14:paraId="20E06F6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restart"/>
            <w:tcBorders>
              <w:tl2br w:val="nil"/>
              <w:tr2bl w:val="nil"/>
            </w:tcBorders>
            <w:noWrap w:val="0"/>
            <w:vAlign w:val="center"/>
          </w:tcPr>
          <w:p w14:paraId="4BB3419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1010D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326C4D73">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429812D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乌华游蛇</w:t>
            </w:r>
          </w:p>
          <w:p w14:paraId="1529C97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Trimerodytes percarinatus</w:t>
            </w:r>
          </w:p>
        </w:tc>
        <w:tc>
          <w:tcPr>
            <w:tcW w:w="237" w:type="pct"/>
            <w:tcBorders>
              <w:tl2br w:val="nil"/>
              <w:tr2bl w:val="nil"/>
            </w:tcBorders>
            <w:noWrap w:val="0"/>
            <w:vAlign w:val="center"/>
          </w:tcPr>
          <w:p w14:paraId="2ACBDDD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38C7F8A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72B15EA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4042C35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头部呈椭圆形，与颈区分明显。 鼻孔背侧位。头背橄榄灰色，头腹灰白色。体、尾背面暗橄榄绿色，体侧浅橘红色，具若干不甚明显的黑褐色横纹。半水栖生活。常出没于稻田、水塘、溪流等水源地附近捕食鱼类、蛙类等。</w:t>
            </w:r>
          </w:p>
        </w:tc>
        <w:tc>
          <w:tcPr>
            <w:tcW w:w="702" w:type="pct"/>
            <w:tcBorders>
              <w:tl2br w:val="nil"/>
              <w:tr2bl w:val="nil"/>
            </w:tcBorders>
            <w:noWrap w:val="0"/>
            <w:vAlign w:val="center"/>
          </w:tcPr>
          <w:p w14:paraId="7CC1865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w:t>
            </w:r>
            <w:r>
              <w:rPr>
                <w:rFonts w:hint="default" w:ascii="Times New Roman" w:hAnsi="Times New Roman" w:eastAsia="宋体" w:cs="Times New Roman"/>
                <w:bCs/>
                <w:caps w:val="0"/>
                <w:smallCaps w:val="0"/>
                <w:color w:val="auto"/>
                <w:sz w:val="18"/>
                <w:szCs w:val="18"/>
                <w:u w:val="none" w:color="auto"/>
                <w:lang w:val="en-US" w:eastAsia="zh-CN"/>
              </w:rPr>
              <w:t>稻田、水塘、溪流等水源地附近</w:t>
            </w:r>
          </w:p>
        </w:tc>
        <w:tc>
          <w:tcPr>
            <w:tcW w:w="232" w:type="pct"/>
            <w:tcBorders>
              <w:tl2br w:val="nil"/>
              <w:tr2bl w:val="nil"/>
            </w:tcBorders>
            <w:noWrap w:val="0"/>
            <w:vAlign w:val="center"/>
          </w:tcPr>
          <w:p w14:paraId="63CB12C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2843FCE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4B777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6006C0D6">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49BAEB7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乌梢蛇</w:t>
            </w:r>
          </w:p>
          <w:p w14:paraId="006EE95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Zaocys dhumnades</w:t>
            </w:r>
          </w:p>
        </w:tc>
        <w:tc>
          <w:tcPr>
            <w:tcW w:w="237" w:type="pct"/>
            <w:tcBorders>
              <w:tl2br w:val="nil"/>
              <w:tr2bl w:val="nil"/>
            </w:tcBorders>
            <w:noWrap w:val="0"/>
            <w:vAlign w:val="center"/>
          </w:tcPr>
          <w:p w14:paraId="210B11A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2953F5A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VU</w:t>
            </w:r>
          </w:p>
        </w:tc>
        <w:tc>
          <w:tcPr>
            <w:tcW w:w="316" w:type="pct"/>
            <w:tcBorders>
              <w:tl2br w:val="nil"/>
              <w:tr2bl w:val="nil"/>
            </w:tcBorders>
            <w:noWrap w:val="0"/>
            <w:vAlign w:val="center"/>
          </w:tcPr>
          <w:p w14:paraId="6A504EC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57F44C9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背面棕黑色或绿褐色到黑褐色，密被菱形鳞片；上唇及喉部淡黄色；背脊两侧有两条褐色纵纹；成年个体黑纵线在体后逐渐不显；腹鳞灰白色；幼蛇背面鲜绿色，有四条黑线纵贯全身。尾部渐细而长；头颈区别显著；吻鳞自头背可见，宽大于高；鼻间鳞为前额鳞长的三分之二；顶鳞后有两枚稍大的鳞片；上唇鳞有8枚；下唇鳞有8—10枚；背鳞鳞行成偶数；肛鳞二行。白昼活动，行动敏捷。以鱼、蛙、蜥蜴、鼠等为食。秋末冬初进入土穴中冬眠，一般每年春末夏初出蛰活动。雌蛇于5—8月产卵，多产在石堆的石穴间，每次产卵5—7枚，卵椭圆形。</w:t>
            </w:r>
          </w:p>
        </w:tc>
        <w:tc>
          <w:tcPr>
            <w:tcW w:w="702" w:type="pct"/>
            <w:vMerge w:val="restart"/>
            <w:tcBorders>
              <w:tl2br w:val="nil"/>
              <w:tr2bl w:val="nil"/>
            </w:tcBorders>
            <w:noWrap w:val="0"/>
            <w:vAlign w:val="center"/>
          </w:tcPr>
          <w:p w14:paraId="159EDBB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主要分布于评价区内的田野、水岸、灌丛、草地、林下、民宅周围</w:t>
            </w:r>
          </w:p>
        </w:tc>
        <w:tc>
          <w:tcPr>
            <w:tcW w:w="232" w:type="pct"/>
            <w:tcBorders>
              <w:tl2br w:val="nil"/>
              <w:tr2bl w:val="nil"/>
            </w:tcBorders>
            <w:noWrap w:val="0"/>
            <w:vAlign w:val="center"/>
          </w:tcPr>
          <w:p w14:paraId="7FB8898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4D1B116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2BF4A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54FB7CE7">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F50640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黑眉锦蛇</w:t>
            </w:r>
          </w:p>
          <w:p w14:paraId="06414B0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Elaphe taeniura</w:t>
            </w:r>
          </w:p>
        </w:tc>
        <w:tc>
          <w:tcPr>
            <w:tcW w:w="237" w:type="pct"/>
            <w:tcBorders>
              <w:tl2br w:val="nil"/>
              <w:tr2bl w:val="nil"/>
            </w:tcBorders>
            <w:noWrap w:val="0"/>
            <w:vAlign w:val="center"/>
          </w:tcPr>
          <w:p w14:paraId="1956380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0FFF60E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VU</w:t>
            </w:r>
          </w:p>
        </w:tc>
        <w:tc>
          <w:tcPr>
            <w:tcW w:w="316" w:type="pct"/>
            <w:tcBorders>
              <w:tl2br w:val="nil"/>
              <w:tr2bl w:val="nil"/>
            </w:tcBorders>
            <w:noWrap w:val="0"/>
            <w:vAlign w:val="center"/>
          </w:tcPr>
          <w:p w14:paraId="3982AF9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42A7285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长可达2米，头和体背呈黄绿色或棕灰色；眼睛后方有明显的黑色花纹；体背的前、中段有黑色梯形或蝶状斑纹；看起来好像秤星，故又名秤星蛇；由体背中段往后斑纹逐渐消失，但中央具有数行背鳞。善攀爬，行动敏捷。主要以鼠类、麻雀及蛙类等为食。卵生，每胎2-12枚。</w:t>
            </w:r>
          </w:p>
        </w:tc>
        <w:tc>
          <w:tcPr>
            <w:tcW w:w="702" w:type="pct"/>
            <w:vMerge w:val="continue"/>
            <w:tcBorders>
              <w:tl2br w:val="nil"/>
              <w:tr2bl w:val="nil"/>
            </w:tcBorders>
            <w:noWrap w:val="0"/>
            <w:vAlign w:val="center"/>
          </w:tcPr>
          <w:p w14:paraId="00C7C66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p>
        </w:tc>
        <w:tc>
          <w:tcPr>
            <w:tcW w:w="232" w:type="pct"/>
            <w:tcBorders>
              <w:tl2br w:val="nil"/>
              <w:tr2bl w:val="nil"/>
            </w:tcBorders>
            <w:noWrap w:val="0"/>
            <w:vAlign w:val="center"/>
          </w:tcPr>
          <w:p w14:paraId="33F5E07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5E1058C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3FF98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F6712CC">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0A2E36F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灰鼠蛇</w:t>
            </w:r>
          </w:p>
          <w:p w14:paraId="1FD8887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Ptyas korros</w:t>
            </w:r>
          </w:p>
        </w:tc>
        <w:tc>
          <w:tcPr>
            <w:tcW w:w="237" w:type="pct"/>
            <w:tcBorders>
              <w:tl2br w:val="nil"/>
              <w:tr2bl w:val="nil"/>
            </w:tcBorders>
            <w:noWrap w:val="0"/>
            <w:vAlign w:val="center"/>
          </w:tcPr>
          <w:p w14:paraId="0ED94C3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168E6CE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VU</w:t>
            </w:r>
          </w:p>
        </w:tc>
        <w:tc>
          <w:tcPr>
            <w:tcW w:w="316" w:type="pct"/>
            <w:tcBorders>
              <w:tl2br w:val="nil"/>
              <w:tr2bl w:val="nil"/>
            </w:tcBorders>
            <w:noWrap w:val="0"/>
            <w:vAlign w:val="center"/>
          </w:tcPr>
          <w:p w14:paraId="65899F3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w:t>
            </w:r>
          </w:p>
        </w:tc>
        <w:tc>
          <w:tcPr>
            <w:tcW w:w="2111" w:type="pct"/>
            <w:tcBorders>
              <w:tl2br w:val="nil"/>
              <w:tr2bl w:val="nil"/>
            </w:tcBorders>
            <w:noWrap w:val="0"/>
            <w:vAlign w:val="center"/>
          </w:tcPr>
          <w:p w14:paraId="2368F74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又名过树榕、过树龙。体略细长，一般在1米以上；眼大而圆。背面棕褐色或橄榄灰色，躯干后部和尾背鳞片边缘黑褐色，整体略显网纹；上唇和背面灰褐色；体中、后部每一背鳞中央有黑褐色纵线，前后缀连成黑褐色纵纹；腹面淡黄色。行动敏捷，性格温顺，胆子小，一般不主动袭击人。捕食树蛙、雨蛙、蜥蜴，也食小鸟、其它蛙类。11月开始冬眠，在田基、墓地向南的鼠洞内越冬，冬眠期随每年气温变化而有异。</w:t>
            </w:r>
          </w:p>
        </w:tc>
        <w:tc>
          <w:tcPr>
            <w:tcW w:w="702" w:type="pct"/>
            <w:tcBorders>
              <w:tl2br w:val="nil"/>
              <w:tr2bl w:val="nil"/>
            </w:tcBorders>
            <w:noWrap w:val="0"/>
            <w:vAlign w:val="center"/>
          </w:tcPr>
          <w:p w14:paraId="3B93D44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主要</w:t>
            </w:r>
            <w:r>
              <w:rPr>
                <w:rFonts w:hint="default" w:ascii="Times New Roman" w:hAnsi="Times New Roman" w:eastAsia="宋体" w:cs="Times New Roman"/>
                <w:b w:val="0"/>
                <w:bCs/>
                <w:caps w:val="0"/>
                <w:smallCaps w:val="0"/>
                <w:color w:val="auto"/>
                <w:sz w:val="18"/>
                <w:szCs w:val="18"/>
                <w:u w:val="none" w:color="auto"/>
                <w:lang w:val="en-US" w:eastAsia="zh-CN"/>
              </w:rPr>
              <w:t>分布于评价区内的</w:t>
            </w:r>
            <w:r>
              <w:rPr>
                <w:rFonts w:hint="default" w:ascii="Times New Roman" w:hAnsi="Times New Roman" w:eastAsia="宋体" w:cs="Times New Roman"/>
                <w:b w:val="0"/>
                <w:bCs/>
                <w:caps w:val="0"/>
                <w:smallCaps w:val="0"/>
                <w:color w:val="auto"/>
                <w:sz w:val="18"/>
                <w:szCs w:val="18"/>
                <w:u w:val="none" w:color="auto"/>
              </w:rPr>
              <w:t>田基、路边、沟边的灌木林</w:t>
            </w:r>
            <w:r>
              <w:rPr>
                <w:rFonts w:hint="default" w:ascii="Times New Roman" w:hAnsi="Times New Roman" w:eastAsia="宋体" w:cs="Times New Roman"/>
                <w:b w:val="0"/>
                <w:bCs/>
                <w:caps w:val="0"/>
                <w:smallCaps w:val="0"/>
                <w:color w:val="auto"/>
                <w:sz w:val="18"/>
                <w:szCs w:val="18"/>
                <w:u w:val="none" w:color="auto"/>
                <w:lang w:eastAsia="zh-CN"/>
              </w:rPr>
              <w:t>、</w:t>
            </w:r>
            <w:r>
              <w:rPr>
                <w:rFonts w:hint="default" w:ascii="Times New Roman" w:hAnsi="Times New Roman" w:eastAsia="宋体" w:cs="Times New Roman"/>
                <w:b w:val="0"/>
                <w:bCs/>
                <w:caps w:val="0"/>
                <w:smallCaps w:val="0"/>
                <w:color w:val="auto"/>
                <w:sz w:val="18"/>
                <w:szCs w:val="18"/>
                <w:u w:val="none" w:color="auto"/>
              </w:rPr>
              <w:t>石上或草丛中</w:t>
            </w:r>
          </w:p>
        </w:tc>
        <w:tc>
          <w:tcPr>
            <w:tcW w:w="232" w:type="pct"/>
            <w:tcBorders>
              <w:tl2br w:val="nil"/>
              <w:tr2bl w:val="nil"/>
            </w:tcBorders>
            <w:noWrap w:val="0"/>
            <w:vAlign w:val="center"/>
          </w:tcPr>
          <w:p w14:paraId="2C7920F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文献记录</w:t>
            </w:r>
          </w:p>
        </w:tc>
        <w:tc>
          <w:tcPr>
            <w:tcW w:w="515" w:type="pct"/>
            <w:tcBorders>
              <w:tl2br w:val="nil"/>
              <w:tr2bl w:val="nil"/>
            </w:tcBorders>
            <w:noWrap w:val="0"/>
            <w:vAlign w:val="center"/>
          </w:tcPr>
          <w:p w14:paraId="04A6F0B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0DD29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46C45061">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059D5B7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大白鹭</w:t>
            </w:r>
          </w:p>
          <w:p w14:paraId="31269A8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Ardea alba</w:t>
            </w:r>
          </w:p>
        </w:tc>
        <w:tc>
          <w:tcPr>
            <w:tcW w:w="237" w:type="pct"/>
            <w:tcBorders>
              <w:tl2br w:val="nil"/>
              <w:tr2bl w:val="nil"/>
            </w:tcBorders>
            <w:noWrap w:val="0"/>
            <w:vAlign w:val="center"/>
          </w:tcPr>
          <w:p w14:paraId="3187CE0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09A439D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0AB85EC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26DF762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全身羽毛洁白；眼黄色；喙橙黄色（繁殖期黑色）；面部及周眼皮肤呈绿色；跗蹠和脚黑色。背上、肩上披有蓑羽，长超过尾部，生殖期后蓑羽消失。性颇机警，见人即飞去。白天多单独寻觅食物，在食物丰富的区域内，也成小群活动。以小鱼、虾及水生昆虫、贝类等为食。繁殖期为4-7月，1年繁殖1窝，每窝产卵3-6枚，最常见的为4枚，卵为天蓝色。孵化期25天左右，由雌雄亲鸟共同承担。</w:t>
            </w:r>
          </w:p>
        </w:tc>
        <w:tc>
          <w:tcPr>
            <w:tcW w:w="702" w:type="pct"/>
            <w:vMerge w:val="restart"/>
            <w:tcBorders>
              <w:tl2br w:val="nil"/>
              <w:tr2bl w:val="nil"/>
            </w:tcBorders>
            <w:noWrap w:val="0"/>
            <w:vAlign w:val="center"/>
          </w:tcPr>
          <w:p w14:paraId="6AE264B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主要分布</w:t>
            </w:r>
            <w:r>
              <w:rPr>
                <w:rFonts w:hint="default" w:ascii="Times New Roman" w:hAnsi="Times New Roman" w:eastAsia="宋体" w:cs="Times New Roman"/>
                <w:b w:val="0"/>
                <w:bCs/>
                <w:caps w:val="0"/>
                <w:smallCaps w:val="0"/>
                <w:color w:val="auto"/>
                <w:sz w:val="18"/>
                <w:szCs w:val="18"/>
                <w:u w:val="none" w:color="auto"/>
              </w:rPr>
              <w:t>于</w:t>
            </w:r>
            <w:r>
              <w:rPr>
                <w:rFonts w:hint="default" w:ascii="Times New Roman" w:hAnsi="Times New Roman" w:eastAsia="宋体" w:cs="Times New Roman"/>
                <w:b w:val="0"/>
                <w:bCs/>
                <w:caps w:val="0"/>
                <w:smallCaps w:val="0"/>
                <w:color w:val="auto"/>
                <w:sz w:val="18"/>
                <w:szCs w:val="18"/>
                <w:u w:val="none" w:color="auto"/>
                <w:lang w:val="en-US" w:eastAsia="zh-CN"/>
              </w:rPr>
              <w:t>评价区内的</w:t>
            </w:r>
            <w:r>
              <w:rPr>
                <w:rFonts w:hint="default" w:ascii="Times New Roman" w:hAnsi="Times New Roman" w:eastAsia="宋体" w:cs="Times New Roman"/>
                <w:b w:val="0"/>
                <w:bCs/>
                <w:caps w:val="0"/>
                <w:smallCaps w:val="0"/>
                <w:color w:val="auto"/>
                <w:sz w:val="18"/>
                <w:szCs w:val="18"/>
                <w:u w:val="none" w:color="auto"/>
              </w:rPr>
              <w:t>池塘、水田</w:t>
            </w:r>
            <w:r>
              <w:rPr>
                <w:rFonts w:hint="default" w:ascii="Times New Roman" w:hAnsi="Times New Roman" w:eastAsia="宋体" w:cs="Times New Roman"/>
                <w:b w:val="0"/>
                <w:bCs/>
                <w:caps w:val="0"/>
                <w:smallCaps w:val="0"/>
                <w:color w:val="auto"/>
                <w:sz w:val="18"/>
                <w:szCs w:val="18"/>
                <w:u w:val="none" w:color="auto"/>
                <w:lang w:val="en-US" w:eastAsia="zh-CN"/>
              </w:rPr>
              <w:t>中</w:t>
            </w:r>
          </w:p>
        </w:tc>
        <w:tc>
          <w:tcPr>
            <w:tcW w:w="232" w:type="pct"/>
            <w:tcBorders>
              <w:tl2br w:val="nil"/>
              <w:tr2bl w:val="nil"/>
            </w:tcBorders>
            <w:noWrap w:val="0"/>
            <w:vAlign w:val="center"/>
          </w:tcPr>
          <w:p w14:paraId="1387216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restart"/>
            <w:tcBorders>
              <w:tl2br w:val="nil"/>
              <w:tr2bl w:val="nil"/>
            </w:tcBorders>
            <w:noWrap w:val="0"/>
            <w:vAlign w:val="center"/>
          </w:tcPr>
          <w:p w14:paraId="42958B4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0CEF1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3AC336E">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7DA545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牛背鹭</w:t>
            </w:r>
          </w:p>
          <w:p w14:paraId="1272959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Bubulcus ibis</w:t>
            </w:r>
          </w:p>
        </w:tc>
        <w:tc>
          <w:tcPr>
            <w:tcW w:w="237" w:type="pct"/>
            <w:tcBorders>
              <w:tl2br w:val="nil"/>
              <w:tr2bl w:val="nil"/>
            </w:tcBorders>
            <w:noWrap w:val="0"/>
            <w:vAlign w:val="center"/>
          </w:tcPr>
          <w:p w14:paraId="54D889C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02B187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725281B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704E2C0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体型细瘦；橙黄色的喙长、尖而直，较侧扁、尖端多有小锯齿；颈细长，由19~20枚脊椎骨组成；翅较宽长，前牛背鹭端呈圆形，尾羽短小，脚细长，位于身体较后部；牛背鹭的头部和颈部为橙黄色，其余体羽均为白色；前颈的基部和背部中央具有羽枝分散成发状的橙黄色长饰羽、前颈的饰羽长达胸部，背部的饰羽向后长达尾部。常在水牛等牲畜周围活动，喜站在牛背上啄食翻耕出来的昆虫和寄生虫，主要觅食昆虫、蛙类、蜥蜴及蜘蛛等；成群营巢于树上或竹林中，或与白鹭、夜鹭混群营巢。繁殖期在4~7月，窝卵数4~9枚，雌雄亲鸟轮流孵化，孵化期21~24天，雏鸟晚成。</w:t>
            </w:r>
          </w:p>
        </w:tc>
        <w:tc>
          <w:tcPr>
            <w:tcW w:w="702" w:type="pct"/>
            <w:vMerge w:val="continue"/>
            <w:tcBorders>
              <w:tl2br w:val="nil"/>
              <w:tr2bl w:val="nil"/>
            </w:tcBorders>
            <w:noWrap w:val="0"/>
            <w:vAlign w:val="center"/>
          </w:tcPr>
          <w:p w14:paraId="7C15A59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p>
        </w:tc>
        <w:tc>
          <w:tcPr>
            <w:tcW w:w="232" w:type="pct"/>
            <w:tcBorders>
              <w:tl2br w:val="nil"/>
              <w:tr2bl w:val="nil"/>
            </w:tcBorders>
            <w:noWrap w:val="0"/>
            <w:vAlign w:val="center"/>
          </w:tcPr>
          <w:p w14:paraId="16CB312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41F9828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6DBCC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23FD544F">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9DC6A9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喜鹊</w:t>
            </w:r>
          </w:p>
          <w:p w14:paraId="76E7304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i/>
                <w:iCs/>
                <w:caps w:val="0"/>
                <w:smallCaps w:val="0"/>
                <w:color w:val="auto"/>
                <w:sz w:val="18"/>
                <w:szCs w:val="18"/>
                <w:u w:val="none" w:color="auto"/>
              </w:rPr>
              <w:fldChar w:fldCharType="begin"/>
            </w:r>
            <w:r>
              <w:rPr>
                <w:rFonts w:hint="default" w:ascii="Times New Roman" w:hAnsi="Times New Roman" w:eastAsia="宋体" w:cs="Times New Roman"/>
                <w:b w:val="0"/>
                <w:bCs/>
                <w:i/>
                <w:iCs/>
                <w:caps w:val="0"/>
                <w:smallCaps w:val="0"/>
                <w:color w:val="auto"/>
                <w:sz w:val="18"/>
                <w:szCs w:val="18"/>
                <w:u w:val="none" w:color="auto"/>
              </w:rPr>
              <w:instrText xml:space="preserve"> HYPERLINK "http://www.zoology.csdb.cn/dbb/ynswcvert/19297" </w:instrText>
            </w:r>
            <w:r>
              <w:rPr>
                <w:rFonts w:hint="default" w:ascii="Times New Roman" w:hAnsi="Times New Roman" w:eastAsia="宋体" w:cs="Times New Roman"/>
                <w:b w:val="0"/>
                <w:bCs/>
                <w:i/>
                <w:iCs/>
                <w:caps w:val="0"/>
                <w:smallCaps w:val="0"/>
                <w:color w:val="auto"/>
                <w:sz w:val="18"/>
                <w:szCs w:val="18"/>
                <w:u w:val="none" w:color="auto"/>
              </w:rPr>
              <w:fldChar w:fldCharType="separate"/>
            </w:r>
            <w:r>
              <w:rPr>
                <w:rFonts w:hint="default" w:ascii="Times New Roman" w:hAnsi="Times New Roman" w:eastAsia="宋体" w:cs="Times New Roman"/>
                <w:b w:val="0"/>
                <w:bCs/>
                <w:i/>
                <w:iCs/>
                <w:caps w:val="0"/>
                <w:smallCaps w:val="0"/>
                <w:color w:val="auto"/>
                <w:sz w:val="18"/>
                <w:szCs w:val="18"/>
                <w:u w:val="none" w:color="auto"/>
              </w:rPr>
              <w:t>Pica pica</w:t>
            </w:r>
            <w:r>
              <w:rPr>
                <w:rFonts w:hint="default" w:ascii="Times New Roman" w:hAnsi="Times New Roman" w:eastAsia="宋体" w:cs="Times New Roman"/>
                <w:b w:val="0"/>
                <w:bCs/>
                <w:i/>
                <w:iCs/>
                <w:caps w:val="0"/>
                <w:smallCaps w:val="0"/>
                <w:color w:val="auto"/>
                <w:sz w:val="18"/>
                <w:szCs w:val="18"/>
                <w:u w:val="none" w:color="auto"/>
              </w:rPr>
              <w:fldChar w:fldCharType="end"/>
            </w:r>
          </w:p>
        </w:tc>
        <w:tc>
          <w:tcPr>
            <w:tcW w:w="237" w:type="pct"/>
            <w:tcBorders>
              <w:tl2br w:val="nil"/>
              <w:tr2bl w:val="nil"/>
            </w:tcBorders>
            <w:noWrap w:val="0"/>
            <w:vAlign w:val="center"/>
          </w:tcPr>
          <w:p w14:paraId="7A536DE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565AE5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53C2B94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5E22BD8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头、颈、背至尾均为黑色，并自前往后分别呈现紫色、绿蓝色、绿色等光泽。双翅黑色而在翼肩有一大形白斑。尾远较翅长，呈楔形；嘴、腿、脚纯黑色。喜欢把巢筑在民宅旁的大树上，</w:t>
            </w:r>
          </w:p>
        </w:tc>
        <w:tc>
          <w:tcPr>
            <w:tcW w:w="702" w:type="pct"/>
            <w:vMerge w:val="restart"/>
            <w:tcBorders>
              <w:tl2br w:val="nil"/>
              <w:tr2bl w:val="nil"/>
            </w:tcBorders>
            <w:noWrap w:val="0"/>
            <w:vAlign w:val="center"/>
          </w:tcPr>
          <w:p w14:paraId="5C74186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主要分布于评价区内的树林、</w:t>
            </w:r>
            <w:r>
              <w:rPr>
                <w:rFonts w:hint="default" w:ascii="Times New Roman" w:hAnsi="Times New Roman" w:eastAsia="宋体" w:cs="Times New Roman"/>
                <w:caps w:val="0"/>
                <w:smallCaps w:val="0"/>
                <w:color w:val="auto"/>
                <w:sz w:val="18"/>
                <w:szCs w:val="18"/>
                <w:u w:val="none" w:color="auto"/>
                <w:lang w:val="en-US" w:eastAsia="zh-CN"/>
              </w:rPr>
              <w:t>水</w:t>
            </w:r>
            <w:r>
              <w:rPr>
                <w:rFonts w:hint="default" w:ascii="Times New Roman" w:hAnsi="Times New Roman" w:eastAsia="宋体" w:cs="Times New Roman"/>
                <w:caps w:val="0"/>
                <w:smallCaps w:val="0"/>
                <w:color w:val="auto"/>
                <w:sz w:val="18"/>
                <w:szCs w:val="18"/>
                <w:u w:val="none" w:color="auto"/>
              </w:rPr>
              <w:t>岸等生境附近</w:t>
            </w:r>
          </w:p>
        </w:tc>
        <w:tc>
          <w:tcPr>
            <w:tcW w:w="232" w:type="pct"/>
            <w:tcBorders>
              <w:tl2br w:val="nil"/>
              <w:tr2bl w:val="nil"/>
            </w:tcBorders>
            <w:noWrap w:val="0"/>
            <w:vAlign w:val="center"/>
          </w:tcPr>
          <w:p w14:paraId="3B4E7D6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restart"/>
            <w:tcBorders>
              <w:tl2br w:val="nil"/>
              <w:tr2bl w:val="nil"/>
            </w:tcBorders>
            <w:noWrap w:val="0"/>
            <w:vAlign w:val="center"/>
          </w:tcPr>
          <w:p w14:paraId="6BA4298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2110A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06C7A7F1">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047D30A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山斑鸠</w:t>
            </w:r>
          </w:p>
          <w:p w14:paraId="31FF0CB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i/>
                <w:iCs/>
                <w:caps w:val="0"/>
                <w:smallCaps w:val="0"/>
                <w:color w:val="auto"/>
                <w:sz w:val="18"/>
                <w:szCs w:val="18"/>
                <w:u w:val="none" w:color="auto"/>
              </w:rPr>
              <w:t>Streptopelia orientalis</w:t>
            </w:r>
          </w:p>
        </w:tc>
        <w:tc>
          <w:tcPr>
            <w:tcW w:w="237" w:type="pct"/>
            <w:tcBorders>
              <w:tl2br w:val="nil"/>
              <w:tr2bl w:val="nil"/>
            </w:tcBorders>
            <w:noWrap w:val="0"/>
            <w:vAlign w:val="center"/>
          </w:tcPr>
          <w:p w14:paraId="09E7FFB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03CE55E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3E38DCD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3B07389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
                <w:bCs w:val="0"/>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中等体型（32cm）的偏粉色斑鸠，起飞时带有高频“噗噗”声。颈侧有带明显黑白色条纹的块状斑</w:t>
            </w:r>
            <w:r>
              <w:rPr>
                <w:rFonts w:hint="default" w:ascii="Times New Roman" w:hAnsi="Times New Roman" w:eastAsia="宋体" w:cs="Times New Roman"/>
                <w:bCs/>
                <w:caps w:val="0"/>
                <w:smallCaps w:val="0"/>
                <w:color w:val="auto"/>
                <w:sz w:val="18"/>
                <w:szCs w:val="18"/>
                <w:u w:val="none" w:color="auto"/>
                <w:lang w:eastAsia="zh-CN"/>
              </w:rPr>
              <w:t>，上体的深色扇贝斑纹体羽羽缘棕色，腰灰，尾羽近黑，尾梢浅灰。下体多偏粉色，脚红色。成对或单独活动。取食于地面，食物多为带颗谷类。</w:t>
            </w:r>
          </w:p>
        </w:tc>
        <w:tc>
          <w:tcPr>
            <w:tcW w:w="702" w:type="pct"/>
            <w:vMerge w:val="continue"/>
            <w:tcBorders>
              <w:tl2br w:val="nil"/>
              <w:tr2bl w:val="nil"/>
            </w:tcBorders>
            <w:noWrap w:val="0"/>
            <w:vAlign w:val="center"/>
          </w:tcPr>
          <w:p w14:paraId="16A4C4B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p>
        </w:tc>
        <w:tc>
          <w:tcPr>
            <w:tcW w:w="232" w:type="pct"/>
            <w:tcBorders>
              <w:tl2br w:val="nil"/>
              <w:tr2bl w:val="nil"/>
            </w:tcBorders>
            <w:noWrap w:val="0"/>
            <w:vAlign w:val="center"/>
          </w:tcPr>
          <w:p w14:paraId="6D00823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现场调查</w:t>
            </w:r>
          </w:p>
        </w:tc>
        <w:tc>
          <w:tcPr>
            <w:tcW w:w="515" w:type="pct"/>
            <w:vMerge w:val="continue"/>
            <w:tcBorders>
              <w:tl2br w:val="nil"/>
              <w:tr2bl w:val="nil"/>
            </w:tcBorders>
            <w:noWrap w:val="0"/>
            <w:vAlign w:val="center"/>
          </w:tcPr>
          <w:p w14:paraId="3EBFD5F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r>
      <w:tr w14:paraId="04512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49C383DC">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4CC9C13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普通翠鸟</w:t>
            </w:r>
          </w:p>
          <w:p w14:paraId="4A7FDF1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i/>
                <w:iCs/>
                <w:caps w:val="0"/>
                <w:smallCaps w:val="0"/>
                <w:color w:val="auto"/>
                <w:sz w:val="18"/>
                <w:szCs w:val="18"/>
                <w:u w:val="none" w:color="auto"/>
              </w:rPr>
              <w:t>Alcedo atthis</w:t>
            </w:r>
          </w:p>
        </w:tc>
        <w:tc>
          <w:tcPr>
            <w:tcW w:w="237" w:type="pct"/>
            <w:tcBorders>
              <w:tl2br w:val="nil"/>
              <w:tr2bl w:val="nil"/>
            </w:tcBorders>
            <w:noWrap w:val="0"/>
            <w:vAlign w:val="center"/>
          </w:tcPr>
          <w:p w14:paraId="0ADC120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42D1D8F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6E3631D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24DD716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lang w:eastAsia="zh-CN"/>
              </w:rPr>
              <w:t>身长16～17cm，翼展24～26cm，上体金属浅蓝绿色，体羽艳丽而具光辉，头顶布满暗蓝绿色和艳翠蓝色细斑。虹膜褐色；嘴黑色（雄鸟），下颚橘黄色（雌鸟）；脚红色。常见留鸟。单独或成对活动。食物以小鱼为主，兼吃甲壳类和多种水生昆虫及其幼虫，也啄食小型蛙类和少量水生植物。繁殖期4～7月。</w:t>
            </w:r>
          </w:p>
        </w:tc>
        <w:tc>
          <w:tcPr>
            <w:tcW w:w="702" w:type="pct"/>
            <w:vMerge w:val="continue"/>
            <w:tcBorders>
              <w:tl2br w:val="nil"/>
              <w:tr2bl w:val="nil"/>
            </w:tcBorders>
            <w:noWrap w:val="0"/>
            <w:vAlign w:val="center"/>
          </w:tcPr>
          <w:p w14:paraId="1CEDE2E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sz w:val="18"/>
                <w:szCs w:val="18"/>
                <w:u w:val="none" w:color="auto"/>
              </w:rPr>
            </w:pPr>
          </w:p>
        </w:tc>
        <w:tc>
          <w:tcPr>
            <w:tcW w:w="232" w:type="pct"/>
            <w:tcBorders>
              <w:tl2br w:val="nil"/>
              <w:tr2bl w:val="nil"/>
            </w:tcBorders>
            <w:noWrap w:val="0"/>
            <w:vAlign w:val="center"/>
          </w:tcPr>
          <w:p w14:paraId="6A39963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16903E3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p>
        </w:tc>
      </w:tr>
      <w:tr w14:paraId="64F93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942F997">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7E37BA9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家燕</w:t>
            </w:r>
          </w:p>
          <w:p w14:paraId="0AA7343F">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i/>
                <w:iCs/>
                <w:caps w:val="0"/>
                <w:smallCaps w:val="0"/>
                <w:color w:val="auto"/>
                <w:sz w:val="18"/>
                <w:szCs w:val="18"/>
                <w:u w:val="none" w:color="auto"/>
                <w:lang w:val="en-US" w:eastAsia="zh-CN"/>
              </w:rPr>
              <w:t>Hirundo rustica</w:t>
            </w:r>
          </w:p>
        </w:tc>
        <w:tc>
          <w:tcPr>
            <w:tcW w:w="237" w:type="pct"/>
            <w:tcBorders>
              <w:tl2br w:val="nil"/>
              <w:tr2bl w:val="nil"/>
            </w:tcBorders>
            <w:noWrap w:val="0"/>
            <w:vAlign w:val="center"/>
          </w:tcPr>
          <w:p w14:paraId="4DB0076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4A914EA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6C82754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36BC909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头顶、颈背部至尾上覆羽带有金属光泽的深蓝黑色，翼亦为黑色，飞羽狭长</w:t>
            </w:r>
            <w:r>
              <w:rPr>
                <w:rFonts w:hint="default" w:ascii="Times New Roman" w:hAnsi="Times New Roman" w:eastAsia="宋体" w:cs="Times New Roman"/>
                <w:bCs/>
                <w:caps w:val="0"/>
                <w:smallCaps w:val="0"/>
                <w:color w:val="auto"/>
                <w:sz w:val="18"/>
                <w:szCs w:val="18"/>
                <w:u w:val="none" w:color="auto"/>
                <w:lang w:eastAsia="zh-CN"/>
              </w:rPr>
              <w:t>。尾深叉形，蓝黑色；喙黑褐色，短小而龇阔；跗跖和脚黑色，较纤弱；雌雄相似。常成群栖息，低声细碎鸣叫，善飞行，白天大部分时间在栖息地附近飞行，喜飞行中捕食，不善啄食。主要以昆虫为食，包括蚊、蝇、虻、蛾、叶蝉、象甲等农林害虫。繁殖期为4-7月。</w:t>
            </w:r>
          </w:p>
        </w:tc>
        <w:tc>
          <w:tcPr>
            <w:tcW w:w="702" w:type="pct"/>
            <w:tcBorders>
              <w:tl2br w:val="nil"/>
              <w:tr2bl w:val="nil"/>
            </w:tcBorders>
            <w:noWrap w:val="0"/>
            <w:vAlign w:val="center"/>
          </w:tcPr>
          <w:p w14:paraId="7822CDA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caps w:val="0"/>
                <w:smallCaps w:val="0"/>
                <w:color w:val="auto"/>
                <w:kern w:val="2"/>
                <w:sz w:val="18"/>
                <w:szCs w:val="18"/>
                <w:u w:val="none" w:color="auto"/>
                <w:lang w:val="en-US" w:eastAsia="zh-CN" w:bidi="ar-SA"/>
              </w:rPr>
            </w:pPr>
            <w:r>
              <w:rPr>
                <w:rFonts w:hint="default" w:ascii="Times New Roman" w:hAnsi="Times New Roman" w:eastAsia="宋体" w:cs="Times New Roman"/>
                <w:caps w:val="0"/>
                <w:smallCaps w:val="0"/>
                <w:color w:val="auto"/>
                <w:sz w:val="18"/>
                <w:szCs w:val="18"/>
                <w:u w:val="none" w:color="auto"/>
              </w:rPr>
              <w:t>主要分布于评价区内的树林、</w:t>
            </w:r>
            <w:r>
              <w:rPr>
                <w:rFonts w:hint="default" w:ascii="Times New Roman" w:hAnsi="Times New Roman" w:eastAsia="宋体" w:cs="Times New Roman"/>
                <w:caps w:val="0"/>
                <w:smallCaps w:val="0"/>
                <w:color w:val="auto"/>
                <w:sz w:val="18"/>
                <w:szCs w:val="18"/>
                <w:u w:val="none" w:color="auto"/>
                <w:lang w:val="en-US" w:eastAsia="zh-CN"/>
              </w:rPr>
              <w:t>居民点</w:t>
            </w:r>
            <w:r>
              <w:rPr>
                <w:rFonts w:hint="default" w:ascii="Times New Roman" w:hAnsi="Times New Roman" w:eastAsia="宋体" w:cs="Times New Roman"/>
                <w:caps w:val="0"/>
                <w:smallCaps w:val="0"/>
                <w:color w:val="auto"/>
                <w:sz w:val="18"/>
                <w:szCs w:val="18"/>
                <w:u w:val="none" w:color="auto"/>
              </w:rPr>
              <w:t>等生境附近</w:t>
            </w:r>
          </w:p>
        </w:tc>
        <w:tc>
          <w:tcPr>
            <w:tcW w:w="232" w:type="pct"/>
            <w:tcBorders>
              <w:tl2br w:val="nil"/>
              <w:tr2bl w:val="nil"/>
            </w:tcBorders>
            <w:noWrap w:val="0"/>
            <w:vAlign w:val="center"/>
          </w:tcPr>
          <w:p w14:paraId="14157C9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restart"/>
            <w:tcBorders>
              <w:tl2br w:val="nil"/>
              <w:tr2bl w:val="nil"/>
            </w:tcBorders>
            <w:noWrap w:val="0"/>
            <w:vAlign w:val="center"/>
          </w:tcPr>
          <w:p w14:paraId="04DCD67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292F6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35710B91">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04C83BF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红尾伯劳</w:t>
            </w:r>
          </w:p>
          <w:p w14:paraId="52FFBEA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Brown Shrike</w:t>
            </w:r>
          </w:p>
        </w:tc>
        <w:tc>
          <w:tcPr>
            <w:tcW w:w="237" w:type="pct"/>
            <w:tcBorders>
              <w:tl2br w:val="nil"/>
              <w:tr2bl w:val="nil"/>
            </w:tcBorders>
            <w:noWrap w:val="0"/>
            <w:vAlign w:val="center"/>
          </w:tcPr>
          <w:p w14:paraId="1220D26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7201FAC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18048F0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525625B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雄鸟头顶和枕部为灰色，有宽阔的黑色贯眼纹；背部、两翼和尾羽为棕褐色。喉部为白色，胸腹部和腹部为皮黄色；雌鸟外观似雄鸟，但头部灰褐色，两胁有褐色鱼鳞纹；幼鸟外观似雌鸟，但头顶为棕色。主要以直翅目、鞘翅目、半翅目和鳞翅目等昆虫为食，偶食少量草籽。红尾伯劳繁殖期为每年5-7月，窝卵数5-7枚，孵化期为15天，由双亲共同喂养。</w:t>
            </w:r>
          </w:p>
        </w:tc>
        <w:tc>
          <w:tcPr>
            <w:tcW w:w="702" w:type="pct"/>
            <w:tcBorders>
              <w:tl2br w:val="nil"/>
              <w:tr2bl w:val="nil"/>
            </w:tcBorders>
            <w:noWrap w:val="0"/>
            <w:vAlign w:val="center"/>
          </w:tcPr>
          <w:p w14:paraId="1A1AE69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主要分布于评价区内的灌丛、疏林和林缘地带</w:t>
            </w:r>
          </w:p>
        </w:tc>
        <w:tc>
          <w:tcPr>
            <w:tcW w:w="232" w:type="pct"/>
            <w:tcBorders>
              <w:tl2br w:val="nil"/>
              <w:tr2bl w:val="nil"/>
            </w:tcBorders>
            <w:noWrap w:val="0"/>
            <w:vAlign w:val="center"/>
          </w:tcPr>
          <w:p w14:paraId="6AE98D7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vMerge w:val="continue"/>
            <w:tcBorders>
              <w:tl2br w:val="nil"/>
              <w:tr2bl w:val="nil"/>
            </w:tcBorders>
            <w:noWrap w:val="0"/>
            <w:vAlign w:val="center"/>
          </w:tcPr>
          <w:p w14:paraId="4A55593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19491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BA8A65E">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0C4A69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环颈雉</w:t>
            </w:r>
          </w:p>
          <w:p w14:paraId="1E51432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Phasianus colchicus</w:t>
            </w:r>
          </w:p>
        </w:tc>
        <w:tc>
          <w:tcPr>
            <w:tcW w:w="673" w:type="dxa"/>
            <w:tcBorders>
              <w:tl2br w:val="nil"/>
              <w:tr2bl w:val="nil"/>
            </w:tcBorders>
            <w:noWrap w:val="0"/>
            <w:vAlign w:val="center"/>
          </w:tcPr>
          <w:p w14:paraId="3CAE2C7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583" w:type="dxa"/>
            <w:tcBorders>
              <w:tl2br w:val="nil"/>
              <w:tr2bl w:val="nil"/>
            </w:tcBorders>
            <w:noWrap w:val="0"/>
            <w:vAlign w:val="center"/>
          </w:tcPr>
          <w:p w14:paraId="24D3328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897" w:type="dxa"/>
            <w:tcBorders>
              <w:tl2br w:val="nil"/>
              <w:tr2bl w:val="nil"/>
            </w:tcBorders>
            <w:noWrap w:val="0"/>
            <w:vAlign w:val="center"/>
          </w:tcPr>
          <w:p w14:paraId="2A695F1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628E9774">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lang w:eastAsia="zh-CN"/>
              </w:rPr>
            </w:pPr>
            <w:r>
              <w:rPr>
                <w:rFonts w:hint="default" w:ascii="Times New Roman" w:hAnsi="Times New Roman" w:eastAsia="宋体" w:cs="Times New Roman"/>
                <w:bCs/>
                <w:caps w:val="0"/>
                <w:smallCaps w:val="0"/>
                <w:color w:val="auto"/>
                <w:sz w:val="18"/>
                <w:szCs w:val="18"/>
                <w:u w:val="none" w:color="auto"/>
              </w:rPr>
              <w:t>体形较家鸡略小，但尾巴却长得多。雄鸟和雌鸟羽色不同，雄鸟羽色华丽，多具金属反光，头顶两侧各具有一束能耸立起而羽端呈方形的耳羽簇，下背和腰的羽毛边缘披散如发状；翅稍短圆；尾羽18枚，尾长而逐渐变尖，中央尾羽比外侧尾羽长得多</w:t>
            </w:r>
            <w:r>
              <w:rPr>
                <w:rFonts w:hint="default" w:ascii="Times New Roman" w:hAnsi="Times New Roman" w:eastAsia="宋体" w:cs="Times New Roman"/>
                <w:bCs/>
                <w:caps w:val="0"/>
                <w:smallCaps w:val="0"/>
                <w:color w:val="auto"/>
                <w:sz w:val="18"/>
                <w:szCs w:val="18"/>
                <w:u w:val="none" w:color="auto"/>
                <w:lang w:eastAsia="zh-CN"/>
              </w:rPr>
              <w:t>。以水果、种子、叶子、芽等植物物质和少量动物物质（例如昆虫）为食。</w:t>
            </w:r>
          </w:p>
        </w:tc>
        <w:tc>
          <w:tcPr>
            <w:tcW w:w="702" w:type="pct"/>
            <w:tcBorders>
              <w:tl2br w:val="nil"/>
              <w:tr2bl w:val="nil"/>
            </w:tcBorders>
            <w:noWrap w:val="0"/>
            <w:vAlign w:val="center"/>
          </w:tcPr>
          <w:p w14:paraId="32DB602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主要分布于评价区内的农田、地边、沼泽草地，以及林缘灌丛和公路两边的灌丛与草地中</w:t>
            </w:r>
          </w:p>
        </w:tc>
        <w:tc>
          <w:tcPr>
            <w:tcW w:w="232" w:type="pct"/>
            <w:tcBorders>
              <w:tl2br w:val="nil"/>
              <w:tr2bl w:val="nil"/>
            </w:tcBorders>
            <w:noWrap w:val="0"/>
            <w:vAlign w:val="center"/>
          </w:tcPr>
          <w:p w14:paraId="110669B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1BA287F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67545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53DC3923">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2F7F084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小䴙䴘</w:t>
            </w:r>
          </w:p>
          <w:p w14:paraId="7D236C9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Tachybaptus ruficollis</w:t>
            </w:r>
          </w:p>
        </w:tc>
        <w:tc>
          <w:tcPr>
            <w:tcW w:w="673" w:type="dxa"/>
            <w:tcBorders>
              <w:tl2br w:val="nil"/>
              <w:tr2bl w:val="nil"/>
            </w:tcBorders>
            <w:noWrap w:val="0"/>
            <w:vAlign w:val="center"/>
          </w:tcPr>
          <w:p w14:paraId="3856ED4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583" w:type="dxa"/>
            <w:tcBorders>
              <w:tl2br w:val="nil"/>
              <w:tr2bl w:val="nil"/>
            </w:tcBorders>
            <w:noWrap w:val="0"/>
            <w:vAlign w:val="center"/>
          </w:tcPr>
          <w:p w14:paraId="00D5154D">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897" w:type="dxa"/>
            <w:tcBorders>
              <w:tl2br w:val="nil"/>
              <w:tr2bl w:val="nil"/>
            </w:tcBorders>
            <w:noWrap w:val="0"/>
            <w:vAlign w:val="center"/>
          </w:tcPr>
          <w:p w14:paraId="01C5CAA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649D914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也被称为水葫芦、王八鸭子、油鸭和刁鸭等。这种鸟的嘴尖如凿，颈部颜色丰富多彩，上体为灰褐色，下身为白色</w:t>
            </w:r>
            <w:r>
              <w:rPr>
                <w:rFonts w:hint="default" w:ascii="Times New Roman" w:hAnsi="Times New Roman" w:eastAsia="宋体" w:cs="Times New Roman"/>
                <w:bCs/>
                <w:caps w:val="0"/>
                <w:smallCaps w:val="0"/>
                <w:color w:val="auto"/>
                <w:sz w:val="18"/>
                <w:szCs w:val="18"/>
                <w:u w:val="none" w:color="auto"/>
                <w:lang w:eastAsia="zh-CN"/>
              </w:rPr>
              <w:t>。繁殖期成对活动，其余时间结群活动。杂食性，潜水捕捉小型鱼类和一些无脊椎动物为食。繁殖期为5—7月。以水草在芦苇或其他水生植物中间做圆形台状浮巢。1年繁殖1—2窝，每窝产卵4—7枚。孵化期为19—24天，早成鸟。</w:t>
            </w:r>
          </w:p>
        </w:tc>
        <w:tc>
          <w:tcPr>
            <w:tcW w:w="702" w:type="pct"/>
            <w:tcBorders>
              <w:tl2br w:val="nil"/>
              <w:tr2bl w:val="nil"/>
            </w:tcBorders>
            <w:noWrap w:val="0"/>
            <w:vAlign w:val="center"/>
          </w:tcPr>
          <w:p w14:paraId="01AA148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主要分布于评价区内的静止或流速缓慢的水域中</w:t>
            </w:r>
          </w:p>
        </w:tc>
        <w:tc>
          <w:tcPr>
            <w:tcW w:w="232" w:type="pct"/>
            <w:tcBorders>
              <w:tl2br w:val="nil"/>
              <w:tr2bl w:val="nil"/>
            </w:tcBorders>
            <w:noWrap w:val="0"/>
            <w:vAlign w:val="center"/>
          </w:tcPr>
          <w:p w14:paraId="7291A26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rPr>
            </w:pPr>
            <w:r>
              <w:rPr>
                <w:rFonts w:hint="default" w:ascii="Times New Roman" w:hAnsi="Times New Roman" w:eastAsia="宋体" w:cs="Times New Roman"/>
                <w:b w:val="0"/>
                <w:bCs/>
                <w:caps w:val="0"/>
                <w:smallCaps w:val="0"/>
                <w:color w:val="auto"/>
                <w:sz w:val="18"/>
                <w:szCs w:val="18"/>
                <w:u w:val="none" w:color="auto"/>
              </w:rPr>
              <w:t>文献记录</w:t>
            </w:r>
          </w:p>
        </w:tc>
        <w:tc>
          <w:tcPr>
            <w:tcW w:w="515" w:type="pct"/>
            <w:tcBorders>
              <w:tl2br w:val="nil"/>
              <w:tr2bl w:val="nil"/>
            </w:tcBorders>
            <w:noWrap w:val="0"/>
            <w:vAlign w:val="center"/>
          </w:tcPr>
          <w:p w14:paraId="79AE4550">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0A928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A66D6E1">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3F8A0738">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黑卷尾</w:t>
            </w:r>
          </w:p>
          <w:p w14:paraId="53E8DAE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kern w:val="2"/>
                <w:sz w:val="18"/>
                <w:szCs w:val="18"/>
                <w:u w:val="none" w:color="auto"/>
                <w:lang w:val="en-US" w:eastAsia="zh-CN" w:bidi="ar-SA"/>
              </w:rPr>
            </w:pPr>
            <w:r>
              <w:rPr>
                <w:rFonts w:hint="default" w:ascii="Times New Roman" w:hAnsi="Times New Roman" w:eastAsia="宋体" w:cs="Times New Roman"/>
                <w:b w:val="0"/>
                <w:bCs/>
                <w:i/>
                <w:iCs/>
                <w:caps w:val="0"/>
                <w:smallCaps w:val="0"/>
                <w:color w:val="auto"/>
                <w:sz w:val="18"/>
                <w:szCs w:val="18"/>
                <w:u w:val="none" w:color="auto"/>
                <w:lang w:val="en-US" w:eastAsia="zh-CN"/>
              </w:rPr>
              <w:t>Dicrurus macrocercus</w:t>
            </w:r>
          </w:p>
        </w:tc>
        <w:tc>
          <w:tcPr>
            <w:tcW w:w="237" w:type="pct"/>
            <w:tcBorders>
              <w:tl2br w:val="nil"/>
              <w:tr2bl w:val="nil"/>
            </w:tcBorders>
            <w:noWrap w:val="0"/>
            <w:vAlign w:val="center"/>
          </w:tcPr>
          <w:p w14:paraId="4DF4949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6526428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kern w:val="2"/>
                <w:sz w:val="18"/>
                <w:szCs w:val="18"/>
                <w:u w:val="none" w:color="auto"/>
                <w:lang w:val="en-US" w:eastAsia="zh-CN" w:bidi="ar-SA"/>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5358F63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2C665F4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kern w:val="2"/>
                <w:sz w:val="18"/>
                <w:szCs w:val="18"/>
                <w:u w:val="none" w:color="auto"/>
                <w:lang w:val="en-US" w:eastAsia="zh-CN" w:bidi="ar-SA"/>
              </w:rPr>
            </w:pPr>
            <w:r>
              <w:rPr>
                <w:rFonts w:hint="default" w:ascii="Times New Roman" w:hAnsi="Times New Roman" w:eastAsia="宋体" w:cs="Times New Roman"/>
                <w:bCs/>
                <w:caps w:val="0"/>
                <w:smallCaps w:val="0"/>
                <w:color w:val="auto"/>
                <w:sz w:val="18"/>
                <w:szCs w:val="18"/>
                <w:u w:val="none" w:color="auto"/>
              </w:rPr>
              <w:t>又称铁练甲、铁燕子、铁林哥、羊蹄刺、榨油郎，体长约30厘米全身蓝黑色而具金属光泽，尾长且分叉较深。幼鸟似成鸟，金属光泽弱，下腹部具近白色的横纹。虹膜暗红色，嘴黑色，脚黑色。多成对或小群活动，喜栖于高大乔木或电线上，发现猎物时俯冲捕捉，然后返回栖息的高处吞食。在六、七、八月以鳞翅目、鞘翅目、膜翅目、直翅目昆虫为食。繁殖期常在黎明时彼此呼应地连续鸣叫。繁殖期为4至7月。</w:t>
            </w:r>
          </w:p>
        </w:tc>
        <w:tc>
          <w:tcPr>
            <w:tcW w:w="702" w:type="pct"/>
            <w:vMerge w:val="restart"/>
            <w:tcBorders>
              <w:tl2br w:val="nil"/>
              <w:tr2bl w:val="nil"/>
            </w:tcBorders>
            <w:noWrap w:val="0"/>
            <w:vAlign w:val="center"/>
          </w:tcPr>
          <w:p w14:paraId="2488B85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主要分布于评价区内的树林、</w:t>
            </w:r>
            <w:r>
              <w:rPr>
                <w:rFonts w:hint="default" w:ascii="Times New Roman" w:hAnsi="Times New Roman" w:eastAsia="宋体" w:cs="Times New Roman"/>
                <w:caps w:val="0"/>
                <w:smallCaps w:val="0"/>
                <w:color w:val="auto"/>
                <w:sz w:val="18"/>
                <w:szCs w:val="18"/>
                <w:u w:val="none" w:color="auto"/>
                <w:lang w:val="en-US" w:eastAsia="zh-CN"/>
              </w:rPr>
              <w:t>水</w:t>
            </w:r>
            <w:r>
              <w:rPr>
                <w:rFonts w:hint="default" w:ascii="Times New Roman" w:hAnsi="Times New Roman" w:eastAsia="宋体" w:cs="Times New Roman"/>
                <w:caps w:val="0"/>
                <w:smallCaps w:val="0"/>
                <w:color w:val="auto"/>
                <w:sz w:val="18"/>
                <w:szCs w:val="18"/>
                <w:u w:val="none" w:color="auto"/>
              </w:rPr>
              <w:t>岸、农田等生境附近</w:t>
            </w:r>
          </w:p>
          <w:p w14:paraId="0B033D1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r>
              <w:rPr>
                <w:rFonts w:hint="default" w:ascii="Times New Roman" w:hAnsi="Times New Roman" w:eastAsia="宋体" w:cs="Times New Roman"/>
                <w:caps w:val="0"/>
                <w:smallCaps w:val="0"/>
                <w:color w:val="auto"/>
                <w:sz w:val="18"/>
                <w:szCs w:val="18"/>
                <w:u w:val="none" w:color="auto"/>
              </w:rPr>
              <w:t>主要分布于评价区内的树林、水岸等生境附近</w:t>
            </w:r>
          </w:p>
        </w:tc>
        <w:tc>
          <w:tcPr>
            <w:tcW w:w="232" w:type="pct"/>
            <w:tcBorders>
              <w:tl2br w:val="nil"/>
              <w:tr2bl w:val="nil"/>
            </w:tcBorders>
            <w:noWrap w:val="0"/>
            <w:vAlign w:val="center"/>
          </w:tcPr>
          <w:p w14:paraId="3642A275">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现场调查</w:t>
            </w:r>
          </w:p>
        </w:tc>
        <w:tc>
          <w:tcPr>
            <w:tcW w:w="515" w:type="pct"/>
            <w:vMerge w:val="restart"/>
            <w:tcBorders>
              <w:tl2br w:val="nil"/>
              <w:tr2bl w:val="nil"/>
            </w:tcBorders>
            <w:noWrap w:val="0"/>
            <w:vAlign w:val="center"/>
          </w:tcPr>
          <w:p w14:paraId="3854544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lang w:val="en-US" w:eastAsia="zh-CN"/>
              </w:rPr>
              <w:t>否，工程不占用其主要生境，适生区域分布在工程周边</w:t>
            </w:r>
          </w:p>
        </w:tc>
      </w:tr>
      <w:tr w14:paraId="67173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1E09170D">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1366561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白头鹎</w:t>
            </w:r>
          </w:p>
          <w:p w14:paraId="2A360353">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Pycnonotus sinensis</w:t>
            </w:r>
          </w:p>
        </w:tc>
        <w:tc>
          <w:tcPr>
            <w:tcW w:w="237" w:type="pct"/>
            <w:tcBorders>
              <w:tl2br w:val="nil"/>
              <w:tr2bl w:val="nil"/>
            </w:tcBorders>
            <w:noWrap w:val="0"/>
            <w:vAlign w:val="center"/>
          </w:tcPr>
          <w:p w14:paraId="4A3176D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1B65D55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0CA7A0E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411BB5C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别名有白头翁、白头婆、淡臀鹎、中国鹎等。喙黑色，嘴峰稍曲，端部下曲，具近端缺刻；鼻孔裸露，具瓣膜和嘴须；额至头顶黑色，虹膜褐色，眼至后枕白色，耳羽后端具一小白斑，髭纹黑色；上体灰褐或橄榄灰色具黄绿色羽缘，飞羽、翼上覆羽和尾羽黑褐色具橄榄绿色羽缘，尾呈方形；颏、喉部白色，胸灰褐色，腹白色具浅黄绿色纵纹，尾下覆羽白色略沾杂黄，脚黑色。幼鸟头灰褐色，后枕无显著性白斑，胸具灰色横纹。杂食性，动物以金龟子、蝗虫、蚊、蝇等为食，植物以野生楂、桑葚、樱桃、葡萄等为食。繁殖期为4-8月。</w:t>
            </w:r>
          </w:p>
        </w:tc>
        <w:tc>
          <w:tcPr>
            <w:tcW w:w="702" w:type="pct"/>
            <w:vMerge w:val="continue"/>
            <w:tcBorders>
              <w:tl2br w:val="nil"/>
              <w:tr2bl w:val="nil"/>
            </w:tcBorders>
            <w:noWrap w:val="0"/>
            <w:vAlign w:val="center"/>
          </w:tcPr>
          <w:p w14:paraId="5FCED6A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p>
        </w:tc>
        <w:tc>
          <w:tcPr>
            <w:tcW w:w="232" w:type="pct"/>
            <w:tcBorders>
              <w:tl2br w:val="nil"/>
              <w:tr2bl w:val="nil"/>
            </w:tcBorders>
            <w:noWrap w:val="0"/>
            <w:vAlign w:val="center"/>
          </w:tcPr>
          <w:p w14:paraId="0E844E3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现场调查</w:t>
            </w:r>
          </w:p>
        </w:tc>
        <w:tc>
          <w:tcPr>
            <w:tcW w:w="515" w:type="pct"/>
            <w:vMerge w:val="continue"/>
            <w:tcBorders>
              <w:tl2br w:val="nil"/>
              <w:tr2bl w:val="nil"/>
            </w:tcBorders>
            <w:noWrap w:val="0"/>
            <w:vAlign w:val="center"/>
          </w:tcPr>
          <w:p w14:paraId="2F57DB9E">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r w14:paraId="59C72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 w:type="pct"/>
            <w:tcBorders>
              <w:tl2br w:val="nil"/>
              <w:tr2bl w:val="nil"/>
            </w:tcBorders>
            <w:noWrap w:val="0"/>
            <w:vAlign w:val="center"/>
          </w:tcPr>
          <w:p w14:paraId="7FDBE42F">
            <w:pPr>
              <w:keepNext w:val="0"/>
              <w:keepLines w:val="0"/>
              <w:widowControl/>
              <w:numPr>
                <w:ilvl w:val="0"/>
                <w:numId w:val="21"/>
              </w:numPr>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c>
          <w:tcPr>
            <w:tcW w:w="475" w:type="pct"/>
            <w:tcBorders>
              <w:tl2br w:val="nil"/>
              <w:tr2bl w:val="nil"/>
            </w:tcBorders>
            <w:noWrap w:val="0"/>
            <w:vAlign w:val="center"/>
          </w:tcPr>
          <w:p w14:paraId="3F3DA889">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val="0"/>
                <w:iCs w:val="0"/>
                <w:caps w:val="0"/>
                <w:smallCaps w:val="0"/>
                <w:color w:val="auto"/>
                <w:sz w:val="18"/>
                <w:szCs w:val="18"/>
                <w:u w:val="none" w:color="auto"/>
                <w:lang w:val="en-US" w:eastAsia="zh-CN"/>
              </w:rPr>
            </w:pPr>
            <w:r>
              <w:rPr>
                <w:rFonts w:hint="default" w:ascii="Times New Roman" w:hAnsi="Times New Roman" w:eastAsia="宋体" w:cs="Times New Roman"/>
                <w:b w:val="0"/>
                <w:bCs/>
                <w:i w:val="0"/>
                <w:iCs w:val="0"/>
                <w:caps w:val="0"/>
                <w:smallCaps w:val="0"/>
                <w:color w:val="auto"/>
                <w:sz w:val="18"/>
                <w:szCs w:val="18"/>
                <w:u w:val="none" w:color="auto"/>
                <w:lang w:val="en-US" w:eastAsia="zh-CN"/>
              </w:rPr>
              <w:t>乌鸫</w:t>
            </w:r>
          </w:p>
          <w:p w14:paraId="5714403C">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i/>
                <w:iCs/>
                <w:caps w:val="0"/>
                <w:smallCaps w:val="0"/>
                <w:color w:val="auto"/>
                <w:sz w:val="18"/>
                <w:szCs w:val="18"/>
                <w:u w:val="none" w:color="auto"/>
                <w:lang w:val="en-US" w:eastAsia="zh-CN"/>
              </w:rPr>
            </w:pPr>
            <w:r>
              <w:rPr>
                <w:rFonts w:hint="default" w:ascii="Times New Roman" w:hAnsi="Times New Roman" w:eastAsia="宋体" w:cs="Times New Roman"/>
                <w:b w:val="0"/>
                <w:bCs/>
                <w:i/>
                <w:iCs/>
                <w:caps w:val="0"/>
                <w:smallCaps w:val="0"/>
                <w:color w:val="auto"/>
                <w:sz w:val="18"/>
                <w:szCs w:val="18"/>
                <w:u w:val="none" w:color="auto"/>
                <w:lang w:val="en-US" w:eastAsia="zh-CN"/>
              </w:rPr>
              <w:t>Turdus merula</w:t>
            </w:r>
          </w:p>
        </w:tc>
        <w:tc>
          <w:tcPr>
            <w:tcW w:w="237" w:type="pct"/>
            <w:tcBorders>
              <w:tl2br w:val="nil"/>
              <w:tr2bl w:val="nil"/>
            </w:tcBorders>
            <w:noWrap w:val="0"/>
            <w:vAlign w:val="center"/>
          </w:tcPr>
          <w:p w14:paraId="35F5B5B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省级</w:t>
            </w:r>
          </w:p>
        </w:tc>
        <w:tc>
          <w:tcPr>
            <w:tcW w:w="205" w:type="pct"/>
            <w:tcBorders>
              <w:tl2br w:val="nil"/>
              <w:tr2bl w:val="nil"/>
            </w:tcBorders>
            <w:noWrap w:val="0"/>
            <w:vAlign w:val="center"/>
          </w:tcPr>
          <w:p w14:paraId="5A481437">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val="0"/>
                <w:bCs/>
                <w:caps w:val="0"/>
                <w:smallCaps w:val="0"/>
                <w:color w:val="auto"/>
                <w:sz w:val="18"/>
                <w:szCs w:val="18"/>
                <w:u w:val="none" w:color="auto"/>
                <w:lang w:val="en-US" w:eastAsia="zh-CN"/>
              </w:rPr>
            </w:pPr>
            <w:r>
              <w:rPr>
                <w:rFonts w:hint="default" w:ascii="Times New Roman" w:hAnsi="Times New Roman" w:eastAsia="宋体" w:cs="Times New Roman"/>
                <w:b w:val="0"/>
                <w:bCs/>
                <w:caps w:val="0"/>
                <w:smallCaps w:val="0"/>
                <w:color w:val="auto"/>
                <w:sz w:val="18"/>
                <w:szCs w:val="18"/>
                <w:u w:val="none" w:color="auto"/>
                <w:lang w:val="en-US" w:eastAsia="zh-CN"/>
              </w:rPr>
              <w:t>LC</w:t>
            </w:r>
          </w:p>
        </w:tc>
        <w:tc>
          <w:tcPr>
            <w:tcW w:w="316" w:type="pct"/>
            <w:tcBorders>
              <w:tl2br w:val="nil"/>
              <w:tr2bl w:val="nil"/>
            </w:tcBorders>
            <w:noWrap w:val="0"/>
            <w:vAlign w:val="center"/>
          </w:tcPr>
          <w:p w14:paraId="6D13CB46">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否</w:t>
            </w:r>
          </w:p>
        </w:tc>
        <w:tc>
          <w:tcPr>
            <w:tcW w:w="2111" w:type="pct"/>
            <w:tcBorders>
              <w:tl2br w:val="nil"/>
              <w:tr2bl w:val="nil"/>
            </w:tcBorders>
            <w:noWrap w:val="0"/>
            <w:vAlign w:val="center"/>
          </w:tcPr>
          <w:p w14:paraId="50CC1861">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both"/>
              <w:rPr>
                <w:rFonts w:hint="default" w:ascii="Times New Roman" w:hAnsi="Times New Roman" w:eastAsia="宋体" w:cs="Times New Roman"/>
                <w:bCs/>
                <w:caps w:val="0"/>
                <w:smallCaps w:val="0"/>
                <w:color w:val="auto"/>
                <w:sz w:val="18"/>
                <w:szCs w:val="18"/>
                <w:u w:val="none" w:color="auto"/>
              </w:rPr>
            </w:pPr>
            <w:r>
              <w:rPr>
                <w:rFonts w:hint="default" w:ascii="Times New Roman" w:hAnsi="Times New Roman" w:eastAsia="宋体" w:cs="Times New Roman"/>
                <w:bCs/>
                <w:caps w:val="0"/>
                <w:smallCaps w:val="0"/>
                <w:color w:val="auto"/>
                <w:sz w:val="18"/>
                <w:szCs w:val="18"/>
                <w:u w:val="none" w:color="auto"/>
              </w:rPr>
              <w:t>体长26-28厘米，雄鸟通体黑色，嘴和眼周橙黄色，脚黑褐色；雌鸟通体黑褐色而沾锈色，下体尤著，有不明显的暗色纵横。鸣声嘹亮，富于音韵，并能模仿其他鸟的叫声，故有“百舌”之称，是一种常见的鸣叫观赏鸟。以昆虫和昆虫幼虫为食，也吃植物的果实和种子。营巢于村寨附近、房前屋后和田园中乔木主干分枝处；4-7月繁殖。</w:t>
            </w:r>
          </w:p>
        </w:tc>
        <w:tc>
          <w:tcPr>
            <w:tcW w:w="702" w:type="pct"/>
            <w:vMerge w:val="continue"/>
            <w:tcBorders>
              <w:tl2br w:val="nil"/>
              <w:tr2bl w:val="nil"/>
            </w:tcBorders>
            <w:noWrap w:val="0"/>
            <w:vAlign w:val="center"/>
          </w:tcPr>
          <w:p w14:paraId="1BF50442">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18"/>
                <w:szCs w:val="18"/>
                <w:u w:val="none" w:color="auto"/>
              </w:rPr>
            </w:pPr>
          </w:p>
        </w:tc>
        <w:tc>
          <w:tcPr>
            <w:tcW w:w="232" w:type="pct"/>
            <w:tcBorders>
              <w:tl2br w:val="nil"/>
              <w:tr2bl w:val="nil"/>
            </w:tcBorders>
            <w:noWrap w:val="0"/>
            <w:vAlign w:val="center"/>
          </w:tcPr>
          <w:p w14:paraId="7D045AFA">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r>
              <w:rPr>
                <w:rFonts w:hint="default" w:ascii="Times New Roman" w:hAnsi="Times New Roman" w:eastAsia="宋体" w:cs="Times New Roman"/>
                <w:bCs/>
                <w:caps w:val="0"/>
                <w:smallCaps w:val="0"/>
                <w:color w:val="auto"/>
                <w:sz w:val="18"/>
                <w:szCs w:val="18"/>
                <w:u w:val="none" w:color="auto"/>
                <w:lang w:val="en-US" w:eastAsia="zh-CN"/>
              </w:rPr>
              <w:t>现场调查</w:t>
            </w:r>
          </w:p>
        </w:tc>
        <w:tc>
          <w:tcPr>
            <w:tcW w:w="515" w:type="pct"/>
            <w:vMerge w:val="continue"/>
            <w:tcBorders>
              <w:tl2br w:val="nil"/>
              <w:tr2bl w:val="nil"/>
            </w:tcBorders>
            <w:noWrap w:val="0"/>
            <w:vAlign w:val="center"/>
          </w:tcPr>
          <w:p w14:paraId="5343A3BB">
            <w:pPr>
              <w:keepNext w:val="0"/>
              <w:keepLines w:val="0"/>
              <w:widowControl/>
              <w:suppressLineNumbers w:val="0"/>
              <w:tabs>
                <w:tab w:val="left" w:pos="480"/>
              </w:tabs>
              <w:adjustRightInd w:val="0"/>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Cs/>
                <w:caps w:val="0"/>
                <w:smallCaps w:val="0"/>
                <w:color w:val="auto"/>
                <w:sz w:val="18"/>
                <w:szCs w:val="18"/>
                <w:u w:val="none" w:color="auto"/>
                <w:lang w:val="en-US" w:eastAsia="zh-CN"/>
              </w:rPr>
            </w:pPr>
          </w:p>
        </w:tc>
      </w:tr>
    </w:tbl>
    <w:p w14:paraId="7679A1B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aps w:val="0"/>
          <w:smallCaps w:val="0"/>
          <w:color w:val="auto"/>
          <w:sz w:val="24"/>
          <w:szCs w:val="24"/>
          <w:u w:val="none" w:color="auto"/>
          <w:lang w:eastAsia="zh-CN"/>
        </w:rPr>
        <w:sectPr>
          <w:pgSz w:w="16838" w:h="11905"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14:paraId="5C044634">
      <w:pPr>
        <w:pStyle w:val="4"/>
        <w:bidi w:val="0"/>
        <w:rPr>
          <w:rFonts w:hint="default" w:ascii="Times New Roman" w:hAnsi="Times New Roman" w:cs="Times New Roman"/>
          <w:color w:val="auto"/>
          <w:u w:val="none" w:color="auto"/>
          <w:lang w:val="en-US" w:eastAsia="zh-CN"/>
        </w:rPr>
      </w:pPr>
      <w:bookmarkStart w:id="254" w:name="_Toc24517"/>
      <w:bookmarkStart w:id="255" w:name="_Toc5415"/>
      <w:bookmarkStart w:id="256" w:name="_Toc18813"/>
      <w:bookmarkStart w:id="257" w:name="_Toc25507"/>
      <w:bookmarkStart w:id="258" w:name="_Toc8528"/>
      <w:bookmarkStart w:id="259" w:name="_Toc31271"/>
      <w:bookmarkStart w:id="260" w:name="_Toc6655"/>
      <w:r>
        <w:rPr>
          <w:rFonts w:hint="default" w:ascii="Times New Roman" w:hAnsi="Times New Roman" w:cs="Times New Roman"/>
          <w:color w:val="auto"/>
          <w:u w:val="none" w:color="auto"/>
          <w:lang w:val="en-US" w:eastAsia="zh-CN"/>
        </w:rPr>
        <w:t>水生生态现状</w:t>
      </w:r>
      <w:bookmarkEnd w:id="254"/>
      <w:bookmarkEnd w:id="255"/>
    </w:p>
    <w:p w14:paraId="782D7FF8">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水生生境</w:t>
      </w:r>
    </w:p>
    <w:p w14:paraId="61131317">
      <w:pPr>
        <w:spacing w:line="360" w:lineRule="auto"/>
        <w:ind w:firstLine="480" w:firstLineChars="200"/>
        <w:rPr>
          <w:rFonts w:hint="default" w:ascii="Times New Roman" w:hAnsi="Times New Roman" w:eastAsia="宋体" w:cs="Times New Roman"/>
          <w:caps w:val="0"/>
          <w:smallCaps w:val="0"/>
          <w:color w:val="auto"/>
          <w:sz w:val="24"/>
          <w:szCs w:val="24"/>
          <w:highlight w:val="none"/>
          <w:u w:val="none"/>
          <w:lang w:val="en-US" w:eastAsia="zh-CN" w:bidi="ar"/>
        </w:rPr>
      </w:pPr>
      <w:r>
        <w:rPr>
          <w:rFonts w:hint="eastAsia" w:ascii="Times New Roman" w:hAnsi="Times New Roman" w:eastAsia="宋体" w:cs="Times New Roman"/>
          <w:caps w:val="0"/>
          <w:smallCaps w:val="0"/>
          <w:color w:val="auto"/>
          <w:sz w:val="24"/>
          <w:szCs w:val="24"/>
          <w:highlight w:val="none"/>
          <w:u w:val="none"/>
          <w:lang w:val="en-US" w:eastAsia="zh-CN" w:bidi="ar"/>
        </w:rPr>
        <w:t>北汊水库位于华容县禹山镇老河口村，总库容为1423万m</w:t>
      </w:r>
      <w:r>
        <w:rPr>
          <w:rFonts w:hint="eastAsia" w:ascii="Times New Roman" w:hAnsi="Times New Roman" w:eastAsia="宋体" w:cs="Times New Roman"/>
          <w:caps w:val="0"/>
          <w:smallCaps w:val="0"/>
          <w:color w:val="auto"/>
          <w:sz w:val="24"/>
          <w:szCs w:val="24"/>
          <w:highlight w:val="none"/>
          <w:u w:val="none"/>
          <w:vertAlign w:val="superscript"/>
          <w:lang w:val="en-US" w:eastAsia="zh-CN" w:bidi="ar"/>
        </w:rPr>
        <w:t>3</w:t>
      </w:r>
      <w:r>
        <w:rPr>
          <w:rFonts w:hint="eastAsia" w:ascii="Times New Roman" w:hAnsi="Times New Roman" w:eastAsia="宋体" w:cs="Times New Roman"/>
          <w:caps w:val="0"/>
          <w:smallCaps w:val="0"/>
          <w:color w:val="auto"/>
          <w:sz w:val="24"/>
          <w:szCs w:val="24"/>
          <w:highlight w:val="none"/>
          <w:u w:val="none"/>
          <w:lang w:val="en-US" w:eastAsia="zh-CN" w:bidi="ar"/>
        </w:rPr>
        <w:t>，是一座以灌溉为主，兼有防洪等效益的平原型中型水库。正常蓄水位30.5m，水面面积3.7km</w:t>
      </w:r>
      <w:r>
        <w:rPr>
          <w:rFonts w:hint="eastAsia" w:ascii="Times New Roman" w:hAnsi="Times New Roman" w:eastAsia="宋体" w:cs="Times New Roman"/>
          <w:caps w:val="0"/>
          <w:smallCaps w:val="0"/>
          <w:color w:val="auto"/>
          <w:sz w:val="24"/>
          <w:szCs w:val="24"/>
          <w:highlight w:val="none"/>
          <w:u w:val="none"/>
          <w:vertAlign w:val="superscript"/>
          <w:lang w:val="en-US" w:eastAsia="zh-CN" w:bidi="ar"/>
        </w:rPr>
        <w:t>2</w:t>
      </w:r>
      <w:r>
        <w:rPr>
          <w:rFonts w:hint="eastAsia" w:ascii="Times New Roman" w:hAnsi="Times New Roman" w:eastAsia="宋体" w:cs="Times New Roman"/>
          <w:caps w:val="0"/>
          <w:smallCaps w:val="0"/>
          <w:color w:val="auto"/>
          <w:sz w:val="24"/>
          <w:szCs w:val="24"/>
          <w:highlight w:val="none"/>
          <w:u w:val="none"/>
          <w:vertAlign w:val="baseline"/>
          <w:lang w:val="en-US" w:eastAsia="zh-CN" w:bidi="ar"/>
        </w:rPr>
        <w:t>，灌溉面积2867hm</w:t>
      </w:r>
      <w:r>
        <w:rPr>
          <w:rFonts w:hint="eastAsia" w:ascii="Times New Roman" w:hAnsi="Times New Roman" w:eastAsia="宋体" w:cs="Times New Roman"/>
          <w:caps w:val="0"/>
          <w:smallCaps w:val="0"/>
          <w:color w:val="auto"/>
          <w:sz w:val="24"/>
          <w:szCs w:val="24"/>
          <w:highlight w:val="none"/>
          <w:u w:val="none"/>
          <w:vertAlign w:val="superscript"/>
          <w:lang w:val="en-US" w:eastAsia="zh-CN" w:bidi="ar"/>
        </w:rPr>
        <w:t>2</w:t>
      </w:r>
      <w:r>
        <w:rPr>
          <w:rFonts w:hint="eastAsia" w:ascii="Times New Roman" w:hAnsi="Times New Roman" w:eastAsia="宋体" w:cs="Times New Roman"/>
          <w:caps w:val="0"/>
          <w:smallCaps w:val="0"/>
          <w:color w:val="auto"/>
          <w:sz w:val="24"/>
          <w:szCs w:val="24"/>
          <w:highlight w:val="none"/>
          <w:u w:val="none"/>
          <w:lang w:val="en-US" w:eastAsia="zh-CN" w:bidi="ar"/>
        </w:rPr>
        <w:t>。</w:t>
      </w:r>
    </w:p>
    <w:p w14:paraId="03736F2B">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水生生物</w:t>
      </w:r>
    </w:p>
    <w:p w14:paraId="35457698">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浮游植物</w:t>
      </w:r>
    </w:p>
    <w:p w14:paraId="6B993287">
      <w:pPr>
        <w:widowControl w:val="0"/>
        <w:spacing w:line="360" w:lineRule="auto"/>
        <w:ind w:firstLine="536" w:firstLineChars="200"/>
        <w:jc w:val="both"/>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spacing w:val="14"/>
          <w:sz w:val="24"/>
          <w:szCs w:val="24"/>
          <w:u w:val="none" w:color="auto"/>
        </w:rPr>
        <w:t>经查</w:t>
      </w:r>
      <w:r>
        <w:rPr>
          <w:rFonts w:hint="default" w:ascii="Times New Roman" w:hAnsi="Times New Roman" w:eastAsia="宋体" w:cs="Times New Roman"/>
          <w:color w:val="auto"/>
          <w:spacing w:val="7"/>
          <w:sz w:val="24"/>
          <w:szCs w:val="24"/>
          <w:u w:val="none" w:color="auto"/>
        </w:rPr>
        <w:t>阅资料，评价范围</w:t>
      </w:r>
      <w:r>
        <w:rPr>
          <w:rFonts w:hint="default" w:ascii="Times New Roman" w:hAnsi="Times New Roman" w:eastAsia="宋体" w:cs="Times New Roman"/>
          <w:color w:val="auto"/>
          <w:spacing w:val="15"/>
          <w:sz w:val="24"/>
          <w:szCs w:val="24"/>
          <w:u w:val="none" w:color="auto"/>
        </w:rPr>
        <w:t>浮</w:t>
      </w:r>
      <w:r>
        <w:rPr>
          <w:rFonts w:hint="default" w:ascii="Times New Roman" w:hAnsi="Times New Roman" w:eastAsia="宋体" w:cs="Times New Roman"/>
          <w:color w:val="auto"/>
          <w:spacing w:val="9"/>
          <w:sz w:val="24"/>
          <w:szCs w:val="24"/>
          <w:u w:val="none" w:color="auto"/>
        </w:rPr>
        <w:t>游植物优势门类为绿藻门和硅藻门，其中以四角十字藻(</w:t>
      </w:r>
      <w:r>
        <w:rPr>
          <w:rFonts w:hint="default" w:ascii="Times New Roman" w:hAnsi="Times New Roman" w:eastAsia="宋体" w:cs="Times New Roman"/>
          <w:i/>
          <w:iCs/>
          <w:color w:val="auto"/>
          <w:sz w:val="24"/>
          <w:szCs w:val="24"/>
          <w:u w:val="none" w:color="auto"/>
        </w:rPr>
        <w:t>Crucigenia</w:t>
      </w:r>
      <w:r>
        <w:rPr>
          <w:rFonts w:hint="default" w:ascii="Times New Roman" w:hAnsi="Times New Roman" w:eastAsia="宋体" w:cs="Times New Roman"/>
          <w:i/>
          <w:iCs/>
          <w:color w:val="auto"/>
          <w:spacing w:val="9"/>
          <w:sz w:val="24"/>
          <w:szCs w:val="24"/>
          <w:u w:val="none" w:color="auto"/>
        </w:rPr>
        <w:t xml:space="preserve"> </w:t>
      </w:r>
      <w:r>
        <w:rPr>
          <w:rFonts w:hint="default" w:ascii="Times New Roman" w:hAnsi="Times New Roman" w:eastAsia="宋体" w:cs="Times New Roman"/>
          <w:i/>
          <w:iCs/>
          <w:color w:val="auto"/>
          <w:sz w:val="24"/>
          <w:szCs w:val="24"/>
          <w:u w:val="none" w:color="auto"/>
        </w:rPr>
        <w:t>quadrata</w:t>
      </w:r>
      <w:r>
        <w:rPr>
          <w:rFonts w:hint="default" w:ascii="Times New Roman" w:hAnsi="Times New Roman" w:eastAsia="宋体" w:cs="Times New Roman"/>
          <w:color w:val="auto"/>
          <w:spacing w:val="9"/>
          <w:sz w:val="24"/>
          <w:szCs w:val="24"/>
          <w:u w:val="none" w:color="auto"/>
        </w:rPr>
        <w:t>)、四尾</w:t>
      </w:r>
      <w:r>
        <w:rPr>
          <w:rFonts w:hint="default" w:ascii="Times New Roman" w:hAnsi="Times New Roman" w:eastAsia="宋体" w:cs="Times New Roman"/>
          <w:color w:val="auto"/>
          <w:spacing w:val="10"/>
          <w:sz w:val="24"/>
          <w:szCs w:val="24"/>
          <w:u w:val="none" w:color="auto"/>
        </w:rPr>
        <w:t>栅藻(</w:t>
      </w:r>
      <w:r>
        <w:rPr>
          <w:rFonts w:hint="default" w:ascii="Times New Roman" w:hAnsi="Times New Roman" w:eastAsia="宋体" w:cs="Times New Roman"/>
          <w:i/>
          <w:iCs/>
          <w:color w:val="auto"/>
          <w:sz w:val="24"/>
          <w:szCs w:val="24"/>
          <w:u w:val="none" w:color="auto"/>
        </w:rPr>
        <w:t>Scenedesmus</w:t>
      </w:r>
      <w:r>
        <w:rPr>
          <w:rFonts w:hint="default" w:ascii="Times New Roman" w:hAnsi="Times New Roman" w:eastAsia="宋体" w:cs="Times New Roman"/>
          <w:i/>
          <w:iCs/>
          <w:color w:val="auto"/>
          <w:spacing w:val="10"/>
          <w:sz w:val="24"/>
          <w:szCs w:val="24"/>
          <w:u w:val="none" w:color="auto"/>
        </w:rPr>
        <w:t xml:space="preserve"> </w:t>
      </w:r>
      <w:r>
        <w:rPr>
          <w:rFonts w:hint="default" w:ascii="Times New Roman" w:hAnsi="Times New Roman" w:eastAsia="宋体" w:cs="Times New Roman"/>
          <w:i/>
          <w:iCs/>
          <w:color w:val="auto"/>
          <w:sz w:val="24"/>
          <w:szCs w:val="24"/>
          <w:u w:val="none" w:color="auto"/>
        </w:rPr>
        <w:t>quadricauda</w:t>
      </w:r>
      <w:r>
        <w:rPr>
          <w:rFonts w:hint="default" w:ascii="Times New Roman" w:hAnsi="Times New Roman" w:eastAsia="宋体" w:cs="Times New Roman"/>
          <w:color w:val="auto"/>
          <w:spacing w:val="10"/>
          <w:sz w:val="24"/>
          <w:szCs w:val="24"/>
          <w:u w:val="none" w:color="auto"/>
        </w:rPr>
        <w:t>)、颗粒直链藻(</w:t>
      </w:r>
      <w:r>
        <w:rPr>
          <w:rFonts w:hint="default" w:ascii="Times New Roman" w:hAnsi="Times New Roman" w:eastAsia="宋体" w:cs="Times New Roman"/>
          <w:i/>
          <w:iCs/>
          <w:color w:val="auto"/>
          <w:sz w:val="24"/>
          <w:szCs w:val="24"/>
          <w:u w:val="none" w:color="auto"/>
        </w:rPr>
        <w:t>Melosira</w:t>
      </w:r>
      <w:r>
        <w:rPr>
          <w:rFonts w:hint="default" w:ascii="Times New Roman" w:hAnsi="Times New Roman" w:eastAsia="宋体" w:cs="Times New Roman"/>
          <w:i/>
          <w:iCs/>
          <w:color w:val="auto"/>
          <w:spacing w:val="10"/>
          <w:sz w:val="24"/>
          <w:szCs w:val="24"/>
          <w:u w:val="none" w:color="auto"/>
        </w:rPr>
        <w:t xml:space="preserve"> </w:t>
      </w:r>
      <w:r>
        <w:rPr>
          <w:rFonts w:hint="default" w:ascii="Times New Roman" w:hAnsi="Times New Roman" w:eastAsia="宋体" w:cs="Times New Roman"/>
          <w:i/>
          <w:iCs/>
          <w:color w:val="auto"/>
          <w:sz w:val="24"/>
          <w:szCs w:val="24"/>
          <w:u w:val="none" w:color="auto"/>
        </w:rPr>
        <w:t>granulata</w:t>
      </w:r>
      <w:r>
        <w:rPr>
          <w:rFonts w:hint="default" w:ascii="Times New Roman" w:hAnsi="Times New Roman" w:eastAsia="宋体" w:cs="Times New Roman"/>
          <w:color w:val="auto"/>
          <w:spacing w:val="10"/>
          <w:sz w:val="24"/>
          <w:szCs w:val="24"/>
          <w:u w:val="none" w:color="auto"/>
          <w:lang w:eastAsia="zh-CN"/>
        </w:rPr>
        <w:t>）</w:t>
      </w:r>
      <w:r>
        <w:rPr>
          <w:rFonts w:hint="default" w:ascii="Times New Roman" w:hAnsi="Times New Roman" w:eastAsia="宋体" w:cs="Times New Roman"/>
          <w:color w:val="auto"/>
          <w:spacing w:val="10"/>
          <w:sz w:val="24"/>
          <w:szCs w:val="24"/>
          <w:u w:val="none" w:color="auto"/>
        </w:rPr>
        <w:t>和尖针杆藻</w:t>
      </w:r>
      <w:r>
        <w:rPr>
          <w:rFonts w:hint="default" w:ascii="Times New Roman" w:hAnsi="Times New Roman" w:eastAsia="宋体" w:cs="Times New Roman"/>
          <w:color w:val="auto"/>
          <w:spacing w:val="6"/>
          <w:sz w:val="24"/>
          <w:szCs w:val="24"/>
          <w:u w:val="none" w:color="auto"/>
        </w:rPr>
        <w:t>(</w:t>
      </w:r>
      <w:r>
        <w:rPr>
          <w:rFonts w:hint="default" w:ascii="Times New Roman" w:hAnsi="Times New Roman" w:eastAsia="宋体" w:cs="Times New Roman"/>
          <w:i/>
          <w:iCs/>
          <w:color w:val="auto"/>
          <w:sz w:val="24"/>
          <w:szCs w:val="24"/>
          <w:u w:val="none" w:color="auto"/>
        </w:rPr>
        <w:t>Synedra acusvar</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pacing w:val="10"/>
          <w:sz w:val="24"/>
          <w:szCs w:val="24"/>
          <w:u w:val="none" w:color="auto"/>
        </w:rPr>
        <w:t>为优势种。</w:t>
      </w:r>
    </w:p>
    <w:p w14:paraId="6545F94D">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浮游动物</w:t>
      </w:r>
    </w:p>
    <w:p w14:paraId="3CF1265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4"/>
          <w:szCs w:val="24"/>
          <w:highlight w:val="none"/>
          <w:u w:val="none" w:color="auto"/>
          <w:lang w:val="en-US" w:eastAsia="zh-CN" w:bidi="ar-SA"/>
        </w:rPr>
        <w:t>浮游动物（zooplankton）是一个复杂的生态类群，包含无脊椎动物的大部分门类。在淡水水体中研究最多的是原生动物（protozoan）、轮虫（rotifer）、枝角类（cladocera）和桡足类（copepod）四大类。浮游动物以水生细菌和浮游藻类为食，是属于水生生态系统中的消费者第二营养级，亦称次级生产力。</w:t>
      </w:r>
    </w:p>
    <w:p w14:paraId="7865A549">
      <w:pPr>
        <w:widowControl w:val="0"/>
        <w:spacing w:line="360" w:lineRule="auto"/>
        <w:ind w:firstLine="536" w:firstLineChars="200"/>
        <w:jc w:val="both"/>
        <w:rPr>
          <w:rFonts w:hint="default" w:ascii="Times New Roman" w:hAnsi="Times New Roman" w:eastAsia="宋体" w:cs="Times New Roman"/>
          <w:caps w:val="0"/>
          <w:smallCaps w:val="0"/>
          <w:color w:val="auto"/>
          <w:spacing w:val="0"/>
          <w:w w:val="100"/>
          <w:position w:val="0"/>
          <w:sz w:val="24"/>
          <w:szCs w:val="24"/>
          <w:highlight w:val="none"/>
          <w:u w:val="none" w:color="auto"/>
        </w:rPr>
      </w:pPr>
      <w:r>
        <w:rPr>
          <w:rFonts w:hint="default" w:ascii="Times New Roman" w:hAnsi="Times New Roman" w:eastAsia="宋体" w:cs="Times New Roman"/>
          <w:color w:val="auto"/>
          <w:spacing w:val="14"/>
          <w:sz w:val="24"/>
          <w:szCs w:val="24"/>
          <w:u w:val="none" w:color="auto"/>
        </w:rPr>
        <w:t>经查</w:t>
      </w:r>
      <w:r>
        <w:rPr>
          <w:rFonts w:hint="default" w:ascii="Times New Roman" w:hAnsi="Times New Roman" w:eastAsia="宋体" w:cs="Times New Roman"/>
          <w:color w:val="auto"/>
          <w:spacing w:val="7"/>
          <w:sz w:val="24"/>
          <w:szCs w:val="24"/>
          <w:u w:val="none" w:color="auto"/>
        </w:rPr>
        <w:t>阅资料，</w:t>
      </w:r>
      <w:r>
        <w:rPr>
          <w:rFonts w:hint="default" w:ascii="Times New Roman" w:hAnsi="Times New Roman" w:eastAsia="宋体" w:cs="Times New Roman"/>
          <w:color w:val="auto"/>
          <w:spacing w:val="7"/>
          <w:sz w:val="24"/>
          <w:szCs w:val="24"/>
          <w:u w:val="none" w:color="auto"/>
          <w:lang w:val="en-US" w:eastAsia="zh-CN"/>
        </w:rPr>
        <w:t>评价区</w:t>
      </w:r>
      <w:r>
        <w:rPr>
          <w:rFonts w:hint="default" w:ascii="Times New Roman" w:hAnsi="Times New Roman" w:eastAsia="宋体" w:cs="Times New Roman"/>
          <w:caps w:val="0"/>
          <w:smallCaps w:val="0"/>
          <w:color w:val="auto"/>
          <w:spacing w:val="0"/>
          <w:w w:val="100"/>
          <w:position w:val="0"/>
          <w:sz w:val="24"/>
          <w:szCs w:val="24"/>
          <w:highlight w:val="none"/>
          <w:u w:val="none" w:color="auto"/>
        </w:rPr>
        <w:t>共</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有</w:t>
      </w:r>
      <w:r>
        <w:rPr>
          <w:rFonts w:hint="default" w:ascii="Times New Roman" w:hAnsi="Times New Roman" w:eastAsia="宋体" w:cs="Times New Roman"/>
          <w:caps w:val="0"/>
          <w:smallCaps w:val="0"/>
          <w:color w:val="auto"/>
          <w:spacing w:val="0"/>
          <w:w w:val="100"/>
          <w:position w:val="0"/>
          <w:sz w:val="24"/>
          <w:szCs w:val="24"/>
          <w:highlight w:val="none"/>
          <w:u w:val="none" w:color="auto"/>
        </w:rPr>
        <w:t>浮游动物3类9种</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其中原生动物2种</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轮虫6种</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以及桡足类1种</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分别占到种类总数的22.2</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1</w:t>
      </w:r>
      <w:r>
        <w:rPr>
          <w:rFonts w:hint="default" w:ascii="Times New Roman" w:hAnsi="Times New Roman" w:eastAsia="宋体" w:cs="Times New Roman"/>
          <w:caps w:val="0"/>
          <w:smallCaps w:val="0"/>
          <w:color w:val="auto"/>
          <w:spacing w:val="0"/>
          <w:w w:val="100"/>
          <w:position w:val="0"/>
          <w:sz w:val="24"/>
          <w:szCs w:val="24"/>
          <w:highlight w:val="none"/>
          <w:u w:val="none" w:color="auto"/>
        </w:rPr>
        <w:t>%、66.6</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8</w:t>
      </w:r>
      <w:r>
        <w:rPr>
          <w:rFonts w:hint="default" w:ascii="Times New Roman" w:hAnsi="Times New Roman" w:eastAsia="宋体" w:cs="Times New Roman"/>
          <w:caps w:val="0"/>
          <w:smallCaps w:val="0"/>
          <w:color w:val="auto"/>
          <w:spacing w:val="0"/>
          <w:w w:val="100"/>
          <w:position w:val="0"/>
          <w:sz w:val="24"/>
          <w:szCs w:val="24"/>
          <w:highlight w:val="none"/>
          <w:u w:val="none" w:color="auto"/>
        </w:rPr>
        <w:t>%和11.1</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highlight w:val="none"/>
          <w:u w:val="none" w:color="auto"/>
        </w:rPr>
        <w:t>%。</w:t>
      </w:r>
    </w:p>
    <w:p w14:paraId="37CD5924">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10</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水库影响水域浮游动物种类分布</w:t>
      </w:r>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2618"/>
        <w:gridCol w:w="4090"/>
      </w:tblGrid>
      <w:tr w14:paraId="0CD38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tcBorders>
              <w:tl2br w:val="nil"/>
              <w:tr2bl w:val="nil"/>
            </w:tcBorders>
            <w:noWrap w:val="0"/>
            <w:vAlign w:val="center"/>
          </w:tcPr>
          <w:p w14:paraId="35E36075">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t>种类</w:t>
            </w:r>
          </w:p>
        </w:tc>
        <w:tc>
          <w:tcPr>
            <w:tcW w:w="1537" w:type="pct"/>
            <w:tcBorders>
              <w:tl2br w:val="nil"/>
              <w:tr2bl w:val="nil"/>
            </w:tcBorders>
            <w:noWrap w:val="0"/>
            <w:vAlign w:val="center"/>
          </w:tcPr>
          <w:p w14:paraId="7451766F">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t>种类中文名</w:t>
            </w:r>
          </w:p>
        </w:tc>
        <w:tc>
          <w:tcPr>
            <w:tcW w:w="2401" w:type="pct"/>
            <w:tcBorders>
              <w:tl2br w:val="nil"/>
              <w:tr2bl w:val="nil"/>
            </w:tcBorders>
            <w:noWrap w:val="0"/>
            <w:vAlign w:val="center"/>
          </w:tcPr>
          <w:p w14:paraId="687554DA">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2"/>
                <w:position w:val="0"/>
                <w:sz w:val="21"/>
                <w:szCs w:val="21"/>
                <w:highlight w:val="none"/>
                <w:u w:val="none" w:color="auto"/>
                <w:lang w:val="en-US" w:eastAsia="zh-CN" w:bidi="ar-SA"/>
              </w:rPr>
              <w:t>种类拉丁名</w:t>
            </w:r>
          </w:p>
        </w:tc>
      </w:tr>
      <w:tr w14:paraId="7BC36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restart"/>
            <w:tcBorders>
              <w:tl2br w:val="nil"/>
              <w:tr2bl w:val="nil"/>
            </w:tcBorders>
            <w:noWrap w:val="0"/>
            <w:vAlign w:val="center"/>
          </w:tcPr>
          <w:p w14:paraId="7677062C">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原生动物</w:t>
            </w:r>
          </w:p>
        </w:tc>
        <w:tc>
          <w:tcPr>
            <w:tcW w:w="1537" w:type="pct"/>
            <w:tcBorders>
              <w:tl2br w:val="nil"/>
              <w:tr2bl w:val="nil"/>
            </w:tcBorders>
            <w:noWrap w:val="0"/>
            <w:vAlign w:val="center"/>
          </w:tcPr>
          <w:p w14:paraId="0243D614">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普通表壳虫</w:t>
            </w:r>
          </w:p>
        </w:tc>
        <w:tc>
          <w:tcPr>
            <w:tcW w:w="2401" w:type="pct"/>
            <w:tcBorders>
              <w:tl2br w:val="nil"/>
              <w:tr2bl w:val="nil"/>
            </w:tcBorders>
            <w:noWrap w:val="0"/>
            <w:vAlign w:val="center"/>
          </w:tcPr>
          <w:p w14:paraId="73A555EC">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Arcalla vulgaris</w:t>
            </w:r>
          </w:p>
        </w:tc>
      </w:tr>
      <w:tr w14:paraId="0183A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0CF7D71C">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7A4E16B1">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针棘匣壳虫</w:t>
            </w:r>
          </w:p>
        </w:tc>
        <w:tc>
          <w:tcPr>
            <w:tcW w:w="2401" w:type="pct"/>
            <w:tcBorders>
              <w:tl2br w:val="nil"/>
              <w:tr2bl w:val="nil"/>
            </w:tcBorders>
            <w:noWrap w:val="0"/>
            <w:vAlign w:val="center"/>
          </w:tcPr>
          <w:p w14:paraId="3A17A0D6">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Centropyxis aculeata</w:t>
            </w:r>
          </w:p>
        </w:tc>
      </w:tr>
      <w:tr w14:paraId="344D2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restart"/>
            <w:tcBorders>
              <w:tl2br w:val="nil"/>
              <w:tr2bl w:val="nil"/>
            </w:tcBorders>
            <w:noWrap w:val="0"/>
            <w:vAlign w:val="center"/>
          </w:tcPr>
          <w:p w14:paraId="25772D9D">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轮虫</w:t>
            </w:r>
          </w:p>
        </w:tc>
        <w:tc>
          <w:tcPr>
            <w:tcW w:w="1537" w:type="pct"/>
            <w:tcBorders>
              <w:tl2br w:val="nil"/>
              <w:tr2bl w:val="nil"/>
            </w:tcBorders>
            <w:noWrap w:val="0"/>
            <w:vAlign w:val="center"/>
          </w:tcPr>
          <w:p w14:paraId="13A6BA40">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吻叉猪吻轮虫</w:t>
            </w:r>
          </w:p>
        </w:tc>
        <w:tc>
          <w:tcPr>
            <w:tcW w:w="2401" w:type="pct"/>
            <w:tcBorders>
              <w:tl2br w:val="nil"/>
              <w:tr2bl w:val="nil"/>
            </w:tcBorders>
            <w:noWrap w:val="0"/>
            <w:vAlign w:val="center"/>
          </w:tcPr>
          <w:p w14:paraId="08E11984">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Dicranoplcorus lutheni</w:t>
            </w:r>
          </w:p>
        </w:tc>
      </w:tr>
      <w:tr w14:paraId="07B21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6BFFA900">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74D01B61">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长足轮虫</w:t>
            </w:r>
          </w:p>
        </w:tc>
        <w:tc>
          <w:tcPr>
            <w:tcW w:w="2401" w:type="pct"/>
            <w:tcBorders>
              <w:tl2br w:val="nil"/>
              <w:tr2bl w:val="nil"/>
            </w:tcBorders>
            <w:noWrap w:val="0"/>
            <w:vAlign w:val="center"/>
          </w:tcPr>
          <w:p w14:paraId="41765F1D">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Rotaria neptunia</w:t>
            </w:r>
          </w:p>
        </w:tc>
      </w:tr>
      <w:tr w14:paraId="15383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1BE52076">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2747237D">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角突臂尾轮虫</w:t>
            </w:r>
          </w:p>
        </w:tc>
        <w:tc>
          <w:tcPr>
            <w:tcW w:w="2401" w:type="pct"/>
            <w:tcBorders>
              <w:tl2br w:val="nil"/>
              <w:tr2bl w:val="nil"/>
            </w:tcBorders>
            <w:noWrap w:val="0"/>
            <w:vAlign w:val="center"/>
          </w:tcPr>
          <w:p w14:paraId="485D9DAA">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Bradcionus angularis</w:t>
            </w:r>
          </w:p>
        </w:tc>
      </w:tr>
      <w:tr w14:paraId="55ACA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71B866D8">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3924C44D">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螺形龟甲轮虫</w:t>
            </w:r>
          </w:p>
        </w:tc>
        <w:tc>
          <w:tcPr>
            <w:tcW w:w="2401" w:type="pct"/>
            <w:tcBorders>
              <w:tl2br w:val="nil"/>
              <w:tr2bl w:val="nil"/>
            </w:tcBorders>
            <w:noWrap w:val="0"/>
            <w:vAlign w:val="center"/>
          </w:tcPr>
          <w:p w14:paraId="3C36D0F3">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Keratella cochlearis</w:t>
            </w:r>
          </w:p>
        </w:tc>
      </w:tr>
      <w:tr w14:paraId="2233B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7B1BC517">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3E82942A">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广布多肢轮虫</w:t>
            </w:r>
          </w:p>
        </w:tc>
        <w:tc>
          <w:tcPr>
            <w:tcW w:w="2401" w:type="pct"/>
            <w:tcBorders>
              <w:tl2br w:val="nil"/>
              <w:tr2bl w:val="nil"/>
            </w:tcBorders>
            <w:noWrap w:val="0"/>
            <w:vAlign w:val="center"/>
          </w:tcPr>
          <w:p w14:paraId="41681935">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Polyarthra vulgaris</w:t>
            </w:r>
          </w:p>
        </w:tc>
      </w:tr>
      <w:tr w14:paraId="725C2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vMerge w:val="continue"/>
            <w:tcBorders>
              <w:tl2br w:val="nil"/>
              <w:tr2bl w:val="nil"/>
            </w:tcBorders>
            <w:noWrap w:val="0"/>
            <w:vAlign w:val="center"/>
          </w:tcPr>
          <w:p w14:paraId="75073024">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p>
        </w:tc>
        <w:tc>
          <w:tcPr>
            <w:tcW w:w="1537" w:type="pct"/>
            <w:tcBorders>
              <w:tl2br w:val="nil"/>
              <w:tr2bl w:val="nil"/>
            </w:tcBorders>
            <w:noWrap w:val="0"/>
            <w:vAlign w:val="center"/>
          </w:tcPr>
          <w:p w14:paraId="2ACE09A4">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钩状狭甲轮虫</w:t>
            </w:r>
          </w:p>
        </w:tc>
        <w:tc>
          <w:tcPr>
            <w:tcW w:w="2401" w:type="pct"/>
            <w:tcBorders>
              <w:tl2br w:val="nil"/>
              <w:tr2bl w:val="nil"/>
            </w:tcBorders>
            <w:noWrap w:val="0"/>
            <w:vAlign w:val="center"/>
          </w:tcPr>
          <w:p w14:paraId="66942058">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Colurella uncilata</w:t>
            </w:r>
          </w:p>
        </w:tc>
      </w:tr>
      <w:tr w14:paraId="15339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tcBorders>
              <w:tl2br w:val="nil"/>
              <w:tr2bl w:val="nil"/>
            </w:tcBorders>
            <w:noWrap w:val="0"/>
            <w:vAlign w:val="center"/>
          </w:tcPr>
          <w:p w14:paraId="36A532E7">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桡足</w:t>
            </w:r>
          </w:p>
        </w:tc>
        <w:tc>
          <w:tcPr>
            <w:tcW w:w="1537" w:type="pct"/>
            <w:tcBorders>
              <w:tl2br w:val="nil"/>
              <w:tr2bl w:val="nil"/>
            </w:tcBorders>
            <w:noWrap w:val="0"/>
            <w:vAlign w:val="center"/>
          </w:tcPr>
          <w:p w14:paraId="524AA0D7">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u w:val="none" w:color="auto"/>
                <w:lang w:val="en-US" w:eastAsia="zh-CN" w:bidi="ar-SA"/>
              </w:rPr>
              <w:t>广布中剑水蚤</w:t>
            </w:r>
          </w:p>
        </w:tc>
        <w:tc>
          <w:tcPr>
            <w:tcW w:w="2401" w:type="pct"/>
            <w:tcBorders>
              <w:tl2br w:val="nil"/>
              <w:tr2bl w:val="nil"/>
            </w:tcBorders>
            <w:noWrap w:val="0"/>
            <w:vAlign w:val="center"/>
          </w:tcPr>
          <w:p w14:paraId="57D47348">
            <w:pPr>
              <w:keepNext w:val="0"/>
              <w:keepLines w:val="0"/>
              <w:pageBreakBefore w:val="0"/>
              <w:widowControl w:val="0"/>
              <w:suppressLineNumbers w:val="0"/>
              <w:kinsoku w:val="0"/>
              <w:wordWrap w:val="0"/>
              <w:overflowPunct/>
              <w:topLinePunct/>
              <w:autoSpaceDE/>
              <w:autoSpaceDN/>
              <w:bidi w:val="0"/>
              <w:adjustRightInd w:val="0"/>
              <w:spacing w:before="0" w:beforeAutospacing="0" w:after="0" w:afterAutospacing="0"/>
              <w:ind w:left="0" w:right="0"/>
              <w:jc w:val="cente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pPr>
            <w:r>
              <w:rPr>
                <w:rFonts w:hint="default" w:ascii="Times New Roman" w:hAnsi="Times New Roman" w:eastAsia="宋体" w:cs="Times New Roman"/>
                <w:i/>
                <w:iCs/>
                <w:caps w:val="0"/>
                <w:smallCaps w:val="0"/>
                <w:color w:val="auto"/>
                <w:spacing w:val="0"/>
                <w:w w:val="100"/>
                <w:kern w:val="2"/>
                <w:position w:val="0"/>
                <w:sz w:val="21"/>
                <w:szCs w:val="21"/>
                <w:highlight w:val="none"/>
                <w:u w:val="none" w:color="auto"/>
                <w:lang w:val="en-US" w:eastAsia="zh-CN" w:bidi="ar-SA"/>
              </w:rPr>
              <w:t>Mesocyclops leuckarti</w:t>
            </w:r>
          </w:p>
        </w:tc>
      </w:tr>
    </w:tbl>
    <w:p w14:paraId="6FB1E52F">
      <w:pPr>
        <w:widowControl w:val="0"/>
        <w:spacing w:line="360" w:lineRule="auto"/>
        <w:ind w:firstLine="480" w:firstLineChars="200"/>
        <w:jc w:val="both"/>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position w:val="0"/>
          <w:sz w:val="24"/>
          <w:szCs w:val="24"/>
          <w:highlight w:val="none"/>
          <w:u w:val="none" w:color="auto"/>
        </w:rPr>
        <w:t>浮游动物因其身体微小</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极易传播</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绝大多数为世界性分布的</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但分布的广度却因种类而不同</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在区系组成上没有明显的划分。从总体上看</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其浮游动物区系组成均以古北区分布种类为主</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但体现亚热带种类分布特点的东洋界地理成分亦有出现</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广布种在</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水库</w:t>
      </w:r>
      <w:r>
        <w:rPr>
          <w:rFonts w:hint="default" w:ascii="Times New Roman" w:hAnsi="Times New Roman" w:eastAsia="宋体" w:cs="Times New Roman"/>
          <w:caps w:val="0"/>
          <w:smallCaps w:val="0"/>
          <w:color w:val="auto"/>
          <w:spacing w:val="0"/>
          <w:w w:val="100"/>
          <w:position w:val="0"/>
          <w:sz w:val="24"/>
          <w:szCs w:val="24"/>
          <w:highlight w:val="none"/>
          <w:u w:val="none" w:color="auto"/>
        </w:rPr>
        <w:t>影响水域占的比例较大</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如原生动物普通表壳虫。</w:t>
      </w:r>
    </w:p>
    <w:p w14:paraId="1A68BC94">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底栖动物</w:t>
      </w:r>
    </w:p>
    <w:p w14:paraId="68BA89BA">
      <w:pPr>
        <w:pageBreakBefore w:val="0"/>
        <w:kinsoku w:val="0"/>
        <w:wordWrap w:val="0"/>
        <w:overflowPunct/>
        <w:topLinePunct/>
        <w:autoSpaceDE/>
        <w:autoSpaceDN/>
        <w:bidi w:val="0"/>
        <w:adjustRightInd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底栖生物（benthos）是常栖息于水域底或底表的生物</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水生生物中的一个重要生态类型。底栖生物的最大特点是居住在泥底</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与水底有密切的联系。但栖所的深浅度、海域的纬度、距岸远近、受水文条件影响的程度、水底沉积物的理化性质、栖所的营养条件及共同栖息的生物群落中的成员组成</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都与它们的生存发展有一定关系。</w:t>
      </w:r>
      <w:r>
        <w:rPr>
          <w:rFonts w:hint="default" w:ascii="Times New Roman" w:hAnsi="Times New Roman" w:eastAsia="宋体" w:cs="Times New Roman"/>
          <w:caps w:val="0"/>
          <w:smallCaps w:val="0"/>
          <w:color w:val="auto"/>
          <w:spacing w:val="0"/>
          <w:w w:val="100"/>
          <w:position w:val="0"/>
          <w:sz w:val="24"/>
          <w:szCs w:val="24"/>
          <w:highlight w:val="none"/>
          <w:u w:val="none" w:color="auto"/>
        </w:rPr>
        <w:t>底栖动物是第三营养级的主要组成</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也是原河道形态饵料生物中生物量较大的类群</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属于江河中多数鱼类的饵料基础</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并且与江河鱼类的生态类群和区系组成有密切关系。</w:t>
      </w:r>
    </w:p>
    <w:p w14:paraId="2619338F">
      <w:pPr>
        <w:pageBreakBefore w:val="0"/>
        <w:widowControl w:val="0"/>
        <w:kinsoku w:val="0"/>
        <w:wordWrap w:val="0"/>
        <w:overflowPunct/>
        <w:topLinePunct/>
        <w:autoSpaceDE/>
        <w:autoSpaceDN/>
        <w:bidi w:val="0"/>
        <w:adjustRightInd w:val="0"/>
        <w:spacing w:line="360" w:lineRule="auto"/>
        <w:ind w:firstLine="465"/>
        <w:rPr>
          <w:rFonts w:hint="default" w:ascii="Times New Roman" w:hAnsi="Times New Roman" w:eastAsia="宋体" w:cs="Times New Roman"/>
          <w:caps w:val="0"/>
          <w:smallCaps w:val="0"/>
          <w:color w:val="auto"/>
          <w:spacing w:val="0"/>
          <w:w w:val="100"/>
          <w:kern w:val="2"/>
          <w:position w:val="0"/>
          <w:sz w:val="24"/>
          <w:szCs w:val="24"/>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2"/>
          <w:position w:val="0"/>
          <w:sz w:val="24"/>
          <w:szCs w:val="24"/>
          <w:highlight w:val="none"/>
          <w:u w:val="none" w:color="auto"/>
          <w:lang w:val="en-US" w:eastAsia="zh-CN" w:bidi="ar-SA"/>
        </w:rPr>
        <w:t>本次查阅到昆虫纲的底栖动物4目10属。包括蜉蝣目的蜉蝣、扁蜉、四节蜉、小蜉和细蜉；襀翅目的石蝇和短尾石蝇；毛翅目的纹石蚕；双翅目的牛虻和摇蚊幼虫等。常见种为扁蜉、四节蜉、短尾石蝇和纹石蚕等，均属较常见的典型水生昆虫。</w:t>
      </w:r>
    </w:p>
    <w:p w14:paraId="2AD1230A">
      <w:pPr>
        <w:widowControl w:val="0"/>
        <w:spacing w:line="360" w:lineRule="auto"/>
        <w:ind w:firstLine="480" w:firstLineChars="200"/>
        <w:jc w:val="both"/>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position w:val="0"/>
          <w:sz w:val="24"/>
          <w:szCs w:val="24"/>
          <w:highlight w:val="none"/>
          <w:u w:val="none" w:color="auto"/>
        </w:rPr>
        <w:t>在</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水库</w:t>
      </w:r>
      <w:r>
        <w:rPr>
          <w:rFonts w:hint="default" w:ascii="Times New Roman" w:hAnsi="Times New Roman" w:eastAsia="宋体" w:cs="Times New Roman"/>
          <w:caps w:val="0"/>
          <w:smallCaps w:val="0"/>
          <w:color w:val="auto"/>
          <w:spacing w:val="0"/>
          <w:w w:val="100"/>
          <w:position w:val="0"/>
          <w:sz w:val="24"/>
          <w:szCs w:val="24"/>
          <w:highlight w:val="none"/>
          <w:u w:val="none" w:color="auto"/>
        </w:rPr>
        <w:t>影响水域底栖动物中</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全部为常见的水生昆虫</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如蜉蝣目的扁蜉和四节蜉、襀翅目的石蝇等</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一般生存水域多为高溶氧的洁净流水环境。绝大多数水生昆虫用气管鳃或直肠鳃吸收水体中溶解的氧</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当水域受到严重的污染</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溶氧减少</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大部分将随之死亡。所以</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上述底栖动物栖息环境水的清洁度和水中溶氧的高低是决定水生昆虫分布的主要因素</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这也进一步说明了</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水库</w:t>
      </w:r>
      <w:r>
        <w:rPr>
          <w:rFonts w:hint="default" w:ascii="Times New Roman" w:hAnsi="Times New Roman" w:eastAsia="宋体" w:cs="Times New Roman"/>
          <w:caps w:val="0"/>
          <w:smallCaps w:val="0"/>
          <w:color w:val="auto"/>
          <w:spacing w:val="0"/>
          <w:w w:val="100"/>
          <w:position w:val="0"/>
          <w:sz w:val="24"/>
          <w:szCs w:val="24"/>
          <w:highlight w:val="none"/>
          <w:u w:val="none" w:color="auto"/>
        </w:rPr>
        <w:t>影响水域水体是清洁的。经过对底栖动物的调查分析</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可得到以下结论：</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水库</w:t>
      </w:r>
      <w:r>
        <w:rPr>
          <w:rFonts w:hint="default" w:ascii="Times New Roman" w:hAnsi="Times New Roman" w:eastAsia="宋体" w:cs="Times New Roman"/>
          <w:caps w:val="0"/>
          <w:smallCaps w:val="0"/>
          <w:color w:val="auto"/>
          <w:spacing w:val="0"/>
          <w:w w:val="100"/>
          <w:position w:val="0"/>
          <w:sz w:val="24"/>
          <w:szCs w:val="24"/>
          <w:highlight w:val="none"/>
          <w:u w:val="none" w:color="auto"/>
        </w:rPr>
        <w:t>影响水域的底栖动物种类较丰富</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喜高溶氧和流水环境的种类较多</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水体为清洁水质。</w:t>
      </w:r>
    </w:p>
    <w:p w14:paraId="7C519893">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水生维管束植物</w:t>
      </w:r>
    </w:p>
    <w:p w14:paraId="052F66A4">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6"/>
          <w:sz w:val="24"/>
          <w:szCs w:val="24"/>
          <w:u w:val="none" w:color="auto"/>
        </w:rPr>
        <w:t>水生</w:t>
      </w:r>
      <w:r>
        <w:rPr>
          <w:rFonts w:hint="default" w:ascii="Times New Roman" w:hAnsi="Times New Roman" w:eastAsia="宋体" w:cs="Times New Roman"/>
          <w:color w:val="auto"/>
          <w:spacing w:val="-4"/>
          <w:sz w:val="24"/>
          <w:szCs w:val="24"/>
          <w:u w:val="none" w:color="auto"/>
        </w:rPr>
        <w:t>维</w:t>
      </w:r>
      <w:r>
        <w:rPr>
          <w:rFonts w:hint="default" w:ascii="Times New Roman" w:hAnsi="Times New Roman" w:eastAsia="宋体" w:cs="Times New Roman"/>
          <w:color w:val="auto"/>
          <w:spacing w:val="-3"/>
          <w:sz w:val="24"/>
          <w:szCs w:val="24"/>
          <w:u w:val="none" w:color="auto"/>
        </w:rPr>
        <w:t>管束植物通常分为漂浮植物、浮叶植物、沉水植物和挺水植物四大类</w:t>
      </w:r>
      <w:r>
        <w:rPr>
          <w:rFonts w:hint="default" w:ascii="Times New Roman" w:hAnsi="Times New Roman" w:eastAsia="宋体" w:cs="Times New Roman"/>
          <w:color w:val="auto"/>
          <w:spacing w:val="-12"/>
          <w:sz w:val="24"/>
          <w:szCs w:val="24"/>
          <w:u w:val="none" w:color="auto"/>
        </w:rPr>
        <w:t>型</w:t>
      </w:r>
      <w:r>
        <w:rPr>
          <w:rFonts w:hint="default" w:ascii="Times New Roman" w:hAnsi="Times New Roman" w:eastAsia="宋体" w:cs="Times New Roman"/>
          <w:color w:val="auto"/>
          <w:spacing w:val="-10"/>
          <w:sz w:val="24"/>
          <w:szCs w:val="24"/>
          <w:u w:val="none" w:color="auto"/>
        </w:rPr>
        <w:t>。</w:t>
      </w:r>
      <w:r>
        <w:rPr>
          <w:rFonts w:hint="default" w:ascii="Times New Roman" w:hAnsi="Times New Roman" w:eastAsia="宋体" w:cs="Times New Roman"/>
          <w:color w:val="auto"/>
          <w:spacing w:val="9"/>
          <w:sz w:val="24"/>
          <w:szCs w:val="24"/>
          <w:u w:val="none" w:color="auto"/>
        </w:rPr>
        <w:t>其中挺水植物在沿岸带和亚沿岸带浅水区域常呈</w:t>
      </w:r>
      <w:r>
        <w:rPr>
          <w:rFonts w:hint="default" w:ascii="Times New Roman" w:hAnsi="Times New Roman" w:eastAsia="宋体" w:cs="Times New Roman"/>
          <w:color w:val="auto"/>
          <w:spacing w:val="18"/>
          <w:sz w:val="24"/>
          <w:szCs w:val="24"/>
          <w:u w:val="none" w:color="auto"/>
        </w:rPr>
        <w:t>长带状</w:t>
      </w:r>
      <w:r>
        <w:rPr>
          <w:rFonts w:hint="default" w:ascii="Times New Roman" w:hAnsi="Times New Roman" w:eastAsia="宋体" w:cs="Times New Roman"/>
          <w:color w:val="auto"/>
          <w:spacing w:val="11"/>
          <w:sz w:val="24"/>
          <w:szCs w:val="24"/>
          <w:u w:val="none" w:color="auto"/>
        </w:rPr>
        <w:t>分</w:t>
      </w:r>
      <w:r>
        <w:rPr>
          <w:rFonts w:hint="default" w:ascii="Times New Roman" w:hAnsi="Times New Roman" w:eastAsia="宋体" w:cs="Times New Roman"/>
          <w:color w:val="auto"/>
          <w:spacing w:val="9"/>
          <w:sz w:val="24"/>
          <w:szCs w:val="24"/>
          <w:u w:val="none" w:color="auto"/>
        </w:rPr>
        <w:t>布；浮叶植物和漂浮一般在浅水区域的河床沿岸带生长，多生于干流河湾及河床显</w:t>
      </w:r>
      <w:r>
        <w:rPr>
          <w:rFonts w:hint="default" w:ascii="Times New Roman" w:hAnsi="Times New Roman" w:eastAsia="宋体" w:cs="Times New Roman"/>
          <w:color w:val="auto"/>
          <w:spacing w:val="18"/>
          <w:sz w:val="24"/>
          <w:szCs w:val="24"/>
          <w:u w:val="none" w:color="auto"/>
        </w:rPr>
        <w:t>露后形</w:t>
      </w:r>
      <w:r>
        <w:rPr>
          <w:rFonts w:hint="default" w:ascii="Times New Roman" w:hAnsi="Times New Roman" w:eastAsia="宋体" w:cs="Times New Roman"/>
          <w:color w:val="auto"/>
          <w:spacing w:val="10"/>
          <w:sz w:val="24"/>
          <w:szCs w:val="24"/>
          <w:u w:val="none" w:color="auto"/>
        </w:rPr>
        <w:t>成</w:t>
      </w:r>
      <w:r>
        <w:rPr>
          <w:rFonts w:hint="default" w:ascii="Times New Roman" w:hAnsi="Times New Roman" w:eastAsia="宋体" w:cs="Times New Roman"/>
          <w:color w:val="auto"/>
          <w:spacing w:val="9"/>
          <w:sz w:val="24"/>
          <w:szCs w:val="24"/>
          <w:u w:val="none" w:color="auto"/>
        </w:rPr>
        <w:t>的小洼地及静水区、缓流水区，多零星分布，分布的区域多在水流速度相对较缓</w:t>
      </w:r>
      <w:r>
        <w:rPr>
          <w:rFonts w:hint="default" w:ascii="Times New Roman" w:hAnsi="Times New Roman" w:eastAsia="宋体" w:cs="Times New Roman"/>
          <w:color w:val="auto"/>
          <w:spacing w:val="10"/>
          <w:sz w:val="24"/>
          <w:szCs w:val="24"/>
          <w:u w:val="none" w:color="auto"/>
        </w:rPr>
        <w:t>慢</w:t>
      </w:r>
      <w:r>
        <w:rPr>
          <w:rFonts w:hint="default" w:ascii="Times New Roman" w:hAnsi="Times New Roman" w:eastAsia="宋体" w:cs="Times New Roman"/>
          <w:color w:val="auto"/>
          <w:spacing w:val="9"/>
          <w:sz w:val="24"/>
          <w:szCs w:val="24"/>
          <w:u w:val="none" w:color="auto"/>
        </w:rPr>
        <w:t>，底质平坦，多为淤泥底质或泥沙底质的河段。</w:t>
      </w:r>
    </w:p>
    <w:p w14:paraId="0D263638">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Times New Roman" w:hAnsi="Times New Roman" w:eastAsia="宋体" w:cs="Times New Roman"/>
          <w:caps w:val="0"/>
          <w:smallCaps w:val="0"/>
          <w:color w:val="auto"/>
          <w:spacing w:val="0"/>
          <w:w w:val="100"/>
          <w:position w:val="0"/>
          <w:sz w:val="24"/>
          <w:szCs w:val="24"/>
          <w:highlight w:val="none"/>
          <w:u w:val="none" w:color="auto"/>
        </w:rPr>
      </w:pPr>
      <w:r>
        <w:rPr>
          <w:rFonts w:hint="default" w:ascii="Times New Roman" w:hAnsi="Times New Roman" w:eastAsia="宋体" w:cs="Times New Roman"/>
          <w:color w:val="auto"/>
          <w:spacing w:val="-6"/>
          <w:sz w:val="24"/>
          <w:szCs w:val="24"/>
          <w:u w:val="none" w:color="auto"/>
        </w:rPr>
        <w:t>根据现场调查，</w:t>
      </w:r>
      <w:r>
        <w:rPr>
          <w:rFonts w:hint="default" w:ascii="Times New Roman" w:hAnsi="Times New Roman" w:eastAsia="宋体" w:cs="Times New Roman"/>
          <w:caps w:val="0"/>
          <w:smallCaps w:val="0"/>
          <w:color w:val="auto"/>
          <w:spacing w:val="0"/>
          <w:w w:val="100"/>
          <w:position w:val="0"/>
          <w:sz w:val="24"/>
          <w:szCs w:val="24"/>
          <w:highlight w:val="none"/>
          <w:u w:val="none" w:color="auto"/>
        </w:rPr>
        <w:t>评价区</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域内</w:t>
      </w:r>
      <w:r>
        <w:rPr>
          <w:rFonts w:hint="default" w:ascii="Times New Roman" w:hAnsi="Times New Roman" w:eastAsia="宋体" w:cs="Times New Roman"/>
          <w:caps w:val="0"/>
          <w:smallCaps w:val="0"/>
          <w:color w:val="auto"/>
          <w:spacing w:val="0"/>
          <w:w w:val="100"/>
          <w:position w:val="0"/>
          <w:sz w:val="24"/>
          <w:szCs w:val="24"/>
          <w:highlight w:val="none"/>
          <w:u w:val="none" w:color="auto"/>
        </w:rPr>
        <w:t>森林覆盖率高，沿岸人口较少，</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库尾</w:t>
      </w:r>
      <w:r>
        <w:rPr>
          <w:rFonts w:hint="default" w:ascii="Times New Roman" w:hAnsi="Times New Roman" w:eastAsia="宋体" w:cs="Times New Roman"/>
          <w:caps w:val="0"/>
          <w:smallCaps w:val="0"/>
          <w:color w:val="auto"/>
          <w:spacing w:val="0"/>
          <w:w w:val="100"/>
          <w:position w:val="0"/>
          <w:sz w:val="24"/>
          <w:szCs w:val="24"/>
          <w:highlight w:val="none"/>
          <w:u w:val="none" w:color="auto"/>
        </w:rPr>
        <w:t>两岸</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及大坝下游</w:t>
      </w:r>
      <w:r>
        <w:rPr>
          <w:rFonts w:hint="default" w:ascii="Times New Roman" w:hAnsi="Times New Roman" w:eastAsia="宋体" w:cs="Times New Roman"/>
          <w:caps w:val="0"/>
          <w:smallCaps w:val="0"/>
          <w:color w:val="auto"/>
          <w:spacing w:val="0"/>
          <w:w w:val="100"/>
          <w:position w:val="0"/>
          <w:sz w:val="24"/>
          <w:szCs w:val="24"/>
          <w:highlight w:val="none"/>
          <w:u w:val="none" w:color="auto"/>
        </w:rPr>
        <w:t>平缓坡地</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有部分居民</w:t>
      </w:r>
      <w:r>
        <w:rPr>
          <w:rFonts w:hint="default" w:ascii="Times New Roman" w:hAnsi="Times New Roman" w:eastAsia="宋体" w:cs="Times New Roman"/>
          <w:caps w:val="0"/>
          <w:smallCaps w:val="0"/>
          <w:color w:val="auto"/>
          <w:spacing w:val="0"/>
          <w:w w:val="100"/>
          <w:position w:val="0"/>
          <w:sz w:val="24"/>
          <w:szCs w:val="24"/>
          <w:highlight w:val="none"/>
          <w:u w:val="none" w:color="auto"/>
        </w:rPr>
        <w:t>开垦种植农业植被，水体有机质丰富，水生维管束植物种类较多</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w:t>
      </w:r>
      <w:r>
        <w:rPr>
          <w:rFonts w:hint="default" w:ascii="Times New Roman" w:hAnsi="Times New Roman" w:eastAsia="宋体" w:cs="Times New Roman"/>
          <w:color w:val="auto"/>
          <w:spacing w:val="-1"/>
          <w:sz w:val="24"/>
          <w:szCs w:val="24"/>
          <w:u w:val="none" w:color="auto"/>
        </w:rPr>
        <w:t>漂浮植物和挺水植物多沿</w:t>
      </w:r>
      <w:r>
        <w:rPr>
          <w:rFonts w:hint="default" w:ascii="Times New Roman" w:hAnsi="Times New Roman" w:eastAsia="宋体" w:cs="Times New Roman"/>
          <w:color w:val="auto"/>
          <w:spacing w:val="-1"/>
          <w:sz w:val="24"/>
          <w:szCs w:val="24"/>
          <w:u w:val="none" w:color="auto"/>
          <w:lang w:eastAsia="zh-CN"/>
        </w:rPr>
        <w:t>库尾小溪和大坝下游</w:t>
      </w:r>
      <w:r>
        <w:rPr>
          <w:rFonts w:hint="default" w:ascii="Times New Roman" w:hAnsi="Times New Roman" w:eastAsia="宋体" w:cs="Times New Roman"/>
          <w:color w:val="auto"/>
          <w:spacing w:val="-1"/>
          <w:sz w:val="24"/>
          <w:szCs w:val="24"/>
          <w:u w:val="none" w:color="auto"/>
        </w:rPr>
        <w:t>浅水带分布</w:t>
      </w:r>
      <w:r>
        <w:rPr>
          <w:rFonts w:hint="default" w:ascii="Times New Roman" w:hAnsi="Times New Roman" w:eastAsia="宋体" w:cs="Times New Roman"/>
          <w:caps w:val="0"/>
          <w:smallCaps w:val="0"/>
          <w:color w:val="auto"/>
          <w:spacing w:val="0"/>
          <w:w w:val="100"/>
          <w:position w:val="0"/>
          <w:sz w:val="24"/>
          <w:szCs w:val="24"/>
          <w:highlight w:val="none"/>
          <w:u w:val="none" w:color="auto"/>
        </w:rPr>
        <w:t>。</w:t>
      </w:r>
      <w:r>
        <w:rPr>
          <w:rFonts w:hint="default" w:ascii="Times New Roman" w:hAnsi="Times New Roman" w:eastAsia="宋体" w:cs="Times New Roman"/>
          <w:color w:val="auto"/>
          <w:spacing w:val="-6"/>
          <w:sz w:val="24"/>
          <w:szCs w:val="24"/>
          <w:u w:val="none" w:color="auto"/>
          <w:lang w:eastAsia="zh-CN"/>
        </w:rPr>
        <w:t>水库水体</w:t>
      </w:r>
      <w:r>
        <w:rPr>
          <w:rFonts w:hint="default" w:ascii="Times New Roman" w:hAnsi="Times New Roman" w:eastAsia="宋体" w:cs="Times New Roman"/>
          <w:color w:val="auto"/>
          <w:spacing w:val="-6"/>
          <w:sz w:val="24"/>
          <w:szCs w:val="24"/>
          <w:u w:val="none" w:color="auto"/>
        </w:rPr>
        <w:t>内水生维管束植物物种数量少</w:t>
      </w:r>
      <w:r>
        <w:rPr>
          <w:rFonts w:hint="default" w:ascii="Times New Roman" w:hAnsi="Times New Roman" w:eastAsia="宋体" w:cs="Times New Roman"/>
          <w:color w:val="auto"/>
          <w:spacing w:val="-6"/>
          <w:sz w:val="24"/>
          <w:szCs w:val="24"/>
          <w:u w:val="none" w:color="auto"/>
          <w:lang w:eastAsia="zh-CN"/>
        </w:rPr>
        <w:t>，现场</w:t>
      </w:r>
      <w:r>
        <w:rPr>
          <w:rFonts w:hint="default" w:ascii="Times New Roman" w:hAnsi="Times New Roman" w:eastAsia="宋体" w:cs="Times New Roman"/>
          <w:color w:val="auto"/>
          <w:spacing w:val="-6"/>
          <w:sz w:val="24"/>
          <w:szCs w:val="24"/>
          <w:u w:val="none" w:color="auto"/>
        </w:rPr>
        <w:t>观察到的沉</w:t>
      </w:r>
      <w:r>
        <w:rPr>
          <w:rFonts w:hint="default" w:ascii="Times New Roman" w:hAnsi="Times New Roman" w:eastAsia="宋体" w:cs="Times New Roman"/>
          <w:color w:val="auto"/>
          <w:spacing w:val="-2"/>
          <w:sz w:val="24"/>
          <w:szCs w:val="24"/>
          <w:u w:val="none" w:color="auto"/>
        </w:rPr>
        <w:t>水植物极少，仅有</w:t>
      </w:r>
      <w:r>
        <w:rPr>
          <w:rFonts w:hint="default" w:ascii="Times New Roman" w:hAnsi="Times New Roman" w:eastAsia="宋体" w:cs="Times New Roman"/>
          <w:color w:val="auto"/>
          <w:spacing w:val="-2"/>
          <w:sz w:val="24"/>
          <w:szCs w:val="24"/>
          <w:u w:val="none" w:color="auto"/>
          <w:lang w:val="en-US" w:eastAsia="zh-CN"/>
        </w:rPr>
        <w:t>1</w:t>
      </w:r>
      <w:r>
        <w:rPr>
          <w:rFonts w:hint="default" w:ascii="Times New Roman" w:hAnsi="Times New Roman" w:eastAsia="宋体" w:cs="Times New Roman"/>
          <w:color w:val="auto"/>
          <w:spacing w:val="-1"/>
          <w:sz w:val="24"/>
          <w:szCs w:val="24"/>
          <w:u w:val="none" w:color="auto"/>
        </w:rPr>
        <w:t>种</w:t>
      </w:r>
      <w:r>
        <w:rPr>
          <w:rFonts w:hint="default" w:ascii="Times New Roman" w:hAnsi="Times New Roman" w:eastAsia="宋体" w:cs="Times New Roman"/>
          <w:color w:val="auto"/>
          <w:spacing w:val="-1"/>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highlight w:val="none"/>
          <w:u w:val="none" w:color="auto"/>
        </w:rPr>
        <w:t>根据现场调查结果，工程评价区域的水生维管束植物可分为4类</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9</w:t>
      </w:r>
      <w:r>
        <w:rPr>
          <w:rFonts w:hint="default" w:ascii="Times New Roman" w:hAnsi="Times New Roman" w:eastAsia="宋体" w:cs="Times New Roman"/>
          <w:caps w:val="0"/>
          <w:smallCaps w:val="0"/>
          <w:color w:val="auto"/>
          <w:spacing w:val="0"/>
          <w:w w:val="100"/>
          <w:position w:val="0"/>
          <w:sz w:val="24"/>
          <w:szCs w:val="24"/>
          <w:highlight w:val="none"/>
          <w:u w:val="none" w:color="auto"/>
        </w:rPr>
        <w:t>种，其中挺水植物</w:t>
      </w:r>
      <w:r>
        <w:rPr>
          <w:rFonts w:hint="default" w:ascii="Times New Roman" w:hAnsi="Times New Roman" w:eastAsia="宋体" w:cs="Times New Roman"/>
          <w:caps w:val="0"/>
          <w:smallCaps w:val="0"/>
          <w:color w:val="auto"/>
          <w:spacing w:val="0"/>
          <w:w w:val="100"/>
          <w:position w:val="0"/>
          <w:sz w:val="24"/>
          <w:szCs w:val="24"/>
          <w:highlight w:val="none"/>
          <w:u w:val="none" w:color="auto"/>
          <w:lang w:val="en-US" w:eastAsia="zh-CN"/>
        </w:rPr>
        <w:t>3</w:t>
      </w:r>
      <w:r>
        <w:rPr>
          <w:rFonts w:hint="default" w:ascii="Times New Roman" w:hAnsi="Times New Roman" w:eastAsia="宋体" w:cs="Times New Roman"/>
          <w:caps w:val="0"/>
          <w:smallCaps w:val="0"/>
          <w:color w:val="auto"/>
          <w:spacing w:val="0"/>
          <w:w w:val="100"/>
          <w:position w:val="0"/>
          <w:sz w:val="24"/>
          <w:szCs w:val="24"/>
          <w:highlight w:val="none"/>
          <w:u w:val="none" w:color="auto"/>
        </w:rPr>
        <w:t>种；沉水植物4种，漂浮植物和浮叶植物各1种，主要分布的水生维管束植物有水蓼（</w:t>
      </w:r>
      <w:r>
        <w:rPr>
          <w:rFonts w:hint="default" w:ascii="Times New Roman" w:hAnsi="Times New Roman" w:eastAsia="宋体" w:cs="Times New Roman"/>
          <w:i/>
          <w:caps w:val="0"/>
          <w:smallCaps w:val="0"/>
          <w:color w:val="auto"/>
          <w:spacing w:val="0"/>
          <w:w w:val="100"/>
          <w:position w:val="0"/>
          <w:sz w:val="24"/>
          <w:szCs w:val="24"/>
          <w:highlight w:val="none"/>
          <w:u w:val="none" w:color="auto"/>
        </w:rPr>
        <w:t>Polygonum hydropiper</w:t>
      </w:r>
      <w:r>
        <w:rPr>
          <w:rFonts w:hint="default" w:ascii="Times New Roman" w:hAnsi="Times New Roman" w:eastAsia="宋体" w:cs="Times New Roman"/>
          <w:caps w:val="0"/>
          <w:smallCaps w:val="0"/>
          <w:color w:val="auto"/>
          <w:spacing w:val="0"/>
          <w:w w:val="100"/>
          <w:position w:val="0"/>
          <w:sz w:val="24"/>
          <w:szCs w:val="24"/>
          <w:highlight w:val="none"/>
          <w:u w:val="none" w:color="auto"/>
        </w:rPr>
        <w:t>）、喜旱莲子草（</w:t>
      </w:r>
      <w:r>
        <w:rPr>
          <w:rFonts w:hint="default" w:ascii="Times New Roman" w:hAnsi="Times New Roman" w:eastAsia="宋体" w:cs="Times New Roman"/>
          <w:i/>
          <w:caps w:val="0"/>
          <w:smallCaps w:val="0"/>
          <w:color w:val="auto"/>
          <w:spacing w:val="0"/>
          <w:w w:val="100"/>
          <w:position w:val="0"/>
          <w:sz w:val="24"/>
          <w:szCs w:val="24"/>
          <w:highlight w:val="none"/>
          <w:u w:val="none" w:color="auto"/>
        </w:rPr>
        <w:t>Alternanthera philoxeroides</w:t>
      </w:r>
      <w:r>
        <w:rPr>
          <w:rFonts w:hint="default" w:ascii="Times New Roman" w:hAnsi="Times New Roman" w:eastAsia="宋体" w:cs="Times New Roman"/>
          <w:caps w:val="0"/>
          <w:smallCaps w:val="0"/>
          <w:color w:val="auto"/>
          <w:spacing w:val="0"/>
          <w:w w:val="100"/>
          <w:position w:val="0"/>
          <w:sz w:val="24"/>
          <w:szCs w:val="24"/>
          <w:highlight w:val="none"/>
          <w:u w:val="none" w:color="auto"/>
        </w:rPr>
        <w:t>）、 竹叶眼子菜（</w:t>
      </w:r>
      <w:r>
        <w:rPr>
          <w:rFonts w:hint="default" w:ascii="Times New Roman" w:hAnsi="Times New Roman" w:eastAsia="宋体" w:cs="Times New Roman"/>
          <w:i/>
          <w:caps w:val="0"/>
          <w:smallCaps w:val="0"/>
          <w:color w:val="auto"/>
          <w:spacing w:val="0"/>
          <w:w w:val="100"/>
          <w:position w:val="0"/>
          <w:sz w:val="24"/>
          <w:szCs w:val="24"/>
          <w:highlight w:val="none"/>
          <w:u w:val="none" w:color="auto"/>
        </w:rPr>
        <w:t>Potamogeton malaianus</w:t>
      </w:r>
      <w:r>
        <w:rPr>
          <w:rFonts w:hint="default" w:ascii="Times New Roman" w:hAnsi="Times New Roman" w:eastAsia="宋体" w:cs="Times New Roman"/>
          <w:caps w:val="0"/>
          <w:smallCaps w:val="0"/>
          <w:color w:val="auto"/>
          <w:spacing w:val="0"/>
          <w:w w:val="100"/>
          <w:position w:val="0"/>
          <w:sz w:val="24"/>
          <w:szCs w:val="24"/>
          <w:highlight w:val="none"/>
          <w:u w:val="none" w:color="auto"/>
        </w:rPr>
        <w:t>）等。</w:t>
      </w:r>
    </w:p>
    <w:p w14:paraId="5046F2FE">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begin"/>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instrText xml:space="preserve"> SEQ 表 \* ARABIC \s 1 </w:instrTex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separate"/>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11</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fldChar w:fldCharType="end"/>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 xml:space="preserve"> 评价区水生维管束植物名录</w:t>
      </w:r>
    </w:p>
    <w:tbl>
      <w:tblPr>
        <w:tblStyle w:val="3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66"/>
        <w:gridCol w:w="1665"/>
        <w:gridCol w:w="1662"/>
        <w:gridCol w:w="3337"/>
      </w:tblGrid>
      <w:tr w14:paraId="7B7228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000" w:type="pct"/>
            <w:tcBorders>
              <w:tl2br w:val="nil"/>
              <w:tr2bl w:val="nil"/>
            </w:tcBorders>
            <w:noWrap w:val="0"/>
            <w:vAlign w:val="center"/>
          </w:tcPr>
          <w:p w14:paraId="13A294D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t>类别</w:t>
            </w:r>
          </w:p>
        </w:tc>
        <w:tc>
          <w:tcPr>
            <w:tcW w:w="999" w:type="pct"/>
            <w:tcBorders>
              <w:tl2br w:val="nil"/>
              <w:tr2bl w:val="nil"/>
            </w:tcBorders>
            <w:noWrap w:val="0"/>
            <w:vAlign w:val="center"/>
          </w:tcPr>
          <w:p w14:paraId="4437DF6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t>科名</w:t>
            </w:r>
          </w:p>
        </w:tc>
        <w:tc>
          <w:tcPr>
            <w:tcW w:w="997" w:type="pct"/>
            <w:tcBorders>
              <w:tl2br w:val="nil"/>
              <w:tr2bl w:val="nil"/>
            </w:tcBorders>
            <w:noWrap w:val="0"/>
            <w:vAlign w:val="center"/>
          </w:tcPr>
          <w:p w14:paraId="7AFF352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t>种名</w:t>
            </w:r>
          </w:p>
        </w:tc>
        <w:tc>
          <w:tcPr>
            <w:tcW w:w="2002" w:type="pct"/>
            <w:tcBorders>
              <w:tl2br w:val="nil"/>
              <w:tr2bl w:val="nil"/>
            </w:tcBorders>
            <w:noWrap w:val="0"/>
            <w:vAlign w:val="center"/>
          </w:tcPr>
          <w:p w14:paraId="12EEDFD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b/>
                <w:bCs/>
                <w:caps w:val="0"/>
                <w:smallCaps w:val="0"/>
                <w:color w:val="auto"/>
                <w:spacing w:val="0"/>
                <w:w w:val="100"/>
                <w:kern w:val="0"/>
                <w:position w:val="0"/>
                <w:sz w:val="21"/>
                <w:szCs w:val="21"/>
                <w:highlight w:val="none"/>
                <w:u w:val="none" w:color="auto"/>
                <w:lang w:val="en-US" w:eastAsia="zh-CN" w:bidi="ar-SA"/>
              </w:rPr>
              <w:t>拉丁名</w:t>
            </w:r>
          </w:p>
        </w:tc>
      </w:tr>
      <w:tr w14:paraId="04F175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tcBorders>
              <w:tl2br w:val="nil"/>
              <w:tr2bl w:val="nil"/>
            </w:tcBorders>
            <w:noWrap w:val="0"/>
            <w:vAlign w:val="center"/>
          </w:tcPr>
          <w:p w14:paraId="1CE63B8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漂浮植物</w:t>
            </w:r>
          </w:p>
        </w:tc>
        <w:tc>
          <w:tcPr>
            <w:tcW w:w="999" w:type="pct"/>
            <w:tcBorders>
              <w:tl2br w:val="nil"/>
              <w:tr2bl w:val="nil"/>
            </w:tcBorders>
            <w:noWrap w:val="0"/>
            <w:vAlign w:val="center"/>
          </w:tcPr>
          <w:p w14:paraId="4C5100F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苹科</w:t>
            </w:r>
          </w:p>
        </w:tc>
        <w:tc>
          <w:tcPr>
            <w:tcW w:w="997" w:type="pct"/>
            <w:tcBorders>
              <w:tl2br w:val="nil"/>
              <w:tr2bl w:val="nil"/>
            </w:tcBorders>
            <w:noWrap w:val="0"/>
            <w:vAlign w:val="center"/>
          </w:tcPr>
          <w:p w14:paraId="1770C23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苹</w:t>
            </w:r>
          </w:p>
        </w:tc>
        <w:tc>
          <w:tcPr>
            <w:tcW w:w="2002" w:type="pct"/>
            <w:tcBorders>
              <w:tl2br w:val="nil"/>
              <w:tr2bl w:val="nil"/>
            </w:tcBorders>
            <w:noWrap w:val="0"/>
            <w:vAlign w:val="center"/>
          </w:tcPr>
          <w:p w14:paraId="660A41C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Marsilea quadrifolia</w:t>
            </w:r>
          </w:p>
        </w:tc>
      </w:tr>
      <w:tr w14:paraId="5B14F1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tcBorders>
              <w:tl2br w:val="nil"/>
              <w:tr2bl w:val="nil"/>
            </w:tcBorders>
            <w:noWrap w:val="0"/>
            <w:vAlign w:val="center"/>
          </w:tcPr>
          <w:p w14:paraId="1DBADB9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浮叶植物</w:t>
            </w:r>
          </w:p>
        </w:tc>
        <w:tc>
          <w:tcPr>
            <w:tcW w:w="999" w:type="pct"/>
            <w:tcBorders>
              <w:tl2br w:val="nil"/>
              <w:tr2bl w:val="nil"/>
            </w:tcBorders>
            <w:noWrap w:val="0"/>
            <w:vAlign w:val="center"/>
          </w:tcPr>
          <w:p w14:paraId="250D4CF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水鳖科</w:t>
            </w:r>
          </w:p>
        </w:tc>
        <w:tc>
          <w:tcPr>
            <w:tcW w:w="997" w:type="pct"/>
            <w:tcBorders>
              <w:tl2br w:val="nil"/>
              <w:tr2bl w:val="nil"/>
            </w:tcBorders>
            <w:noWrap w:val="0"/>
            <w:vAlign w:val="center"/>
          </w:tcPr>
          <w:p w14:paraId="6FB0CE7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水鳖</w:t>
            </w:r>
          </w:p>
        </w:tc>
        <w:tc>
          <w:tcPr>
            <w:tcW w:w="2002" w:type="pct"/>
            <w:tcBorders>
              <w:tl2br w:val="nil"/>
              <w:tr2bl w:val="nil"/>
            </w:tcBorders>
            <w:noWrap w:val="0"/>
            <w:vAlign w:val="center"/>
          </w:tcPr>
          <w:p w14:paraId="65D2BAA0">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Hydrocharis dubia</w:t>
            </w:r>
          </w:p>
        </w:tc>
      </w:tr>
      <w:tr w14:paraId="66376F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restart"/>
            <w:tcBorders>
              <w:tl2br w:val="nil"/>
              <w:tr2bl w:val="nil"/>
            </w:tcBorders>
            <w:noWrap w:val="0"/>
            <w:vAlign w:val="center"/>
          </w:tcPr>
          <w:p w14:paraId="2DC811B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挺水植物</w:t>
            </w:r>
          </w:p>
        </w:tc>
        <w:tc>
          <w:tcPr>
            <w:tcW w:w="999" w:type="pct"/>
            <w:tcBorders>
              <w:tl2br w:val="nil"/>
              <w:tr2bl w:val="nil"/>
            </w:tcBorders>
            <w:noWrap w:val="0"/>
            <w:vAlign w:val="center"/>
          </w:tcPr>
          <w:p w14:paraId="023FE5D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苋科</w:t>
            </w:r>
          </w:p>
        </w:tc>
        <w:tc>
          <w:tcPr>
            <w:tcW w:w="997" w:type="pct"/>
            <w:tcBorders>
              <w:tl2br w:val="nil"/>
              <w:tr2bl w:val="nil"/>
            </w:tcBorders>
            <w:noWrap w:val="0"/>
            <w:vAlign w:val="center"/>
          </w:tcPr>
          <w:p w14:paraId="01D23C3B">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喜旱莲子草</w:t>
            </w:r>
          </w:p>
        </w:tc>
        <w:tc>
          <w:tcPr>
            <w:tcW w:w="2002" w:type="pct"/>
            <w:tcBorders>
              <w:tl2br w:val="nil"/>
              <w:tr2bl w:val="nil"/>
            </w:tcBorders>
            <w:noWrap w:val="0"/>
            <w:vAlign w:val="center"/>
          </w:tcPr>
          <w:p w14:paraId="1CCE271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Alternanthera philoxeroides</w:t>
            </w:r>
          </w:p>
        </w:tc>
      </w:tr>
      <w:tr w14:paraId="409BE5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continue"/>
            <w:tcBorders>
              <w:tl2br w:val="nil"/>
              <w:tr2bl w:val="nil"/>
            </w:tcBorders>
            <w:noWrap w:val="0"/>
            <w:vAlign w:val="center"/>
          </w:tcPr>
          <w:p w14:paraId="79FC6DD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9" w:type="pct"/>
            <w:tcBorders>
              <w:tl2br w:val="nil"/>
              <w:tr2bl w:val="nil"/>
            </w:tcBorders>
            <w:noWrap w:val="0"/>
            <w:vAlign w:val="center"/>
          </w:tcPr>
          <w:p w14:paraId="30D4874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蓼科</w:t>
            </w:r>
          </w:p>
        </w:tc>
        <w:tc>
          <w:tcPr>
            <w:tcW w:w="997" w:type="pct"/>
            <w:tcBorders>
              <w:tl2br w:val="nil"/>
              <w:tr2bl w:val="nil"/>
            </w:tcBorders>
            <w:noWrap w:val="0"/>
            <w:vAlign w:val="center"/>
          </w:tcPr>
          <w:p w14:paraId="59137DDC">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水蓼</w:t>
            </w:r>
          </w:p>
        </w:tc>
        <w:tc>
          <w:tcPr>
            <w:tcW w:w="2002" w:type="pct"/>
            <w:tcBorders>
              <w:tl2br w:val="nil"/>
              <w:tr2bl w:val="nil"/>
            </w:tcBorders>
            <w:noWrap w:val="0"/>
            <w:vAlign w:val="center"/>
          </w:tcPr>
          <w:p w14:paraId="78B5EDD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Polygonum hydropiper</w:t>
            </w:r>
          </w:p>
        </w:tc>
      </w:tr>
      <w:tr w14:paraId="08D27A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continue"/>
            <w:tcBorders>
              <w:tl2br w:val="nil"/>
              <w:tr2bl w:val="nil"/>
            </w:tcBorders>
            <w:noWrap w:val="0"/>
            <w:vAlign w:val="center"/>
          </w:tcPr>
          <w:p w14:paraId="560AA82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9" w:type="pct"/>
            <w:tcBorders>
              <w:tl2br w:val="nil"/>
              <w:tr2bl w:val="nil"/>
            </w:tcBorders>
            <w:noWrap w:val="0"/>
            <w:vAlign w:val="center"/>
          </w:tcPr>
          <w:p w14:paraId="5F76199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伞形科</w:t>
            </w:r>
          </w:p>
        </w:tc>
        <w:tc>
          <w:tcPr>
            <w:tcW w:w="997" w:type="pct"/>
            <w:tcBorders>
              <w:tl2br w:val="nil"/>
              <w:tr2bl w:val="nil"/>
            </w:tcBorders>
            <w:noWrap w:val="0"/>
            <w:vAlign w:val="center"/>
          </w:tcPr>
          <w:p w14:paraId="19AFD76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水芹</w:t>
            </w:r>
          </w:p>
        </w:tc>
        <w:tc>
          <w:tcPr>
            <w:tcW w:w="2002" w:type="pct"/>
            <w:tcBorders>
              <w:tl2br w:val="nil"/>
              <w:tr2bl w:val="nil"/>
            </w:tcBorders>
            <w:noWrap w:val="0"/>
            <w:vAlign w:val="center"/>
          </w:tcPr>
          <w:p w14:paraId="025D671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Oenanthe javanica</w:t>
            </w:r>
          </w:p>
        </w:tc>
      </w:tr>
      <w:tr w14:paraId="076587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restart"/>
            <w:tcBorders>
              <w:tl2br w:val="nil"/>
              <w:tr2bl w:val="nil"/>
            </w:tcBorders>
            <w:noWrap w:val="0"/>
            <w:vAlign w:val="center"/>
          </w:tcPr>
          <w:p w14:paraId="3E9CD16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沉水植物</w:t>
            </w:r>
          </w:p>
        </w:tc>
        <w:tc>
          <w:tcPr>
            <w:tcW w:w="999" w:type="pct"/>
            <w:vMerge w:val="restart"/>
            <w:tcBorders>
              <w:tl2br w:val="nil"/>
              <w:tr2bl w:val="nil"/>
            </w:tcBorders>
            <w:noWrap w:val="0"/>
            <w:vAlign w:val="center"/>
          </w:tcPr>
          <w:p w14:paraId="15AD7E4B">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水鳖科</w:t>
            </w:r>
          </w:p>
        </w:tc>
        <w:tc>
          <w:tcPr>
            <w:tcW w:w="997" w:type="pct"/>
            <w:tcBorders>
              <w:tl2br w:val="nil"/>
              <w:tr2bl w:val="nil"/>
            </w:tcBorders>
            <w:noWrap w:val="0"/>
            <w:vAlign w:val="center"/>
          </w:tcPr>
          <w:p w14:paraId="7D60634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黑藻</w:t>
            </w:r>
          </w:p>
        </w:tc>
        <w:tc>
          <w:tcPr>
            <w:tcW w:w="2002" w:type="pct"/>
            <w:tcBorders>
              <w:tl2br w:val="nil"/>
              <w:tr2bl w:val="nil"/>
            </w:tcBorders>
            <w:noWrap w:val="0"/>
            <w:vAlign w:val="center"/>
          </w:tcPr>
          <w:p w14:paraId="4FE9F08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Hydrilla verticillata</w:t>
            </w:r>
          </w:p>
        </w:tc>
      </w:tr>
      <w:tr w14:paraId="2C6C46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continue"/>
            <w:tcBorders>
              <w:tl2br w:val="nil"/>
              <w:tr2bl w:val="nil"/>
            </w:tcBorders>
            <w:noWrap w:val="0"/>
            <w:vAlign w:val="center"/>
          </w:tcPr>
          <w:p w14:paraId="43E59F2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9" w:type="pct"/>
            <w:vMerge w:val="continue"/>
            <w:tcBorders>
              <w:tl2br w:val="nil"/>
              <w:tr2bl w:val="nil"/>
            </w:tcBorders>
            <w:noWrap w:val="0"/>
            <w:vAlign w:val="center"/>
          </w:tcPr>
          <w:p w14:paraId="3D87153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7" w:type="pct"/>
            <w:tcBorders>
              <w:tl2br w:val="nil"/>
              <w:tr2bl w:val="nil"/>
            </w:tcBorders>
            <w:noWrap w:val="0"/>
            <w:vAlign w:val="center"/>
          </w:tcPr>
          <w:p w14:paraId="0B563EE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苦草</w:t>
            </w:r>
          </w:p>
        </w:tc>
        <w:tc>
          <w:tcPr>
            <w:tcW w:w="2002" w:type="pct"/>
            <w:tcBorders>
              <w:tl2br w:val="nil"/>
              <w:tr2bl w:val="nil"/>
            </w:tcBorders>
            <w:noWrap w:val="0"/>
            <w:vAlign w:val="center"/>
          </w:tcPr>
          <w:p w14:paraId="1E59689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Vallisneria natans</w:t>
            </w:r>
          </w:p>
        </w:tc>
      </w:tr>
      <w:tr w14:paraId="154399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continue"/>
            <w:tcBorders>
              <w:tl2br w:val="nil"/>
              <w:tr2bl w:val="nil"/>
            </w:tcBorders>
            <w:noWrap w:val="0"/>
            <w:vAlign w:val="center"/>
          </w:tcPr>
          <w:p w14:paraId="625575F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9" w:type="pct"/>
            <w:vMerge w:val="restart"/>
            <w:tcBorders>
              <w:tl2br w:val="nil"/>
              <w:tr2bl w:val="nil"/>
            </w:tcBorders>
            <w:noWrap w:val="0"/>
            <w:vAlign w:val="center"/>
          </w:tcPr>
          <w:p w14:paraId="49893BF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眼子菜科</w:t>
            </w:r>
          </w:p>
        </w:tc>
        <w:tc>
          <w:tcPr>
            <w:tcW w:w="997" w:type="pct"/>
            <w:tcBorders>
              <w:tl2br w:val="nil"/>
              <w:tr2bl w:val="nil"/>
            </w:tcBorders>
            <w:noWrap w:val="0"/>
            <w:vAlign w:val="center"/>
          </w:tcPr>
          <w:p w14:paraId="29C08BD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菹草</w:t>
            </w:r>
          </w:p>
        </w:tc>
        <w:tc>
          <w:tcPr>
            <w:tcW w:w="2002" w:type="pct"/>
            <w:tcBorders>
              <w:tl2br w:val="nil"/>
              <w:tr2bl w:val="nil"/>
            </w:tcBorders>
            <w:noWrap w:val="0"/>
            <w:vAlign w:val="center"/>
          </w:tcPr>
          <w:p w14:paraId="66BD352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Potamogeton crispus</w:t>
            </w:r>
          </w:p>
        </w:tc>
      </w:tr>
      <w:tr w14:paraId="66E281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0" w:type="pct"/>
            <w:vMerge w:val="continue"/>
            <w:tcBorders>
              <w:tl2br w:val="nil"/>
              <w:tr2bl w:val="nil"/>
            </w:tcBorders>
            <w:noWrap w:val="0"/>
            <w:vAlign w:val="center"/>
          </w:tcPr>
          <w:p w14:paraId="155CAD6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9" w:type="pct"/>
            <w:vMerge w:val="continue"/>
            <w:tcBorders>
              <w:tl2br w:val="nil"/>
              <w:tr2bl w:val="nil"/>
            </w:tcBorders>
            <w:noWrap w:val="0"/>
            <w:vAlign w:val="center"/>
          </w:tcPr>
          <w:p w14:paraId="540B93C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position w:val="0"/>
                <w:sz w:val="24"/>
                <w:szCs w:val="21"/>
                <w:highlight w:val="none"/>
                <w:u w:val="none" w:color="auto"/>
              </w:rPr>
            </w:pPr>
          </w:p>
        </w:tc>
        <w:tc>
          <w:tcPr>
            <w:tcW w:w="997" w:type="pct"/>
            <w:tcBorders>
              <w:tl2br w:val="nil"/>
              <w:tr2bl w:val="nil"/>
            </w:tcBorders>
            <w:noWrap w:val="0"/>
            <w:vAlign w:val="center"/>
          </w:tcPr>
          <w:p w14:paraId="4BFB2D5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t>竹叶眼子菜</w:t>
            </w:r>
          </w:p>
        </w:tc>
        <w:tc>
          <w:tcPr>
            <w:tcW w:w="2002" w:type="pct"/>
            <w:tcBorders>
              <w:tl2br w:val="nil"/>
              <w:tr2bl w:val="nil"/>
            </w:tcBorders>
            <w:noWrap w:val="0"/>
            <w:vAlign w:val="center"/>
          </w:tcPr>
          <w:p w14:paraId="1B6A057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11" w:leftChars="0" w:right="0" w:hanging="11" w:firstLineChars="0"/>
              <w:jc w:val="center"/>
              <w:textAlignment w:val="auto"/>
              <w:rPr>
                <w:rFonts w:hint="default" w:ascii="Times New Roman" w:hAnsi="Times New Roman" w:eastAsia="宋体" w:cs="Times New Roman"/>
                <w:caps w:val="0"/>
                <w:smallCaps w:val="0"/>
                <w:color w:val="auto"/>
                <w:spacing w:val="0"/>
                <w:w w:val="100"/>
                <w:kern w:val="0"/>
                <w:position w:val="0"/>
                <w:sz w:val="21"/>
                <w:szCs w:val="21"/>
                <w:highlight w:val="none"/>
                <w:u w:val="none" w:color="auto"/>
                <w:lang w:val="en-US" w:eastAsia="zh-CN" w:bidi="ar-SA"/>
              </w:rPr>
            </w:pPr>
            <w:r>
              <w:rPr>
                <w:rFonts w:hint="default" w:ascii="Times New Roman" w:hAnsi="Times New Roman" w:eastAsia="宋体" w:cs="Times New Roman"/>
                <w:i/>
                <w:caps w:val="0"/>
                <w:smallCaps w:val="0"/>
                <w:color w:val="auto"/>
                <w:spacing w:val="0"/>
                <w:w w:val="100"/>
                <w:kern w:val="0"/>
                <w:position w:val="0"/>
                <w:sz w:val="21"/>
                <w:szCs w:val="24"/>
                <w:highlight w:val="none"/>
                <w:u w:val="none" w:color="auto"/>
                <w:lang w:val="en-US" w:eastAsia="zh-CN" w:bidi="ar-SA"/>
              </w:rPr>
              <w:t>Potamogeton malaianus</w:t>
            </w:r>
          </w:p>
        </w:tc>
      </w:tr>
    </w:tbl>
    <w:p w14:paraId="39DA418A">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鱼类</w:t>
      </w:r>
    </w:p>
    <w:p w14:paraId="44379961">
      <w:pPr>
        <w:spacing w:line="360" w:lineRule="auto"/>
        <w:ind w:firstLine="480" w:firstLineChars="200"/>
        <w:rPr>
          <w:rFonts w:hint="default" w:ascii="Times New Roman" w:hAnsi="Times New Roman" w:eastAsia="宋体" w:cs="Times New Roman"/>
          <w:b w:val="0"/>
          <w:bCs/>
          <w:caps w:val="0"/>
          <w:smallCaps w:val="0"/>
          <w:color w:val="auto"/>
          <w:sz w:val="24"/>
          <w:szCs w:val="24"/>
          <w:u w:val="none" w:color="auto"/>
          <w:lang w:eastAsia="zh-CN"/>
        </w:rPr>
      </w:pPr>
      <w:r>
        <w:rPr>
          <w:rFonts w:hint="default" w:ascii="Times New Roman" w:hAnsi="Times New Roman" w:eastAsia="宋体" w:cs="Times New Roman"/>
          <w:b w:val="0"/>
          <w:bCs/>
          <w:caps w:val="0"/>
          <w:smallCaps w:val="0"/>
          <w:color w:val="auto"/>
          <w:sz w:val="24"/>
          <w:szCs w:val="24"/>
          <w:u w:val="none" w:color="auto"/>
          <w:lang w:val="zh-CN" w:eastAsia="zh-CN"/>
        </w:rPr>
        <w:t>主要通过调查访问和评价区附近的相关文献，并结合实地调查中观察到的评价区的生境状况，对评价区内的</w:t>
      </w:r>
      <w:r>
        <w:rPr>
          <w:rFonts w:hint="default" w:ascii="Times New Roman" w:hAnsi="Times New Roman" w:eastAsia="宋体" w:cs="Times New Roman"/>
          <w:b w:val="0"/>
          <w:bCs/>
          <w:caps w:val="0"/>
          <w:smallCaps w:val="0"/>
          <w:color w:val="auto"/>
          <w:sz w:val="24"/>
          <w:szCs w:val="24"/>
          <w:u w:val="none" w:color="auto"/>
          <w:lang w:val="en-US" w:eastAsia="zh-CN"/>
        </w:rPr>
        <w:t>鱼</w:t>
      </w:r>
      <w:r>
        <w:rPr>
          <w:rFonts w:hint="default" w:ascii="Times New Roman" w:hAnsi="Times New Roman" w:eastAsia="宋体" w:cs="Times New Roman"/>
          <w:b w:val="0"/>
          <w:bCs/>
          <w:caps w:val="0"/>
          <w:smallCaps w:val="0"/>
          <w:color w:val="auto"/>
          <w:sz w:val="24"/>
          <w:szCs w:val="24"/>
          <w:u w:val="none" w:color="auto"/>
          <w:lang w:val="zh-CN" w:eastAsia="zh-CN"/>
        </w:rPr>
        <w:t>类种类、数量及分布现状进行了全面调查，得出如下结论：</w:t>
      </w:r>
    </w:p>
    <w:p w14:paraId="2BE1646F">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物种组成</w:t>
      </w:r>
    </w:p>
    <w:p w14:paraId="1F5C851A">
      <w:pPr>
        <w:spacing w:line="360" w:lineRule="auto"/>
        <w:ind w:firstLine="480" w:firstLineChars="200"/>
        <w:jc w:val="left"/>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caps w:val="0"/>
          <w:smallCaps w:val="0"/>
          <w:color w:val="auto"/>
          <w:sz w:val="24"/>
          <w:szCs w:val="24"/>
          <w:u w:val="none" w:color="auto"/>
        </w:rPr>
        <w:t>根据本次调查结果及查阅历史文献资料，评价范围鱼类主要有17种，分属6目12科，大多为人工放养的经济鱼类。调查河段鱼类组成较为普遍，种类主要有青鱼、草鱼、鲢鱼</w:t>
      </w:r>
      <w:r>
        <w:rPr>
          <w:rFonts w:hint="default" w:ascii="Times New Roman" w:hAnsi="Times New Roman" w:eastAsia="宋体" w:cs="Times New Roman"/>
          <w:caps w:val="0"/>
          <w:smallCaps w:val="0"/>
          <w:color w:val="auto"/>
          <w:sz w:val="24"/>
          <w:szCs w:val="24"/>
          <w:u w:val="none" w:color="auto"/>
          <w:lang w:eastAsia="zh-CN"/>
        </w:rPr>
        <w:t>、</w:t>
      </w:r>
      <w:r>
        <w:rPr>
          <w:rFonts w:hint="default" w:ascii="Times New Roman" w:hAnsi="Times New Roman" w:eastAsia="宋体" w:cs="Times New Roman"/>
          <w:caps w:val="0"/>
          <w:smallCaps w:val="0"/>
          <w:color w:val="auto"/>
          <w:sz w:val="24"/>
          <w:szCs w:val="24"/>
          <w:u w:val="none" w:color="auto"/>
        </w:rPr>
        <w:t>鳙鱼，还有少量的鲫鱼、鳊鱼、</w:t>
      </w:r>
      <w:r>
        <w:rPr>
          <w:rFonts w:hint="default" w:ascii="Times New Roman" w:hAnsi="Times New Roman" w:eastAsia="宋体" w:cs="Times New Roman"/>
          <w:caps w:val="0"/>
          <w:smallCaps w:val="0"/>
          <w:color w:val="auto"/>
          <w:sz w:val="24"/>
          <w:szCs w:val="24"/>
          <w:u w:val="none" w:color="auto"/>
          <w:lang w:val="en-US" w:eastAsia="zh-CN"/>
        </w:rPr>
        <w:t>鲤鱼、乌鳢、</w:t>
      </w:r>
      <w:r>
        <w:rPr>
          <w:rFonts w:hint="default" w:ascii="Times New Roman" w:hAnsi="Times New Roman" w:eastAsia="宋体" w:cs="Times New Roman"/>
          <w:color w:val="auto"/>
          <w:kern w:val="0"/>
          <w:sz w:val="24"/>
          <w:szCs w:val="24"/>
          <w:u w:val="none" w:color="auto"/>
          <w:lang w:val="en-US" w:eastAsia="zh-CN" w:bidi="ar"/>
        </w:rPr>
        <w:t>鲇类、泥鳅</w:t>
      </w:r>
      <w:r>
        <w:rPr>
          <w:rFonts w:hint="default" w:ascii="Times New Roman" w:hAnsi="Times New Roman" w:eastAsia="宋体" w:cs="Times New Roman"/>
          <w:caps w:val="0"/>
          <w:smallCaps w:val="0"/>
          <w:color w:val="auto"/>
          <w:sz w:val="24"/>
          <w:szCs w:val="24"/>
          <w:u w:val="none" w:color="auto"/>
          <w:lang w:val="en-US" w:eastAsia="zh-CN"/>
        </w:rPr>
        <w:t>等</w:t>
      </w:r>
      <w:r>
        <w:rPr>
          <w:rFonts w:hint="default" w:ascii="Times New Roman" w:hAnsi="Times New Roman" w:eastAsia="宋体" w:cs="Times New Roman"/>
          <w:caps w:val="0"/>
          <w:smallCaps w:val="0"/>
          <w:color w:val="auto"/>
          <w:sz w:val="24"/>
          <w:szCs w:val="24"/>
          <w:u w:val="none" w:color="auto"/>
        </w:rPr>
        <w:t>。</w:t>
      </w:r>
    </w:p>
    <w:p w14:paraId="5879F42F">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生态特点</w:t>
      </w:r>
    </w:p>
    <w:p w14:paraId="5618F36C">
      <w:pPr>
        <w:spacing w:line="360" w:lineRule="auto"/>
        <w:ind w:firstLine="480" w:firstLineChars="200"/>
        <w:jc w:val="left"/>
        <w:rPr>
          <w:rFonts w:hint="default" w:ascii="Times New Roman" w:hAnsi="Times New Roman" w:eastAsia="宋体" w:cs="Times New Roman"/>
          <w:caps w:val="0"/>
          <w:smallCaps w:val="0"/>
          <w:color w:val="auto"/>
          <w:sz w:val="24"/>
          <w:szCs w:val="24"/>
          <w:u w:val="none" w:color="auto"/>
        </w:rPr>
      </w:pPr>
      <w:r>
        <w:rPr>
          <w:rFonts w:hint="default" w:ascii="Times New Roman" w:hAnsi="Times New Roman" w:eastAsia="宋体" w:cs="Times New Roman"/>
          <w:caps w:val="0"/>
          <w:smallCaps w:val="0"/>
          <w:color w:val="auto"/>
          <w:sz w:val="24"/>
          <w:szCs w:val="24"/>
          <w:u w:val="none" w:color="auto"/>
          <w:lang w:val="en-US" w:eastAsia="zh-CN"/>
        </w:rPr>
        <w:t>1）按食性分为：</w:t>
      </w:r>
    </w:p>
    <w:p w14:paraId="16DAAE9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①肉食性鱼类，如青鱼、鲇、南方鲇等。</w:t>
      </w:r>
    </w:p>
    <w:p w14:paraId="28090B0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②杂食性鱼类，如鲤、鲫等。</w:t>
      </w:r>
    </w:p>
    <w:p w14:paraId="6538AC5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③植食性鱼类，如草鱼、鲢等。</w:t>
      </w:r>
    </w:p>
    <w:p w14:paraId="041A0A14">
      <w:pPr>
        <w:spacing w:line="360" w:lineRule="auto"/>
        <w:ind w:firstLine="480" w:firstLineChars="200"/>
        <w:jc w:val="left"/>
        <w:rPr>
          <w:rFonts w:hint="default" w:ascii="Times New Roman" w:hAnsi="Times New Roman" w:eastAsia="宋体" w:cs="Times New Roman"/>
          <w:caps w:val="0"/>
          <w:smallCaps w:val="0"/>
          <w:color w:val="auto"/>
          <w:sz w:val="24"/>
          <w:szCs w:val="24"/>
          <w:u w:val="none" w:color="auto"/>
          <w:lang w:val="en-US" w:eastAsia="zh-CN"/>
        </w:rPr>
      </w:pPr>
      <w:r>
        <w:rPr>
          <w:rFonts w:hint="default" w:ascii="Times New Roman" w:hAnsi="Times New Roman" w:eastAsia="宋体" w:cs="Times New Roman"/>
          <w:caps w:val="0"/>
          <w:smallCaps w:val="0"/>
          <w:color w:val="auto"/>
          <w:sz w:val="24"/>
          <w:szCs w:val="24"/>
          <w:u w:val="none" w:color="auto"/>
          <w:lang w:val="en-US" w:eastAsia="zh-CN"/>
        </w:rPr>
        <w:t>2）按产卵类型分：</w:t>
      </w:r>
    </w:p>
    <w:p w14:paraId="0A043D4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①产漂流性卵鱼类：如青鱼、草鱼、鲢、鳙、鳊等，产漂流性卵鱼类的繁殖，需要有明显的洪水过程，在江河中上游产卵，受精卵顺水漂流孵化，到湖泊中育肥。</w:t>
      </w:r>
    </w:p>
    <w:p w14:paraId="48C397E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②产浮性卵鱼类：卵膜无粘性，比重小于水，多具油球，漂浮于水面或水中孵化，一般产于静水中，如乌鳢等。</w:t>
      </w:r>
    </w:p>
    <w:p w14:paraId="2682827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③产黏性卵鱼类：如鲤亚科、鲇形目鱼类，卵一经产出即分散在水草茎、叶上发育。</w:t>
      </w:r>
    </w:p>
    <w:p w14:paraId="6A17C005">
      <w:pPr>
        <w:spacing w:line="440" w:lineRule="exact"/>
        <w:ind w:firstLine="480" w:firstLineChars="200"/>
        <w:jc w:val="both"/>
        <w:rPr>
          <w:rFonts w:hint="default" w:ascii="Times New Roman" w:hAnsi="Times New Roman" w:eastAsia="宋体" w:cs="Times New Roman"/>
          <w:caps w:val="0"/>
          <w:smallCaps w:val="0"/>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③产沉粘性卵鱼类：如鳅科鱼类，将卵产在水底的岩石、石砾或沙砾上发育。</w:t>
      </w:r>
    </w:p>
    <w:p w14:paraId="4FC9285A">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生境调查</w:t>
      </w:r>
    </w:p>
    <w:p w14:paraId="213FD61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kern w:val="0"/>
          <w:sz w:val="24"/>
          <w:szCs w:val="24"/>
          <w:u w:val="none" w:color="auto"/>
          <w:lang w:val="en-US" w:eastAsia="zh-CN" w:bidi="ar"/>
        </w:rPr>
        <w:t>调查区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无产漂浮性卵鱼类</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无大型不漂浮性卵鱼类的产卵场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olor w:val="auto"/>
          <w:kern w:val="0"/>
          <w:sz w:val="24"/>
          <w:szCs w:val="24"/>
          <w:u w:val="none" w:color="auto"/>
          <w:lang w:val="en-US" w:eastAsia="zh-CN" w:bidi="ar"/>
        </w:rPr>
        <w:t>部分鱼类产粘草基质卵，繁殖期在3～4月份，主要有鲤、鲫等。这些鱼类繁殖需要砾石、沙石底质和水草环境，鱼类产卵后，受精卵或入砾石缝中，或粘附沙砾上，或埋藏于沙砾中，或粘附于水生高等植物体上，在河水良好的溶氧环境中顺利孵化。评价区河流岸边以砂石为主，水生维管束植物并不丰富。该类型产卵场在评价区水生维管束植物丰富的区域广泛零散分布，没有成规模分布的区域。</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库区水较深的地方</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均能为鱼类提供越冬场所</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但评价</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区</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没有大型集中鱼类越冬场。</w:t>
      </w:r>
    </w:p>
    <w:p w14:paraId="7DFA1CC6">
      <w:pPr>
        <w:spacing w:line="360" w:lineRule="auto"/>
        <w:ind w:firstLine="480" w:firstLineChars="200"/>
        <w:rPr>
          <w:rFonts w:hint="default" w:ascii="Times New Roman" w:hAnsi="Times New Roman" w:eastAsia="宋体" w:cs="Times New Roman"/>
          <w:color w:val="auto"/>
          <w:sz w:val="24"/>
          <w:szCs w:val="21"/>
          <w:u w:val="none" w:color="auto"/>
          <w:lang w:val="en-US" w:eastAsia="zh-CN"/>
        </w:rPr>
      </w:pPr>
      <w:r>
        <w:rPr>
          <w:rFonts w:hint="default" w:ascii="Times New Roman" w:hAnsi="Times New Roman" w:eastAsia="宋体" w:cs="Times New Roman"/>
          <w:color w:val="auto"/>
          <w:sz w:val="24"/>
          <w:szCs w:val="21"/>
          <w:u w:val="none" w:color="auto"/>
          <w:lang w:val="en-US" w:eastAsia="zh-CN"/>
        </w:rPr>
        <w:t>鳢属、鲇科鱼类等以鱼类为食鱼类的索饵场，随其生活习性及摄食鱼群的分布而分布。鲤、鲫等杂食性鱼类索饵场的环境基本特征是水生植物丰富，缓流或静水，水深0~0.5cm，其间有砾石、礁石，这些区域易于躲避敌害，同时，这些地方小型饵料丰富，敌害生物少，有利于幼鱼的存活。</w:t>
      </w:r>
    </w:p>
    <w:p w14:paraId="07F1A0B7">
      <w:pPr>
        <w:pStyle w:val="4"/>
        <w:bidi w:val="0"/>
        <w:rPr>
          <w:rFonts w:hint="default" w:ascii="Times New Roman" w:hAnsi="Times New Roman" w:cs="Times New Roman"/>
          <w:color w:val="auto"/>
          <w:u w:val="none" w:color="auto"/>
          <w:lang w:val="en-US" w:eastAsia="zh-CN"/>
        </w:rPr>
      </w:pPr>
      <w:bookmarkStart w:id="261" w:name="_Toc24704"/>
      <w:bookmarkStart w:id="262" w:name="_Toc24355"/>
      <w:r>
        <w:rPr>
          <w:rFonts w:hint="default" w:ascii="Times New Roman" w:hAnsi="Times New Roman" w:cs="Times New Roman"/>
          <w:color w:val="auto"/>
          <w:u w:val="none" w:color="auto"/>
          <w:lang w:val="en-US" w:eastAsia="zh-CN"/>
        </w:rPr>
        <w:t>生物多样性</w:t>
      </w:r>
      <w:bookmarkEnd w:id="256"/>
      <w:bookmarkEnd w:id="261"/>
      <w:bookmarkEnd w:id="262"/>
    </w:p>
    <w:p w14:paraId="74CD01E0">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评价方法</w:t>
      </w:r>
    </w:p>
    <w:p w14:paraId="18408C2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eastAsia="zh-CN"/>
        </w:rPr>
        <w:t>根据《湖南省生物多样性调查和评价研究报告》（长沙环境保护职业技术学院，</w:t>
      </w:r>
      <w:r>
        <w:rPr>
          <w:rFonts w:hint="default" w:ascii="Times New Roman" w:hAnsi="Times New Roman" w:eastAsia="宋体" w:cs="Times New Roman"/>
          <w:caps w:val="0"/>
          <w:smallCaps w:val="0"/>
          <w:color w:val="auto"/>
          <w:sz w:val="24"/>
          <w:szCs w:val="21"/>
          <w:u w:val="none" w:color="auto"/>
          <w:lang w:val="en-US" w:eastAsia="zh-CN"/>
        </w:rPr>
        <w:t>2010年1月</w:t>
      </w:r>
      <w:r>
        <w:rPr>
          <w:rFonts w:hint="default" w:ascii="Times New Roman" w:hAnsi="Times New Roman" w:eastAsia="宋体" w:cs="Times New Roman"/>
          <w:caps w:val="0"/>
          <w:smallCaps w:val="0"/>
          <w:color w:val="auto"/>
          <w:sz w:val="24"/>
          <w:szCs w:val="21"/>
          <w:u w:val="none" w:color="auto"/>
          <w:lang w:eastAsia="zh-CN"/>
        </w:rPr>
        <w:t>），将湖南省划分为</w:t>
      </w:r>
      <w:r>
        <w:rPr>
          <w:rFonts w:hint="default" w:ascii="Times New Roman" w:hAnsi="Times New Roman" w:eastAsia="宋体" w:cs="Times New Roman"/>
          <w:caps w:val="0"/>
          <w:smallCaps w:val="0"/>
          <w:color w:val="auto"/>
          <w:sz w:val="24"/>
          <w:szCs w:val="21"/>
          <w:u w:val="none" w:color="auto"/>
          <w:lang w:val="en-US" w:eastAsia="zh-CN"/>
        </w:rPr>
        <w:t>125个评价单元，确定7个评价指标，即野生高等动物丰富度、野生维管束植物丰富度、生态系统类型多样性、植被垂直层谱完整性、物种特有性和外来物种入侵度、物种受威胁程度，计算得到生物多样性指数</w:t>
      </w:r>
      <w:r>
        <w:rPr>
          <w:rFonts w:hint="default" w:ascii="Times New Roman" w:hAnsi="Times New Roman" w:eastAsia="宋体" w:cs="Times New Roman"/>
          <w:caps w:val="0"/>
          <w:smallCaps w:val="0"/>
          <w:color w:val="auto"/>
          <w:sz w:val="24"/>
          <w:szCs w:val="21"/>
          <w:u w:val="none" w:color="auto"/>
          <w:lang w:eastAsia="zh-CN"/>
        </w:rPr>
        <w:t>(BI)</w:t>
      </w:r>
      <w:r>
        <w:rPr>
          <w:rFonts w:hint="default" w:ascii="Times New Roman" w:hAnsi="Times New Roman" w:eastAsia="宋体" w:cs="Times New Roman"/>
          <w:caps w:val="0"/>
          <w:smallCaps w:val="0"/>
          <w:color w:val="auto"/>
          <w:sz w:val="24"/>
          <w:szCs w:val="21"/>
          <w:u w:val="none" w:color="auto"/>
          <w:lang w:val="en-US" w:eastAsia="zh-CN"/>
        </w:rPr>
        <w:t>。</w:t>
      </w:r>
    </w:p>
    <w:p w14:paraId="244F76AD">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生物多样性指数</w:t>
      </w:r>
      <w:r>
        <w:rPr>
          <w:rFonts w:hint="default" w:ascii="Times New Roman" w:hAnsi="Times New Roman" w:eastAsia="宋体" w:cs="Times New Roman"/>
          <w:caps w:val="0"/>
          <w:smallCaps w:val="0"/>
          <w:color w:val="auto"/>
          <w:sz w:val="24"/>
          <w:szCs w:val="21"/>
          <w:u w:val="none" w:color="auto"/>
          <w:lang w:eastAsia="zh-CN"/>
        </w:rPr>
        <w:t>(BI)</w:t>
      </w:r>
      <w:r>
        <w:rPr>
          <w:rFonts w:hint="default" w:ascii="Times New Roman" w:hAnsi="Times New Roman" w:eastAsia="宋体" w:cs="Times New Roman"/>
          <w:caps w:val="0"/>
          <w:smallCaps w:val="0"/>
          <w:color w:val="auto"/>
          <w:sz w:val="24"/>
          <w:szCs w:val="21"/>
          <w:u w:val="none" w:color="auto"/>
          <w:lang w:val="en-US" w:eastAsia="zh-CN"/>
        </w:rPr>
        <w:t>是野生维管束植物丰富度、野生高等动物丰富度、生态系统类型多样性、植被垂直层谱的完整性、物种特有性、外来物种入侵度、物种受威胁程度7个评价指标的加权求和。其中，外来物种入侵度、物种受威胁程度为成本型指标，即指标的属性值越小越好，故对其作适当转换。</w:t>
      </w:r>
    </w:p>
    <w:p w14:paraId="4833E7C6">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BI=归一化后的野生高等动物丰富度×0.2+归一化后的野生维管東植物丰富度×0.2+归一化后的生态系统类型多样性×0.20+归化后的植被垂直层谱的完整性×0.05+归化后的物种特有性×0.15+(100-归一化后的外来物种入侵度)×0.10+(100-归一化后的物种受威胁程度)×0.10</w:t>
      </w:r>
    </w:p>
    <w:p w14:paraId="038DA5FE">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eastAsia="zh-CN"/>
        </w:rPr>
      </w:pPr>
      <w:r>
        <w:rPr>
          <w:rFonts w:hint="default" w:ascii="Times New Roman" w:hAnsi="Times New Roman" w:eastAsia="宋体" w:cs="Times New Roman"/>
          <w:caps w:val="0"/>
          <w:smallCaps w:val="0"/>
          <w:color w:val="auto"/>
          <w:sz w:val="24"/>
          <w:szCs w:val="21"/>
          <w:u w:val="none" w:color="auto"/>
          <w:lang w:eastAsia="zh-CN"/>
        </w:rPr>
        <w:t>根据生物多样性指数(BI)，将生物多样性状况分为四级，即：高、中、一般和低，见下表。</w:t>
      </w:r>
    </w:p>
    <w:p w14:paraId="1EE7DB03">
      <w:pPr>
        <w:pStyle w:val="6"/>
        <w:keepNext w:val="0"/>
        <w:keepLines w:val="0"/>
        <w:pageBreakBefore w:val="0"/>
        <w:widowControl w:val="0"/>
        <w:kinsoku w:val="0"/>
        <w:wordWrap w:val="0"/>
        <w:overflowPunct/>
        <w:topLinePunct/>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表3.3-12 生物多样性状况分级表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1618"/>
        <w:gridCol w:w="5488"/>
      </w:tblGrid>
      <w:tr w14:paraId="04D1B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2" w:type="dxa"/>
            <w:tcBorders>
              <w:tl2br w:val="nil"/>
              <w:tr2bl w:val="nil"/>
            </w:tcBorders>
            <w:vAlign w:val="center"/>
          </w:tcPr>
          <w:p w14:paraId="71237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多样性等级</w:t>
            </w:r>
          </w:p>
        </w:tc>
        <w:tc>
          <w:tcPr>
            <w:tcW w:w="1620" w:type="dxa"/>
            <w:tcBorders>
              <w:tl2br w:val="nil"/>
              <w:tr2bl w:val="nil"/>
            </w:tcBorders>
            <w:vAlign w:val="center"/>
          </w:tcPr>
          <w:p w14:paraId="5E619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多样性指数</w:t>
            </w:r>
          </w:p>
        </w:tc>
        <w:tc>
          <w:tcPr>
            <w:tcW w:w="5492" w:type="dxa"/>
            <w:tcBorders>
              <w:tl2br w:val="nil"/>
              <w:tr2bl w:val="nil"/>
            </w:tcBorders>
            <w:vAlign w:val="center"/>
          </w:tcPr>
          <w:p w14:paraId="744E1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多样性状况</w:t>
            </w:r>
          </w:p>
        </w:tc>
      </w:tr>
      <w:tr w14:paraId="71FB5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2" w:type="dxa"/>
            <w:tcBorders>
              <w:tl2br w:val="nil"/>
              <w:tr2bl w:val="nil"/>
            </w:tcBorders>
            <w:vAlign w:val="center"/>
          </w:tcPr>
          <w:p w14:paraId="6C08E7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高</w:t>
            </w:r>
          </w:p>
        </w:tc>
        <w:tc>
          <w:tcPr>
            <w:tcW w:w="1620" w:type="dxa"/>
            <w:tcBorders>
              <w:tl2br w:val="nil"/>
              <w:tr2bl w:val="nil"/>
            </w:tcBorders>
            <w:vAlign w:val="center"/>
          </w:tcPr>
          <w:p w14:paraId="1DE4A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BI≥65</w:t>
            </w:r>
          </w:p>
        </w:tc>
        <w:tc>
          <w:tcPr>
            <w:tcW w:w="5492" w:type="dxa"/>
            <w:tcBorders>
              <w:tl2br w:val="nil"/>
              <w:tr2bl w:val="nil"/>
            </w:tcBorders>
            <w:vAlign w:val="center"/>
          </w:tcPr>
          <w:p w14:paraId="430DE9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物种高度丰富，特有属、种繁多，生态系统丰富多样</w:t>
            </w:r>
          </w:p>
        </w:tc>
      </w:tr>
      <w:tr w14:paraId="15CC1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2" w:type="dxa"/>
            <w:tcBorders>
              <w:tl2br w:val="nil"/>
              <w:tr2bl w:val="nil"/>
            </w:tcBorders>
            <w:vAlign w:val="center"/>
          </w:tcPr>
          <w:p w14:paraId="03912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中</w:t>
            </w:r>
          </w:p>
        </w:tc>
        <w:tc>
          <w:tcPr>
            <w:tcW w:w="1620" w:type="dxa"/>
            <w:tcBorders>
              <w:tl2br w:val="nil"/>
              <w:tr2bl w:val="nil"/>
            </w:tcBorders>
            <w:vAlign w:val="center"/>
          </w:tcPr>
          <w:p w14:paraId="688C0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40≤BI＜65</w:t>
            </w:r>
          </w:p>
        </w:tc>
        <w:tc>
          <w:tcPr>
            <w:tcW w:w="5492" w:type="dxa"/>
            <w:tcBorders>
              <w:tl2br w:val="nil"/>
              <w:tr2bl w:val="nil"/>
            </w:tcBorders>
            <w:vAlign w:val="center"/>
          </w:tcPr>
          <w:p w14:paraId="2BCE8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物种较丰富，特有属、种较多，生态系统类型较多，局部地区生物多样性高度丰富</w:t>
            </w:r>
          </w:p>
        </w:tc>
      </w:tr>
      <w:tr w14:paraId="0D6A8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2" w:type="dxa"/>
            <w:tcBorders>
              <w:tl2br w:val="nil"/>
              <w:tr2bl w:val="nil"/>
            </w:tcBorders>
            <w:vAlign w:val="center"/>
          </w:tcPr>
          <w:p w14:paraId="37919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一般</w:t>
            </w:r>
          </w:p>
        </w:tc>
        <w:tc>
          <w:tcPr>
            <w:tcW w:w="1620" w:type="dxa"/>
            <w:tcBorders>
              <w:tl2br w:val="nil"/>
              <w:tr2bl w:val="nil"/>
            </w:tcBorders>
            <w:vAlign w:val="center"/>
          </w:tcPr>
          <w:p w14:paraId="29705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30≤BI＜40</w:t>
            </w:r>
          </w:p>
        </w:tc>
        <w:tc>
          <w:tcPr>
            <w:tcW w:w="5492" w:type="dxa"/>
            <w:tcBorders>
              <w:tl2br w:val="nil"/>
              <w:tr2bl w:val="nil"/>
            </w:tcBorders>
            <w:vAlign w:val="center"/>
          </w:tcPr>
          <w:p w14:paraId="6BB5C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物种较少，特有属、种不多，局部地区生物多样性较丰富，但生物多样性总体水平一般</w:t>
            </w:r>
          </w:p>
        </w:tc>
      </w:tr>
      <w:tr w14:paraId="4B1E9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2" w:type="dxa"/>
            <w:tcBorders>
              <w:tl2br w:val="nil"/>
              <w:tr2bl w:val="nil"/>
            </w:tcBorders>
            <w:vAlign w:val="center"/>
          </w:tcPr>
          <w:p w14:paraId="1AFB0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低</w:t>
            </w:r>
          </w:p>
        </w:tc>
        <w:tc>
          <w:tcPr>
            <w:tcW w:w="1620" w:type="dxa"/>
            <w:tcBorders>
              <w:tl2br w:val="nil"/>
              <w:tr2bl w:val="nil"/>
            </w:tcBorders>
            <w:vAlign w:val="center"/>
          </w:tcPr>
          <w:p w14:paraId="53D4DE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BI＜30</w:t>
            </w:r>
          </w:p>
        </w:tc>
        <w:tc>
          <w:tcPr>
            <w:tcW w:w="5492" w:type="dxa"/>
            <w:tcBorders>
              <w:tl2br w:val="nil"/>
              <w:tr2bl w:val="nil"/>
            </w:tcBorders>
            <w:vAlign w:val="center"/>
          </w:tcPr>
          <w:p w14:paraId="04A3D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物种贫乏，生态系统类型单一、脆弱，生物多样性极低</w:t>
            </w:r>
          </w:p>
        </w:tc>
      </w:tr>
    </w:tbl>
    <w:p w14:paraId="027AC525">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评价结果</w:t>
      </w:r>
    </w:p>
    <w:p w14:paraId="202BACF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eastAsia="zh-CN"/>
        </w:rPr>
      </w:pPr>
      <w:r>
        <w:rPr>
          <w:rFonts w:hint="default" w:ascii="Times New Roman" w:hAnsi="Times New Roman" w:eastAsia="宋体" w:cs="Times New Roman"/>
          <w:caps w:val="0"/>
          <w:smallCaps w:val="0"/>
          <w:color w:val="auto"/>
          <w:sz w:val="24"/>
          <w:szCs w:val="21"/>
          <w:u w:val="none" w:color="auto"/>
          <w:lang w:eastAsia="zh-CN"/>
        </w:rPr>
        <w:t>依据上述</w:t>
      </w:r>
      <w:r>
        <w:rPr>
          <w:rFonts w:hint="default" w:ascii="Times New Roman" w:hAnsi="Times New Roman" w:eastAsia="宋体" w:cs="Times New Roman"/>
          <w:caps w:val="0"/>
          <w:smallCaps w:val="0"/>
          <w:color w:val="auto"/>
          <w:sz w:val="24"/>
          <w:szCs w:val="21"/>
          <w:u w:val="none" w:color="auto"/>
          <w:lang w:val="en-US" w:eastAsia="zh-CN"/>
        </w:rPr>
        <w:t>调查结果和评价方法，计算</w:t>
      </w:r>
      <w:r>
        <w:rPr>
          <w:rFonts w:hint="default" w:ascii="Times New Roman" w:hAnsi="Times New Roman" w:eastAsia="宋体" w:cs="Times New Roman"/>
          <w:caps w:val="0"/>
          <w:smallCaps w:val="0"/>
          <w:color w:val="auto"/>
          <w:sz w:val="24"/>
          <w:szCs w:val="21"/>
          <w:u w:val="none" w:color="auto"/>
          <w:lang w:eastAsia="zh-CN"/>
        </w:rPr>
        <w:t>得到生物多样性指标如下：</w:t>
      </w:r>
    </w:p>
    <w:p w14:paraId="158FD355">
      <w:pPr>
        <w:pStyle w:val="6"/>
        <w:keepNext w:val="0"/>
        <w:keepLines w:val="0"/>
        <w:pageBreakBefore w:val="0"/>
        <w:widowControl w:val="0"/>
        <w:kinsoku w:val="0"/>
        <w:wordWrap w:val="0"/>
        <w:overflowPunct/>
        <w:topLinePunct/>
        <w:autoSpaceDE/>
        <w:autoSpaceDN/>
        <w:bidi w:val="0"/>
        <w:adjustRightInd/>
        <w:snapToGrid/>
        <w:spacing w:before="0" w:line="360" w:lineRule="auto"/>
        <w:ind w:left="0" w:leftChars="0" w:firstLine="0" w:firstLineChars="0"/>
        <w:jc w:val="center"/>
        <w:textAlignment w:val="auto"/>
        <w:rPr>
          <w:rFonts w:hint="default" w:ascii="Times New Roman" w:hAnsi="Times New Roman" w:eastAsia="宋体" w:cs="Times New Roman"/>
          <w:b/>
          <w:caps w:val="0"/>
          <w:smallCaps w:val="0"/>
          <w:color w:val="auto"/>
          <w:spacing w:val="0"/>
          <w:w w:val="100"/>
          <w:position w:val="0"/>
          <w:sz w:val="21"/>
          <w:szCs w:val="21"/>
          <w:u w:val="none" w:color="auto"/>
          <w:lang w:val="en-US" w:eastAsia="zh-CN"/>
        </w:rPr>
      </w:pP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表3.3-13 评价区主要生物多样性指数计算结果统计表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2"/>
        <w:gridCol w:w="1702"/>
        <w:gridCol w:w="1704"/>
        <w:gridCol w:w="1705"/>
      </w:tblGrid>
      <w:tr w14:paraId="01059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4" w:type="dxa"/>
            <w:tcBorders>
              <w:tl2br w:val="nil"/>
              <w:tr2bl w:val="nil"/>
            </w:tcBorders>
            <w:vAlign w:val="center"/>
          </w:tcPr>
          <w:p w14:paraId="5DDA3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地区</w:t>
            </w:r>
          </w:p>
        </w:tc>
        <w:tc>
          <w:tcPr>
            <w:tcW w:w="1704" w:type="dxa"/>
            <w:tcBorders>
              <w:tl2br w:val="nil"/>
              <w:tr2bl w:val="nil"/>
            </w:tcBorders>
            <w:vAlign w:val="center"/>
          </w:tcPr>
          <w:p w14:paraId="5A8F6F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植物丰富度/种</w:t>
            </w:r>
          </w:p>
        </w:tc>
        <w:tc>
          <w:tcPr>
            <w:tcW w:w="1704" w:type="dxa"/>
            <w:tcBorders>
              <w:tl2br w:val="nil"/>
              <w:tr2bl w:val="nil"/>
            </w:tcBorders>
            <w:vAlign w:val="center"/>
          </w:tcPr>
          <w:p w14:paraId="3CD77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动物丰富度/种</w:t>
            </w:r>
          </w:p>
        </w:tc>
        <w:tc>
          <w:tcPr>
            <w:tcW w:w="1706" w:type="dxa"/>
            <w:tcBorders>
              <w:tl2br w:val="nil"/>
              <w:tr2bl w:val="nil"/>
            </w:tcBorders>
            <w:vAlign w:val="center"/>
          </w:tcPr>
          <w:p w14:paraId="54556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生物多样性指数(BI)</w:t>
            </w:r>
          </w:p>
        </w:tc>
        <w:tc>
          <w:tcPr>
            <w:tcW w:w="1706" w:type="dxa"/>
            <w:tcBorders>
              <w:tl2br w:val="nil"/>
              <w:tr2bl w:val="nil"/>
            </w:tcBorders>
            <w:vAlign w:val="center"/>
          </w:tcPr>
          <w:p w14:paraId="24D58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aps w:val="0"/>
                <w:smallCaps w:val="0"/>
                <w:color w:val="auto"/>
                <w:sz w:val="21"/>
                <w:szCs w:val="21"/>
                <w:u w:val="none" w:color="auto"/>
                <w:vertAlign w:val="baseline"/>
                <w:lang w:val="en-US" w:eastAsia="zh-CN"/>
              </w:rPr>
            </w:pPr>
            <w:r>
              <w:rPr>
                <w:rFonts w:hint="default" w:ascii="Times New Roman" w:hAnsi="Times New Roman" w:eastAsia="宋体" w:cs="Times New Roman"/>
                <w:b/>
                <w:bCs w:val="0"/>
                <w:caps w:val="0"/>
                <w:smallCaps w:val="0"/>
                <w:color w:val="auto"/>
                <w:sz w:val="21"/>
                <w:szCs w:val="21"/>
                <w:u w:val="none" w:color="auto"/>
                <w:vertAlign w:val="baseline"/>
                <w:lang w:val="en-US" w:eastAsia="zh-CN"/>
              </w:rPr>
              <w:t>生物多样性等级评价结果</w:t>
            </w:r>
          </w:p>
        </w:tc>
      </w:tr>
      <w:tr w14:paraId="7D058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4" w:type="dxa"/>
            <w:tcBorders>
              <w:tl2br w:val="nil"/>
              <w:tr2bl w:val="nil"/>
            </w:tcBorders>
            <w:vAlign w:val="center"/>
          </w:tcPr>
          <w:p w14:paraId="7745D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华容县</w:t>
            </w:r>
          </w:p>
        </w:tc>
        <w:tc>
          <w:tcPr>
            <w:tcW w:w="1704" w:type="dxa"/>
            <w:tcBorders>
              <w:tl2br w:val="nil"/>
              <w:tr2bl w:val="nil"/>
            </w:tcBorders>
            <w:vAlign w:val="center"/>
          </w:tcPr>
          <w:p w14:paraId="13566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676</w:t>
            </w:r>
          </w:p>
        </w:tc>
        <w:tc>
          <w:tcPr>
            <w:tcW w:w="1704" w:type="dxa"/>
            <w:tcBorders>
              <w:tl2br w:val="nil"/>
              <w:tr2bl w:val="nil"/>
            </w:tcBorders>
            <w:vAlign w:val="center"/>
          </w:tcPr>
          <w:p w14:paraId="40DE5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293</w:t>
            </w:r>
          </w:p>
        </w:tc>
        <w:tc>
          <w:tcPr>
            <w:tcW w:w="1706" w:type="dxa"/>
            <w:tcBorders>
              <w:tl2br w:val="nil"/>
              <w:tr2bl w:val="nil"/>
            </w:tcBorders>
            <w:vAlign w:val="center"/>
          </w:tcPr>
          <w:p w14:paraId="5E1C7E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37.17</w:t>
            </w:r>
          </w:p>
        </w:tc>
        <w:tc>
          <w:tcPr>
            <w:tcW w:w="1706" w:type="dxa"/>
            <w:tcBorders>
              <w:tl2br w:val="nil"/>
              <w:tr2bl w:val="nil"/>
            </w:tcBorders>
            <w:vAlign w:val="center"/>
          </w:tcPr>
          <w:p w14:paraId="739E7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一般</w:t>
            </w:r>
          </w:p>
        </w:tc>
      </w:tr>
      <w:tr w14:paraId="62053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4" w:type="dxa"/>
            <w:tcBorders>
              <w:tl2br w:val="nil"/>
              <w:tr2bl w:val="nil"/>
            </w:tcBorders>
            <w:vAlign w:val="center"/>
          </w:tcPr>
          <w:p w14:paraId="4EFDE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评价区</w:t>
            </w:r>
          </w:p>
        </w:tc>
        <w:tc>
          <w:tcPr>
            <w:tcW w:w="1704" w:type="dxa"/>
            <w:tcBorders>
              <w:tl2br w:val="nil"/>
              <w:tr2bl w:val="nil"/>
            </w:tcBorders>
            <w:vAlign w:val="center"/>
          </w:tcPr>
          <w:p w14:paraId="2687E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268</w:t>
            </w:r>
          </w:p>
        </w:tc>
        <w:tc>
          <w:tcPr>
            <w:tcW w:w="1704" w:type="dxa"/>
            <w:tcBorders>
              <w:tl2br w:val="nil"/>
              <w:tr2bl w:val="nil"/>
            </w:tcBorders>
            <w:vAlign w:val="center"/>
          </w:tcPr>
          <w:p w14:paraId="1B209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94</w:t>
            </w:r>
          </w:p>
        </w:tc>
        <w:tc>
          <w:tcPr>
            <w:tcW w:w="1706" w:type="dxa"/>
            <w:tcBorders>
              <w:tl2br w:val="nil"/>
              <w:tr2bl w:val="nil"/>
            </w:tcBorders>
            <w:vAlign w:val="center"/>
          </w:tcPr>
          <w:p w14:paraId="54187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w:t>
            </w:r>
          </w:p>
        </w:tc>
        <w:tc>
          <w:tcPr>
            <w:tcW w:w="1706" w:type="dxa"/>
            <w:tcBorders>
              <w:tl2br w:val="nil"/>
              <w:tr2bl w:val="nil"/>
            </w:tcBorders>
            <w:vAlign w:val="center"/>
          </w:tcPr>
          <w:p w14:paraId="5E177E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w:t>
            </w:r>
          </w:p>
        </w:tc>
      </w:tr>
      <w:tr w14:paraId="2629D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4" w:type="dxa"/>
            <w:tcBorders>
              <w:tl2br w:val="nil"/>
              <w:tr2bl w:val="nil"/>
            </w:tcBorders>
            <w:vAlign w:val="center"/>
          </w:tcPr>
          <w:p w14:paraId="3D198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占比（%）</w:t>
            </w:r>
          </w:p>
        </w:tc>
        <w:tc>
          <w:tcPr>
            <w:tcW w:w="1704" w:type="dxa"/>
            <w:tcBorders>
              <w:tl2br w:val="nil"/>
              <w:tr2bl w:val="nil"/>
            </w:tcBorders>
            <w:vAlign w:val="center"/>
          </w:tcPr>
          <w:p w14:paraId="217BED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39.64</w:t>
            </w:r>
          </w:p>
        </w:tc>
        <w:tc>
          <w:tcPr>
            <w:tcW w:w="1704" w:type="dxa"/>
            <w:tcBorders>
              <w:tl2br w:val="nil"/>
              <w:tr2bl w:val="nil"/>
            </w:tcBorders>
            <w:vAlign w:val="center"/>
          </w:tcPr>
          <w:p w14:paraId="5F446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pPr>
            <w:r>
              <w:rPr>
                <w:rFonts w:hint="default" w:ascii="Times New Roman" w:hAnsi="Times New Roman" w:eastAsia="宋体" w:cs="Times New Roman"/>
                <w:b w:val="0"/>
                <w:bCs/>
                <w:caps w:val="0"/>
                <w:smallCaps w:val="0"/>
                <w:color w:val="auto"/>
                <w:sz w:val="21"/>
                <w:szCs w:val="21"/>
                <w:highlight w:val="none"/>
                <w:u w:val="none" w:color="auto"/>
                <w:vertAlign w:val="baseline"/>
                <w:lang w:val="en-US" w:eastAsia="zh-CN"/>
              </w:rPr>
              <w:t>31.97</w:t>
            </w:r>
          </w:p>
        </w:tc>
        <w:tc>
          <w:tcPr>
            <w:tcW w:w="1706" w:type="dxa"/>
            <w:tcBorders>
              <w:tl2br w:val="nil"/>
              <w:tr2bl w:val="nil"/>
            </w:tcBorders>
            <w:vAlign w:val="center"/>
          </w:tcPr>
          <w:p w14:paraId="1A315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w:t>
            </w:r>
          </w:p>
        </w:tc>
        <w:tc>
          <w:tcPr>
            <w:tcW w:w="1706" w:type="dxa"/>
            <w:tcBorders>
              <w:tl2br w:val="nil"/>
              <w:tr2bl w:val="nil"/>
            </w:tcBorders>
            <w:vAlign w:val="center"/>
          </w:tcPr>
          <w:p w14:paraId="66525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z w:val="21"/>
                <w:szCs w:val="21"/>
                <w:u w:val="none" w:color="auto"/>
                <w:vertAlign w:val="baseline"/>
                <w:lang w:val="en-US" w:eastAsia="zh-CN"/>
              </w:rPr>
            </w:pPr>
            <w:r>
              <w:rPr>
                <w:rFonts w:hint="default" w:ascii="Times New Roman" w:hAnsi="Times New Roman" w:eastAsia="宋体" w:cs="Times New Roman"/>
                <w:b w:val="0"/>
                <w:bCs/>
                <w:caps w:val="0"/>
                <w:smallCaps w:val="0"/>
                <w:color w:val="auto"/>
                <w:sz w:val="21"/>
                <w:szCs w:val="21"/>
                <w:u w:val="none" w:color="auto"/>
                <w:vertAlign w:val="baseline"/>
                <w:lang w:val="en-US" w:eastAsia="zh-CN"/>
              </w:rPr>
              <w:t>/</w:t>
            </w:r>
          </w:p>
        </w:tc>
      </w:tr>
    </w:tbl>
    <w:p w14:paraId="07E7B102">
      <w:pPr>
        <w:spacing w:line="360" w:lineRule="auto"/>
        <w:ind w:firstLine="480" w:firstLineChars="200"/>
        <w:rPr>
          <w:rFonts w:hint="default" w:ascii="Times New Roman" w:hAnsi="Times New Roman" w:eastAsia="宋体" w:cs="Times New Roman"/>
          <w:b w:val="0"/>
          <w:bCs/>
          <w:caps w:val="0"/>
          <w:smallCaps w:val="0"/>
          <w:color w:val="auto"/>
          <w:sz w:val="24"/>
          <w:szCs w:val="24"/>
          <w:u w:val="none" w:color="auto"/>
          <w:lang w:val="en-US" w:eastAsia="zh-CN"/>
        </w:rPr>
      </w:pPr>
      <w:r>
        <w:rPr>
          <w:rFonts w:hint="default" w:ascii="Times New Roman" w:hAnsi="Times New Roman" w:eastAsia="宋体" w:cs="Times New Roman"/>
          <w:b w:val="0"/>
          <w:bCs/>
          <w:caps w:val="0"/>
          <w:smallCaps w:val="0"/>
          <w:color w:val="auto"/>
          <w:sz w:val="24"/>
          <w:szCs w:val="24"/>
          <w:u w:val="none" w:color="auto"/>
          <w:lang w:val="en-US" w:eastAsia="zh-CN"/>
        </w:rPr>
        <w:t>综上调查和比较，华容县生物多样性等级不高，项目评价区记录的植物和动物丰富度均不足地区总数的40%，说明评价区生物多样性等级不高。</w:t>
      </w:r>
    </w:p>
    <w:bookmarkEnd w:id="257"/>
    <w:bookmarkEnd w:id="258"/>
    <w:bookmarkEnd w:id="259"/>
    <w:bookmarkEnd w:id="260"/>
    <w:p w14:paraId="3D2271EB">
      <w:pPr>
        <w:pStyle w:val="4"/>
        <w:bidi w:val="0"/>
        <w:rPr>
          <w:rFonts w:hint="default" w:ascii="Times New Roman" w:hAnsi="Times New Roman" w:cs="Times New Roman"/>
          <w:color w:val="auto"/>
          <w:u w:val="none" w:color="auto"/>
          <w:lang w:val="en-US" w:eastAsia="zh-CN"/>
        </w:rPr>
      </w:pPr>
      <w:bookmarkStart w:id="263" w:name="_Toc4397"/>
      <w:bookmarkStart w:id="264" w:name="_Toc17474"/>
      <w:r>
        <w:rPr>
          <w:rFonts w:hint="default" w:ascii="Times New Roman" w:hAnsi="Times New Roman" w:cs="Times New Roman"/>
          <w:color w:val="auto"/>
          <w:u w:val="none" w:color="auto"/>
          <w:lang w:val="en-US" w:eastAsia="zh-CN"/>
        </w:rPr>
        <w:t>生态敏感区</w:t>
      </w:r>
      <w:bookmarkEnd w:id="263"/>
      <w:bookmarkEnd w:id="264"/>
    </w:p>
    <w:p w14:paraId="00312A54">
      <w:pPr>
        <w:keepNext w:val="0"/>
        <w:keepLines w:val="0"/>
        <w:widowControl w:val="0"/>
        <w:numPr>
          <w:ilvl w:val="-1"/>
          <w:numId w:val="0"/>
        </w:numPr>
        <w:spacing w:line="360" w:lineRule="auto"/>
        <w:ind w:firstLine="480" w:firstLineChars="200"/>
        <w:contextualSpacing w:val="0"/>
        <w:jc w:val="both"/>
        <w:outlineLvl w:val="9"/>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eastAsia="zh-CN"/>
        </w:rPr>
        <w:t>通过对本工程所在行政区内各类型生态敏感区的逐一排查，本项目涉及的敏感区主要是</w:t>
      </w:r>
      <w:r>
        <w:rPr>
          <w:rFonts w:hint="eastAsia" w:ascii="Times New Roman" w:hAnsi="Times New Roman" w:eastAsia="宋体" w:cs="Times New Roman"/>
          <w:b w:val="0"/>
          <w:bCs w:val="0"/>
          <w:color w:val="auto"/>
          <w:sz w:val="24"/>
          <w:szCs w:val="24"/>
          <w:u w:val="none" w:color="auto"/>
          <w:lang w:eastAsia="zh-CN"/>
        </w:rPr>
        <w:t>湖南华容东湖国家湿地公园</w:t>
      </w:r>
      <w:r>
        <w:rPr>
          <w:rFonts w:hint="default" w:ascii="Times New Roman" w:hAnsi="Times New Roman" w:eastAsia="宋体" w:cs="Times New Roman"/>
          <w:b w:val="0"/>
          <w:bCs w:val="0"/>
          <w:color w:val="auto"/>
          <w:sz w:val="24"/>
          <w:szCs w:val="24"/>
          <w:u w:val="none" w:color="auto"/>
          <w:lang w:eastAsia="zh-CN"/>
        </w:rPr>
        <w:t>。</w:t>
      </w:r>
      <w:r>
        <w:rPr>
          <w:rFonts w:hint="eastAsia" w:ascii="Times New Roman" w:hAnsi="Times New Roman" w:eastAsia="宋体" w:cs="Times New Roman"/>
          <w:b w:val="0"/>
          <w:bCs w:val="0"/>
          <w:color w:val="auto"/>
          <w:sz w:val="24"/>
          <w:szCs w:val="24"/>
          <w:u w:val="none" w:color="auto"/>
          <w:lang w:val="en-US" w:eastAsia="zh-CN"/>
        </w:rPr>
        <w:t xml:space="preserve"> </w:t>
      </w:r>
    </w:p>
    <w:p w14:paraId="489DD016">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湖南华容</w:t>
      </w:r>
      <w:r>
        <w:rPr>
          <w:rFonts w:hint="eastAsia" w:ascii="Times New Roman" w:hAnsi="Times New Roman" w:cs="Times New Roman"/>
          <w:color w:val="auto"/>
          <w:u w:val="none" w:color="auto"/>
          <w:lang w:val="en-US" w:eastAsia="zh-CN"/>
        </w:rPr>
        <w:t>东湖国家湿地</w:t>
      </w:r>
      <w:r>
        <w:rPr>
          <w:rFonts w:hint="default" w:ascii="Times New Roman" w:hAnsi="Times New Roman" w:cs="Times New Roman"/>
          <w:color w:val="auto"/>
          <w:u w:val="none" w:color="auto"/>
          <w:lang w:val="en-US" w:eastAsia="zh-CN"/>
        </w:rPr>
        <w:t>公园</w:t>
      </w:r>
    </w:p>
    <w:p w14:paraId="6615E63F">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地理位置</w:t>
      </w:r>
    </w:p>
    <w:p w14:paraId="70FDB63D">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湖南华容东湖国家湿地公园位于湖南省华容县。东经112°31′40″--112°41′48″，北纬29°18′32″29°25′10″。东湖湖泊面积2094.9公顷。主体湖泊南北长5公里，东西长3公里，湖床海拔高程22～23.5米，常年平均水深4米。湖水南连洞庭，北通华容河。沿湖三个乡镇十五个自然村，集雨面积110.26平方公里。</w:t>
      </w:r>
    </w:p>
    <w:p w14:paraId="3EFE9582">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历史沿革</w:t>
      </w:r>
    </w:p>
    <w:p w14:paraId="5C07C763">
      <w:pPr>
        <w:widowControl w:val="0"/>
        <w:spacing w:line="360" w:lineRule="auto"/>
        <w:ind w:firstLine="480" w:firstLineChars="200"/>
        <w:jc w:val="both"/>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t>2018年，国家林业和草原局公布2018年国家湿地公园试点建设验收结果，华容东湖国家湿地公园通过验收，正式获评“国家湿地公园”。</w:t>
      </w:r>
    </w:p>
    <w:p w14:paraId="7556A448">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公园性质和范围</w:t>
      </w:r>
    </w:p>
    <w:p w14:paraId="153B5EB9">
      <w:pPr>
        <w:spacing w:line="360" w:lineRule="auto"/>
        <w:ind w:firstLine="480" w:firstLineChars="2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湖南华容东湖国家湿地公园以保护自然湖泊生态系统为主要目标；突出健康利用与地方鱼文化，集湿地保护、恢复修复、文化展示、科普宣教、科研监测、湿地休闲为一体的综合性国家湿地公园。</w:t>
      </w:r>
    </w:p>
    <w:p w14:paraId="3295B3E3">
      <w:pPr>
        <w:widowControl w:val="0"/>
        <w:spacing w:line="360" w:lineRule="auto"/>
        <w:ind w:firstLine="480" w:firstLineChars="200"/>
        <w:jc w:val="both"/>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default" w:ascii="Times New Roman" w:hAnsi="Times New Roman" w:eastAsia="宋体" w:cs="Times New Roman"/>
          <w:color w:val="auto"/>
          <w:sz w:val="24"/>
          <w:szCs w:val="24"/>
        </w:rPr>
        <w:t>湿地公园范围包括东湖、罗帐湖、北汊湖、中西湖、下西湖、北汊水库“五湖一库”，规划总面积5700公顷，其中湿地面积4976.1公顷，核心区（保护保育区）3269公顷。</w:t>
      </w:r>
    </w:p>
    <w:p w14:paraId="6EB0E729">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功能分区</w:t>
      </w:r>
    </w:p>
    <w:p w14:paraId="5A7262B9">
      <w:pPr>
        <w:widowControl w:val="0"/>
        <w:spacing w:line="360" w:lineRule="auto"/>
        <w:ind w:firstLine="480" w:firstLineChars="200"/>
        <w:jc w:val="both"/>
        <w:rPr>
          <w:rFonts w:hint="eastAsia"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eastAsia" w:ascii="Times New Roman" w:hAnsi="Times New Roman" w:eastAsia="宋体" w:cs="Times New Roman"/>
          <w:caps w:val="0"/>
          <w:smallCaps w:val="0"/>
          <w:snapToGrid/>
          <w:color w:val="auto"/>
          <w:spacing w:val="0"/>
          <w:kern w:val="0"/>
          <w:sz w:val="24"/>
          <w:szCs w:val="32"/>
          <w:highlight w:val="none"/>
          <w:u w:val="none"/>
          <w:lang w:val="en-US" w:eastAsia="zh-CN" w:bidi="ar-SA"/>
        </w:rPr>
        <w:t>1.分区原则</w:t>
      </w:r>
    </w:p>
    <w:p w14:paraId="18643E29">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（1）分区界线明显，主题分明，便于辨识和管理；</w:t>
      </w:r>
    </w:p>
    <w:p w14:paraId="52005CFB">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（2）充分保证湿地生态功能的有效发挥，有利于保育和改善环境，妥善处理开发利用与保护之间的关系，保持湿地生态系统和森林群落结构、功能的完整性；</w:t>
      </w:r>
    </w:p>
    <w:p w14:paraId="6EC0CE12">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（3）满足开展科普与休闲活动的需求，便于合理组织游览线路；</w:t>
      </w:r>
    </w:p>
    <w:p w14:paraId="6557328D">
      <w:pPr>
        <w:widowControl w:val="0"/>
        <w:spacing w:line="360" w:lineRule="auto"/>
        <w:ind w:firstLine="480" w:firstLineChars="200"/>
        <w:jc w:val="both"/>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default" w:ascii="Times New Roman" w:hAnsi="Times New Roman" w:eastAsia="宋体" w:cs="Times New Roman"/>
          <w:color w:val="auto"/>
          <w:sz w:val="24"/>
          <w:szCs w:val="24"/>
        </w:rPr>
        <w:t>（4）突出各功能区自身特点，又相互联系呼应。</w:t>
      </w:r>
    </w:p>
    <w:p w14:paraId="3F6F16FF">
      <w:pPr>
        <w:widowControl w:val="0"/>
        <w:spacing w:line="360" w:lineRule="auto"/>
        <w:ind w:firstLine="480" w:firstLineChars="200"/>
        <w:jc w:val="both"/>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eastAsia" w:ascii="Times New Roman" w:hAnsi="Times New Roman" w:eastAsia="宋体" w:cs="Times New Roman"/>
          <w:caps w:val="0"/>
          <w:smallCaps w:val="0"/>
          <w:snapToGrid/>
          <w:color w:val="auto"/>
          <w:spacing w:val="0"/>
          <w:kern w:val="0"/>
          <w:sz w:val="24"/>
          <w:szCs w:val="32"/>
          <w:highlight w:val="none"/>
          <w:u w:val="none"/>
          <w:lang w:val="en-US" w:eastAsia="zh-CN" w:bidi="ar-SA"/>
        </w:rPr>
        <w:t>2.功能分区</w:t>
      </w:r>
    </w:p>
    <w:p w14:paraId="69000660">
      <w:pPr>
        <w:widowControl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根据上述原则，把湖南华容东湖国家湿地公园划为 5 个功能区：保护保育区、恢复重建区、合理利用区、科普宣教展示区、管理服务区。各区具体面积及主要功能见</w:t>
      </w:r>
      <w:r>
        <w:rPr>
          <w:rFonts w:hint="eastAsia" w:ascii="Times New Roman" w:hAnsi="Times New Roman" w:eastAsia="宋体" w:cs="Times New Roman"/>
          <w:color w:val="auto"/>
          <w:sz w:val="24"/>
          <w:szCs w:val="24"/>
          <w:lang w:val="en-US" w:eastAsia="zh-CN"/>
        </w:rPr>
        <w:t>下表。</w:t>
      </w:r>
    </w:p>
    <w:p w14:paraId="04963D06">
      <w:pPr>
        <w:widowControl w:val="0"/>
        <w:spacing w:line="360" w:lineRule="auto"/>
        <w:ind w:firstLine="480" w:firstLineChars="200"/>
        <w:jc w:val="both"/>
        <w:rPr>
          <w:rFonts w:hint="default" w:ascii="Times New Roman" w:hAnsi="Times New Roman" w:eastAsia="宋体" w:cs="Times New Roman"/>
          <w:caps w:val="0"/>
          <w:smallCaps w:val="0"/>
          <w:snapToGrid/>
          <w:color w:val="auto"/>
          <w:spacing w:val="0"/>
          <w:kern w:val="0"/>
          <w:sz w:val="24"/>
          <w:szCs w:val="32"/>
          <w:highlight w:val="none"/>
          <w:u w:val="none"/>
          <w:lang w:val="en-US" w:eastAsia="zh-CN" w:bidi="ar-SA"/>
        </w:rPr>
      </w:pPr>
      <w:r>
        <w:rPr>
          <w:rFonts w:hint="eastAsia" w:ascii="Times New Roman" w:hAnsi="Times New Roman" w:eastAsia="宋体" w:cs="Times New Roman"/>
          <w:color w:val="auto"/>
          <w:sz w:val="24"/>
          <w:szCs w:val="24"/>
          <w:lang w:val="en-US" w:eastAsia="zh-CN"/>
        </w:rPr>
        <w:t xml:space="preserve"> </w:t>
      </w:r>
    </w:p>
    <w:p w14:paraId="5A0C670E">
      <w:pPr>
        <w:adjustRightInd w:val="0"/>
        <w:snapToGrid w:val="0"/>
        <w:spacing w:before="62" w:beforeLines="20" w:after="31" w:afterLines="10" w:line="360" w:lineRule="auto"/>
        <w:ind w:firstLine="482" w:firstLineChars="200"/>
        <w:jc w:val="center"/>
        <w:rPr>
          <w:rFonts w:ascii="Times New Roman" w:hAnsi="Times New Roman" w:eastAsia="宋体" w:cs="Times New Roman"/>
          <w:b/>
          <w:color w:val="auto"/>
          <w:kern w:val="0"/>
          <w:sz w:val="24"/>
          <w:szCs w:val="24"/>
        </w:rPr>
      </w:pPr>
      <w:r>
        <w:rPr>
          <w:rFonts w:hint="eastAsia" w:ascii="Times New Roman" w:hAnsi="Times New Roman" w:eastAsia="宋体" w:cs="Times New Roman"/>
          <w:b/>
          <w:bCs/>
          <w:caps w:val="0"/>
          <w:smallCaps w:val="0"/>
          <w:color w:val="auto"/>
          <w:sz w:val="24"/>
          <w:szCs w:val="24"/>
        </w:rPr>
        <w:t>表</w:t>
      </w:r>
      <w:r>
        <w:rPr>
          <w:rFonts w:hint="eastAsia" w:ascii="Times New Roman" w:hAnsi="Times New Roman" w:eastAsia="宋体" w:cs="Times New Roman"/>
          <w:b/>
          <w:bCs/>
          <w:caps w:val="0"/>
          <w:smallCaps w:val="0"/>
          <w:color w:val="auto"/>
          <w:sz w:val="24"/>
          <w:szCs w:val="24"/>
          <w:lang w:val="en-US" w:eastAsia="zh-CN"/>
        </w:rPr>
        <w:t xml:space="preserve">3.3-14 </w:t>
      </w:r>
      <w:r>
        <w:rPr>
          <w:rFonts w:hint="eastAsia" w:ascii="Times New Roman" w:hAnsi="Times New Roman" w:eastAsia="宋体" w:cs="Times New Roman"/>
          <w:b/>
          <w:color w:val="auto"/>
          <w:sz w:val="24"/>
          <w:szCs w:val="24"/>
          <w:lang w:eastAsia="zh-CN"/>
        </w:rPr>
        <w:t>东湖国家湿地公园</w:t>
      </w:r>
      <w:r>
        <w:rPr>
          <w:rFonts w:hint="default" w:ascii="Times New Roman" w:hAnsi="Times New Roman" w:eastAsia="宋体" w:cs="Times New Roman"/>
          <w:b/>
          <w:color w:val="auto"/>
          <w:sz w:val="24"/>
          <w:szCs w:val="24"/>
        </w:rPr>
        <w:t>功能</w:t>
      </w:r>
      <w:r>
        <w:rPr>
          <w:rFonts w:hint="eastAsia" w:ascii="Times New Roman" w:hAnsi="Times New Roman" w:eastAsia="宋体" w:cs="Times New Roman"/>
          <w:b/>
          <w:color w:val="auto"/>
          <w:sz w:val="24"/>
          <w:szCs w:val="24"/>
          <w:lang w:val="en-US" w:eastAsia="zh-CN"/>
        </w:rPr>
        <w:t>分区表</w:t>
      </w:r>
      <w:r>
        <w:rPr>
          <w:rFonts w:hint="default" w:ascii="Times New Roman" w:hAnsi="Times New Roman" w:eastAsia="宋体" w:cs="Times New Roman"/>
          <w:b/>
          <w:color w:val="auto"/>
          <w:sz w:val="24"/>
          <w:szCs w:val="24"/>
        </w:rPr>
        <w:t xml:space="preserve"> （单位：</w:t>
      </w:r>
      <w:r>
        <w:rPr>
          <w:rFonts w:hint="default" w:ascii="Times New Roman" w:hAnsi="Times New Roman" w:eastAsia="宋体" w:cs="Times New Roman"/>
          <w:b/>
          <w:color w:val="auto"/>
          <w:kern w:val="0"/>
          <w:sz w:val="24"/>
          <w:szCs w:val="24"/>
        </w:rPr>
        <w:t>公顷）</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16"/>
        <w:gridCol w:w="3416"/>
        <w:gridCol w:w="867"/>
        <w:gridCol w:w="3017"/>
      </w:tblGrid>
      <w:tr w14:paraId="4DE06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jc w:val="center"/>
        </w:trPr>
        <w:tc>
          <w:tcPr>
            <w:tcW w:w="1266" w:type="dxa"/>
            <w:tcBorders>
              <w:tl2br w:val="nil"/>
              <w:tr2bl w:val="nil"/>
            </w:tcBorders>
            <w:shd w:val="clear" w:color="auto" w:fill="auto"/>
            <w:vAlign w:val="center"/>
          </w:tcPr>
          <w:p w14:paraId="4C3F4C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功能区</w:t>
            </w:r>
          </w:p>
        </w:tc>
        <w:tc>
          <w:tcPr>
            <w:tcW w:w="3576" w:type="dxa"/>
            <w:tcBorders>
              <w:tl2br w:val="nil"/>
              <w:tr2bl w:val="nil"/>
            </w:tcBorders>
            <w:shd w:val="clear" w:color="auto" w:fill="auto"/>
            <w:vAlign w:val="center"/>
          </w:tcPr>
          <w:p w14:paraId="384E9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小区名称</w:t>
            </w:r>
          </w:p>
        </w:tc>
        <w:tc>
          <w:tcPr>
            <w:tcW w:w="899" w:type="dxa"/>
            <w:tcBorders>
              <w:tl2br w:val="nil"/>
              <w:tr2bl w:val="nil"/>
            </w:tcBorders>
            <w:shd w:val="clear" w:color="auto" w:fill="auto"/>
            <w:vAlign w:val="center"/>
          </w:tcPr>
          <w:p w14:paraId="211E4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0"/>
                <w:sz w:val="21"/>
                <w:szCs w:val="21"/>
                <w:lang w:eastAsia="zh-CN"/>
              </w:rPr>
            </w:pPr>
            <w:r>
              <w:rPr>
                <w:rFonts w:hint="eastAsia" w:ascii="Times New Roman" w:hAnsi="Times New Roman" w:eastAsia="宋体" w:cs="Times New Roman"/>
                <w:b/>
                <w:bCs/>
                <w:color w:val="auto"/>
                <w:kern w:val="0"/>
                <w:sz w:val="21"/>
                <w:szCs w:val="21"/>
                <w:lang w:val="en-US" w:eastAsia="zh-CN"/>
              </w:rPr>
              <w:t>面积</w:t>
            </w:r>
          </w:p>
        </w:tc>
        <w:tc>
          <w:tcPr>
            <w:tcW w:w="3156" w:type="dxa"/>
            <w:tcBorders>
              <w:tl2br w:val="nil"/>
              <w:tr2bl w:val="nil"/>
            </w:tcBorders>
            <w:shd w:val="clear" w:color="auto" w:fill="auto"/>
            <w:vAlign w:val="center"/>
          </w:tcPr>
          <w:p w14:paraId="27DFE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主要功能</w:t>
            </w:r>
          </w:p>
        </w:tc>
      </w:tr>
      <w:tr w14:paraId="34B0D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restart"/>
            <w:tcBorders>
              <w:tl2br w:val="nil"/>
              <w:tr2bl w:val="nil"/>
            </w:tcBorders>
            <w:shd w:val="clear" w:color="auto" w:fill="auto"/>
            <w:vAlign w:val="center"/>
          </w:tcPr>
          <w:p w14:paraId="76760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保护保育区</w:t>
            </w:r>
          </w:p>
        </w:tc>
        <w:tc>
          <w:tcPr>
            <w:tcW w:w="3576" w:type="dxa"/>
            <w:tcBorders>
              <w:tl2br w:val="nil"/>
              <w:tr2bl w:val="nil"/>
            </w:tcBorders>
            <w:shd w:val="clear" w:color="auto" w:fill="auto"/>
            <w:vAlign w:val="center"/>
          </w:tcPr>
          <w:p w14:paraId="009754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罗帐湖栖息地保护保育小区</w:t>
            </w:r>
          </w:p>
        </w:tc>
        <w:tc>
          <w:tcPr>
            <w:tcW w:w="899" w:type="dxa"/>
            <w:tcBorders>
              <w:tl2br w:val="nil"/>
              <w:tr2bl w:val="nil"/>
            </w:tcBorders>
            <w:shd w:val="clear" w:color="auto" w:fill="auto"/>
            <w:vAlign w:val="center"/>
          </w:tcPr>
          <w:p w14:paraId="3FCBAD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410.2</w:t>
            </w:r>
          </w:p>
        </w:tc>
        <w:tc>
          <w:tcPr>
            <w:tcW w:w="3156" w:type="dxa"/>
            <w:tcBorders>
              <w:tl2br w:val="nil"/>
              <w:tr2bl w:val="nil"/>
            </w:tcBorders>
            <w:shd w:val="clear" w:color="auto" w:fill="auto"/>
            <w:vAlign w:val="center"/>
          </w:tcPr>
          <w:p w14:paraId="1048A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保护栖息地</w:t>
            </w:r>
          </w:p>
        </w:tc>
      </w:tr>
      <w:tr w14:paraId="2E11D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43FC1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521275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中西湖栖息地保护保育小区</w:t>
            </w:r>
          </w:p>
        </w:tc>
        <w:tc>
          <w:tcPr>
            <w:tcW w:w="899" w:type="dxa"/>
            <w:tcBorders>
              <w:tl2br w:val="nil"/>
              <w:tr2bl w:val="nil"/>
            </w:tcBorders>
            <w:shd w:val="clear" w:color="auto" w:fill="auto"/>
            <w:vAlign w:val="center"/>
          </w:tcPr>
          <w:p w14:paraId="03977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465.1</w:t>
            </w:r>
          </w:p>
        </w:tc>
        <w:tc>
          <w:tcPr>
            <w:tcW w:w="3156" w:type="dxa"/>
            <w:tcBorders>
              <w:tl2br w:val="nil"/>
              <w:tr2bl w:val="nil"/>
            </w:tcBorders>
            <w:shd w:val="clear" w:color="auto" w:fill="auto"/>
            <w:vAlign w:val="center"/>
          </w:tcPr>
          <w:p w14:paraId="7C9DB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保护栖息地</w:t>
            </w:r>
          </w:p>
        </w:tc>
      </w:tr>
      <w:tr w14:paraId="0894A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23B1E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50D86F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东湖湿地生态养殖功能保护保育小区</w:t>
            </w:r>
          </w:p>
        </w:tc>
        <w:tc>
          <w:tcPr>
            <w:tcW w:w="899" w:type="dxa"/>
            <w:tcBorders>
              <w:tl2br w:val="nil"/>
              <w:tr2bl w:val="nil"/>
            </w:tcBorders>
            <w:shd w:val="clear" w:color="auto" w:fill="auto"/>
            <w:vAlign w:val="center"/>
          </w:tcPr>
          <w:p w14:paraId="5BC84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2352.4</w:t>
            </w:r>
          </w:p>
        </w:tc>
        <w:tc>
          <w:tcPr>
            <w:tcW w:w="3156" w:type="dxa"/>
            <w:tcBorders>
              <w:tl2br w:val="nil"/>
              <w:tr2bl w:val="nil"/>
            </w:tcBorders>
            <w:shd w:val="clear" w:color="auto" w:fill="auto"/>
            <w:vAlign w:val="center"/>
          </w:tcPr>
          <w:p w14:paraId="4655A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保护湿地生态养殖功能与栖息地</w:t>
            </w:r>
          </w:p>
        </w:tc>
      </w:tr>
      <w:tr w14:paraId="770DC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1D08E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26D0E6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运河输水河保护保育小区</w:t>
            </w:r>
          </w:p>
        </w:tc>
        <w:tc>
          <w:tcPr>
            <w:tcW w:w="899" w:type="dxa"/>
            <w:tcBorders>
              <w:tl2br w:val="nil"/>
              <w:tr2bl w:val="nil"/>
            </w:tcBorders>
            <w:shd w:val="clear" w:color="auto" w:fill="auto"/>
            <w:vAlign w:val="center"/>
          </w:tcPr>
          <w:p w14:paraId="064B0D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22.0</w:t>
            </w:r>
          </w:p>
        </w:tc>
        <w:tc>
          <w:tcPr>
            <w:tcW w:w="3156" w:type="dxa"/>
            <w:tcBorders>
              <w:tl2br w:val="nil"/>
              <w:tr2bl w:val="nil"/>
            </w:tcBorders>
            <w:shd w:val="clear" w:color="auto" w:fill="auto"/>
            <w:vAlign w:val="center"/>
          </w:tcPr>
          <w:p w14:paraId="45744A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69D27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restart"/>
            <w:tcBorders>
              <w:tl2br w:val="nil"/>
              <w:tr2bl w:val="nil"/>
            </w:tcBorders>
            <w:shd w:val="clear" w:color="auto" w:fill="auto"/>
            <w:vAlign w:val="center"/>
          </w:tcPr>
          <w:p w14:paraId="5BDDE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恢复重建区</w:t>
            </w:r>
          </w:p>
        </w:tc>
        <w:tc>
          <w:tcPr>
            <w:tcW w:w="3576" w:type="dxa"/>
            <w:tcBorders>
              <w:tl2br w:val="nil"/>
              <w:tr2bl w:val="nil"/>
            </w:tcBorders>
            <w:shd w:val="clear" w:color="auto" w:fill="auto"/>
            <w:vAlign w:val="center"/>
          </w:tcPr>
          <w:p w14:paraId="3816E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环湖生态带恢复与重建区</w:t>
            </w:r>
          </w:p>
        </w:tc>
        <w:tc>
          <w:tcPr>
            <w:tcW w:w="899" w:type="dxa"/>
            <w:tcBorders>
              <w:tl2br w:val="nil"/>
              <w:tr2bl w:val="nil"/>
            </w:tcBorders>
            <w:shd w:val="clear" w:color="auto" w:fill="auto"/>
            <w:vAlign w:val="center"/>
          </w:tcPr>
          <w:p w14:paraId="134AEA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19.9</w:t>
            </w:r>
          </w:p>
        </w:tc>
        <w:tc>
          <w:tcPr>
            <w:tcW w:w="3156" w:type="dxa"/>
            <w:tcBorders>
              <w:tl2br w:val="nil"/>
              <w:tr2bl w:val="nil"/>
            </w:tcBorders>
            <w:shd w:val="clear" w:color="auto" w:fill="auto"/>
            <w:vAlign w:val="center"/>
          </w:tcPr>
          <w:p w14:paraId="117DA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恢复地方近自然植被，设计环湖慢行道</w:t>
            </w:r>
          </w:p>
        </w:tc>
      </w:tr>
      <w:tr w14:paraId="22190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72247E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60DAF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湖泊湿地恢复小区</w:t>
            </w:r>
          </w:p>
        </w:tc>
        <w:tc>
          <w:tcPr>
            <w:tcW w:w="899" w:type="dxa"/>
            <w:tcBorders>
              <w:tl2br w:val="nil"/>
              <w:tr2bl w:val="nil"/>
            </w:tcBorders>
            <w:shd w:val="clear" w:color="auto" w:fill="auto"/>
            <w:vAlign w:val="center"/>
          </w:tcPr>
          <w:p w14:paraId="17EA5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67.1</w:t>
            </w:r>
          </w:p>
        </w:tc>
        <w:tc>
          <w:tcPr>
            <w:tcW w:w="3156" w:type="dxa"/>
            <w:tcBorders>
              <w:tl2br w:val="nil"/>
              <w:tr2bl w:val="nil"/>
            </w:tcBorders>
            <w:shd w:val="clear" w:color="auto" w:fill="auto"/>
            <w:vAlign w:val="center"/>
          </w:tcPr>
          <w:p w14:paraId="1EFA4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727CB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4F9FE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5F82A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栖息地恢复小区</w:t>
            </w:r>
          </w:p>
        </w:tc>
        <w:tc>
          <w:tcPr>
            <w:tcW w:w="899" w:type="dxa"/>
            <w:tcBorders>
              <w:tl2br w:val="nil"/>
              <w:tr2bl w:val="nil"/>
            </w:tcBorders>
            <w:shd w:val="clear" w:color="auto" w:fill="auto"/>
            <w:vAlign w:val="center"/>
          </w:tcPr>
          <w:p w14:paraId="02835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202.3</w:t>
            </w:r>
          </w:p>
        </w:tc>
        <w:tc>
          <w:tcPr>
            <w:tcW w:w="3156" w:type="dxa"/>
            <w:tcBorders>
              <w:tl2br w:val="nil"/>
              <w:tr2bl w:val="nil"/>
            </w:tcBorders>
            <w:shd w:val="clear" w:color="auto" w:fill="auto"/>
            <w:vAlign w:val="center"/>
          </w:tcPr>
          <w:p w14:paraId="4985ED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54591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restart"/>
            <w:tcBorders>
              <w:tl2br w:val="nil"/>
              <w:tr2bl w:val="nil"/>
            </w:tcBorders>
            <w:shd w:val="clear" w:color="auto" w:fill="auto"/>
            <w:vAlign w:val="center"/>
          </w:tcPr>
          <w:p w14:paraId="714DCF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合理利用区</w:t>
            </w:r>
          </w:p>
        </w:tc>
        <w:tc>
          <w:tcPr>
            <w:tcW w:w="3576" w:type="dxa"/>
            <w:tcBorders>
              <w:tl2br w:val="nil"/>
              <w:tr2bl w:val="nil"/>
            </w:tcBorders>
            <w:shd w:val="clear" w:color="auto" w:fill="auto"/>
            <w:vAlign w:val="center"/>
          </w:tcPr>
          <w:p w14:paraId="7415D5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北汊水库生态养殖与生态休闲小区</w:t>
            </w:r>
          </w:p>
        </w:tc>
        <w:tc>
          <w:tcPr>
            <w:tcW w:w="899" w:type="dxa"/>
            <w:tcBorders>
              <w:tl2br w:val="nil"/>
              <w:tr2bl w:val="nil"/>
            </w:tcBorders>
            <w:shd w:val="clear" w:color="auto" w:fill="auto"/>
            <w:vAlign w:val="center"/>
          </w:tcPr>
          <w:p w14:paraId="30DAE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647.5</w:t>
            </w:r>
          </w:p>
        </w:tc>
        <w:tc>
          <w:tcPr>
            <w:tcW w:w="3156" w:type="dxa"/>
            <w:tcBorders>
              <w:tl2br w:val="nil"/>
              <w:tr2bl w:val="nil"/>
            </w:tcBorders>
            <w:shd w:val="clear" w:color="auto" w:fill="auto"/>
            <w:vAlign w:val="center"/>
          </w:tcPr>
          <w:p w14:paraId="52F6F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生态休闲、水上运动</w:t>
            </w:r>
          </w:p>
        </w:tc>
      </w:tr>
      <w:tr w14:paraId="41258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54AEC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67311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北汊湖生态休闲小区</w:t>
            </w:r>
          </w:p>
        </w:tc>
        <w:tc>
          <w:tcPr>
            <w:tcW w:w="899" w:type="dxa"/>
            <w:tcBorders>
              <w:tl2br w:val="nil"/>
              <w:tr2bl w:val="nil"/>
            </w:tcBorders>
            <w:shd w:val="clear" w:color="auto" w:fill="auto"/>
            <w:vAlign w:val="center"/>
          </w:tcPr>
          <w:p w14:paraId="1987C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493.9</w:t>
            </w:r>
          </w:p>
        </w:tc>
        <w:tc>
          <w:tcPr>
            <w:tcW w:w="3156" w:type="dxa"/>
            <w:tcBorders>
              <w:tl2br w:val="nil"/>
              <w:tr2bl w:val="nil"/>
            </w:tcBorders>
            <w:shd w:val="clear" w:color="auto" w:fill="auto"/>
            <w:vAlign w:val="center"/>
          </w:tcPr>
          <w:p w14:paraId="62500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01ABD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34949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7DC69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五七渔场生态养殖与湿地农业利用示范小区</w:t>
            </w:r>
          </w:p>
        </w:tc>
        <w:tc>
          <w:tcPr>
            <w:tcW w:w="899" w:type="dxa"/>
            <w:tcBorders>
              <w:tl2br w:val="nil"/>
              <w:tr2bl w:val="nil"/>
            </w:tcBorders>
            <w:shd w:val="clear" w:color="auto" w:fill="auto"/>
            <w:vAlign w:val="center"/>
          </w:tcPr>
          <w:p w14:paraId="51B14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388.7</w:t>
            </w:r>
          </w:p>
        </w:tc>
        <w:tc>
          <w:tcPr>
            <w:tcW w:w="3156" w:type="dxa"/>
            <w:tcBorders>
              <w:tl2br w:val="nil"/>
              <w:tr2bl w:val="nil"/>
            </w:tcBorders>
            <w:shd w:val="clear" w:color="auto" w:fill="auto"/>
            <w:vAlign w:val="center"/>
          </w:tcPr>
          <w:p w14:paraId="5DE5C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生态养殖、湿地农业</w:t>
            </w:r>
          </w:p>
        </w:tc>
      </w:tr>
      <w:tr w14:paraId="7C15E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restart"/>
            <w:tcBorders>
              <w:tl2br w:val="nil"/>
              <w:tr2bl w:val="nil"/>
            </w:tcBorders>
            <w:shd w:val="clear" w:color="auto" w:fill="auto"/>
            <w:vAlign w:val="center"/>
          </w:tcPr>
          <w:p w14:paraId="68A1C0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科普宣教区</w:t>
            </w:r>
          </w:p>
        </w:tc>
        <w:tc>
          <w:tcPr>
            <w:tcW w:w="3576" w:type="dxa"/>
            <w:tcBorders>
              <w:tl2br w:val="nil"/>
              <w:tr2bl w:val="nil"/>
            </w:tcBorders>
            <w:shd w:val="clear" w:color="auto" w:fill="auto"/>
            <w:vAlign w:val="center"/>
          </w:tcPr>
          <w:p w14:paraId="4C2F4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下西湖荷花园</w:t>
            </w:r>
          </w:p>
        </w:tc>
        <w:tc>
          <w:tcPr>
            <w:tcW w:w="899" w:type="dxa"/>
            <w:tcBorders>
              <w:tl2br w:val="nil"/>
              <w:tr2bl w:val="nil"/>
            </w:tcBorders>
            <w:shd w:val="clear" w:color="auto" w:fill="auto"/>
            <w:vAlign w:val="center"/>
          </w:tcPr>
          <w:p w14:paraId="3C4C43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312.1</w:t>
            </w:r>
          </w:p>
        </w:tc>
        <w:tc>
          <w:tcPr>
            <w:tcW w:w="3156" w:type="dxa"/>
            <w:tcBorders>
              <w:tl2br w:val="nil"/>
              <w:tr2bl w:val="nil"/>
            </w:tcBorders>
            <w:shd w:val="clear" w:color="auto" w:fill="auto"/>
            <w:vAlign w:val="center"/>
          </w:tcPr>
          <w:p w14:paraId="2896E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荷花生态文化传播</w:t>
            </w:r>
          </w:p>
        </w:tc>
      </w:tr>
      <w:tr w14:paraId="4324E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60CF0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321FCA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下西湖湿地经济植物与水产园</w:t>
            </w:r>
          </w:p>
        </w:tc>
        <w:tc>
          <w:tcPr>
            <w:tcW w:w="899" w:type="dxa"/>
            <w:tcBorders>
              <w:tl2br w:val="nil"/>
              <w:tr2bl w:val="nil"/>
            </w:tcBorders>
            <w:shd w:val="clear" w:color="auto" w:fill="auto"/>
            <w:vAlign w:val="center"/>
          </w:tcPr>
          <w:p w14:paraId="1A2700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266.3</w:t>
            </w:r>
          </w:p>
        </w:tc>
        <w:tc>
          <w:tcPr>
            <w:tcW w:w="3156" w:type="dxa"/>
            <w:tcBorders>
              <w:tl2br w:val="nil"/>
              <w:tr2bl w:val="nil"/>
            </w:tcBorders>
            <w:shd w:val="clear" w:color="auto" w:fill="auto"/>
            <w:vAlign w:val="center"/>
          </w:tcPr>
          <w:p w14:paraId="7632F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湿地植物科普文化宣教</w:t>
            </w:r>
          </w:p>
        </w:tc>
      </w:tr>
      <w:tr w14:paraId="75E39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3C8A69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427B03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东湖鱼博馆</w:t>
            </w:r>
          </w:p>
        </w:tc>
        <w:tc>
          <w:tcPr>
            <w:tcW w:w="899" w:type="dxa"/>
            <w:vMerge w:val="restart"/>
            <w:tcBorders>
              <w:tl2br w:val="nil"/>
              <w:tr2bl w:val="nil"/>
            </w:tcBorders>
            <w:shd w:val="clear" w:color="auto" w:fill="auto"/>
            <w:vAlign w:val="center"/>
          </w:tcPr>
          <w:p w14:paraId="3F127A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21.9</w:t>
            </w:r>
          </w:p>
        </w:tc>
        <w:tc>
          <w:tcPr>
            <w:tcW w:w="3156" w:type="dxa"/>
            <w:tcBorders>
              <w:tl2br w:val="nil"/>
              <w:tr2bl w:val="nil"/>
            </w:tcBorders>
            <w:shd w:val="clear" w:color="auto" w:fill="auto"/>
            <w:vAlign w:val="center"/>
          </w:tcPr>
          <w:p w14:paraId="60664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湿地动物与地方鱼文化科普宣教</w:t>
            </w:r>
          </w:p>
        </w:tc>
      </w:tr>
      <w:tr w14:paraId="5BB0C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restart"/>
            <w:tcBorders>
              <w:tl2br w:val="nil"/>
              <w:tr2bl w:val="nil"/>
            </w:tcBorders>
            <w:shd w:val="clear" w:color="auto" w:fill="auto"/>
            <w:vAlign w:val="center"/>
          </w:tcPr>
          <w:p w14:paraId="0AD9A5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管理服务区</w:t>
            </w:r>
          </w:p>
        </w:tc>
        <w:tc>
          <w:tcPr>
            <w:tcW w:w="3576" w:type="dxa"/>
            <w:tcBorders>
              <w:tl2br w:val="nil"/>
              <w:tr2bl w:val="nil"/>
            </w:tcBorders>
            <w:shd w:val="clear" w:color="auto" w:fill="auto"/>
            <w:vAlign w:val="center"/>
          </w:tcPr>
          <w:p w14:paraId="0DEBC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湿地公园管理局</w:t>
            </w:r>
          </w:p>
        </w:tc>
        <w:tc>
          <w:tcPr>
            <w:tcW w:w="899" w:type="dxa"/>
            <w:vMerge w:val="continue"/>
            <w:tcBorders>
              <w:tl2br w:val="nil"/>
              <w:tr2bl w:val="nil"/>
            </w:tcBorders>
            <w:shd w:val="clear" w:color="auto" w:fill="auto"/>
            <w:vAlign w:val="center"/>
          </w:tcPr>
          <w:p w14:paraId="47E3F4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156" w:type="dxa"/>
            <w:vMerge w:val="restart"/>
            <w:tcBorders>
              <w:tl2br w:val="nil"/>
              <w:tr2bl w:val="nil"/>
            </w:tcBorders>
            <w:shd w:val="clear" w:color="auto" w:fill="auto"/>
            <w:vAlign w:val="center"/>
          </w:tcPr>
          <w:p w14:paraId="6CA61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sz w:val="24"/>
                <w:szCs w:val="21"/>
              </w:rPr>
              <w:t>湿地保护管理</w:t>
            </w:r>
          </w:p>
        </w:tc>
      </w:tr>
      <w:tr w14:paraId="3763A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17942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63EE95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插旗（东湖、五七渔场）保护站</w:t>
            </w:r>
          </w:p>
        </w:tc>
        <w:tc>
          <w:tcPr>
            <w:tcW w:w="899" w:type="dxa"/>
            <w:vMerge w:val="continue"/>
            <w:tcBorders>
              <w:tl2br w:val="nil"/>
              <w:tr2bl w:val="nil"/>
            </w:tcBorders>
            <w:shd w:val="clear" w:color="auto" w:fill="auto"/>
            <w:vAlign w:val="center"/>
          </w:tcPr>
          <w:p w14:paraId="69FA3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156" w:type="dxa"/>
            <w:vMerge w:val="continue"/>
            <w:tcBorders>
              <w:tl2br w:val="nil"/>
              <w:tr2bl w:val="nil"/>
            </w:tcBorders>
            <w:shd w:val="clear" w:color="auto" w:fill="auto"/>
            <w:vAlign w:val="center"/>
          </w:tcPr>
          <w:p w14:paraId="1920D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607D7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59769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18A67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终南（北汊湖湿地保护站）</w:t>
            </w:r>
          </w:p>
        </w:tc>
        <w:tc>
          <w:tcPr>
            <w:tcW w:w="899" w:type="dxa"/>
            <w:tcBorders>
              <w:tl2br w:val="nil"/>
              <w:tr2bl w:val="nil"/>
            </w:tcBorders>
            <w:shd w:val="clear" w:color="auto" w:fill="auto"/>
            <w:vAlign w:val="center"/>
          </w:tcPr>
          <w:p w14:paraId="48CB5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5.1</w:t>
            </w:r>
          </w:p>
        </w:tc>
        <w:tc>
          <w:tcPr>
            <w:tcW w:w="3156" w:type="dxa"/>
            <w:tcBorders>
              <w:tl2br w:val="nil"/>
              <w:tr2bl w:val="nil"/>
            </w:tcBorders>
            <w:shd w:val="clear" w:color="auto" w:fill="auto"/>
            <w:vAlign w:val="center"/>
          </w:tcPr>
          <w:p w14:paraId="7B473C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湿地保护管理、湿地休闲</w:t>
            </w:r>
          </w:p>
        </w:tc>
      </w:tr>
      <w:tr w14:paraId="4A9F1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0B9E1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3B484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南山（湿地）保护站（中西湖）</w:t>
            </w:r>
          </w:p>
        </w:tc>
        <w:tc>
          <w:tcPr>
            <w:tcW w:w="899" w:type="dxa"/>
            <w:tcBorders>
              <w:tl2br w:val="nil"/>
              <w:tr2bl w:val="nil"/>
            </w:tcBorders>
            <w:shd w:val="clear" w:color="auto" w:fill="auto"/>
            <w:vAlign w:val="center"/>
          </w:tcPr>
          <w:p w14:paraId="4E353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10.4</w:t>
            </w:r>
          </w:p>
        </w:tc>
        <w:tc>
          <w:tcPr>
            <w:tcW w:w="3156" w:type="dxa"/>
            <w:tcBorders>
              <w:tl2br w:val="nil"/>
              <w:tr2bl w:val="nil"/>
            </w:tcBorders>
            <w:shd w:val="clear" w:color="auto" w:fill="auto"/>
            <w:vAlign w:val="center"/>
          </w:tcPr>
          <w:p w14:paraId="463DAC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湿地保护管理、科研监测</w:t>
            </w:r>
          </w:p>
        </w:tc>
      </w:tr>
      <w:tr w14:paraId="03676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24E1D6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2A509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北景港（下西湖植物）园保护站</w:t>
            </w:r>
          </w:p>
        </w:tc>
        <w:tc>
          <w:tcPr>
            <w:tcW w:w="899" w:type="dxa"/>
            <w:tcBorders>
              <w:tl2br w:val="nil"/>
              <w:tr2bl w:val="nil"/>
            </w:tcBorders>
            <w:shd w:val="clear" w:color="auto" w:fill="auto"/>
            <w:vAlign w:val="center"/>
          </w:tcPr>
          <w:p w14:paraId="1D0F0C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w:t>
            </w:r>
          </w:p>
        </w:tc>
        <w:tc>
          <w:tcPr>
            <w:tcW w:w="3156" w:type="dxa"/>
            <w:tcBorders>
              <w:tl2br w:val="nil"/>
              <w:tr2bl w:val="nil"/>
            </w:tcBorders>
            <w:shd w:val="clear" w:color="auto" w:fill="auto"/>
            <w:vAlign w:val="center"/>
          </w:tcPr>
          <w:p w14:paraId="1BD1A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湿地保护管理、科研监测</w:t>
            </w:r>
          </w:p>
        </w:tc>
      </w:tr>
      <w:tr w14:paraId="1E250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1AF7D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494E4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罗帐湖社区共管站</w:t>
            </w:r>
          </w:p>
        </w:tc>
        <w:tc>
          <w:tcPr>
            <w:tcW w:w="899" w:type="dxa"/>
            <w:tcBorders>
              <w:tl2br w:val="nil"/>
              <w:tr2bl w:val="nil"/>
            </w:tcBorders>
            <w:shd w:val="clear" w:color="auto" w:fill="auto"/>
            <w:vAlign w:val="center"/>
          </w:tcPr>
          <w:p w14:paraId="56FB4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3156" w:type="dxa"/>
            <w:tcBorders>
              <w:tl2br w:val="nil"/>
              <w:tr2bl w:val="nil"/>
            </w:tcBorders>
            <w:shd w:val="clear" w:color="auto" w:fill="auto"/>
            <w:vAlign w:val="center"/>
          </w:tcPr>
          <w:p w14:paraId="250AA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湿地保护管理、科研监测</w:t>
            </w:r>
          </w:p>
        </w:tc>
      </w:tr>
      <w:tr w14:paraId="6C1B0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dxa"/>
            <w:vMerge w:val="continue"/>
            <w:tcBorders>
              <w:tl2br w:val="nil"/>
              <w:tr2bl w:val="nil"/>
            </w:tcBorders>
            <w:shd w:val="clear" w:color="auto" w:fill="auto"/>
            <w:vAlign w:val="center"/>
          </w:tcPr>
          <w:p w14:paraId="2B496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3576" w:type="dxa"/>
            <w:tcBorders>
              <w:tl2br w:val="nil"/>
              <w:tr2bl w:val="nil"/>
            </w:tcBorders>
            <w:shd w:val="clear" w:color="auto" w:fill="auto"/>
            <w:vAlign w:val="center"/>
          </w:tcPr>
          <w:p w14:paraId="3E96B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北汊水库休闲管理站</w:t>
            </w:r>
          </w:p>
        </w:tc>
        <w:tc>
          <w:tcPr>
            <w:tcW w:w="899" w:type="dxa"/>
            <w:tcBorders>
              <w:tl2br w:val="nil"/>
              <w:tr2bl w:val="nil"/>
            </w:tcBorders>
            <w:shd w:val="clear" w:color="auto" w:fill="auto"/>
            <w:vAlign w:val="center"/>
          </w:tcPr>
          <w:p w14:paraId="62C45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3.8</w:t>
            </w:r>
          </w:p>
        </w:tc>
        <w:tc>
          <w:tcPr>
            <w:tcW w:w="3156" w:type="dxa"/>
            <w:tcBorders>
              <w:tl2br w:val="nil"/>
              <w:tr2bl w:val="nil"/>
            </w:tcBorders>
            <w:shd w:val="clear" w:color="auto" w:fill="auto"/>
            <w:vAlign w:val="center"/>
          </w:tcPr>
          <w:p w14:paraId="5AA01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湿地保护管理、科研监测</w:t>
            </w:r>
          </w:p>
        </w:tc>
      </w:tr>
      <w:tr w14:paraId="03FEA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842" w:type="dxa"/>
            <w:gridSpan w:val="2"/>
            <w:tcBorders>
              <w:tl2br w:val="nil"/>
              <w:tr2bl w:val="nil"/>
            </w:tcBorders>
            <w:shd w:val="clear" w:color="auto" w:fill="auto"/>
            <w:vAlign w:val="center"/>
          </w:tcPr>
          <w:p w14:paraId="3F4D0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总面积</w:t>
            </w:r>
          </w:p>
        </w:tc>
        <w:tc>
          <w:tcPr>
            <w:tcW w:w="899" w:type="dxa"/>
            <w:tcBorders>
              <w:tl2br w:val="nil"/>
              <w:tr2bl w:val="nil"/>
            </w:tcBorders>
            <w:shd w:val="clear" w:color="auto" w:fill="auto"/>
            <w:vAlign w:val="center"/>
          </w:tcPr>
          <w:p w14:paraId="252E6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5700.1</w:t>
            </w:r>
          </w:p>
        </w:tc>
        <w:tc>
          <w:tcPr>
            <w:tcW w:w="3156" w:type="dxa"/>
            <w:tcBorders>
              <w:tl2br w:val="nil"/>
              <w:tr2bl w:val="nil"/>
            </w:tcBorders>
            <w:shd w:val="clear" w:color="auto" w:fill="auto"/>
            <w:vAlign w:val="center"/>
          </w:tcPr>
          <w:p w14:paraId="7F69E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p>
        </w:tc>
      </w:tr>
    </w:tbl>
    <w:p w14:paraId="51AE3E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一、</w:t>
      </w:r>
      <w:r>
        <w:rPr>
          <w:rFonts w:hint="default" w:ascii="Times New Roman" w:hAnsi="Times New Roman" w:eastAsia="宋体" w:cs="Times New Roman"/>
          <w:b/>
          <w:color w:val="auto"/>
          <w:sz w:val="24"/>
          <w:szCs w:val="24"/>
        </w:rPr>
        <w:t>湿地保护保育区</w:t>
      </w:r>
    </w:p>
    <w:p w14:paraId="7F75A1AF">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保育区是湿地公园的主体和生态基质，是湿地公园的景观载体，也是湿地公园内保护湿地生态系统的核心区域，主要开展湿地生态系统保护、保育和恢复以及科研监测活动。同时，在局部开展一定的以观光为主的湿地生态旅游。</w:t>
      </w:r>
    </w:p>
    <w:p w14:paraId="6A70D20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（一）范围及面积</w:t>
      </w:r>
    </w:p>
    <w:p w14:paraId="19B615A2">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包括罗帐湖栖息地保护保育小区、中西湖栖息地保护保育小区、东湖湿地生态养殖功能保护保育小区和运河输水河保护保育小区。保护保育区总规划面积为 3269.6公顷，各保护保育小区具体情况如下：</w:t>
      </w:r>
    </w:p>
    <w:p w14:paraId="70531EE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罗帐湖栖息地保护保育小区：主要包括罗帐湖湖泊湿地，面积为 410.2 公顷。湖泊比较浅，有沼泽化趋势，候鸟比较多。</w:t>
      </w:r>
    </w:p>
    <w:p w14:paraId="2249132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中西湖栖息地保护保育小区：主要包括中西湖湖泊湿地，面积为 465.1 公顷。湖泊比较浅，候鸟比较多。</w:t>
      </w:r>
    </w:p>
    <w:p w14:paraId="4103855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东湖湿地生态养殖功能保护保育小区：东湖湖泊湿地全部，面积为 2352.4公顷，自然湖泊，生态养殖。</w:t>
      </w:r>
    </w:p>
    <w:p w14:paraId="22FFA6E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运河输水河保护保育小区：包括 3 条河湖连通的运河输水河，面积 41.9公顷。</w:t>
      </w:r>
    </w:p>
    <w:p w14:paraId="0515C0CE">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rPr>
        <w:t>）建设目标</w:t>
      </w:r>
    </w:p>
    <w:p w14:paraId="6B36CA1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（1）水质维持在《地表水环境质量标准》（GB3838-2002）中规定的Ⅲ类水质标准。</w:t>
      </w:r>
    </w:p>
    <w:p w14:paraId="3A3286F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（2）建立湿地类型多样、结构完善、功能完备的自然湿地生态系统，构建华容县生态功能稳定的生态核心。</w:t>
      </w:r>
    </w:p>
    <w:p w14:paraId="30BB295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（3）建立结构完善、功能完备的水岸生态系统。</w:t>
      </w:r>
    </w:p>
    <w:p w14:paraId="5AEE851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二、</w:t>
      </w:r>
      <w:r>
        <w:rPr>
          <w:rFonts w:hint="default" w:ascii="Times New Roman" w:hAnsi="Times New Roman" w:eastAsia="宋体" w:cs="Times New Roman"/>
          <w:b/>
          <w:color w:val="auto"/>
          <w:sz w:val="24"/>
          <w:szCs w:val="24"/>
        </w:rPr>
        <w:t>恢复重建区</w:t>
      </w:r>
    </w:p>
    <w:p w14:paraId="685237C2">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湖生态带是湿地公园的保护缓冲带。主要是通过人工促进为主的方式恢复和重建原有的湖泊临岸生态系统，改善湖泊水陆联系，建立周边农田与湖泊的生态缓冲带，提高湖泊的水质和水禽栖息地质量，开展相应的科研监测活动。同时，建立临湖慢行道，开展一定的以健康休闲观光为主的湿地生态旅游。湖泊湿地恢复小区主要是临湖的部分近期围垦形成的新农地，恢复为湖泊。对于临湖的季节农地恢复为水禽栖息地。</w:t>
      </w:r>
    </w:p>
    <w:p w14:paraId="0570AFC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（一）范围及面积</w:t>
      </w:r>
    </w:p>
    <w:p w14:paraId="2F40BAA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湿地恢复区包括栖息地恢复小区、湖泊湿地恢复小区规划总面积为 260.4公顷。环湖 10-50 米左右临湖林带也规划为生态恢复与重建带，但是，规划不便单独计算面积。</w:t>
      </w:r>
    </w:p>
    <w:p w14:paraId="5FE57B2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rPr>
        <w:t>）建设目标</w:t>
      </w:r>
    </w:p>
    <w:p w14:paraId="0603A8B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构建东湖国家湿地公园的自然湖泊美丽、近自然的湖岸生态系统，维护区域生态系统稳定，提高湿地公园的生态保护功能。</w:t>
      </w:r>
    </w:p>
    <w:p w14:paraId="3BFC301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三、</w:t>
      </w:r>
      <w:r>
        <w:rPr>
          <w:rFonts w:hint="default" w:ascii="Times New Roman" w:hAnsi="Times New Roman" w:eastAsia="宋体" w:cs="Times New Roman"/>
          <w:b/>
          <w:color w:val="auto"/>
          <w:sz w:val="24"/>
          <w:szCs w:val="24"/>
        </w:rPr>
        <w:t>湿地科普宣教展示区</w:t>
      </w:r>
    </w:p>
    <w:p w14:paraId="2F58DB1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科普宣教展示区是湿地公园内开展湿地科普宣教的重要场所，除对现有湿地生态系统进行严格保护的基础上，适度开展科普宣教活动，提高大众对湿地的认识和湿地保护意识，提高华容县生态文明建设水平。</w:t>
      </w:r>
    </w:p>
    <w:p w14:paraId="3CB3FAE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（一）范围及面积</w:t>
      </w:r>
    </w:p>
    <w:p w14:paraId="353213C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科普宣教展示区可以细分为三个小区：下西湖荷花园、下西湖湿地经济园、东湖鱼博馆，总规划面积为 578.4 公顷。</w:t>
      </w:r>
    </w:p>
    <w:p w14:paraId="7159407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下西湖荷花园：利用下西湖建设适应地方自然条件的荷花园品种园，开展以荷花欣赏为主的生态教育与生态休闲。面积为 50 公顷，品种 300 种以上。</w:t>
      </w:r>
    </w:p>
    <w:p w14:paraId="3AEE96A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下西湖湿地经济植物园：利用下西湖建设适应地方自然条件的经济植物园，收集洞庭湖区域的具有经济价值的湿地植物种质资源。并且开展相关科学研究与生态教育及生态休闲。面积为 50 公顷，品种 300 种以上。</w:t>
      </w:r>
    </w:p>
    <w:p w14:paraId="1DB6176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东湖鱼博馆：在规划建设东湖鱼博馆，展示湿地公园及洞庭湖的鱼类标本、地方鱼文化风俗等内容。并且设计系列科普宣教标牌。规划为鱼形仿生建筑，面积为 800 米，占地面积约为 1.5 公顷。</w:t>
      </w:r>
    </w:p>
    <w:p w14:paraId="36F27E5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rPr>
        <w:t>）建设目标</w:t>
      </w:r>
    </w:p>
    <w:p w14:paraId="569F96DD">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（1）文化展示与生态文明教育基地；</w:t>
      </w:r>
    </w:p>
    <w:p w14:paraId="10E1EE9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（2）湿地知识的宣教。</w:t>
      </w:r>
    </w:p>
    <w:p w14:paraId="320105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四、</w:t>
      </w:r>
      <w:r>
        <w:rPr>
          <w:rFonts w:hint="default" w:ascii="Times New Roman" w:hAnsi="Times New Roman" w:eastAsia="宋体" w:cs="Times New Roman"/>
          <w:b/>
          <w:color w:val="auto"/>
          <w:sz w:val="24"/>
          <w:szCs w:val="24"/>
        </w:rPr>
        <w:t>合理利用区</w:t>
      </w:r>
    </w:p>
    <w:p w14:paraId="060D05C2">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（一）范围及面积</w:t>
      </w:r>
    </w:p>
    <w:p w14:paraId="28867227">
      <w:pPr>
        <w:widowControl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合理利用区包括北汊水库、北汊湖和五七渔场生态养殖与生态休闲小区。规划总面积为 1530.1 公顷。</w:t>
      </w:r>
    </w:p>
    <w:p w14:paraId="531450C3">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val="en-US" w:eastAsia="zh-CN"/>
        </w:rPr>
        <w:t>）建设目标</w:t>
      </w:r>
    </w:p>
    <w:p w14:paraId="7DDC0B5F">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（1）提供休闲游憩功能；</w:t>
      </w:r>
    </w:p>
    <w:p w14:paraId="16213D65">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（2）“风情水乡”特色休闲。</w:t>
      </w:r>
    </w:p>
    <w:p w14:paraId="40C26C0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五、综合管理服务区</w:t>
      </w:r>
    </w:p>
    <w:p w14:paraId="3A2909C0">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（一）范围及面积</w:t>
      </w:r>
    </w:p>
    <w:p w14:paraId="1FE2D8BF">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该区主要包括湿地公园的管理、服务机构和设施，由东湖湿地公园管理局、北汊水库水库湿地保护站（插旗）、南山湿地保护站（罗帐湖、中西湖）、下西湖植物园湿地保护站，规划总面积为 5.94 公顷。</w:t>
      </w:r>
    </w:p>
    <w:p w14:paraId="5643059E">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（二）建设思路</w:t>
      </w:r>
    </w:p>
    <w:p w14:paraId="371A0C15">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该区根据保护和管理的需要，建立湿地公园完善的保护和管理体系，并建设相应的保护、管理设施；配置相应的保护、管理设备，为游客提供优质高效的服务，实现良好的管理、保护和服务功能。</w:t>
      </w:r>
    </w:p>
    <w:p w14:paraId="0B3DE454">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动植物现状</w:t>
      </w:r>
    </w:p>
    <w:p w14:paraId="707AFF15">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eastAsia" w:ascii="Times New Roman" w:hAnsi="Times New Roman" w:eastAsia="宋体" w:cs="Times New Roman"/>
          <w:caps w:val="0"/>
          <w:smallCaps w:val="0"/>
          <w:color w:val="auto"/>
          <w:sz w:val="24"/>
          <w:szCs w:val="21"/>
          <w:lang w:val="en-US" w:eastAsia="zh-CN"/>
        </w:rPr>
        <w:t>（1）植物</w:t>
      </w:r>
    </w:p>
    <w:p w14:paraId="497E9A49">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default" w:ascii="Times New Roman" w:hAnsi="Times New Roman" w:eastAsia="宋体" w:cs="Times New Roman"/>
          <w:caps w:val="0"/>
          <w:smallCaps w:val="0"/>
          <w:color w:val="auto"/>
          <w:sz w:val="24"/>
          <w:szCs w:val="21"/>
          <w:lang w:val="en-US" w:eastAsia="zh-CN"/>
        </w:rPr>
        <w:t>东湖湿地公园共有湿地植物403种，主要分为如下类群。</w:t>
      </w:r>
    </w:p>
    <w:p w14:paraId="0182930B">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default" w:ascii="Times New Roman" w:hAnsi="Times New Roman" w:eastAsia="宋体" w:cs="Times New Roman"/>
          <w:caps w:val="0"/>
          <w:smallCaps w:val="0"/>
          <w:color w:val="auto"/>
          <w:sz w:val="24"/>
          <w:szCs w:val="21"/>
          <w:lang w:val="en-US" w:eastAsia="zh-CN"/>
        </w:rPr>
        <w:t>沉水植物：金鱼藻、穗状狐尾藻、沼生水马齿、异叶石龙尾、石龙尾、黄花狸藻、黑藻、苦草、菹草、竹叶眼子菜</w:t>
      </w:r>
      <w:r>
        <w:rPr>
          <w:rFonts w:hint="eastAsia" w:ascii="Times New Roman" w:hAnsi="Times New Roman" w:eastAsia="宋体" w:cs="Times New Roman"/>
          <w:caps w:val="0"/>
          <w:smallCaps w:val="0"/>
          <w:color w:val="auto"/>
          <w:sz w:val="24"/>
          <w:szCs w:val="21"/>
          <w:lang w:val="en-US" w:eastAsia="zh-CN"/>
        </w:rPr>
        <w:t>、</w:t>
      </w:r>
      <w:r>
        <w:rPr>
          <w:rFonts w:hint="default" w:ascii="Times New Roman" w:hAnsi="Times New Roman" w:eastAsia="宋体" w:cs="Times New Roman"/>
          <w:caps w:val="0"/>
          <w:smallCaps w:val="0"/>
          <w:color w:val="auto"/>
          <w:sz w:val="24"/>
          <w:szCs w:val="21"/>
          <w:lang w:val="en-US" w:eastAsia="zh-CN"/>
        </w:rPr>
        <w:t>大茨藻、小茨藻等种。漂浮植物：蘋、槐叶蘋、满江红、水鳖、水葫芦、大藻、浮萍等种。由于公园主要水体污染程度低，水位较恒定，漂浮植物面积不大，且多生长于湖湾、水沟、农田等。在湖南及华南、西南等地已造成较严重生态问题的凤眼莲（水葫芦），在公园内未见大面积暴发，只要水体环境保持较好，严格控制水体的富营养化</w:t>
      </w:r>
      <w:r>
        <w:rPr>
          <w:rFonts w:hint="eastAsia" w:ascii="Times New Roman" w:hAnsi="Times New Roman" w:eastAsia="宋体" w:cs="Times New Roman"/>
          <w:caps w:val="0"/>
          <w:smallCaps w:val="0"/>
          <w:color w:val="auto"/>
          <w:sz w:val="24"/>
          <w:szCs w:val="21"/>
          <w:lang w:val="en-US" w:eastAsia="zh-CN"/>
        </w:rPr>
        <w:t>，</w:t>
      </w:r>
      <w:r>
        <w:rPr>
          <w:rFonts w:hint="default" w:ascii="Times New Roman" w:hAnsi="Times New Roman" w:eastAsia="宋体" w:cs="Times New Roman"/>
          <w:caps w:val="0"/>
          <w:smallCaps w:val="0"/>
          <w:color w:val="auto"/>
          <w:sz w:val="24"/>
          <w:szCs w:val="21"/>
          <w:lang w:val="en-US" w:eastAsia="zh-CN"/>
        </w:rPr>
        <w:t>凤眼莲就不可能暴发成灾。浮叶植物：公园内典型的浮叶植物有芡实、红睡莲、细果野菱、荇菜、茶菱、眼子菜等，其中细果野菱、荇菜、茶菱的分布较广泛，多生于浅水池塘、沟渠、湖湾，芡实仅见一片，红睡莲为人工栽培，眼子菜多生于稻田、沟渠或静止的小水体中。另有一些不是很典型的浮叶植物，如圆叶节节菜、卵叶丁香蓼、白花水八角、鸭舌草等种，这些种依所生长的水深不同，可呈现出浮叶、挺水或湿生等状态。</w:t>
      </w:r>
    </w:p>
    <w:p w14:paraId="4CFB980E">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default" w:ascii="Times New Roman" w:hAnsi="Times New Roman" w:eastAsia="宋体" w:cs="Times New Roman"/>
          <w:caps w:val="0"/>
          <w:smallCaps w:val="0"/>
          <w:color w:val="auto"/>
          <w:sz w:val="24"/>
          <w:szCs w:val="21"/>
          <w:lang w:val="en-US" w:eastAsia="zh-CN"/>
        </w:rPr>
        <w:t>挺水植物：本处的挺水植物主要有菰、芦苇、菖蒲、水烛、水毛花、二棱水葱（蔗草）、刚毛荸荠、芋头、野慈姑、水蓑衣、水苦荬、水芹、假柳叶菜、空心莲子草、水蓼、三白草、石龙芮等。其它生长于洲滩的湿地植物，种类繁多，有的种类短尖苔草、南荻、蒌蒿、五月艾、节毛飞廉、益母草、紫云英、球果蔊菜等，可形成较大面积的群落。</w:t>
      </w:r>
    </w:p>
    <w:p w14:paraId="7F3ECCAA">
      <w:pPr>
        <w:spacing w:line="360" w:lineRule="auto"/>
        <w:ind w:firstLine="480" w:firstLineChars="200"/>
        <w:rPr>
          <w:rFonts w:hint="eastAsia" w:ascii="Times New Roman" w:hAnsi="Times New Roman" w:eastAsia="宋体" w:cs="Times New Roman"/>
          <w:caps w:val="0"/>
          <w:smallCaps w:val="0"/>
          <w:color w:val="auto"/>
          <w:sz w:val="24"/>
          <w:szCs w:val="21"/>
          <w:lang w:val="en-US" w:eastAsia="zh-CN"/>
        </w:rPr>
      </w:pPr>
      <w:r>
        <w:rPr>
          <w:rFonts w:hint="eastAsia" w:ascii="Times New Roman" w:hAnsi="Times New Roman" w:eastAsia="宋体" w:cs="Times New Roman"/>
          <w:caps w:val="0"/>
          <w:smallCaps w:val="0"/>
          <w:color w:val="auto"/>
          <w:sz w:val="24"/>
          <w:szCs w:val="21"/>
          <w:lang w:val="en-US" w:eastAsia="zh-CN"/>
        </w:rPr>
        <w:t>（2）动物</w:t>
      </w:r>
    </w:p>
    <w:p w14:paraId="6585B5F2">
      <w:pPr>
        <w:spacing w:line="360" w:lineRule="auto"/>
        <w:ind w:firstLine="480" w:firstLineChars="200"/>
        <w:rPr>
          <w:rFonts w:hint="default" w:ascii="Times New Roman" w:hAnsi="Times New Roman" w:eastAsia="宋体" w:cs="Times New Roman"/>
          <w:caps w:val="0"/>
          <w:smallCaps w:val="0"/>
          <w:color w:val="auto"/>
          <w:sz w:val="24"/>
          <w:szCs w:val="21"/>
          <w:lang w:val="en-US" w:eastAsia="zh-CN"/>
        </w:rPr>
      </w:pPr>
      <w:r>
        <w:rPr>
          <w:rFonts w:hint="default" w:ascii="Times New Roman" w:hAnsi="Times New Roman" w:eastAsia="宋体" w:cs="Times New Roman"/>
          <w:caps w:val="0"/>
          <w:smallCaps w:val="0"/>
          <w:color w:val="auto"/>
          <w:sz w:val="24"/>
          <w:szCs w:val="21"/>
          <w:lang w:val="en-US" w:eastAsia="zh-CN"/>
        </w:rPr>
        <w:t>通过实地调查访问，已查明湖南华容东湖国家湿地公园规划区域内脊椎动物共有5纲30目75科198种。其目数、科数和种数分别为湖南省已知种类68.18％、52.45％和23.05％，为全国已知种类的41.10％、17.76％和3.35％。其中，鱼纲7目14科40种；两栖纲1目3科9种；爬行纲3目5科12种；鸟纲15目45科124种；哺乳纲4目8科13种。</w:t>
      </w:r>
    </w:p>
    <w:p w14:paraId="5CAF6CFC">
      <w:pPr>
        <w:spacing w:line="360" w:lineRule="auto"/>
        <w:ind w:firstLine="480" w:firstLineChars="200"/>
        <w:rPr>
          <w:rFonts w:hint="default" w:ascii="Times New Roman" w:hAnsi="Times New Roman" w:eastAsia="宋体" w:cs="Times New Roman"/>
          <w:color w:val="auto"/>
          <w:sz w:val="24"/>
          <w:szCs w:val="24"/>
          <w:u w:val="none" w:color="auto"/>
        </w:rPr>
      </w:pPr>
    </w:p>
    <w:p w14:paraId="71CE4388">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p>
    <w:p w14:paraId="5229CB52">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与项目的位置关系</w:t>
      </w:r>
    </w:p>
    <w:p w14:paraId="640AA51D">
      <w:p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根据叠图分析，本项目位于</w:t>
      </w:r>
      <w:r>
        <w:rPr>
          <w:rFonts w:hint="eastAsia" w:ascii="Times New Roman" w:hAnsi="Times New Roman" w:eastAsia="宋体" w:cs="Times New Roman"/>
          <w:color w:val="auto"/>
          <w:sz w:val="24"/>
          <w:szCs w:val="24"/>
          <w:u w:val="none" w:color="auto"/>
          <w:lang w:val="en-US" w:eastAsia="zh-CN"/>
        </w:rPr>
        <w:t>湿地</w:t>
      </w:r>
      <w:r>
        <w:rPr>
          <w:rFonts w:hint="default" w:ascii="Times New Roman" w:hAnsi="Times New Roman" w:eastAsia="宋体" w:cs="Times New Roman"/>
          <w:color w:val="auto"/>
          <w:sz w:val="24"/>
          <w:szCs w:val="24"/>
          <w:u w:val="none" w:color="auto"/>
          <w:lang w:val="en-US" w:eastAsia="zh-CN"/>
        </w:rPr>
        <w:t>公园的</w:t>
      </w:r>
      <w:r>
        <w:rPr>
          <w:rFonts w:hint="eastAsia" w:ascii="Times New Roman" w:hAnsi="Times New Roman" w:eastAsia="宋体" w:cs="Times New Roman"/>
          <w:color w:val="auto"/>
          <w:sz w:val="24"/>
          <w:szCs w:val="24"/>
          <w:u w:val="none" w:color="auto"/>
          <w:lang w:val="en-US" w:eastAsia="zh-CN"/>
        </w:rPr>
        <w:t>合理利用区</w:t>
      </w:r>
      <w:r>
        <w:rPr>
          <w:rFonts w:hint="default" w:ascii="Times New Roman" w:hAnsi="Times New Roman" w:eastAsia="宋体" w:cs="Times New Roman"/>
          <w:color w:val="auto"/>
          <w:sz w:val="24"/>
          <w:szCs w:val="24"/>
          <w:u w:val="none" w:color="auto"/>
          <w:lang w:val="en-US" w:eastAsia="zh-CN"/>
        </w:rPr>
        <w:t>内。项目与保护区的位置关系具体见附图。</w:t>
      </w:r>
    </w:p>
    <w:p w14:paraId="3D7C15A0">
      <w:pPr>
        <w:pStyle w:val="5"/>
        <w:bidi w:val="0"/>
        <w:rPr>
          <w:rFonts w:hint="eastAsia"/>
          <w:color w:val="auto"/>
          <w:u w:val="none" w:color="auto"/>
          <w:lang w:val="en-US" w:eastAsia="zh-CN"/>
        </w:rPr>
      </w:pPr>
      <w:r>
        <w:rPr>
          <w:rFonts w:hint="eastAsia"/>
          <w:color w:val="auto"/>
          <w:u w:val="none" w:color="auto"/>
          <w:lang w:val="en-US" w:eastAsia="zh-CN"/>
        </w:rPr>
        <w:t>生态保护红线</w:t>
      </w:r>
    </w:p>
    <w:p w14:paraId="5119ED44">
      <w:pPr>
        <w:spacing w:line="360" w:lineRule="auto"/>
        <w:ind w:firstLine="480" w:firstLineChars="200"/>
        <w:rPr>
          <w:rFonts w:hint="eastAsia" w:ascii="Times New Roman" w:hAnsi="Times New Roman" w:eastAsia="宋体" w:cs="Times New Roman"/>
          <w:caps w:val="0"/>
          <w:smallCaps w:val="0"/>
          <w:color w:val="auto"/>
          <w:sz w:val="24"/>
          <w:szCs w:val="24"/>
          <w:highlight w:val="none"/>
          <w:lang w:val="en-US" w:eastAsia="zh-CN"/>
        </w:rPr>
      </w:pPr>
      <w:r>
        <w:rPr>
          <w:rFonts w:hint="eastAsia" w:ascii="Times New Roman" w:hAnsi="Times New Roman" w:eastAsia="宋体" w:cs="Times New Roman"/>
          <w:caps w:val="0"/>
          <w:smallCaps w:val="0"/>
          <w:color w:val="auto"/>
          <w:sz w:val="24"/>
          <w:szCs w:val="24"/>
          <w:highlight w:val="none"/>
          <w:lang w:val="en-US" w:eastAsia="zh-CN"/>
        </w:rPr>
        <w:t>北汊水库整体位于东湖国家湿地公园内，经国土部门查询，项目范围内涉及多处生态保护红线。</w:t>
      </w:r>
    </w:p>
    <w:p w14:paraId="31A3E0A9">
      <w:pPr>
        <w:spacing w:line="360" w:lineRule="auto"/>
        <w:ind w:firstLine="480" w:firstLineChars="200"/>
        <w:rPr>
          <w:rFonts w:hint="eastAsia" w:ascii="Times New Roman" w:hAnsi="Times New Roman" w:eastAsia="宋体" w:cs="Times New Roman"/>
          <w:caps w:val="0"/>
          <w:smallCaps w:val="0"/>
          <w:color w:val="auto"/>
          <w:sz w:val="24"/>
          <w:szCs w:val="24"/>
          <w:highlight w:val="none"/>
          <w:lang w:val="en-US" w:eastAsia="zh-CN"/>
        </w:rPr>
      </w:pPr>
    </w:p>
    <w:p w14:paraId="34727A70">
      <w:pPr>
        <w:spacing w:line="360" w:lineRule="auto"/>
        <w:ind w:firstLine="480" w:firstLineChars="200"/>
        <w:rPr>
          <w:rFonts w:hint="eastAsia" w:ascii="Times New Roman" w:hAnsi="Times New Roman" w:eastAsia="宋体" w:cs="Times New Roman"/>
          <w:caps w:val="0"/>
          <w:smallCaps w:val="0"/>
          <w:color w:val="auto"/>
          <w:sz w:val="24"/>
          <w:szCs w:val="24"/>
          <w:highlight w:val="none"/>
          <w:lang w:val="en-US" w:eastAsia="zh-CN"/>
        </w:rPr>
      </w:pPr>
    </w:p>
    <w:p w14:paraId="476A1B4F">
      <w:pPr>
        <w:spacing w:line="360" w:lineRule="auto"/>
        <w:ind w:firstLine="480" w:firstLineChars="200"/>
        <w:rPr>
          <w:rFonts w:hint="eastAsia" w:ascii="Times New Roman" w:hAnsi="Times New Roman" w:eastAsia="宋体" w:cs="Times New Roman"/>
          <w:caps w:val="0"/>
          <w:smallCaps w:val="0"/>
          <w:color w:val="auto"/>
          <w:sz w:val="24"/>
          <w:szCs w:val="24"/>
          <w:highlight w:val="none"/>
          <w:lang w:val="en-US" w:eastAsia="zh-CN"/>
        </w:rPr>
      </w:pPr>
    </w:p>
    <w:p w14:paraId="3786CA51">
      <w:pPr>
        <w:spacing w:line="360" w:lineRule="auto"/>
        <w:ind w:firstLine="480" w:firstLineChars="200"/>
        <w:rPr>
          <w:rFonts w:hint="default" w:ascii="Times New Roman" w:hAnsi="Times New Roman" w:eastAsia="宋体" w:cs="Times New Roman"/>
          <w:caps w:val="0"/>
          <w:smallCaps w:val="0"/>
          <w:color w:val="auto"/>
          <w:sz w:val="24"/>
          <w:szCs w:val="24"/>
          <w:highlight w:val="none"/>
          <w:lang w:val="en-US" w:eastAsia="zh-CN"/>
        </w:rPr>
      </w:pPr>
      <w:r>
        <w:rPr>
          <w:rFonts w:hint="eastAsia" w:ascii="Times New Roman" w:hAnsi="Times New Roman" w:eastAsia="宋体" w:cs="Times New Roman"/>
          <w:caps w:val="0"/>
          <w:smallCaps w:val="0"/>
          <w:color w:val="auto"/>
          <w:sz w:val="24"/>
          <w:szCs w:val="24"/>
          <w:highlight w:val="none"/>
          <w:lang w:val="en-US" w:eastAsia="zh-CN"/>
        </w:rPr>
        <w:t xml:space="preserve"> </w:t>
      </w:r>
    </w:p>
    <w:p w14:paraId="417DC2E0">
      <w:pPr>
        <w:spacing w:line="360" w:lineRule="auto"/>
        <w:rPr>
          <w:rFonts w:hint="eastAsia" w:ascii="Times New Roman" w:hAnsi="Times New Roman" w:eastAsia="宋体" w:cs="Times New Roman"/>
          <w:sz w:val="24"/>
          <w:szCs w:val="24"/>
          <w:u w:val="none" w:color="auto"/>
          <w:lang w:val="en-US" w:eastAsia="zh-CN"/>
        </w:rPr>
      </w:pPr>
    </w:p>
    <w:p w14:paraId="2FFEFC09">
      <w:pPr>
        <w:spacing w:line="360" w:lineRule="auto"/>
        <w:rPr>
          <w:rFonts w:hint="eastAsia" w:ascii="Times New Roman" w:hAnsi="Times New Roman" w:eastAsia="宋体" w:cs="Times New Roman"/>
          <w:sz w:val="24"/>
          <w:szCs w:val="24"/>
          <w:u w:val="none" w:color="auto"/>
          <w:lang w:val="en-US" w:eastAsia="zh-CN"/>
        </w:rPr>
      </w:pPr>
    </w:p>
    <w:p w14:paraId="228F7172">
      <w:pPr>
        <w:spacing w:line="360" w:lineRule="auto"/>
        <w:rPr>
          <w:rFonts w:hint="eastAsia" w:ascii="Times New Roman" w:hAnsi="Times New Roman" w:eastAsia="宋体" w:cs="Times New Roman"/>
          <w:sz w:val="24"/>
          <w:szCs w:val="24"/>
          <w:u w:val="none" w:color="auto"/>
          <w:lang w:val="en-US" w:eastAsia="zh-CN"/>
        </w:rPr>
      </w:pPr>
    </w:p>
    <w:p w14:paraId="46E9C443">
      <w:pPr>
        <w:spacing w:line="360" w:lineRule="auto"/>
        <w:rPr>
          <w:rFonts w:hint="eastAsia" w:ascii="Times New Roman" w:hAnsi="Times New Roman" w:eastAsia="宋体" w:cs="Times New Roman"/>
          <w:sz w:val="24"/>
          <w:szCs w:val="24"/>
          <w:u w:val="none" w:color="auto"/>
          <w:lang w:val="en-US" w:eastAsia="zh-CN"/>
        </w:rPr>
      </w:pPr>
    </w:p>
    <w:p w14:paraId="7FD2B956">
      <w:pPr>
        <w:spacing w:line="360" w:lineRule="auto"/>
        <w:rPr>
          <w:rFonts w:hint="default" w:ascii="Times New Roman" w:hAnsi="Times New Roman" w:eastAsia="宋体" w:cs="Times New Roman"/>
          <w:sz w:val="24"/>
          <w:szCs w:val="24"/>
          <w:u w:val="none" w:color="auto"/>
          <w:lang w:val="en-US" w:eastAsia="zh-CN"/>
        </w:rPr>
      </w:pPr>
      <w:r>
        <w:rPr>
          <w:rFonts w:hint="eastAsia" w:ascii="Times New Roman" w:hAnsi="Times New Roman" w:eastAsia="宋体" w:cs="Times New Roman"/>
          <w:sz w:val="24"/>
          <w:szCs w:val="24"/>
          <w:u w:val="none" w:color="auto"/>
          <w:lang w:val="en-US" w:eastAsia="zh-CN"/>
        </w:rPr>
        <w:t xml:space="preserve"> </w:t>
      </w:r>
    </w:p>
    <w:p w14:paraId="6BCF2C75">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0299B05B">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526B3C8B">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7CC5CAB6">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48E25221">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37B285DA">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10A6D091">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7483DCAB">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5899CC87">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70183E99">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2358A340">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0299431A">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pPr>
    </w:p>
    <w:p w14:paraId="5B71AAD5">
      <w:pPr>
        <w:pStyle w:val="19"/>
        <w:keepNext w:val="0"/>
        <w:keepLines w:val="0"/>
        <w:pageBreakBefore w:val="0"/>
        <w:widowControl w:val="0"/>
        <w:shd w:val="clear" w:color="auto" w:fill="FFFFFF"/>
        <w:kinsoku w:val="0"/>
        <w:wordWrap w:val="0"/>
        <w:overflowPunct/>
        <w:topLinePunct/>
        <w:autoSpaceDE/>
        <w:autoSpaceDN/>
        <w:bidi w:val="0"/>
        <w:adjustRightInd/>
        <w:snapToGrid/>
        <w:spacing w:before="0" w:after="0" w:line="360" w:lineRule="auto"/>
        <w:ind w:left="0" w:leftChars="0" w:right="0" w:rightChars="0" w:firstLine="440" w:firstLineChars="0"/>
        <w:jc w:val="both"/>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 xml:space="preserve"> </w:t>
      </w:r>
    </w:p>
    <w:p w14:paraId="0B1456D8">
      <w:pPr>
        <w:pStyle w:val="2"/>
        <w:bidi w:val="0"/>
        <w:rPr>
          <w:rFonts w:hint="default" w:ascii="Times New Roman" w:hAnsi="Times New Roman" w:cs="Times New Roman"/>
          <w:u w:val="none" w:color="auto"/>
        </w:rPr>
      </w:pPr>
      <w:bookmarkStart w:id="265" w:name="4.9.1分散式畜禽养殖污染"/>
      <w:bookmarkEnd w:id="265"/>
      <w:bookmarkStart w:id="266" w:name="4.9.1分散式畜禽养殖污染"/>
      <w:bookmarkEnd w:id="266"/>
      <w:bookmarkStart w:id="267" w:name="_Toc17530"/>
      <w:r>
        <w:rPr>
          <w:rFonts w:hint="default" w:ascii="Times New Roman" w:hAnsi="Times New Roman" w:cs="Times New Roman"/>
          <w:u w:val="none" w:color="auto"/>
        </w:rPr>
        <w:t>环境影响预测与评价</w:t>
      </w:r>
      <w:bookmarkEnd w:id="267"/>
    </w:p>
    <w:p w14:paraId="3142BDD1">
      <w:pPr>
        <w:pStyle w:val="3"/>
        <w:bidi w:val="0"/>
        <w:rPr>
          <w:rFonts w:hint="default" w:ascii="Times New Roman" w:hAnsi="Times New Roman" w:eastAsia="宋体" w:cs="Times New Roman"/>
          <w:b/>
          <w:caps w:val="0"/>
          <w:smallCaps w:val="0"/>
          <w:color w:val="auto"/>
          <w:spacing w:val="0"/>
          <w:w w:val="100"/>
          <w:position w:val="0"/>
          <w:sz w:val="28"/>
          <w:szCs w:val="28"/>
          <w:u w:val="none" w:color="auto"/>
          <w:lang w:val="en-US" w:eastAsia="zh-CN"/>
        </w:rPr>
      </w:pPr>
      <w:bookmarkStart w:id="268" w:name="_Toc199"/>
      <w:r>
        <w:rPr>
          <w:rFonts w:hint="default" w:ascii="Times New Roman" w:hAnsi="Times New Roman" w:eastAsia="宋体" w:cs="Times New Roman"/>
          <w:b/>
          <w:caps w:val="0"/>
          <w:smallCaps w:val="0"/>
          <w:color w:val="auto"/>
          <w:spacing w:val="0"/>
          <w:w w:val="100"/>
          <w:position w:val="0"/>
          <w:sz w:val="30"/>
          <w:szCs w:val="30"/>
          <w:u w:val="none" w:color="auto"/>
          <w:lang w:eastAsia="zh-CN"/>
        </w:rPr>
        <w:t>现有</w:t>
      </w:r>
      <w:r>
        <w:rPr>
          <w:rFonts w:hint="default" w:ascii="Times New Roman" w:hAnsi="Times New Roman" w:eastAsia="宋体" w:cs="Times New Roman"/>
          <w:b/>
          <w:caps w:val="0"/>
          <w:smallCaps w:val="0"/>
          <w:color w:val="auto"/>
          <w:spacing w:val="0"/>
          <w:w w:val="100"/>
          <w:position w:val="0"/>
          <w:sz w:val="28"/>
          <w:szCs w:val="28"/>
          <w:u w:val="none" w:color="auto"/>
          <w:lang w:val="en-US" w:eastAsia="zh-CN"/>
        </w:rPr>
        <w:t>工程环境影响回顾性评价</w:t>
      </w:r>
      <w:bookmarkEnd w:id="268"/>
    </w:p>
    <w:p w14:paraId="3B41E46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bookmarkStart w:id="269" w:name="bookmark201"/>
      <w:bookmarkStart w:id="270" w:name="bookmark200"/>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北汊水库工程于1975年动工兴建，1978年建成。2008~2009年水库开展了第一次除险加固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由于水库建设时间较早，当时未要求进行环境影响评价，也缺少建设时相关生态环境资料记录。经与业主单位了解，水库建成至今未收到环保相关问题的投诉举报。本次评价按照水库工程一般变化趋势和环境影响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现有工程环境影响进行简要分析。</w:t>
      </w:r>
    </w:p>
    <w:p w14:paraId="7EE533A3">
      <w:pPr>
        <w:pStyle w:val="4"/>
        <w:bidi w:val="0"/>
        <w:rPr>
          <w:rFonts w:hint="default" w:ascii="Times New Roman" w:hAnsi="Times New Roman" w:cs="Times New Roman"/>
          <w:u w:val="none" w:color="auto"/>
        </w:rPr>
      </w:pPr>
      <w:bookmarkStart w:id="271" w:name="_Toc5812"/>
      <w:r>
        <w:rPr>
          <w:rFonts w:hint="default" w:ascii="Times New Roman" w:hAnsi="Times New Roman" w:cs="Times New Roman"/>
          <w:u w:val="none" w:color="auto"/>
          <w:lang w:val="en-US" w:eastAsia="zh-CN"/>
        </w:rPr>
        <w:t>水环境影响回顾性分析</w:t>
      </w:r>
      <w:bookmarkEnd w:id="271"/>
    </w:p>
    <w:bookmarkEnd w:id="269"/>
    <w:bookmarkEnd w:id="270"/>
    <w:p w14:paraId="2E9D2818">
      <w:pPr>
        <w:numPr>
          <w:ilvl w:val="0"/>
          <w:numId w:val="0"/>
        </w:numPr>
        <w:spacing w:line="360" w:lineRule="auto"/>
        <w:ind w:firstLine="482" w:firstLineChars="200"/>
        <w:rPr>
          <w:rFonts w:hint="default" w:ascii="Times New Roman" w:hAnsi="Times New Roman" w:eastAsia="宋体" w:cs="Times New Roman"/>
          <w:b/>
          <w:bCs/>
          <w:sz w:val="24"/>
          <w:szCs w:val="24"/>
          <w:u w:val="none" w:color="auto"/>
          <w:lang w:val="en-US" w:eastAsia="zh-CN"/>
        </w:rPr>
      </w:pPr>
      <w:r>
        <w:rPr>
          <w:rFonts w:hint="default" w:ascii="Times New Roman" w:hAnsi="Times New Roman" w:eastAsia="宋体" w:cs="Times New Roman"/>
          <w:b/>
          <w:bCs/>
          <w:sz w:val="24"/>
          <w:szCs w:val="24"/>
          <w:u w:val="none" w:color="auto"/>
          <w:lang w:val="en-US" w:eastAsia="zh-CN"/>
        </w:rPr>
        <w:t>1、水质影响回顾分析</w:t>
      </w:r>
    </w:p>
    <w:p w14:paraId="02E1AECB">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（1）对库区水质影响分析</w:t>
      </w:r>
    </w:p>
    <w:p w14:paraId="1A0D24DA">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水库蓄水后，其库底遗留的有机质、可溶盐对水质将产生一定的影响；水库的调蓄使水流流速减缓，水动力条件发生变化，滞留时间的延长也将对水质有一定的影响。</w:t>
      </w:r>
    </w:p>
    <w:p w14:paraId="104C50D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根据2024年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日对库区水环境质量现状监测结果，水库</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中心断面总磷、总氮超过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《地表水环境质量标准》（GB3838-2002）中III类水质标准</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，其他各因子可满足III类标准要求。超标原因可能是水库周边灌区农田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氮肥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磷肥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流失，通过地表径流汇入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北汊水库；同时北汊水库具有养殖功能，养殖废水也会导致总氮、总磷超标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11D4CD69">
      <w:pPr>
        <w:bidi w:val="0"/>
        <w:spacing w:line="360" w:lineRule="auto"/>
        <w:ind w:firstLine="480" w:firstLineChars="200"/>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bidi="ar-SA"/>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bidi="ar-SA"/>
        </w:rPr>
        <w:t>（2）库区富营养化分析</w:t>
      </w:r>
    </w:p>
    <w:p w14:paraId="1A2D62AE">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水体富营养化是一种营养物质在水库水体中积累过多，而造成水体从生产力低的贫营养状态逐步向生产力高的富营养化状态过渡的一种现象，富营养化将引起藻类的过量生长，过量的藻类生长间接地使水中的溶解氧含量降低，恶化水质，水体产生颜色异常、异臭和毒性，将不能满足水体水质要求，水体中各种生物正常的生态平衡就会被扰乱，使鱼类种群发生显著变化。通常认为，氮、磷等营养物质的输入和富集是水体发生富营养化的最主要原因，特别是磷是控制水体藻类生长的主要因素。氮在水中常以 NO</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、NO</w:t>
      </w:r>
      <w:r>
        <w:rPr>
          <w:rFonts w:hint="default" w:ascii="Times New Roman" w:hAnsi="Times New Roman" w:eastAsia="宋体" w:cs="Times New Roman"/>
          <w:color w:val="auto"/>
          <w:sz w:val="24"/>
          <w:u w:val="none" w:color="auto"/>
          <w:vertAlign w:val="superscript"/>
        </w:rPr>
        <w:t>2-</w:t>
      </w:r>
      <w:r>
        <w:rPr>
          <w:rFonts w:hint="default" w:ascii="Times New Roman" w:hAnsi="Times New Roman" w:eastAsia="宋体" w:cs="Times New Roman"/>
          <w:color w:val="auto"/>
          <w:sz w:val="24"/>
          <w:u w:val="none" w:color="auto"/>
        </w:rPr>
        <w:t>、NH</w:t>
      </w:r>
      <w:r>
        <w:rPr>
          <w:rFonts w:hint="default" w:ascii="Times New Roman" w:hAnsi="Times New Roman" w:eastAsia="宋体" w:cs="Times New Roman"/>
          <w:color w:val="auto"/>
          <w:sz w:val="24"/>
          <w:u w:val="none" w:color="auto"/>
          <w:vertAlign w:val="subscript"/>
        </w:rPr>
        <w:t>4</w:t>
      </w:r>
      <w:r>
        <w:rPr>
          <w:rFonts w:hint="default" w:ascii="Times New Roman" w:hAnsi="Times New Roman" w:eastAsia="宋体" w:cs="Times New Roman"/>
          <w:color w:val="auto"/>
          <w:sz w:val="24"/>
          <w:u w:val="none" w:color="auto"/>
        </w:rPr>
        <w:t xml:space="preserve"> 的形式存在，不易处理和控制；而磷是富营养化作用中易被控制的最敏感因素。</w:t>
      </w:r>
    </w:p>
    <w:p w14:paraId="20E52617">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水库蓄水后，库内水位将抬高，虽然会使库区内水流速度减缓，污染物降解速度减缓，但由于汇入水库的流水水质稳定、浓度低，且污染物在库区内的停留时间变长，蓄水前通过对水库淹没范围内的区域积极清库，通常库区水体COD浓度不会发生明显变化，但是由于N、P营养元素的累积，可能会导致坝前水库富营养化。</w:t>
      </w:r>
    </w:p>
    <w:p w14:paraId="235B760B">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2"/>
          <w:u w:val="none" w:color="auto"/>
          <w:lang w:val="en-US" w:eastAsia="zh-CN" w:bidi="ar-SA"/>
        </w:rPr>
        <w:t>本次评价根据现有监测数据，对水库库区营养状态进行评价。</w:t>
      </w:r>
      <w:r>
        <w:rPr>
          <w:rFonts w:hint="default" w:ascii="Times New Roman" w:hAnsi="Times New Roman" w:eastAsia="宋体" w:cs="Times New Roman"/>
          <w:color w:val="auto"/>
          <w:kern w:val="2"/>
          <w:sz w:val="24"/>
          <w:szCs w:val="24"/>
          <w:u w:val="none" w:color="auto"/>
          <w:lang w:val="en-US" w:eastAsia="zh-CN" w:bidi="ar-SA"/>
        </w:rPr>
        <w:t>综合营养状态指数计算公式为：</w:t>
      </w:r>
    </w:p>
    <w:p w14:paraId="6AF1F82E">
      <w:pPr>
        <w:widowControl w:val="0"/>
        <w:spacing w:before="0" w:after="0" w:afterLines="0" w:line="360" w:lineRule="auto"/>
        <w:ind w:right="0" w:firstLine="480" w:firstLineChars="200"/>
        <w:jc w:val="center"/>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position w:val="-30"/>
          <w:sz w:val="24"/>
          <w:szCs w:val="24"/>
          <w:u w:val="none" w:color="auto"/>
          <w:lang w:val="en-US" w:eastAsia="zh-CN" w:bidi="ar-SA"/>
        </w:rPr>
        <w:object>
          <v:shape id="_x0000_i1036" o:spt="75" type="#_x0000_t75" style="height:35pt;width:120pt;" o:ole="t" filled="f" o:preferrelative="t" stroked="f" coordsize="21600,21600">
            <v:path/>
            <v:fill on="f" focussize="0,0"/>
            <v:stroke on="f"/>
            <v:imagedata r:id="rId55" o:title=""/>
            <o:lock v:ext="edit" aspectratio="t"/>
            <w10:wrap type="none"/>
            <w10:anchorlock/>
          </v:shape>
          <o:OLEObject Type="Embed" ProgID="Equation.KSEE3" ShapeID="_x0000_i1036" DrawAspect="Content" ObjectID="_1468075736" r:id="rId54">
            <o:LockedField>false</o:LockedField>
          </o:OLEObject>
        </w:object>
      </w:r>
    </w:p>
    <w:p w14:paraId="6FB71554">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式中：</w:t>
      </w:r>
      <w:r>
        <w:rPr>
          <w:rFonts w:hint="default" w:ascii="Times New Roman" w:hAnsi="Times New Roman" w:eastAsia="宋体" w:cs="Times New Roman"/>
          <w:color w:val="auto"/>
          <w:kern w:val="2"/>
          <w:sz w:val="24"/>
          <w:szCs w:val="24"/>
          <w:u w:val="none" w:color="auto"/>
          <w:lang w:val="en-US" w:eastAsia="zh-CN" w:bidi="ar-SA"/>
        </w:rPr>
        <w:drawing>
          <wp:inline distT="0" distB="0" distL="114300" distR="114300">
            <wp:extent cx="485775" cy="200025"/>
            <wp:effectExtent l="0" t="0" r="0" b="1333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56"/>
                    <a:stretch>
                      <a:fillRect/>
                    </a:stretch>
                  </pic:blipFill>
                  <pic:spPr>
                    <a:xfrm>
                      <a:off x="0" y="0"/>
                      <a:ext cx="485775" cy="200025"/>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u w:val="none" w:color="auto"/>
          <w:lang w:val="en-US" w:eastAsia="zh-CN" w:bidi="ar-SA"/>
        </w:rPr>
        <w:t>—综合营养状态指数；</w:t>
      </w:r>
    </w:p>
    <w:p w14:paraId="4C7003DB">
      <w:pPr>
        <w:widowControl w:val="0"/>
        <w:spacing w:before="0" w:after="0" w:afterLines="0" w:line="360" w:lineRule="auto"/>
        <w:ind w:right="0" w:firstLine="1200" w:firstLineChars="5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Wj—第j种参数的营养状态指数的相关权重；</w:t>
      </w:r>
    </w:p>
    <w:p w14:paraId="37E94CD0">
      <w:pPr>
        <w:widowControl w:val="0"/>
        <w:spacing w:before="0" w:after="0" w:afterLines="0" w:line="360" w:lineRule="auto"/>
        <w:ind w:right="0" w:firstLine="1200" w:firstLineChars="5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TLI（j）—代表第j种参数的营养状态指数；</w:t>
      </w:r>
    </w:p>
    <w:p w14:paraId="4A1237E6">
      <w:pPr>
        <w:widowControl w:val="0"/>
        <w:spacing w:before="0" w:after="0" w:afterLines="0" w:line="360" w:lineRule="auto"/>
        <w:ind w:right="0" w:firstLine="720" w:firstLineChars="3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以chla作为基准参数，则第j种参数的归一化的相关权重计算公式为：</w:t>
      </w:r>
    </w:p>
    <w:p w14:paraId="170D5917">
      <w:pPr>
        <w:spacing w:line="360" w:lineRule="auto"/>
        <w:ind w:firstLine="480" w:firstLineChars="20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position w:val="-64"/>
          <w:sz w:val="24"/>
          <w:u w:val="none" w:color="auto"/>
        </w:rPr>
        <w:object>
          <v:shape id="_x0000_i1037" o:spt="75" type="#_x0000_t75" style="height:55pt;width:59pt;" o:ole="t" filled="f" o:preferrelative="t" stroked="f" coordsize="21600,21600">
            <v:path/>
            <v:fill on="f" focussize="0,0"/>
            <v:stroke on="f"/>
            <v:imagedata r:id="rId58" o:title=""/>
            <o:lock v:ext="edit" aspectratio="t"/>
            <w10:wrap type="none"/>
            <w10:anchorlock/>
          </v:shape>
          <o:OLEObject Type="Embed" ProgID="Equation.KSEE3" ShapeID="_x0000_i1037" DrawAspect="Content" ObjectID="_1468075737" r:id="rId57">
            <o:LockedField>false</o:LockedField>
          </o:OLEObject>
        </w:object>
      </w:r>
    </w:p>
    <w:p w14:paraId="7A498CFF">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式中：r</w:t>
      </w:r>
      <w:r>
        <w:rPr>
          <w:rFonts w:hint="default" w:ascii="Times New Roman" w:hAnsi="Times New Roman" w:eastAsia="宋体" w:cs="Times New Roman"/>
          <w:color w:val="auto"/>
          <w:kern w:val="2"/>
          <w:sz w:val="24"/>
          <w:szCs w:val="24"/>
          <w:u w:val="none" w:color="auto"/>
          <w:vertAlign w:val="subscript"/>
          <w:lang w:val="en-US" w:eastAsia="zh-CN" w:bidi="ar-SA"/>
        </w:rPr>
        <w:t>ij</w:t>
      </w:r>
      <w:r>
        <w:rPr>
          <w:rFonts w:hint="default" w:ascii="Times New Roman" w:hAnsi="Times New Roman" w:eastAsia="宋体" w:cs="Times New Roman"/>
          <w:color w:val="auto"/>
          <w:kern w:val="2"/>
          <w:sz w:val="24"/>
          <w:szCs w:val="24"/>
          <w:u w:val="none" w:color="auto"/>
          <w:lang w:val="en-US" w:eastAsia="zh-CN" w:bidi="ar-SA"/>
        </w:rPr>
        <w:t>—第j种参数与基准参数chla的相关系数；</w:t>
      </w:r>
    </w:p>
    <w:p w14:paraId="4F392AE9">
      <w:pPr>
        <w:widowControl w:val="0"/>
        <w:spacing w:before="0" w:after="0" w:afterLines="0" w:line="360" w:lineRule="auto"/>
        <w:ind w:right="0" w:firstLine="1200" w:firstLineChars="5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m—评价参数的个数。</w:t>
      </w:r>
    </w:p>
    <w:p w14:paraId="127BEE6C">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中国湖泊(水库)的chla与其它参数之间的相关关系r</w:t>
      </w:r>
      <w:r>
        <w:rPr>
          <w:rFonts w:hint="default" w:ascii="Times New Roman" w:hAnsi="Times New Roman" w:eastAsia="宋体" w:cs="Times New Roman"/>
          <w:color w:val="auto"/>
          <w:kern w:val="2"/>
          <w:sz w:val="24"/>
          <w:szCs w:val="24"/>
          <w:u w:val="none" w:color="auto"/>
          <w:vertAlign w:val="subscript"/>
          <w:lang w:val="en-US" w:eastAsia="zh-CN" w:bidi="ar-SA"/>
        </w:rPr>
        <w:t>ij</w:t>
      </w:r>
      <w:r>
        <w:rPr>
          <w:rFonts w:hint="default" w:ascii="Times New Roman" w:hAnsi="Times New Roman" w:eastAsia="宋体" w:cs="Times New Roman"/>
          <w:color w:val="auto"/>
          <w:kern w:val="2"/>
          <w:sz w:val="24"/>
          <w:szCs w:val="24"/>
          <w:u w:val="none" w:color="auto"/>
          <w:lang w:val="en-US" w:eastAsia="zh-CN" w:bidi="ar-SA"/>
        </w:rPr>
        <w:t>及r</w:t>
      </w:r>
      <w:r>
        <w:rPr>
          <w:rFonts w:hint="default" w:ascii="Times New Roman" w:hAnsi="Times New Roman" w:eastAsia="宋体" w:cs="Times New Roman"/>
          <w:color w:val="auto"/>
          <w:kern w:val="2"/>
          <w:sz w:val="24"/>
          <w:szCs w:val="24"/>
          <w:u w:val="none" w:color="auto"/>
          <w:vertAlign w:val="subscript"/>
          <w:lang w:val="en-US" w:eastAsia="zh-CN" w:bidi="ar-SA"/>
        </w:rPr>
        <w:t>ij</w:t>
      </w:r>
      <w:r>
        <w:rPr>
          <w:rFonts w:hint="default" w:ascii="Times New Roman" w:hAnsi="Times New Roman" w:eastAsia="宋体" w:cs="Times New Roman"/>
          <w:color w:val="auto"/>
          <w:kern w:val="2"/>
          <w:sz w:val="24"/>
          <w:szCs w:val="24"/>
          <w:u w:val="none" w:color="auto"/>
          <w:vertAlign w:val="superscript"/>
          <w:lang w:val="en-US" w:eastAsia="zh-CN" w:bidi="ar-SA"/>
        </w:rPr>
        <w:t>2</w:t>
      </w:r>
      <w:r>
        <w:rPr>
          <w:rFonts w:hint="default" w:ascii="Times New Roman" w:hAnsi="Times New Roman" w:eastAsia="宋体" w:cs="Times New Roman"/>
          <w:color w:val="auto"/>
          <w:kern w:val="2"/>
          <w:sz w:val="24"/>
          <w:szCs w:val="24"/>
          <w:u w:val="none" w:color="auto"/>
          <w:lang w:val="en-US" w:eastAsia="zh-CN" w:bidi="ar-SA"/>
        </w:rPr>
        <w:t>见下表。</w:t>
      </w:r>
    </w:p>
    <w:p w14:paraId="06C30266">
      <w:pPr>
        <w:widowControl w:val="0"/>
        <w:spacing w:before="0" w:after="0" w:afterLines="0" w:line="240" w:lineRule="auto"/>
        <w:ind w:right="0"/>
        <w:jc w:val="center"/>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4"/>
          <w:szCs w:val="24"/>
          <w:u w:val="none" w:color="auto"/>
          <w:lang w:val="en-US" w:eastAsia="zh-CN" w:bidi="ar-SA"/>
        </w:rPr>
        <w:t>表4.1-1  中国湖泊（水库）部分参数与chla的相关关系rij和rij2值</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14:paraId="0E7D7B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3" w:type="pct"/>
            <w:noWrap w:val="0"/>
            <w:vAlign w:val="center"/>
          </w:tcPr>
          <w:p w14:paraId="00BA0905">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
                <w:bCs w:val="0"/>
                <w:color w:val="auto"/>
                <w:kern w:val="2"/>
                <w:sz w:val="21"/>
                <w:szCs w:val="21"/>
                <w:u w:val="none" w:color="auto"/>
                <w:lang w:val="en-US" w:eastAsia="zh-CN" w:bidi="ar-SA"/>
              </w:rPr>
            </w:pPr>
            <w:r>
              <w:rPr>
                <w:rFonts w:hint="default" w:ascii="Times New Roman" w:hAnsi="Times New Roman" w:eastAsia="宋体" w:cs="Times New Roman"/>
                <w:b/>
                <w:bCs w:val="0"/>
                <w:color w:val="auto"/>
                <w:kern w:val="2"/>
                <w:sz w:val="21"/>
                <w:szCs w:val="21"/>
                <w:u w:val="none" w:color="auto"/>
                <w:lang w:val="en-US" w:eastAsia="zh-CN" w:bidi="ar-SA"/>
              </w:rPr>
              <w:t>参数</w:t>
            </w:r>
          </w:p>
        </w:tc>
        <w:tc>
          <w:tcPr>
            <w:tcW w:w="833" w:type="pct"/>
            <w:noWrap w:val="0"/>
            <w:vAlign w:val="center"/>
          </w:tcPr>
          <w:p w14:paraId="6120DDE5">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chla</w:t>
            </w:r>
          </w:p>
        </w:tc>
        <w:tc>
          <w:tcPr>
            <w:tcW w:w="833" w:type="pct"/>
            <w:noWrap w:val="0"/>
            <w:vAlign w:val="center"/>
          </w:tcPr>
          <w:p w14:paraId="0BC1A8A4">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TP</w:t>
            </w:r>
          </w:p>
        </w:tc>
        <w:tc>
          <w:tcPr>
            <w:tcW w:w="833" w:type="pct"/>
            <w:noWrap w:val="0"/>
            <w:vAlign w:val="center"/>
          </w:tcPr>
          <w:p w14:paraId="63D8E488">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TN</w:t>
            </w:r>
          </w:p>
        </w:tc>
        <w:tc>
          <w:tcPr>
            <w:tcW w:w="833" w:type="pct"/>
            <w:noWrap w:val="0"/>
            <w:vAlign w:val="center"/>
          </w:tcPr>
          <w:p w14:paraId="25B736EC">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SD</w:t>
            </w:r>
          </w:p>
        </w:tc>
        <w:tc>
          <w:tcPr>
            <w:tcW w:w="833" w:type="pct"/>
            <w:noWrap w:val="0"/>
            <w:vAlign w:val="center"/>
          </w:tcPr>
          <w:p w14:paraId="2B0FED19">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COD</w:t>
            </w:r>
            <w:r>
              <w:rPr>
                <w:rFonts w:hint="default" w:ascii="Times New Roman" w:hAnsi="Times New Roman" w:eastAsia="宋体" w:cs="Times New Roman"/>
                <w:bCs/>
                <w:color w:val="auto"/>
                <w:kern w:val="2"/>
                <w:sz w:val="21"/>
                <w:szCs w:val="21"/>
                <w:u w:val="none" w:color="auto"/>
                <w:vertAlign w:val="subscript"/>
                <w:lang w:val="en-US" w:eastAsia="zh-CN" w:bidi="ar-SA"/>
              </w:rPr>
              <w:t>Mn</w:t>
            </w:r>
          </w:p>
        </w:tc>
      </w:tr>
      <w:tr w14:paraId="12E4C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3" w:type="pct"/>
            <w:noWrap w:val="0"/>
            <w:vAlign w:val="center"/>
          </w:tcPr>
          <w:p w14:paraId="1707E352">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
                <w:bCs w:val="0"/>
                <w:color w:val="auto"/>
                <w:kern w:val="2"/>
                <w:sz w:val="21"/>
                <w:szCs w:val="21"/>
                <w:u w:val="none" w:color="auto"/>
                <w:lang w:val="en-US" w:eastAsia="zh-CN" w:bidi="ar-SA"/>
              </w:rPr>
            </w:pPr>
            <w:r>
              <w:rPr>
                <w:rFonts w:hint="default" w:ascii="Times New Roman" w:hAnsi="Times New Roman" w:eastAsia="宋体" w:cs="Times New Roman"/>
                <w:b/>
                <w:bCs w:val="0"/>
                <w:color w:val="auto"/>
                <w:kern w:val="2"/>
                <w:sz w:val="21"/>
                <w:szCs w:val="21"/>
                <w:u w:val="none" w:color="auto"/>
                <w:lang w:val="en-US" w:eastAsia="zh-CN" w:bidi="ar-SA"/>
              </w:rPr>
              <w:t>r</w:t>
            </w:r>
            <w:r>
              <w:rPr>
                <w:rFonts w:hint="default" w:ascii="Times New Roman" w:hAnsi="Times New Roman" w:eastAsia="宋体" w:cs="Times New Roman"/>
                <w:b/>
                <w:bCs w:val="0"/>
                <w:color w:val="auto"/>
                <w:kern w:val="2"/>
                <w:sz w:val="21"/>
                <w:szCs w:val="21"/>
                <w:u w:val="none" w:color="auto"/>
                <w:vertAlign w:val="subscript"/>
                <w:lang w:val="en-US" w:eastAsia="zh-CN" w:bidi="ar-SA"/>
              </w:rPr>
              <w:t>ij</w:t>
            </w:r>
          </w:p>
        </w:tc>
        <w:tc>
          <w:tcPr>
            <w:tcW w:w="833" w:type="pct"/>
            <w:noWrap w:val="0"/>
            <w:vAlign w:val="center"/>
          </w:tcPr>
          <w:p w14:paraId="303E882E">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1</w:t>
            </w:r>
          </w:p>
        </w:tc>
        <w:tc>
          <w:tcPr>
            <w:tcW w:w="833" w:type="pct"/>
            <w:noWrap w:val="0"/>
            <w:vAlign w:val="center"/>
          </w:tcPr>
          <w:p w14:paraId="71B401EF">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0.84</w:t>
            </w:r>
          </w:p>
        </w:tc>
        <w:tc>
          <w:tcPr>
            <w:tcW w:w="833" w:type="pct"/>
            <w:noWrap w:val="0"/>
            <w:vAlign w:val="center"/>
          </w:tcPr>
          <w:p w14:paraId="1258419B">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0.82</w:t>
            </w:r>
          </w:p>
        </w:tc>
        <w:tc>
          <w:tcPr>
            <w:tcW w:w="833" w:type="pct"/>
            <w:noWrap w:val="0"/>
            <w:vAlign w:val="center"/>
          </w:tcPr>
          <w:p w14:paraId="0326B697">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-0.83</w:t>
            </w:r>
          </w:p>
        </w:tc>
        <w:tc>
          <w:tcPr>
            <w:tcW w:w="833" w:type="pct"/>
            <w:noWrap w:val="0"/>
            <w:vAlign w:val="center"/>
          </w:tcPr>
          <w:p w14:paraId="48766B6A">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0.83</w:t>
            </w:r>
          </w:p>
        </w:tc>
      </w:tr>
      <w:tr w14:paraId="570A4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3" w:type="pct"/>
            <w:noWrap w:val="0"/>
            <w:vAlign w:val="center"/>
          </w:tcPr>
          <w:p w14:paraId="1C167402">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
                <w:bCs w:val="0"/>
                <w:color w:val="auto"/>
                <w:kern w:val="2"/>
                <w:sz w:val="21"/>
                <w:szCs w:val="21"/>
                <w:u w:val="none" w:color="auto"/>
                <w:lang w:val="en-US" w:eastAsia="zh-CN" w:bidi="ar-SA"/>
              </w:rPr>
            </w:pPr>
            <w:r>
              <w:rPr>
                <w:rFonts w:hint="default" w:ascii="Times New Roman" w:hAnsi="Times New Roman" w:eastAsia="宋体" w:cs="Times New Roman"/>
                <w:b/>
                <w:bCs w:val="0"/>
                <w:color w:val="auto"/>
                <w:kern w:val="2"/>
                <w:sz w:val="21"/>
                <w:szCs w:val="21"/>
                <w:u w:val="none" w:color="auto"/>
                <w:lang w:val="en-US" w:eastAsia="zh-CN" w:bidi="ar-SA"/>
              </w:rPr>
              <w:t>r</w:t>
            </w:r>
            <w:r>
              <w:rPr>
                <w:rFonts w:hint="default" w:ascii="Times New Roman" w:hAnsi="Times New Roman" w:eastAsia="宋体" w:cs="Times New Roman"/>
                <w:b/>
                <w:bCs w:val="0"/>
                <w:color w:val="auto"/>
                <w:kern w:val="2"/>
                <w:sz w:val="21"/>
                <w:szCs w:val="21"/>
                <w:u w:val="none" w:color="auto"/>
                <w:vertAlign w:val="subscript"/>
                <w:lang w:val="en-US" w:eastAsia="zh-CN" w:bidi="ar-SA"/>
              </w:rPr>
              <w:t>ij</w:t>
            </w:r>
            <w:r>
              <w:rPr>
                <w:rFonts w:hint="default" w:ascii="Times New Roman" w:hAnsi="Times New Roman" w:eastAsia="宋体" w:cs="Times New Roman"/>
                <w:b/>
                <w:bCs w:val="0"/>
                <w:color w:val="auto"/>
                <w:kern w:val="2"/>
                <w:sz w:val="21"/>
                <w:szCs w:val="21"/>
                <w:u w:val="none" w:color="auto"/>
                <w:vertAlign w:val="superscript"/>
                <w:lang w:val="en-US" w:eastAsia="zh-CN" w:bidi="ar-SA"/>
              </w:rPr>
              <w:t>2</w:t>
            </w:r>
          </w:p>
        </w:tc>
        <w:tc>
          <w:tcPr>
            <w:tcW w:w="833" w:type="pct"/>
            <w:noWrap w:val="0"/>
            <w:vAlign w:val="center"/>
          </w:tcPr>
          <w:p w14:paraId="4A649202">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1</w:t>
            </w:r>
          </w:p>
        </w:tc>
        <w:tc>
          <w:tcPr>
            <w:tcW w:w="833" w:type="pct"/>
            <w:noWrap w:val="0"/>
            <w:vAlign w:val="center"/>
          </w:tcPr>
          <w:p w14:paraId="0EEBA040">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0.7056</w:t>
            </w:r>
          </w:p>
        </w:tc>
        <w:tc>
          <w:tcPr>
            <w:tcW w:w="833" w:type="pct"/>
            <w:noWrap w:val="0"/>
            <w:vAlign w:val="center"/>
          </w:tcPr>
          <w:p w14:paraId="6D2B3819">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0.6724</w:t>
            </w:r>
          </w:p>
        </w:tc>
        <w:tc>
          <w:tcPr>
            <w:tcW w:w="833" w:type="pct"/>
            <w:noWrap w:val="0"/>
            <w:vAlign w:val="center"/>
          </w:tcPr>
          <w:p w14:paraId="31B3F111">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0.6889</w:t>
            </w:r>
          </w:p>
        </w:tc>
        <w:tc>
          <w:tcPr>
            <w:tcW w:w="833" w:type="pct"/>
            <w:noWrap w:val="0"/>
            <w:vAlign w:val="center"/>
          </w:tcPr>
          <w:p w14:paraId="1D660ADA">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0.6889</w:t>
            </w:r>
          </w:p>
        </w:tc>
      </w:tr>
    </w:tbl>
    <w:p w14:paraId="1754FE86">
      <w:pPr>
        <w:widowControl w:val="0"/>
        <w:spacing w:before="0" w:after="0" w:afterLines="0" w:line="360" w:lineRule="auto"/>
        <w:ind w:right="0" w:firstLine="420" w:firstLineChars="200"/>
        <w:jc w:val="both"/>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注：引自金相灿等著《中国湖泊环境》，表中rij来源于中国26个主要湖泊调查数据的计算结果。</w:t>
      </w:r>
    </w:p>
    <w:p w14:paraId="58C2AB17">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营养状态指数计算公式为：</w:t>
      </w:r>
    </w:p>
    <w:p w14:paraId="141ABB5B">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TLI（chl，叶绿素a，mg/m</w:t>
      </w:r>
      <w:r>
        <w:rPr>
          <w:rFonts w:hint="default" w:ascii="Times New Roman" w:hAnsi="Times New Roman" w:eastAsia="宋体" w:cs="Times New Roman"/>
          <w:color w:val="auto"/>
          <w:kern w:val="2"/>
          <w:sz w:val="24"/>
          <w:szCs w:val="24"/>
          <w:u w:val="none" w:color="auto"/>
          <w:vertAlign w:val="superscript"/>
          <w:lang w:val="en-US" w:eastAsia="zh-CN" w:bidi="ar-SA"/>
        </w:rPr>
        <w:t>3</w:t>
      </w:r>
      <w:r>
        <w:rPr>
          <w:rFonts w:hint="default" w:ascii="Times New Roman" w:hAnsi="Times New Roman" w:eastAsia="宋体" w:cs="Times New Roman"/>
          <w:color w:val="auto"/>
          <w:kern w:val="2"/>
          <w:sz w:val="24"/>
          <w:szCs w:val="24"/>
          <w:u w:val="none" w:color="auto"/>
          <w:lang w:val="en-US" w:eastAsia="zh-CN" w:bidi="ar-SA"/>
        </w:rPr>
        <w:t>）=10（2.5+1.086lnchl）</w:t>
      </w:r>
    </w:p>
    <w:p w14:paraId="65CB6115">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TLI（TP，总磷，mg/L）=10（9.436+1.624lnTP）</w:t>
      </w:r>
    </w:p>
    <w:p w14:paraId="6BB89F3E">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TLI（TN，总氮，mg/L）=10（5.453+1.694lnTN）</w:t>
      </w:r>
    </w:p>
    <w:p w14:paraId="2C4C4E1D">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TLI（SD，透明度，m）=10（5.118-1.94lnSD）</w:t>
      </w:r>
    </w:p>
    <w:p w14:paraId="59538B08">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TLI（COD</w:t>
      </w:r>
      <w:r>
        <w:rPr>
          <w:rFonts w:hint="default" w:ascii="Times New Roman" w:hAnsi="Times New Roman" w:eastAsia="宋体" w:cs="Times New Roman"/>
          <w:color w:val="auto"/>
          <w:kern w:val="2"/>
          <w:sz w:val="24"/>
          <w:szCs w:val="24"/>
          <w:u w:val="none" w:color="auto"/>
          <w:vertAlign w:val="subscript"/>
          <w:lang w:val="en-US" w:eastAsia="zh-CN" w:bidi="ar-SA"/>
        </w:rPr>
        <w:t>Mn</w:t>
      </w:r>
      <w:r>
        <w:rPr>
          <w:rFonts w:hint="default" w:ascii="Times New Roman" w:hAnsi="Times New Roman" w:eastAsia="宋体" w:cs="Times New Roman"/>
          <w:color w:val="auto"/>
          <w:kern w:val="2"/>
          <w:sz w:val="24"/>
          <w:szCs w:val="24"/>
          <w:u w:val="none" w:color="auto"/>
          <w:lang w:val="en-US" w:eastAsia="zh-CN" w:bidi="ar-SA"/>
        </w:rPr>
        <w:t>，耗氧量，mg/L）=10（0.109+2.661lnCOD）</w:t>
      </w:r>
    </w:p>
    <w:p w14:paraId="367AB756">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根据《地表水资源质量评价基数规程》（SL395-2007），湖泊（水库）营养状态分级采用0～100的一系列连续数字对湖泊营养状态进行分级，见表</w:t>
      </w:r>
      <w:r>
        <w:rPr>
          <w:rFonts w:hint="default" w:ascii="Times New Roman" w:hAnsi="Times New Roman" w:eastAsia="宋体" w:cs="Times New Roman"/>
          <w:color w:val="auto"/>
          <w:sz w:val="24"/>
          <w:u w:val="none" w:color="auto"/>
          <w:lang w:val="en-US" w:eastAsia="zh-CN"/>
        </w:rPr>
        <w:t>4.1-2</w:t>
      </w:r>
      <w:r>
        <w:rPr>
          <w:rFonts w:hint="default" w:ascii="Times New Roman" w:hAnsi="Times New Roman" w:eastAsia="宋体" w:cs="Times New Roman"/>
          <w:color w:val="auto"/>
          <w:sz w:val="24"/>
          <w:u w:val="none" w:color="auto"/>
        </w:rPr>
        <w:t>。</w:t>
      </w:r>
    </w:p>
    <w:p w14:paraId="31CBB5A4">
      <w:pPr>
        <w:widowControl w:val="0"/>
        <w:spacing w:before="0" w:after="0" w:afterLines="0" w:line="240" w:lineRule="auto"/>
        <w:ind w:right="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表4.1-2  湖泊（水库）营养状态分级</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1"/>
        <w:gridCol w:w="3727"/>
        <w:gridCol w:w="3885"/>
      </w:tblGrid>
      <w:tr w14:paraId="1E648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325FA7A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szCs w:val="21"/>
                <w:u w:val="none" w:color="auto"/>
              </w:rPr>
              <w:t>序号</w:t>
            </w:r>
          </w:p>
        </w:tc>
        <w:tc>
          <w:tcPr>
            <w:tcW w:w="2188" w:type="pct"/>
            <w:noWrap w:val="0"/>
            <w:vAlign w:val="center"/>
          </w:tcPr>
          <w:p w14:paraId="77553E7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szCs w:val="21"/>
                <w:u w:val="none" w:color="auto"/>
              </w:rPr>
              <w:t>综合营养状态指数TLI(Σ)</w:t>
            </w:r>
          </w:p>
        </w:tc>
        <w:tc>
          <w:tcPr>
            <w:tcW w:w="2281" w:type="pct"/>
            <w:noWrap w:val="0"/>
            <w:vAlign w:val="center"/>
          </w:tcPr>
          <w:p w14:paraId="0357195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szCs w:val="21"/>
                <w:u w:val="none" w:color="auto"/>
              </w:rPr>
              <w:t>湖泊（水库）营养状态分级</w:t>
            </w:r>
          </w:p>
        </w:tc>
      </w:tr>
      <w:tr w14:paraId="52163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5A35A8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1</w:t>
            </w:r>
          </w:p>
        </w:tc>
        <w:tc>
          <w:tcPr>
            <w:tcW w:w="2188" w:type="pct"/>
            <w:noWrap w:val="0"/>
            <w:vAlign w:val="center"/>
          </w:tcPr>
          <w:p w14:paraId="1FA6CF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TLI(Σ)＜30</w:t>
            </w:r>
          </w:p>
        </w:tc>
        <w:tc>
          <w:tcPr>
            <w:tcW w:w="2281" w:type="pct"/>
            <w:noWrap w:val="0"/>
            <w:vAlign w:val="center"/>
          </w:tcPr>
          <w:p w14:paraId="174A28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贫营养</w:t>
            </w:r>
          </w:p>
        </w:tc>
      </w:tr>
      <w:tr w14:paraId="790252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19382B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2</w:t>
            </w:r>
          </w:p>
        </w:tc>
        <w:tc>
          <w:tcPr>
            <w:tcW w:w="2188" w:type="pct"/>
            <w:noWrap w:val="0"/>
            <w:vAlign w:val="center"/>
          </w:tcPr>
          <w:p w14:paraId="3F8CA0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30≤TLI(Σ)≤50</w:t>
            </w:r>
          </w:p>
        </w:tc>
        <w:tc>
          <w:tcPr>
            <w:tcW w:w="2281" w:type="pct"/>
            <w:noWrap w:val="0"/>
            <w:vAlign w:val="center"/>
          </w:tcPr>
          <w:p w14:paraId="40AF00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中营养</w:t>
            </w:r>
          </w:p>
        </w:tc>
      </w:tr>
      <w:tr w14:paraId="59264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7B2A41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3</w:t>
            </w:r>
          </w:p>
        </w:tc>
        <w:tc>
          <w:tcPr>
            <w:tcW w:w="2188" w:type="pct"/>
            <w:noWrap w:val="0"/>
            <w:vAlign w:val="center"/>
          </w:tcPr>
          <w:p w14:paraId="65EB30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TLI(Σ)＞50</w:t>
            </w:r>
          </w:p>
        </w:tc>
        <w:tc>
          <w:tcPr>
            <w:tcW w:w="2281" w:type="pct"/>
            <w:noWrap w:val="0"/>
            <w:vAlign w:val="center"/>
          </w:tcPr>
          <w:p w14:paraId="5FB17B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富营养</w:t>
            </w:r>
          </w:p>
        </w:tc>
      </w:tr>
      <w:tr w14:paraId="7D8C2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4217BF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4</w:t>
            </w:r>
          </w:p>
        </w:tc>
        <w:tc>
          <w:tcPr>
            <w:tcW w:w="2188" w:type="pct"/>
            <w:noWrap w:val="0"/>
            <w:vAlign w:val="center"/>
          </w:tcPr>
          <w:p w14:paraId="7DCD38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50＜TLI(Σ)≤60</w:t>
            </w:r>
          </w:p>
        </w:tc>
        <w:tc>
          <w:tcPr>
            <w:tcW w:w="2281" w:type="pct"/>
            <w:noWrap w:val="0"/>
            <w:vAlign w:val="center"/>
          </w:tcPr>
          <w:p w14:paraId="7CA7E5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轻度富营养</w:t>
            </w:r>
          </w:p>
        </w:tc>
      </w:tr>
      <w:tr w14:paraId="37365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0EE965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5</w:t>
            </w:r>
          </w:p>
        </w:tc>
        <w:tc>
          <w:tcPr>
            <w:tcW w:w="2188" w:type="pct"/>
            <w:noWrap w:val="0"/>
            <w:vAlign w:val="center"/>
          </w:tcPr>
          <w:p w14:paraId="45E8F5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60＜TLI(Σ)≤70</w:t>
            </w:r>
          </w:p>
        </w:tc>
        <w:tc>
          <w:tcPr>
            <w:tcW w:w="2281" w:type="pct"/>
            <w:noWrap w:val="0"/>
            <w:vAlign w:val="center"/>
          </w:tcPr>
          <w:p w14:paraId="4BBC0D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中度富营养</w:t>
            </w:r>
          </w:p>
        </w:tc>
      </w:tr>
      <w:tr w14:paraId="1388F1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9" w:type="pct"/>
            <w:noWrap w:val="0"/>
            <w:vAlign w:val="center"/>
          </w:tcPr>
          <w:p w14:paraId="63C3E6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6</w:t>
            </w:r>
          </w:p>
        </w:tc>
        <w:tc>
          <w:tcPr>
            <w:tcW w:w="2188" w:type="pct"/>
            <w:noWrap w:val="0"/>
            <w:vAlign w:val="center"/>
          </w:tcPr>
          <w:p w14:paraId="3C229E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TLI(Σ)＞70</w:t>
            </w:r>
          </w:p>
        </w:tc>
        <w:tc>
          <w:tcPr>
            <w:tcW w:w="2281" w:type="pct"/>
            <w:noWrap w:val="0"/>
            <w:vAlign w:val="center"/>
          </w:tcPr>
          <w:p w14:paraId="6EE335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Cs w:val="21"/>
                <w:u w:val="none" w:color="auto"/>
              </w:rPr>
              <w:t>重度富营养</w:t>
            </w:r>
          </w:p>
        </w:tc>
      </w:tr>
    </w:tbl>
    <w:p w14:paraId="7298F1B1">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本评价利用现有监测数据，对叶绿素a、总氮、总磷、透明度、耗氧量等参数进行综合营养状态指数法评价，计算结果见表4.1-3。</w:t>
      </w:r>
    </w:p>
    <w:p w14:paraId="39B2A778">
      <w:pPr>
        <w:widowControl w:val="0"/>
        <w:spacing w:before="0" w:after="0" w:afterLines="0" w:line="240" w:lineRule="auto"/>
        <w:ind w:right="0"/>
        <w:jc w:val="center"/>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表4.1-3   湖泊（水库）营养状态分级</w:t>
      </w:r>
    </w:p>
    <w:tbl>
      <w:tblPr>
        <w:tblStyle w:val="4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6"/>
        <w:gridCol w:w="1416"/>
        <w:gridCol w:w="1666"/>
        <w:gridCol w:w="2140"/>
        <w:gridCol w:w="2285"/>
      </w:tblGrid>
      <w:tr w14:paraId="3E275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0819A081">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序号</w:t>
            </w:r>
          </w:p>
        </w:tc>
        <w:tc>
          <w:tcPr>
            <w:tcW w:w="831" w:type="pct"/>
            <w:noWrap w:val="0"/>
            <w:vAlign w:val="center"/>
          </w:tcPr>
          <w:p w14:paraId="1CB163F8">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参数</w:t>
            </w:r>
          </w:p>
        </w:tc>
        <w:tc>
          <w:tcPr>
            <w:tcW w:w="978" w:type="pct"/>
            <w:noWrap w:val="0"/>
            <w:vAlign w:val="center"/>
          </w:tcPr>
          <w:p w14:paraId="27D7FB58">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权重Wj</w:t>
            </w:r>
          </w:p>
        </w:tc>
        <w:tc>
          <w:tcPr>
            <w:tcW w:w="1256" w:type="pct"/>
            <w:noWrap w:val="0"/>
            <w:vAlign w:val="center"/>
          </w:tcPr>
          <w:p w14:paraId="007A9EE5">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营养指数TLI（j）</w:t>
            </w:r>
          </w:p>
        </w:tc>
        <w:tc>
          <w:tcPr>
            <w:tcW w:w="1341" w:type="pct"/>
            <w:noWrap w:val="0"/>
            <w:vAlign w:val="center"/>
          </w:tcPr>
          <w:p w14:paraId="4B04CD4B">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综合营养指数TLI(Σ)</w:t>
            </w:r>
          </w:p>
        </w:tc>
      </w:tr>
      <w:tr w14:paraId="7844B4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749F1E86">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1</w:t>
            </w:r>
          </w:p>
        </w:tc>
        <w:tc>
          <w:tcPr>
            <w:tcW w:w="831" w:type="pct"/>
            <w:noWrap w:val="0"/>
            <w:vAlign w:val="center"/>
          </w:tcPr>
          <w:p w14:paraId="122AFE7F">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叶绿素</w:t>
            </w:r>
            <w:r>
              <w:rPr>
                <w:rFonts w:hint="default" w:ascii="Times New Roman" w:hAnsi="Times New Roman" w:eastAsia="宋体" w:cs="Times New Roman"/>
                <w:color w:val="auto"/>
                <w:kern w:val="2"/>
                <w:sz w:val="24"/>
                <w:szCs w:val="24"/>
                <w:u w:val="none" w:color="auto"/>
                <w:lang w:val="en-US" w:eastAsia="zh-CN" w:bidi="ar-SA"/>
              </w:rPr>
              <w:t>a</w:t>
            </w:r>
          </w:p>
        </w:tc>
        <w:tc>
          <w:tcPr>
            <w:tcW w:w="1666" w:type="dxa"/>
            <w:noWrap w:val="0"/>
            <w:vAlign w:val="center"/>
          </w:tcPr>
          <w:p w14:paraId="3E8BE972">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0.27 </w:t>
            </w:r>
          </w:p>
        </w:tc>
        <w:tc>
          <w:tcPr>
            <w:tcW w:w="2140" w:type="dxa"/>
            <w:noWrap w:val="0"/>
            <w:vAlign w:val="center"/>
          </w:tcPr>
          <w:p w14:paraId="0AB5E8B3">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-61.21 </w:t>
            </w:r>
          </w:p>
        </w:tc>
        <w:tc>
          <w:tcPr>
            <w:tcW w:w="1341" w:type="pct"/>
            <w:vMerge w:val="restart"/>
            <w:noWrap w:val="0"/>
            <w:vAlign w:val="center"/>
          </w:tcPr>
          <w:p w14:paraId="6D3FA874">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25</w:t>
            </w:r>
          </w:p>
        </w:tc>
      </w:tr>
      <w:tr w14:paraId="02C9A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29AC9709">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2</w:t>
            </w:r>
          </w:p>
        </w:tc>
        <w:tc>
          <w:tcPr>
            <w:tcW w:w="831" w:type="pct"/>
            <w:noWrap w:val="0"/>
            <w:vAlign w:val="center"/>
          </w:tcPr>
          <w:p w14:paraId="13DD282B">
            <w:pPr>
              <w:keepNext w:val="0"/>
              <w:keepLines w:val="0"/>
              <w:widowControl w:val="0"/>
              <w:suppressLineNumbers w:val="0"/>
              <w:spacing w:before="0" w:beforeAutospacing="0" w:after="0" w:afterLines="0" w:afterAutospacing="0" w:line="240" w:lineRule="auto"/>
              <w:ind w:left="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TP</w:t>
            </w:r>
          </w:p>
        </w:tc>
        <w:tc>
          <w:tcPr>
            <w:tcW w:w="1666" w:type="dxa"/>
            <w:noWrap w:val="0"/>
            <w:vAlign w:val="center"/>
          </w:tcPr>
          <w:p w14:paraId="08509349">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0.30 </w:t>
            </w:r>
          </w:p>
        </w:tc>
        <w:tc>
          <w:tcPr>
            <w:tcW w:w="2140" w:type="dxa"/>
            <w:noWrap w:val="0"/>
            <w:vAlign w:val="center"/>
          </w:tcPr>
          <w:p w14:paraId="589913FB">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53.34 </w:t>
            </w:r>
          </w:p>
        </w:tc>
        <w:tc>
          <w:tcPr>
            <w:tcW w:w="1341" w:type="pct"/>
            <w:vMerge w:val="continue"/>
            <w:noWrap w:val="0"/>
            <w:vAlign w:val="center"/>
          </w:tcPr>
          <w:p w14:paraId="3C169C1F">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p>
        </w:tc>
      </w:tr>
      <w:tr w14:paraId="03B5D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52BE72D8">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3</w:t>
            </w:r>
          </w:p>
        </w:tc>
        <w:tc>
          <w:tcPr>
            <w:tcW w:w="831" w:type="pct"/>
            <w:noWrap w:val="0"/>
            <w:vAlign w:val="center"/>
          </w:tcPr>
          <w:p w14:paraId="29CD01DA">
            <w:pPr>
              <w:keepNext w:val="0"/>
              <w:keepLines w:val="0"/>
              <w:widowControl w:val="0"/>
              <w:suppressLineNumbers w:val="0"/>
              <w:spacing w:before="0" w:beforeAutospacing="0" w:after="0" w:afterLines="0" w:afterAutospacing="0" w:line="240" w:lineRule="auto"/>
              <w:ind w:left="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TN</w:t>
            </w:r>
          </w:p>
        </w:tc>
        <w:tc>
          <w:tcPr>
            <w:tcW w:w="1666" w:type="dxa"/>
            <w:noWrap w:val="0"/>
            <w:vAlign w:val="center"/>
          </w:tcPr>
          <w:p w14:paraId="2888B8CD">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0.40 </w:t>
            </w:r>
          </w:p>
        </w:tc>
        <w:tc>
          <w:tcPr>
            <w:tcW w:w="2140" w:type="dxa"/>
            <w:noWrap w:val="0"/>
            <w:vAlign w:val="center"/>
          </w:tcPr>
          <w:p w14:paraId="5E8F2CAD">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79.34 </w:t>
            </w:r>
          </w:p>
        </w:tc>
        <w:tc>
          <w:tcPr>
            <w:tcW w:w="1341" w:type="pct"/>
            <w:vMerge w:val="continue"/>
            <w:noWrap w:val="0"/>
            <w:vAlign w:val="center"/>
          </w:tcPr>
          <w:p w14:paraId="44A193A7">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p>
        </w:tc>
      </w:tr>
      <w:tr w14:paraId="41B3A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2956E70D">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4</w:t>
            </w:r>
          </w:p>
        </w:tc>
        <w:tc>
          <w:tcPr>
            <w:tcW w:w="831" w:type="pct"/>
            <w:noWrap w:val="0"/>
            <w:vAlign w:val="center"/>
          </w:tcPr>
          <w:p w14:paraId="0A9FC32B">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SD</w:t>
            </w:r>
          </w:p>
        </w:tc>
        <w:tc>
          <w:tcPr>
            <w:tcW w:w="1666" w:type="dxa"/>
            <w:noWrap w:val="0"/>
            <w:vAlign w:val="center"/>
          </w:tcPr>
          <w:p w14:paraId="1E38A6F1">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-0.60 </w:t>
            </w:r>
          </w:p>
        </w:tc>
        <w:tc>
          <w:tcPr>
            <w:tcW w:w="2140" w:type="dxa"/>
            <w:noWrap w:val="0"/>
            <w:vAlign w:val="center"/>
          </w:tcPr>
          <w:p w14:paraId="69E55324">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56.08 </w:t>
            </w:r>
          </w:p>
        </w:tc>
        <w:tc>
          <w:tcPr>
            <w:tcW w:w="1341" w:type="pct"/>
            <w:vMerge w:val="continue"/>
            <w:noWrap w:val="0"/>
            <w:vAlign w:val="center"/>
          </w:tcPr>
          <w:p w14:paraId="394A7C17">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p>
        </w:tc>
      </w:tr>
      <w:tr w14:paraId="4885B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1" w:type="pct"/>
            <w:noWrap w:val="0"/>
            <w:vAlign w:val="center"/>
          </w:tcPr>
          <w:p w14:paraId="65CE68A4">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5</w:t>
            </w:r>
          </w:p>
        </w:tc>
        <w:tc>
          <w:tcPr>
            <w:tcW w:w="831" w:type="pct"/>
            <w:noWrap w:val="0"/>
            <w:vAlign w:val="center"/>
          </w:tcPr>
          <w:p w14:paraId="5C15AECF">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lang w:val="en-US" w:eastAsia="zh-CN" w:bidi="ar-SA"/>
              </w:rPr>
              <w:t>COD</w:t>
            </w:r>
            <w:r>
              <w:rPr>
                <w:rFonts w:hint="default" w:ascii="Times New Roman" w:hAnsi="Times New Roman" w:eastAsia="宋体" w:cs="Times New Roman"/>
                <w:bCs/>
                <w:color w:val="auto"/>
                <w:kern w:val="2"/>
                <w:sz w:val="21"/>
                <w:szCs w:val="21"/>
                <w:u w:val="none" w:color="auto"/>
                <w:vertAlign w:val="subscript"/>
                <w:lang w:val="en-US" w:eastAsia="zh-CN" w:bidi="ar-SA"/>
              </w:rPr>
              <w:t>Mn</w:t>
            </w:r>
          </w:p>
        </w:tc>
        <w:tc>
          <w:tcPr>
            <w:tcW w:w="1666" w:type="dxa"/>
            <w:noWrap w:val="0"/>
            <w:vAlign w:val="center"/>
          </w:tcPr>
          <w:p w14:paraId="00360358">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1.20 </w:t>
            </w:r>
          </w:p>
        </w:tc>
        <w:tc>
          <w:tcPr>
            <w:tcW w:w="2140" w:type="dxa"/>
            <w:noWrap w:val="0"/>
            <w:vAlign w:val="center"/>
          </w:tcPr>
          <w:p w14:paraId="301E4176">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 xml:space="preserve">22.46 </w:t>
            </w:r>
          </w:p>
        </w:tc>
        <w:tc>
          <w:tcPr>
            <w:tcW w:w="1341" w:type="pct"/>
            <w:vMerge w:val="continue"/>
            <w:noWrap w:val="0"/>
            <w:vAlign w:val="center"/>
          </w:tcPr>
          <w:p w14:paraId="4F217DC3">
            <w:pPr>
              <w:keepNext w:val="0"/>
              <w:keepLines w:val="0"/>
              <w:widowControl w:val="0"/>
              <w:suppressLineNumbers w:val="0"/>
              <w:spacing w:before="0" w:beforeAutospacing="0" w:after="0" w:afterLines="0" w:afterAutospacing="0" w:line="240" w:lineRule="auto"/>
              <w:ind w:left="0" w:right="0"/>
              <w:jc w:val="center"/>
              <w:rPr>
                <w:rFonts w:hint="default" w:ascii="Times New Roman" w:hAnsi="Times New Roman" w:eastAsia="宋体" w:cs="Times New Roman"/>
                <w:color w:val="auto"/>
                <w:kern w:val="2"/>
                <w:sz w:val="21"/>
                <w:szCs w:val="21"/>
                <w:u w:val="none" w:color="auto"/>
                <w:lang w:val="en-US" w:eastAsia="zh-CN" w:bidi="ar-SA"/>
              </w:rPr>
            </w:pPr>
          </w:p>
        </w:tc>
      </w:tr>
    </w:tbl>
    <w:p w14:paraId="2057EEFF">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根据上表计算结果可知，</w:t>
      </w:r>
      <w:r>
        <w:rPr>
          <w:rFonts w:hint="eastAsia" w:ascii="Times New Roman" w:hAnsi="Times New Roman" w:eastAsia="宋体" w:cs="Times New Roman"/>
          <w:color w:val="auto"/>
          <w:kern w:val="2"/>
          <w:sz w:val="24"/>
          <w:szCs w:val="24"/>
          <w:u w:val="none" w:color="auto"/>
          <w:lang w:val="en-US" w:eastAsia="zh-CN" w:bidi="ar-SA"/>
        </w:rPr>
        <w:t>北汊水库</w:t>
      </w:r>
      <w:r>
        <w:rPr>
          <w:rFonts w:hint="default" w:ascii="Times New Roman" w:hAnsi="Times New Roman" w:eastAsia="宋体" w:cs="Times New Roman"/>
          <w:color w:val="auto"/>
          <w:kern w:val="2"/>
          <w:sz w:val="24"/>
          <w:szCs w:val="24"/>
          <w:u w:val="none" w:color="auto"/>
          <w:lang w:val="en-US" w:eastAsia="zh-CN" w:bidi="ar-SA"/>
        </w:rPr>
        <w:t>成库后富营养化程度属</w:t>
      </w:r>
      <w:r>
        <w:rPr>
          <w:rFonts w:hint="eastAsia" w:ascii="Times New Roman" w:hAnsi="Times New Roman" w:eastAsia="宋体" w:cs="Times New Roman"/>
          <w:color w:val="auto"/>
          <w:kern w:val="2"/>
          <w:sz w:val="24"/>
          <w:szCs w:val="24"/>
          <w:u w:val="none" w:color="auto"/>
          <w:lang w:val="en-US" w:eastAsia="zh-CN" w:bidi="ar-SA"/>
        </w:rPr>
        <w:t>贫</w:t>
      </w:r>
      <w:r>
        <w:rPr>
          <w:rFonts w:hint="default" w:ascii="Times New Roman" w:hAnsi="Times New Roman" w:eastAsia="宋体" w:cs="Times New Roman"/>
          <w:color w:val="auto"/>
          <w:kern w:val="2"/>
          <w:sz w:val="24"/>
          <w:szCs w:val="24"/>
          <w:u w:val="none" w:color="auto"/>
          <w:lang w:val="en-US" w:eastAsia="zh-CN" w:bidi="ar-SA"/>
        </w:rPr>
        <w:t>营养级，建设项目总体水质</w:t>
      </w:r>
      <w:r>
        <w:rPr>
          <w:rFonts w:hint="eastAsia" w:ascii="Times New Roman" w:hAnsi="Times New Roman" w:eastAsia="宋体" w:cs="Times New Roman"/>
          <w:color w:val="auto"/>
          <w:kern w:val="2"/>
          <w:sz w:val="24"/>
          <w:szCs w:val="24"/>
          <w:u w:val="none" w:color="auto"/>
          <w:lang w:val="en-US" w:eastAsia="zh-CN" w:bidi="ar-SA"/>
        </w:rPr>
        <w:t>基本</w:t>
      </w:r>
      <w:r>
        <w:rPr>
          <w:rFonts w:hint="default" w:ascii="Times New Roman" w:hAnsi="Times New Roman" w:eastAsia="宋体" w:cs="Times New Roman"/>
          <w:color w:val="auto"/>
          <w:kern w:val="2"/>
          <w:sz w:val="24"/>
          <w:szCs w:val="24"/>
          <w:u w:val="none" w:color="auto"/>
          <w:lang w:val="en-US" w:eastAsia="zh-CN" w:bidi="ar-SA"/>
        </w:rPr>
        <w:t>不会向富营养化状态转化。</w:t>
      </w:r>
    </w:p>
    <w:p w14:paraId="224B2191">
      <w:pPr>
        <w:spacing w:line="360" w:lineRule="auto"/>
        <w:ind w:firstLine="480" w:firstLineChars="200"/>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val="en-US" w:eastAsia="zh-CN"/>
        </w:rPr>
        <w:t xml:space="preserve">（3）对下游河道水质的影响 </w:t>
      </w:r>
    </w:p>
    <w:p w14:paraId="21CBD607">
      <w:pPr>
        <w:numPr>
          <w:ilvl w:val="0"/>
          <w:numId w:val="0"/>
        </w:numPr>
        <w:spacing w:line="360" w:lineRule="auto"/>
        <w:ind w:firstLine="480" w:firstLineChars="200"/>
        <w:rPr>
          <w:rFonts w:hint="default" w:ascii="Times New Roman" w:hAnsi="Times New Roman" w:eastAsia="宋体" w:cs="Times New Roman"/>
          <w:color w:val="auto"/>
          <w:sz w:val="24"/>
          <w:u w:val="none" w:color="auto"/>
          <w:lang w:eastAsia="zh-CN"/>
        </w:rPr>
      </w:pPr>
      <w:r>
        <w:rPr>
          <w:rFonts w:hint="eastAsia" w:ascii="Times New Roman" w:hAnsi="Times New Roman" w:eastAsia="宋体" w:cs="Times New Roman"/>
          <w:sz w:val="24"/>
          <w:szCs w:val="24"/>
          <w:u w:val="none" w:color="auto"/>
          <w:lang w:eastAsia="zh-CN"/>
        </w:rPr>
        <w:t>北汊水库</w:t>
      </w:r>
      <w:r>
        <w:rPr>
          <w:rFonts w:hint="default" w:ascii="Times New Roman" w:hAnsi="Times New Roman" w:eastAsia="宋体" w:cs="Times New Roman"/>
          <w:sz w:val="24"/>
          <w:szCs w:val="24"/>
          <w:u w:val="none" w:color="auto"/>
        </w:rPr>
        <w:t>工程是一座以灌溉</w:t>
      </w:r>
      <w:r>
        <w:rPr>
          <w:rFonts w:hint="eastAsia" w:ascii="Times New Roman" w:hAnsi="Times New Roman" w:eastAsia="宋体" w:cs="Times New Roman"/>
          <w:sz w:val="24"/>
          <w:szCs w:val="24"/>
          <w:u w:val="none" w:color="auto"/>
          <w:lang w:eastAsia="zh-CN"/>
        </w:rPr>
        <w:t>、防洪</w:t>
      </w:r>
      <w:r>
        <w:rPr>
          <w:rFonts w:hint="default" w:ascii="Times New Roman" w:hAnsi="Times New Roman" w:eastAsia="宋体" w:cs="Times New Roman"/>
          <w:sz w:val="24"/>
          <w:szCs w:val="24"/>
          <w:u w:val="none" w:color="auto"/>
        </w:rPr>
        <w:t>为主，兼有</w:t>
      </w:r>
      <w:r>
        <w:rPr>
          <w:rFonts w:hint="eastAsia" w:ascii="Times New Roman" w:hAnsi="Times New Roman" w:eastAsia="宋体" w:cs="Times New Roman"/>
          <w:sz w:val="24"/>
          <w:szCs w:val="24"/>
          <w:u w:val="none" w:color="auto"/>
          <w:lang w:eastAsia="zh-CN"/>
        </w:rPr>
        <w:t>养殖</w:t>
      </w:r>
      <w:r>
        <w:rPr>
          <w:rFonts w:hint="default" w:ascii="Times New Roman" w:hAnsi="Times New Roman" w:eastAsia="宋体" w:cs="Times New Roman"/>
          <w:sz w:val="24"/>
          <w:szCs w:val="24"/>
          <w:u w:val="none" w:color="auto"/>
        </w:rPr>
        <w:t>等效益的</w:t>
      </w:r>
      <w:r>
        <w:rPr>
          <w:rFonts w:hint="eastAsia" w:ascii="Times New Roman" w:hAnsi="Times New Roman" w:eastAsia="宋体" w:cs="Times New Roman"/>
          <w:sz w:val="24"/>
          <w:szCs w:val="24"/>
          <w:u w:val="none" w:color="auto"/>
          <w:lang w:eastAsia="zh-CN"/>
        </w:rPr>
        <w:t>平原型中型水库</w:t>
      </w:r>
      <w:r>
        <w:rPr>
          <w:rFonts w:hint="default" w:ascii="Times New Roman" w:hAnsi="Times New Roman" w:eastAsia="宋体" w:cs="Times New Roman"/>
          <w:sz w:val="24"/>
          <w:szCs w:val="24"/>
          <w:u w:val="none" w:color="auto"/>
          <w:lang w:eastAsia="zh-CN"/>
        </w:rPr>
        <w:t>。</w:t>
      </w:r>
      <w:r>
        <w:rPr>
          <w:rFonts w:hint="eastAsia" w:ascii="Times New Roman" w:hAnsi="Times New Roman" w:eastAsia="宋体" w:cs="Times New Roman"/>
          <w:color w:val="auto"/>
          <w:sz w:val="24"/>
          <w:u w:val="none" w:color="auto"/>
          <w:lang w:eastAsia="zh-CN"/>
        </w:rPr>
        <w:t>北汊水库</w:t>
      </w:r>
      <w:r>
        <w:rPr>
          <w:rFonts w:hint="default" w:ascii="Times New Roman" w:hAnsi="Times New Roman" w:eastAsia="宋体" w:cs="Times New Roman"/>
          <w:color w:val="auto"/>
          <w:sz w:val="24"/>
          <w:u w:val="none" w:color="auto"/>
        </w:rPr>
        <w:t>建成后自身无废水排放，</w:t>
      </w:r>
      <w:r>
        <w:rPr>
          <w:rFonts w:hint="default" w:ascii="Times New Roman" w:hAnsi="Times New Roman" w:eastAsia="宋体" w:cs="Times New Roman"/>
          <w:color w:val="auto"/>
          <w:sz w:val="24"/>
          <w:u w:val="none" w:color="auto"/>
          <w:lang w:eastAsia="zh-CN"/>
        </w:rPr>
        <w:t>管理人员生活污水产生量小，经化粪池处理后</w:t>
      </w:r>
      <w:r>
        <w:rPr>
          <w:rFonts w:hint="eastAsia" w:ascii="Times New Roman" w:hAnsi="Times New Roman" w:eastAsia="宋体" w:cs="Times New Roman"/>
          <w:color w:val="auto"/>
          <w:sz w:val="24"/>
          <w:u w:val="none" w:color="auto"/>
          <w:lang w:eastAsia="zh-CN"/>
        </w:rPr>
        <w:t>用于周边田地施肥，</w:t>
      </w:r>
      <w:r>
        <w:rPr>
          <w:rFonts w:hint="default" w:ascii="Times New Roman" w:hAnsi="Times New Roman" w:eastAsia="宋体" w:cs="Times New Roman"/>
          <w:color w:val="auto"/>
          <w:sz w:val="24"/>
          <w:u w:val="none" w:color="auto"/>
        </w:rPr>
        <w:t>对下游河段水质基本无影响</w:t>
      </w:r>
      <w:r>
        <w:rPr>
          <w:rFonts w:hint="default" w:ascii="Times New Roman" w:hAnsi="Times New Roman" w:eastAsia="宋体" w:cs="Times New Roman"/>
          <w:color w:val="auto"/>
          <w:sz w:val="24"/>
          <w:u w:val="none" w:color="auto"/>
          <w:lang w:eastAsia="zh-CN"/>
        </w:rPr>
        <w:t>。</w:t>
      </w:r>
    </w:p>
    <w:p w14:paraId="3D4BF303">
      <w:pPr>
        <w:spacing w:line="360" w:lineRule="auto"/>
        <w:ind w:firstLine="480" w:firstLineChars="200"/>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根据现场调查及相关资料，下游河段</w:t>
      </w:r>
      <w:r>
        <w:rPr>
          <w:rFonts w:hint="default" w:ascii="Times New Roman" w:hAnsi="Times New Roman" w:eastAsia="宋体" w:cs="Times New Roman"/>
          <w:color w:val="auto"/>
          <w:sz w:val="24"/>
          <w:u w:val="none" w:color="auto"/>
        </w:rPr>
        <w:t>沿岸主要发展农业，居民主要为散居农户等，无集中式排污口</w:t>
      </w:r>
      <w:r>
        <w:rPr>
          <w:rFonts w:hint="default" w:ascii="Times New Roman" w:hAnsi="Times New Roman" w:eastAsia="宋体" w:cs="Times New Roman"/>
          <w:color w:val="auto"/>
          <w:sz w:val="24"/>
          <w:u w:val="none" w:color="auto"/>
          <w:lang w:eastAsia="zh-CN"/>
        </w:rPr>
        <w:t>，下游河段</w:t>
      </w:r>
      <w:r>
        <w:rPr>
          <w:rFonts w:hint="default" w:ascii="Times New Roman" w:hAnsi="Times New Roman" w:eastAsia="宋体" w:cs="Times New Roman"/>
          <w:color w:val="auto"/>
          <w:sz w:val="24"/>
          <w:u w:val="none" w:color="auto"/>
          <w:lang w:val="en-US" w:eastAsia="zh-CN"/>
        </w:rPr>
        <w:t>面源污染主要为农田退水、河流沿岸村庄以散排形式汇流入河的生活污水以及畜禽养殖废水，另外降雨冲刷农田也会产生少量径流携带农药、化肥等残留物进入水体。水库建成后，供水灌区水田面积增加、流域人口数量增多，生活污水等入河污染物排放量相对有所增加</w:t>
      </w:r>
      <w:r>
        <w:rPr>
          <w:rFonts w:hint="eastAsia" w:ascii="Times New Roman" w:hAnsi="Times New Roman" w:eastAsia="宋体" w:cs="Times New Roman"/>
          <w:color w:val="auto"/>
          <w:sz w:val="24"/>
          <w:u w:val="none" w:color="auto"/>
          <w:lang w:val="en-US" w:eastAsia="zh-CN"/>
        </w:rPr>
        <w:t>。</w:t>
      </w:r>
      <w:r>
        <w:rPr>
          <w:rFonts w:hint="default" w:ascii="Times New Roman" w:hAnsi="Times New Roman" w:eastAsia="宋体" w:cs="Times New Roman"/>
          <w:color w:val="auto"/>
          <w:sz w:val="24"/>
          <w:u w:val="none" w:color="auto"/>
        </w:rPr>
        <w:t>由于大坝截流和水库引水供区域农业灌溉，水库蓄水导流造成坝后河段水量减小，水体自净能力降低，对下游水环境有一定影响。</w:t>
      </w:r>
    </w:p>
    <w:p w14:paraId="58358ADD">
      <w:pPr>
        <w:numPr>
          <w:ilvl w:val="0"/>
          <w:numId w:val="22"/>
        </w:numPr>
        <w:spacing w:line="360" w:lineRule="auto"/>
        <w:ind w:firstLine="482" w:firstLineChars="200"/>
        <w:rPr>
          <w:rFonts w:hint="default" w:ascii="Times New Roman" w:hAnsi="Times New Roman" w:eastAsia="宋体" w:cs="Times New Roman"/>
          <w:b/>
          <w:bCs/>
          <w:sz w:val="24"/>
          <w:szCs w:val="24"/>
          <w:u w:val="none" w:color="auto"/>
          <w:lang w:val="en-US" w:eastAsia="zh-CN"/>
        </w:rPr>
      </w:pPr>
      <w:r>
        <w:rPr>
          <w:rFonts w:hint="default" w:ascii="Times New Roman" w:hAnsi="Times New Roman" w:eastAsia="宋体" w:cs="Times New Roman"/>
          <w:b/>
          <w:bCs/>
          <w:sz w:val="24"/>
          <w:szCs w:val="24"/>
          <w:u w:val="none" w:color="auto"/>
          <w:lang w:val="en-US" w:eastAsia="zh-CN"/>
        </w:rPr>
        <w:t>水文情势影响回顾分析</w:t>
      </w:r>
    </w:p>
    <w:p w14:paraId="4A7C235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000000"/>
          <w:kern w:val="0"/>
          <w:sz w:val="24"/>
          <w:szCs w:val="24"/>
          <w:u w:val="none" w:color="auto"/>
          <w:lang w:val="en-US" w:eastAsia="zh-CN" w:bidi="ar"/>
        </w:rPr>
        <w:t>（1）对库区水文情势影响分析</w:t>
      </w:r>
    </w:p>
    <w:p w14:paraId="50F8A64B">
      <w:pPr>
        <w:numPr>
          <w:ilvl w:val="0"/>
          <w:numId w:val="0"/>
        </w:numPr>
        <w:spacing w:line="360" w:lineRule="auto"/>
        <w:ind w:firstLine="480" w:firstLineChars="200"/>
        <w:jc w:val="both"/>
        <w:rPr>
          <w:rFonts w:hint="default" w:ascii="Times New Roman" w:hAnsi="Times New Roman" w:eastAsia="宋体" w:cs="Times New Roman"/>
          <w:b/>
          <w:bCs/>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olor w:val="000000"/>
          <w:kern w:val="0"/>
          <w:sz w:val="24"/>
          <w:szCs w:val="24"/>
          <w:u w:val="none" w:color="auto"/>
          <w:lang w:val="en-US" w:eastAsia="zh-CN" w:bidi="ar"/>
        </w:rPr>
        <w:t>建成后，</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水库正常蓄水位为30.50m，校核洪水位31.38m，总库容1423万m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eastAsia" w:ascii="Times New Roman" w:hAnsi="Times New Roman" w:eastAsia="宋体" w:cs="Times New Roman"/>
          <w:color w:val="000000"/>
          <w:kern w:val="0"/>
          <w:sz w:val="24"/>
          <w:szCs w:val="24"/>
          <w:u w:val="none" w:color="auto"/>
          <w:lang w:val="en-US" w:eastAsia="zh-CN" w:bidi="ar"/>
        </w:rPr>
        <w:t>。</w:t>
      </w:r>
      <w:r>
        <w:rPr>
          <w:rFonts w:hint="default" w:ascii="Times New Roman" w:hAnsi="Times New Roman" w:eastAsia="宋体" w:cs="Times New Roman"/>
          <w:color w:val="000000"/>
          <w:kern w:val="0"/>
          <w:sz w:val="24"/>
          <w:szCs w:val="24"/>
          <w:u w:val="none" w:color="auto"/>
          <w:lang w:val="en-US" w:eastAsia="zh-CN" w:bidi="ar"/>
        </w:rPr>
        <w:t>坝前水位抬升，水域面积变大，坝前水深增加，库区水体流速趋缓。</w:t>
      </w:r>
      <w:r>
        <w:rPr>
          <w:rFonts w:hint="eastAsia" w:ascii="Times New Roman" w:hAnsi="Times New Roman" w:eastAsia="宋体" w:cs="Times New Roman"/>
          <w:color w:val="000000"/>
          <w:kern w:val="0"/>
          <w:sz w:val="24"/>
          <w:szCs w:val="24"/>
          <w:u w:val="none" w:color="auto"/>
          <w:lang w:val="en-US" w:eastAsia="zh-CN" w:bidi="ar"/>
        </w:rPr>
        <w:t>北汊水库历年各月平均来水量见表3.1-1，水位库容关系见表3.1-2。</w:t>
      </w:r>
    </w:p>
    <w:p w14:paraId="39CBA950">
      <w:pPr>
        <w:numPr>
          <w:ilvl w:val="0"/>
          <w:numId w:val="0"/>
        </w:numPr>
        <w:spacing w:line="360" w:lineRule="auto"/>
        <w:ind w:firstLine="480" w:firstLineChars="200"/>
        <w:jc w:val="both"/>
        <w:rPr>
          <w:rFonts w:hint="default" w:ascii="Times New Roman" w:hAnsi="Times New Roman" w:eastAsia="宋体" w:cs="Times New Roman"/>
          <w:b w:val="0"/>
          <w:bCs w:val="0"/>
          <w:color w:val="000000"/>
          <w:kern w:val="0"/>
          <w:sz w:val="24"/>
          <w:szCs w:val="24"/>
          <w:u w:val="none" w:color="auto"/>
          <w:lang w:val="en-US" w:eastAsia="zh-CN" w:bidi="ar"/>
        </w:rPr>
      </w:pPr>
      <w:r>
        <w:rPr>
          <w:rFonts w:hint="default" w:ascii="Times New Roman" w:hAnsi="Times New Roman" w:eastAsia="宋体" w:cs="Times New Roman"/>
          <w:b w:val="0"/>
          <w:bCs w:val="0"/>
          <w:color w:val="000000"/>
          <w:kern w:val="0"/>
          <w:sz w:val="24"/>
          <w:szCs w:val="24"/>
          <w:u w:val="none" w:color="auto"/>
          <w:lang w:val="en-US" w:eastAsia="zh-CN" w:bidi="ar"/>
        </w:rPr>
        <w:t>（</w:t>
      </w:r>
      <w:r>
        <w:rPr>
          <w:rFonts w:hint="eastAsia" w:ascii="Times New Roman" w:hAnsi="Times New Roman" w:eastAsia="宋体" w:cs="Times New Roman"/>
          <w:b w:val="0"/>
          <w:bCs w:val="0"/>
          <w:color w:val="000000"/>
          <w:kern w:val="0"/>
          <w:sz w:val="24"/>
          <w:szCs w:val="24"/>
          <w:u w:val="none" w:color="auto"/>
          <w:lang w:val="en-US" w:eastAsia="zh-CN" w:bidi="ar"/>
        </w:rPr>
        <w:t>2</w:t>
      </w:r>
      <w:r>
        <w:rPr>
          <w:rFonts w:hint="default" w:ascii="Times New Roman" w:hAnsi="Times New Roman" w:eastAsia="宋体" w:cs="Times New Roman"/>
          <w:b w:val="0"/>
          <w:bCs w:val="0"/>
          <w:color w:val="000000"/>
          <w:kern w:val="0"/>
          <w:sz w:val="24"/>
          <w:szCs w:val="24"/>
          <w:u w:val="none" w:color="auto"/>
          <w:lang w:val="en-US" w:eastAsia="zh-CN" w:bidi="ar"/>
        </w:rPr>
        <w:t>）泥沙</w:t>
      </w:r>
    </w:p>
    <w:p w14:paraId="68D22111">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sz w:val="24"/>
          <w:szCs w:val="24"/>
          <w:u w:val="none" w:color="auto"/>
        </w:rPr>
      </w:pP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olor w:val="000000"/>
          <w:kern w:val="0"/>
          <w:sz w:val="24"/>
          <w:szCs w:val="24"/>
          <w:u w:val="none" w:color="auto"/>
          <w:lang w:val="en-US" w:eastAsia="zh-CN" w:bidi="ar"/>
        </w:rPr>
        <w:t>两岸地势较平坦，植被保护良好，两岸无大型滑坡体及厚层的松散堆积体，固体迳流来源较少，未有较严重的水土流失</w:t>
      </w:r>
      <w:r>
        <w:rPr>
          <w:rFonts w:hint="eastAsia" w:ascii="Times New Roman" w:hAnsi="Times New Roman" w:eastAsia="宋体" w:cs="Times New Roman"/>
          <w:color w:val="000000"/>
          <w:kern w:val="0"/>
          <w:sz w:val="24"/>
          <w:szCs w:val="24"/>
          <w:u w:val="none" w:color="auto"/>
          <w:lang w:val="en-US" w:eastAsia="zh-CN" w:bidi="ar"/>
        </w:rPr>
        <w:t>情况</w:t>
      </w:r>
      <w:r>
        <w:rPr>
          <w:rFonts w:hint="default" w:ascii="Times New Roman" w:hAnsi="Times New Roman" w:eastAsia="宋体" w:cs="Times New Roman"/>
          <w:color w:val="000000"/>
          <w:kern w:val="0"/>
          <w:sz w:val="24"/>
          <w:szCs w:val="24"/>
          <w:u w:val="none" w:color="auto"/>
          <w:lang w:val="en-US" w:eastAsia="zh-CN" w:bidi="ar"/>
        </w:rPr>
        <w:t>，在暴雨洪水期，地表径流将携带一定的泥沙进入库区。</w:t>
      </w: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olor w:val="000000"/>
          <w:kern w:val="0"/>
          <w:sz w:val="24"/>
          <w:szCs w:val="24"/>
          <w:u w:val="none" w:color="auto"/>
          <w:lang w:val="en-US" w:eastAsia="zh-CN" w:bidi="ar"/>
        </w:rPr>
        <w:t>目前暂无泥沙资料</w:t>
      </w:r>
      <w:r>
        <w:rPr>
          <w:rFonts w:hint="default" w:ascii="Times New Roman" w:hAnsi="Times New Roman" w:eastAsia="宋体" w:cs="Times New Roman"/>
          <w:sz w:val="24"/>
          <w:szCs w:val="24"/>
          <w:u w:val="none" w:color="auto"/>
          <w:lang w:eastAsia="zh-CN"/>
        </w:rPr>
        <w:t>，根据建设方提供资料，</w:t>
      </w:r>
      <w:r>
        <w:rPr>
          <w:rFonts w:hint="eastAsia" w:ascii="Times New Roman" w:hAnsi="Times New Roman" w:eastAsia="宋体" w:cs="Times New Roman"/>
          <w:sz w:val="24"/>
          <w:szCs w:val="24"/>
          <w:u w:val="none" w:color="auto"/>
          <w:lang w:eastAsia="zh-CN"/>
        </w:rPr>
        <w:t>北汊水库</w:t>
      </w:r>
      <w:r>
        <w:rPr>
          <w:rFonts w:hint="default" w:ascii="Times New Roman" w:hAnsi="Times New Roman" w:eastAsia="宋体" w:cs="Times New Roman"/>
          <w:color w:val="000000"/>
          <w:kern w:val="0"/>
          <w:sz w:val="24"/>
          <w:szCs w:val="24"/>
          <w:u w:val="none" w:color="auto"/>
          <w:lang w:val="en-US" w:eastAsia="zh-CN" w:bidi="ar"/>
        </w:rPr>
        <w:t>库区因河段内流速减缓而引起的泥沙淤积不严重，未见明显淤积现象，对水库下游河道泥沙影响较小。</w:t>
      </w:r>
    </w:p>
    <w:p w14:paraId="72C7FF38">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b w:val="0"/>
          <w:bCs w:val="0"/>
          <w:color w:val="000000"/>
          <w:kern w:val="0"/>
          <w:sz w:val="24"/>
          <w:szCs w:val="24"/>
          <w:u w:val="none" w:color="auto"/>
          <w:lang w:val="en-US" w:eastAsia="zh-CN" w:bidi="ar"/>
        </w:rPr>
        <w:t>（</w:t>
      </w:r>
      <w:r>
        <w:rPr>
          <w:rFonts w:hint="eastAsia" w:ascii="Times New Roman" w:hAnsi="Times New Roman" w:eastAsia="宋体" w:cs="Times New Roman"/>
          <w:b w:val="0"/>
          <w:bCs w:val="0"/>
          <w:color w:val="000000"/>
          <w:kern w:val="0"/>
          <w:sz w:val="24"/>
          <w:szCs w:val="24"/>
          <w:u w:val="none" w:color="auto"/>
          <w:lang w:val="en-US" w:eastAsia="zh-CN" w:bidi="ar"/>
        </w:rPr>
        <w:t>3</w:t>
      </w:r>
      <w:r>
        <w:rPr>
          <w:rFonts w:hint="default" w:ascii="Times New Roman" w:hAnsi="Times New Roman" w:eastAsia="宋体" w:cs="Times New Roman"/>
          <w:b w:val="0"/>
          <w:bCs w:val="0"/>
          <w:color w:val="000000"/>
          <w:kern w:val="0"/>
          <w:sz w:val="24"/>
          <w:szCs w:val="24"/>
          <w:u w:val="none" w:color="auto"/>
          <w:lang w:val="en-US" w:eastAsia="zh-CN" w:bidi="ar"/>
        </w:rPr>
        <w:t>）下</w:t>
      </w:r>
      <w:r>
        <w:rPr>
          <w:rFonts w:hint="default" w:ascii="Times New Roman" w:hAnsi="Times New Roman" w:eastAsia="宋体" w:cs="Times New Roman"/>
          <w:color w:val="000000"/>
          <w:kern w:val="0"/>
          <w:sz w:val="24"/>
          <w:szCs w:val="24"/>
          <w:u w:val="none" w:color="auto"/>
          <w:lang w:val="en-US" w:eastAsia="zh-CN" w:bidi="ar"/>
        </w:rPr>
        <w:t xml:space="preserve">游流量保障情况 </w:t>
      </w:r>
    </w:p>
    <w:p w14:paraId="7A22658A">
      <w:pPr>
        <w:numPr>
          <w:ilvl w:val="0"/>
          <w:numId w:val="0"/>
        </w:num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sz w:val="24"/>
          <w:szCs w:val="24"/>
          <w:u w:val="none" w:color="auto"/>
          <w:lang w:eastAsia="zh-CN"/>
        </w:rPr>
        <w:t>北汊水库</w:t>
      </w:r>
      <w:r>
        <w:rPr>
          <w:rFonts w:hint="default" w:ascii="Times New Roman" w:hAnsi="Times New Roman" w:eastAsia="宋体" w:cs="Times New Roman"/>
          <w:sz w:val="24"/>
          <w:szCs w:val="24"/>
          <w:u w:val="none" w:color="auto"/>
        </w:rPr>
        <w:t>是一座以</w:t>
      </w:r>
      <w:r>
        <w:rPr>
          <w:rFonts w:hint="eastAsia" w:ascii="Times New Roman" w:hAnsi="Times New Roman" w:eastAsia="宋体" w:cs="Times New Roman"/>
          <w:sz w:val="24"/>
          <w:szCs w:val="24"/>
          <w:u w:val="none" w:color="auto"/>
          <w:lang w:eastAsia="zh-CN"/>
        </w:rPr>
        <w:t>灌溉、防洪为主，兼有养殖等综合效益的水利工程</w:t>
      </w:r>
      <w:r>
        <w:rPr>
          <w:rFonts w:hint="default" w:ascii="Times New Roman" w:hAnsi="Times New Roman" w:eastAsia="宋体" w:cs="Times New Roman"/>
          <w:sz w:val="24"/>
          <w:szCs w:val="24"/>
          <w:u w:val="none" w:color="auto"/>
          <w:lang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为保护下游农田，北汊</w:t>
      </w:r>
      <w:r>
        <w:rPr>
          <w:rFonts w:hint="eastAsia" w:ascii="Times New Roman" w:hAnsi="Times New Roman" w:eastAsia="宋体" w:cs="Times New Roman"/>
          <w:color w:val="auto"/>
          <w:spacing w:val="0"/>
          <w:w w:val="100"/>
          <w:position w:val="0"/>
          <w:sz w:val="24"/>
          <w:szCs w:val="24"/>
          <w:highlight w:val="none"/>
          <w:u w:val="none" w:color="auto"/>
          <w:lang w:val="en-US" w:eastAsia="zh-CN"/>
        </w:rPr>
        <w:t>水</w:t>
      </w:r>
      <w:r>
        <w:rPr>
          <w:rFonts w:hint="default" w:ascii="Times New Roman" w:hAnsi="Times New Roman" w:eastAsia="宋体" w:cs="Times New Roman"/>
          <w:color w:val="auto"/>
          <w:spacing w:val="0"/>
          <w:w w:val="100"/>
          <w:position w:val="0"/>
          <w:sz w:val="24"/>
          <w:szCs w:val="24"/>
          <w:highlight w:val="none"/>
          <w:u w:val="none" w:color="auto"/>
          <w:lang w:val="en-US" w:eastAsia="zh-CN"/>
        </w:rPr>
        <w:t>库水位控制在汛限水位30.5m。起调水位为30.50m，当来水小于等于下游安全泄量（下游安全泄量为10m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/s）时，水库来多少泄多少，水库维持在汛期限制水位30.5m；水库来水大于下游安全泄量时，水库仍按下游安全泄量下泄，库水位逐渐上升；当库水位大于31.15m时闸门敞开泄洪。</w:t>
      </w:r>
    </w:p>
    <w:p w14:paraId="058DF5B4">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z w:val="24"/>
          <w:u w:val="none" w:color="auto"/>
          <w:lang w:eastAsia="zh-CN"/>
        </w:rPr>
        <w:t>根据初步设计，</w:t>
      </w:r>
      <w:r>
        <w:rPr>
          <w:rFonts w:hint="default" w:ascii="Times New Roman" w:hAnsi="Times New Roman" w:eastAsia="宋体" w:cs="Times New Roman"/>
          <w:color w:val="auto"/>
          <w:spacing w:val="0"/>
          <w:w w:val="100"/>
          <w:position w:val="0"/>
          <w:sz w:val="24"/>
          <w:szCs w:val="24"/>
          <w:highlight w:val="none"/>
          <w:u w:val="none" w:color="auto"/>
          <w:lang w:val="en-US" w:eastAsia="zh-CN"/>
        </w:rPr>
        <w:t>为了水库下游农田灌溉和增加水库容量的需要，分别在二、五副坝设置了输水涵闸和在四、五副坝设置的了进水涵。北汊水库坝下的水位流量</w:t>
      </w:r>
      <w:r>
        <w:rPr>
          <w:rFonts w:hint="eastAsia" w:ascii="Times New Roman" w:hAnsi="Times New Roman" w:eastAsia="宋体" w:cs="Times New Roman"/>
          <w:color w:val="auto"/>
          <w:spacing w:val="0"/>
          <w:w w:val="100"/>
          <w:position w:val="0"/>
          <w:sz w:val="24"/>
          <w:szCs w:val="24"/>
          <w:highlight w:val="none"/>
          <w:u w:val="none" w:color="auto"/>
          <w:lang w:val="en-US" w:eastAsia="zh-CN"/>
        </w:rPr>
        <w:t>关系如下：</w:t>
      </w:r>
    </w:p>
    <w:p w14:paraId="0C0F1357">
      <w:pPr>
        <w:spacing w:line="240" w:lineRule="auto"/>
        <w:jc w:val="center"/>
        <w:rPr>
          <w:rFonts w:hint="default"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b/>
          <w:bCs/>
          <w:color w:val="auto"/>
          <w:kern w:val="2"/>
          <w:sz w:val="21"/>
          <w:szCs w:val="21"/>
          <w:u w:val="none" w:color="auto"/>
          <w:lang w:val="en-US" w:eastAsia="zh-CN" w:bidi="ar-SA"/>
        </w:rPr>
        <w:t>表4.1-</w:t>
      </w:r>
      <w:r>
        <w:rPr>
          <w:rFonts w:hint="eastAsia" w:ascii="Times New Roman" w:hAnsi="Times New Roman" w:eastAsia="宋体" w:cs="Times New Roman"/>
          <w:b/>
          <w:bCs/>
          <w:color w:val="auto"/>
          <w:kern w:val="2"/>
          <w:sz w:val="21"/>
          <w:szCs w:val="21"/>
          <w:u w:val="none" w:color="auto"/>
          <w:lang w:val="en-US" w:eastAsia="zh-CN" w:bidi="ar-SA"/>
        </w:rPr>
        <w:t>4  坝下水位流量成果表</w:t>
      </w:r>
    </w:p>
    <w:p w14:paraId="59C64D88">
      <w:pPr>
        <w:keepNext w:val="0"/>
        <w:keepLines w:val="0"/>
        <w:pageBreakBefore w:val="0"/>
        <w:widowControl w:val="0"/>
        <w:kinsoku w:val="0"/>
        <w:wordWrap w:val="0"/>
        <w:overflowPunct/>
        <w:topLinePunct/>
        <w:autoSpaceDE/>
        <w:autoSpaceDN/>
        <w:bidi w:val="0"/>
        <w:adjustRightInd w:val="0"/>
        <w:snapToGrid/>
        <w:spacing w:line="360" w:lineRule="auto"/>
        <w:textAlignment w:val="auto"/>
        <w:rPr>
          <w:rFonts w:hint="eastAsia" w:ascii="Times New Roman" w:hAnsi="Times New Roman" w:eastAsia="宋体" w:cs="Times New Roman"/>
          <w:color w:val="000000"/>
          <w:kern w:val="0"/>
          <w:sz w:val="24"/>
          <w:szCs w:val="24"/>
          <w:u w:val="none" w:color="auto"/>
          <w:lang w:val="en-US" w:eastAsia="zh-CN" w:bidi="ar"/>
        </w:rPr>
      </w:pPr>
      <w:r>
        <w:drawing>
          <wp:inline distT="0" distB="0" distL="114300" distR="114300">
            <wp:extent cx="5469255" cy="480695"/>
            <wp:effectExtent l="0" t="0" r="1905" b="698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59">
                      <a:lum bright="-12000" contrast="30000"/>
                    </a:blip>
                    <a:srcRect b="10924"/>
                    <a:stretch>
                      <a:fillRect/>
                    </a:stretch>
                  </pic:blipFill>
                  <pic:spPr>
                    <a:xfrm>
                      <a:off x="0" y="0"/>
                      <a:ext cx="5469255" cy="480695"/>
                    </a:xfrm>
                    <a:prstGeom prst="rect">
                      <a:avLst/>
                    </a:prstGeom>
                    <a:noFill/>
                    <a:ln>
                      <a:noFill/>
                    </a:ln>
                  </pic:spPr>
                </pic:pic>
              </a:graphicData>
            </a:graphic>
          </wp:inline>
        </w:drawing>
      </w:r>
    </w:p>
    <w:p w14:paraId="2E7FA17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val="en-US" w:eastAsia="zh-CN" w:bidi="ar"/>
        </w:rPr>
        <w:t>北汊水库</w:t>
      </w:r>
      <w:r>
        <w:rPr>
          <w:rFonts w:hint="default" w:ascii="Times New Roman" w:hAnsi="Times New Roman" w:eastAsia="宋体" w:cs="Times New Roman"/>
          <w:color w:val="auto"/>
          <w:kern w:val="0"/>
          <w:sz w:val="24"/>
          <w:szCs w:val="24"/>
          <w:u w:val="none" w:color="auto"/>
          <w:lang w:val="en-US" w:eastAsia="zh-CN" w:bidi="ar"/>
        </w:rPr>
        <w:t>已运行</w:t>
      </w:r>
      <w:r>
        <w:rPr>
          <w:rFonts w:hint="eastAsia" w:ascii="Times New Roman" w:hAnsi="Times New Roman" w:eastAsia="宋体" w:cs="Times New Roman"/>
          <w:color w:val="auto"/>
          <w:kern w:val="0"/>
          <w:sz w:val="24"/>
          <w:szCs w:val="24"/>
          <w:u w:val="none" w:color="auto"/>
          <w:lang w:val="en-US" w:eastAsia="zh-CN" w:bidi="ar"/>
        </w:rPr>
        <w:t>40余</w:t>
      </w:r>
      <w:r>
        <w:rPr>
          <w:rFonts w:hint="default" w:ascii="Times New Roman" w:hAnsi="Times New Roman" w:eastAsia="宋体" w:cs="Times New Roman"/>
          <w:color w:val="auto"/>
          <w:kern w:val="0"/>
          <w:sz w:val="24"/>
          <w:szCs w:val="24"/>
          <w:u w:val="none" w:color="auto"/>
          <w:lang w:val="en-US" w:eastAsia="zh-CN" w:bidi="ar"/>
        </w:rPr>
        <w:t>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下游生态用水由水库管理人员按需放水，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可</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保证下游</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农业灌溉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生态用水。</w:t>
      </w:r>
    </w:p>
    <w:p w14:paraId="36F71177">
      <w:pPr>
        <w:keepNext w:val="0"/>
        <w:keepLines w:val="0"/>
        <w:widowControl/>
        <w:numPr>
          <w:ilvl w:val="0"/>
          <w:numId w:val="0"/>
        </w:numPr>
        <w:suppressLineNumbers w:val="0"/>
        <w:spacing w:line="360" w:lineRule="auto"/>
        <w:ind w:leftChars="200"/>
        <w:jc w:val="left"/>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000000"/>
          <w:kern w:val="0"/>
          <w:sz w:val="24"/>
          <w:szCs w:val="24"/>
          <w:u w:val="none" w:color="auto"/>
          <w:lang w:val="en-US" w:eastAsia="zh-CN" w:bidi="ar"/>
        </w:rPr>
        <w:t>（5）水温</w:t>
      </w:r>
    </w:p>
    <w:p w14:paraId="5D43EBCA">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eastAsia="zh-CN"/>
        </w:rPr>
        <w:t>北汊水库</w:t>
      </w:r>
      <w:r>
        <w:rPr>
          <w:rFonts w:hint="default" w:ascii="Times New Roman" w:hAnsi="Times New Roman" w:eastAsia="宋体" w:cs="Times New Roman"/>
          <w:color w:val="auto"/>
          <w:sz w:val="24"/>
          <w:szCs w:val="24"/>
          <w:u w:val="none" w:color="auto"/>
        </w:rPr>
        <w:t>蓄水后，水体温度将会发生改变，影响水库水温发生变化的因素除水文、气候变化，水体内部热能交换，还与水库特性和水库运行调度有关。水库水体温度受上述诸多因素制约，按其垂直结构形式分为分层型、混合型、过渡型。</w:t>
      </w:r>
    </w:p>
    <w:p w14:paraId="2D726E32">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为中型水库，</w:t>
      </w:r>
      <w:r>
        <w:rPr>
          <w:rFonts w:hint="default" w:ascii="Times New Roman" w:hAnsi="Times New Roman" w:eastAsia="宋体" w:cs="Times New Roman"/>
          <w:color w:val="000000"/>
          <w:kern w:val="0"/>
          <w:sz w:val="24"/>
          <w:szCs w:val="24"/>
          <w:u w:val="none" w:color="auto"/>
          <w:lang w:val="en-US" w:eastAsia="zh-CN" w:bidi="ar"/>
        </w:rPr>
        <w:t>建成后最大坝高</w:t>
      </w:r>
      <w:r>
        <w:rPr>
          <w:rFonts w:hint="eastAsia" w:ascii="Times New Roman" w:hAnsi="Times New Roman" w:eastAsia="宋体" w:cs="Times New Roman"/>
          <w:color w:val="000000"/>
          <w:kern w:val="0"/>
          <w:sz w:val="24"/>
          <w:szCs w:val="24"/>
          <w:u w:val="none" w:color="auto"/>
          <w:lang w:val="en-US" w:eastAsia="zh-CN" w:bidi="ar"/>
        </w:rPr>
        <w:t>11</w:t>
      </w:r>
      <w:r>
        <w:rPr>
          <w:rFonts w:hint="default" w:ascii="Times New Roman" w:hAnsi="Times New Roman" w:eastAsia="宋体" w:cs="Times New Roman"/>
          <w:color w:val="000000"/>
          <w:kern w:val="0"/>
          <w:sz w:val="24"/>
          <w:szCs w:val="24"/>
          <w:u w:val="none" w:color="auto"/>
          <w:lang w:val="en-US" w:eastAsia="zh-CN" w:bidi="ar"/>
        </w:rPr>
        <w:t>m，水库调节库容</w:t>
      </w:r>
      <w:r>
        <w:rPr>
          <w:rFonts w:hint="eastAsia" w:ascii="Times New Roman" w:hAnsi="Times New Roman" w:eastAsia="宋体" w:cs="Times New Roman"/>
          <w:color w:val="000000"/>
          <w:kern w:val="0"/>
          <w:sz w:val="24"/>
          <w:szCs w:val="24"/>
          <w:u w:val="none" w:color="auto"/>
          <w:lang w:val="en-US" w:eastAsia="zh-CN" w:bidi="ar"/>
        </w:rPr>
        <w:t>较</w:t>
      </w:r>
      <w:r>
        <w:rPr>
          <w:rFonts w:hint="default" w:ascii="Times New Roman" w:hAnsi="Times New Roman" w:eastAsia="宋体" w:cs="Times New Roman"/>
          <w:color w:val="000000"/>
          <w:kern w:val="0"/>
          <w:sz w:val="24"/>
          <w:szCs w:val="24"/>
          <w:u w:val="none" w:color="auto"/>
          <w:lang w:val="en-US" w:eastAsia="zh-CN" w:bidi="ar"/>
        </w:rPr>
        <w:t>小，水库水体温度仍基本保持天然径流状况，</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垂向分布大致相同，不存在水温分层现象</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olor w:val="000000"/>
          <w:kern w:val="0"/>
          <w:sz w:val="24"/>
          <w:szCs w:val="24"/>
          <w:u w:val="none" w:color="auto"/>
          <w:lang w:val="en-US" w:eastAsia="zh-CN" w:bidi="ar"/>
        </w:rPr>
        <w:t>主要功能为</w:t>
      </w:r>
      <w:r>
        <w:rPr>
          <w:rFonts w:hint="default" w:ascii="Times New Roman" w:hAnsi="Times New Roman" w:eastAsia="宋体" w:cs="Times New Roman"/>
          <w:color w:val="auto"/>
          <w:sz w:val="24"/>
          <w:szCs w:val="24"/>
          <w:u w:val="none" w:color="auto"/>
        </w:rPr>
        <w:t>农业灌溉，</w:t>
      </w:r>
      <w:r>
        <w:rPr>
          <w:rFonts w:hint="default" w:ascii="Times New Roman" w:hAnsi="Times New Roman" w:eastAsia="宋体" w:cs="Times New Roman"/>
          <w:color w:val="auto"/>
          <w:sz w:val="24"/>
          <w:szCs w:val="24"/>
          <w:u w:val="none" w:color="auto"/>
          <w:lang w:eastAsia="zh-CN"/>
        </w:rPr>
        <w:t>下游</w:t>
      </w:r>
      <w:r>
        <w:rPr>
          <w:rFonts w:hint="default" w:ascii="Times New Roman" w:hAnsi="Times New Roman" w:eastAsia="宋体" w:cs="Times New Roman"/>
          <w:color w:val="auto"/>
          <w:sz w:val="24"/>
          <w:szCs w:val="24"/>
          <w:u w:val="none" w:color="auto"/>
        </w:rPr>
        <w:t>灌溉农作物主要有水稻、玉米、红薯及油菜</w:t>
      </w:r>
      <w:r>
        <w:rPr>
          <w:rFonts w:hint="default" w:ascii="Times New Roman" w:hAnsi="Times New Roman" w:eastAsia="宋体" w:cs="Times New Roman"/>
          <w:color w:val="auto"/>
          <w:sz w:val="24"/>
          <w:szCs w:val="24"/>
          <w:u w:val="none" w:color="auto"/>
          <w:lang w:eastAsia="zh-CN"/>
        </w:rPr>
        <w:t>等</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u w:val="none" w:color="auto"/>
        </w:rPr>
        <w:t>根据现有资料收集及走访调查，项目坝后</w:t>
      </w:r>
      <w:r>
        <w:rPr>
          <w:rFonts w:hint="default" w:ascii="Times New Roman" w:hAnsi="Times New Roman" w:eastAsia="宋体" w:cs="Times New Roman"/>
          <w:color w:val="auto"/>
          <w:sz w:val="24"/>
          <w:u w:val="none" w:color="auto"/>
          <w:lang w:eastAsia="zh-CN"/>
        </w:rPr>
        <w:t>渠道</w:t>
      </w:r>
      <w:r>
        <w:rPr>
          <w:rFonts w:hint="default" w:ascii="Times New Roman" w:hAnsi="Times New Roman" w:eastAsia="宋体" w:cs="Times New Roman"/>
          <w:color w:val="auto"/>
          <w:sz w:val="24"/>
          <w:u w:val="none" w:color="auto"/>
        </w:rPr>
        <w:t>内无鱼类“三场”分布，水生生态环境较为简单，</w:t>
      </w:r>
      <w:r>
        <w:rPr>
          <w:rFonts w:hint="default" w:ascii="Times New Roman" w:hAnsi="Times New Roman" w:eastAsia="宋体" w:cs="Times New Roman"/>
          <w:color w:val="auto"/>
          <w:sz w:val="24"/>
          <w:u w:val="none" w:color="auto"/>
          <w:lang w:eastAsia="zh-CN"/>
        </w:rPr>
        <w:t>水库运行至今未发现</w:t>
      </w:r>
      <w:r>
        <w:rPr>
          <w:rFonts w:hint="default" w:ascii="Times New Roman" w:hAnsi="Times New Roman" w:eastAsia="宋体" w:cs="Times New Roman"/>
          <w:color w:val="auto"/>
          <w:sz w:val="24"/>
          <w:u w:val="none" w:color="auto"/>
        </w:rPr>
        <w:t>低温</w:t>
      </w:r>
      <w:r>
        <w:rPr>
          <w:rFonts w:hint="default" w:ascii="Times New Roman" w:hAnsi="Times New Roman" w:eastAsia="宋体" w:cs="Times New Roman"/>
          <w:color w:val="auto"/>
          <w:sz w:val="24"/>
          <w:u w:val="none" w:color="auto"/>
          <w:lang w:eastAsia="zh-CN"/>
        </w:rPr>
        <w:t>水对下游农作物和水生生态产生明显影响</w:t>
      </w:r>
      <w:r>
        <w:rPr>
          <w:rFonts w:hint="default" w:ascii="Times New Roman" w:hAnsi="Times New Roman" w:eastAsia="宋体" w:cs="Times New Roman"/>
          <w:color w:val="auto"/>
          <w:sz w:val="24"/>
          <w:u w:val="none" w:color="auto"/>
        </w:rPr>
        <w:t>。</w:t>
      </w:r>
    </w:p>
    <w:p w14:paraId="1F95B6D9">
      <w:pPr>
        <w:pStyle w:val="4"/>
        <w:bidi w:val="0"/>
        <w:rPr>
          <w:rFonts w:hint="default" w:ascii="Times New Roman" w:hAnsi="Times New Roman" w:cs="Times New Roman"/>
          <w:u w:val="none" w:color="auto"/>
        </w:rPr>
      </w:pPr>
      <w:bookmarkStart w:id="272" w:name="_Toc19494"/>
      <w:r>
        <w:rPr>
          <w:rFonts w:hint="default" w:ascii="Times New Roman" w:hAnsi="Times New Roman" w:cs="Times New Roman"/>
          <w:u w:val="none" w:color="auto"/>
          <w:lang w:val="en-US" w:eastAsia="zh-CN"/>
        </w:rPr>
        <w:t>大气环境影响回顾性分析</w:t>
      </w:r>
      <w:bookmarkEnd w:id="272"/>
    </w:p>
    <w:p w14:paraId="6C369E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气</w:t>
      </w:r>
      <w:r>
        <w:rPr>
          <w:rFonts w:hint="default" w:ascii="Times New Roman" w:hAnsi="Times New Roman" w:eastAsia="宋体" w:cs="Times New Roman"/>
          <w:caps w:val="0"/>
          <w:smallCaps w:val="0"/>
          <w:color w:val="auto"/>
          <w:spacing w:val="0"/>
          <w:w w:val="100"/>
          <w:kern w:val="0"/>
          <w:position w:val="0"/>
          <w:sz w:val="24"/>
          <w:szCs w:val="24"/>
          <w:u w:val="none" w:color="auto"/>
        </w:rPr>
        <w:t>影响主要是水库管理人员</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食堂油烟</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经抽油烟机引至楼顶排放。废气产生量小，未对大气环境造成较大影响。</w:t>
      </w:r>
    </w:p>
    <w:p w14:paraId="17F836C8">
      <w:pPr>
        <w:pStyle w:val="4"/>
        <w:bidi w:val="0"/>
        <w:rPr>
          <w:rFonts w:hint="default" w:ascii="Times New Roman" w:hAnsi="Times New Roman" w:cs="Times New Roman"/>
          <w:u w:val="none" w:color="auto"/>
          <w:lang w:val="en-US" w:eastAsia="zh-CN"/>
        </w:rPr>
      </w:pPr>
      <w:bookmarkStart w:id="273" w:name="_Toc32531"/>
      <w:bookmarkStart w:id="274" w:name="bookmark205"/>
      <w:bookmarkStart w:id="275" w:name="bookmark204"/>
      <w:r>
        <w:rPr>
          <w:rFonts w:hint="default" w:ascii="Times New Roman" w:hAnsi="Times New Roman" w:cs="Times New Roman"/>
          <w:u w:val="none" w:color="auto"/>
          <w:lang w:val="en-US" w:eastAsia="zh-CN"/>
        </w:rPr>
        <w:t>声环境影响回顾性分析</w:t>
      </w:r>
      <w:bookmarkEnd w:id="273"/>
    </w:p>
    <w:bookmarkEnd w:id="274"/>
    <w:bookmarkEnd w:id="275"/>
    <w:p w14:paraId="79F2EEA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水库营运期间主要是水泵、设备机房运行产生的噪声，经隔音、减震后噪声影响较小</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，通过现状监测结果可知，项目区域声环境</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能</w:t>
      </w:r>
      <w:r>
        <w:rPr>
          <w:rFonts w:hint="default" w:ascii="Times New Roman" w:hAnsi="Times New Roman" w:eastAsia="宋体" w:cs="Times New Roman"/>
          <w:caps w:val="0"/>
          <w:smallCaps w:val="0"/>
          <w:color w:val="auto"/>
          <w:spacing w:val="0"/>
          <w:w w:val="100"/>
          <w:kern w:val="0"/>
          <w:position w:val="0"/>
          <w:sz w:val="24"/>
          <w:szCs w:val="24"/>
          <w:u w:val="none" w:color="auto"/>
        </w:rPr>
        <w:t>满足《声环境质量标准》（GB3096-2008）1类标准限值要求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47CE0D74">
      <w:pPr>
        <w:pStyle w:val="4"/>
        <w:bidi w:val="0"/>
        <w:rPr>
          <w:rFonts w:hint="default" w:ascii="Times New Roman" w:hAnsi="Times New Roman" w:cs="Times New Roman"/>
          <w:u w:val="none" w:color="auto"/>
          <w:lang w:val="en-US" w:eastAsia="zh-CN"/>
        </w:rPr>
      </w:pPr>
      <w:bookmarkStart w:id="276" w:name="_Toc432"/>
      <w:bookmarkStart w:id="277" w:name="bookmark206"/>
      <w:bookmarkStart w:id="278" w:name="bookmark207"/>
      <w:r>
        <w:rPr>
          <w:rFonts w:hint="default" w:ascii="Times New Roman" w:hAnsi="Times New Roman" w:cs="Times New Roman"/>
          <w:u w:val="none" w:color="auto"/>
          <w:lang w:val="en-US" w:eastAsia="zh-CN"/>
        </w:rPr>
        <w:t>固体废物影响回顾性分析</w:t>
      </w:r>
      <w:bookmarkEnd w:id="276"/>
    </w:p>
    <w:bookmarkEnd w:id="277"/>
    <w:bookmarkEnd w:id="278"/>
    <w:p w14:paraId="788EAB3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水库营运期间产生的固体废物主要是水库管理人员产生的生活垃圾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集中收集后定期由环卫部门清</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理。</w:t>
      </w:r>
    </w:p>
    <w:p w14:paraId="002A8E6A">
      <w:pPr>
        <w:pStyle w:val="4"/>
        <w:bidi w:val="0"/>
        <w:rPr>
          <w:rFonts w:hint="default" w:ascii="Times New Roman" w:hAnsi="Times New Roman" w:cs="Times New Roman"/>
          <w:u w:val="none" w:color="auto"/>
          <w:lang w:val="en-US" w:eastAsia="zh-CN"/>
        </w:rPr>
      </w:pPr>
      <w:bookmarkStart w:id="279" w:name="_Toc10265"/>
      <w:bookmarkStart w:id="280" w:name="bookmark208"/>
      <w:bookmarkStart w:id="281" w:name="bookmark209"/>
      <w:r>
        <w:rPr>
          <w:rFonts w:hint="default" w:ascii="Times New Roman" w:hAnsi="Times New Roman" w:cs="Times New Roman"/>
          <w:u w:val="none" w:color="auto"/>
          <w:lang w:val="en-US" w:eastAsia="zh-CN"/>
        </w:rPr>
        <w:t>生态环境影响回顾性分析</w:t>
      </w:r>
      <w:bookmarkEnd w:id="279"/>
    </w:p>
    <w:bookmarkEnd w:id="280"/>
    <w:bookmarkEnd w:id="281"/>
    <w:p w14:paraId="529AD23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000000" w:themeColor="text1"/>
          <w:spacing w:val="0"/>
          <w:w w:val="100"/>
          <w:kern w:val="0"/>
          <w:position w:val="0"/>
          <w:sz w:val="24"/>
          <w:szCs w:val="24"/>
          <w:u w:val="none" w:color="auto"/>
          <w14:textFill>
            <w14:solidFill>
              <w14:schemeClr w14:val="tx1"/>
            </w14:solidFill>
          </w14:textFill>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eastAsia="zh-CN"/>
          <w14:textFill>
            <w14:solidFill>
              <w14:schemeClr w14:val="tx1"/>
            </w14:solidFill>
          </w14:textFill>
        </w:rPr>
        <w:t>汊水库</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197</w:t>
      </w:r>
      <w:r>
        <w:rPr>
          <w:rFonts w:hint="eastAsia" w:ascii="Times New Roman" w:hAnsi="Times New Roman" w:eastAsia="宋体" w:cs="Times New Roman"/>
          <w:color w:val="000000" w:themeColor="text1"/>
          <w:spacing w:val="0"/>
          <w:w w:val="100"/>
          <w:position w:val="0"/>
          <w:sz w:val="24"/>
          <w:szCs w:val="24"/>
          <w:u w:val="none" w:color="auto"/>
          <w:lang w:val="en-US" w:eastAsia="zh-CN"/>
          <w14:textFill>
            <w14:solidFill>
              <w14:schemeClr w14:val="tx1"/>
            </w14:solidFill>
          </w14:textFill>
        </w:rPr>
        <w:t>5</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年</w:t>
      </w:r>
      <w:r>
        <w:rPr>
          <w:rFonts w:hint="eastAsia"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动工</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兴建，197</w:t>
      </w:r>
      <w:r>
        <w:rPr>
          <w:rFonts w:hint="eastAsia" w:ascii="Times New Roman" w:hAnsi="Times New Roman" w:eastAsia="宋体" w:cs="Times New Roman"/>
          <w:color w:val="000000" w:themeColor="text1"/>
          <w:spacing w:val="0"/>
          <w:w w:val="100"/>
          <w:position w:val="0"/>
          <w:sz w:val="24"/>
          <w:szCs w:val="24"/>
          <w:u w:val="non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年</w:t>
      </w:r>
      <w:r>
        <w:rPr>
          <w:rFonts w:hint="eastAsia"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建成</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，至今已运行</w:t>
      </w:r>
      <w:r>
        <w:rPr>
          <w:rFonts w:hint="eastAsia" w:ascii="Times New Roman" w:hAnsi="Times New Roman" w:eastAsia="宋体" w:cs="Times New Roman"/>
          <w:color w:val="000000" w:themeColor="text1"/>
          <w:spacing w:val="0"/>
          <w:w w:val="100"/>
          <w:position w:val="0"/>
          <w:sz w:val="24"/>
          <w:szCs w:val="24"/>
          <w:u w:val="none" w:color="auto"/>
          <w:lang w:val="en-US" w:eastAsia="zh-CN"/>
          <w14:textFill>
            <w14:solidFill>
              <w14:schemeClr w14:val="tx1"/>
            </w14:solidFill>
          </w14:textFill>
        </w:rPr>
        <w:t>40</w:t>
      </w:r>
      <w:r>
        <w:rPr>
          <w:rFonts w:hint="default"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t>余年</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14:textFill>
            <w14:solidFill>
              <w14:schemeClr w14:val="tx1"/>
            </w14:solidFill>
          </w14:textFill>
        </w:rPr>
        <w:t>。</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eastAsia="zh-CN"/>
          <w14:textFill>
            <w14:solidFill>
              <w14:schemeClr w14:val="tx1"/>
            </w14:solidFill>
          </w14:textFill>
        </w:rPr>
        <w:t>水库建成历史久远</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14:textFill>
            <w14:solidFill>
              <w14:schemeClr w14:val="tx1"/>
            </w14:solidFill>
          </w14:textFill>
        </w:rPr>
        <w:t>，水库建设之初尚未要求进行环境影响评价，本次评价对水库多年运行</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eastAsia="zh-CN"/>
          <w14:textFill>
            <w14:solidFill>
              <w14:schemeClr w14:val="tx1"/>
            </w14:solidFill>
          </w14:textFill>
        </w:rPr>
        <w:t>对</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14:textFill>
            <w14:solidFill>
              <w14:schemeClr w14:val="tx1"/>
            </w14:solidFill>
          </w14:textFill>
        </w:rPr>
        <w:t>生态环境</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eastAsia="zh-CN"/>
          <w14:textFill>
            <w14:solidFill>
              <w14:schemeClr w14:val="tx1"/>
            </w14:solidFill>
          </w14:textFill>
        </w:rPr>
        <w:t>的</w:t>
      </w:r>
      <w:r>
        <w:rPr>
          <w:rFonts w:hint="default" w:ascii="Times New Roman" w:hAnsi="Times New Roman" w:eastAsia="宋体" w:cs="Times New Roman"/>
          <w:caps w:val="0"/>
          <w:smallCaps w:val="0"/>
          <w:color w:val="000000" w:themeColor="text1"/>
          <w:spacing w:val="0"/>
          <w:w w:val="100"/>
          <w:kern w:val="0"/>
          <w:position w:val="0"/>
          <w:sz w:val="24"/>
          <w:szCs w:val="24"/>
          <w:u w:val="none" w:color="auto"/>
          <w14:textFill>
            <w14:solidFill>
              <w14:schemeClr w14:val="tx1"/>
            </w14:solidFill>
          </w14:textFill>
        </w:rPr>
        <w:t>影响进行简要回顾。</w:t>
      </w:r>
    </w:p>
    <w:p w14:paraId="127861E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对陆生生态环境影响</w:t>
      </w:r>
    </w:p>
    <w:p w14:paraId="543D3C46">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水库现已运行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40余</w:t>
      </w:r>
      <w:r>
        <w:rPr>
          <w:rFonts w:hint="default" w:ascii="Times New Roman" w:hAnsi="Times New Roman" w:eastAsia="宋体" w:cs="Times New Roman"/>
          <w:caps w:val="0"/>
          <w:smallCaps w:val="0"/>
          <w:color w:val="auto"/>
          <w:spacing w:val="0"/>
          <w:w w:val="100"/>
          <w:kern w:val="0"/>
          <w:position w:val="0"/>
          <w:sz w:val="24"/>
          <w:szCs w:val="24"/>
          <w:u w:val="none" w:color="auto"/>
        </w:rPr>
        <w:t>年，水库建设施工期设置的临时施工场所已拆除并已进行植被恢复，施工开挖及各类压占区均已平整并植被恢复，施工过程中产生的建筑垃圾、生活垃圾均已清理完毕，现状未发现历史遗留问题。</w:t>
      </w:r>
    </w:p>
    <w:p w14:paraId="4458C9CB">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周围自然条件较好，水库经多年运行，运行过程中未进行重大工程变动，经多年植被自然恢复，区域植被以基本恢复自然原生状态，水库运行对区域植物及植被多样性未产生根本性影响，水库区域无外来物种入侵现状。水库在建设施工过程中，由于人类活动及机械设备影响，势必造成原有区域野生动物迁移，同时水库库区的形成造成原有区域野生动物生境的破坏。水库经多年运行，区域野生动物已趋于稳定，同时水库的形成也使区域植被增加，增加了野生动物觅食场所。根据调查，水库所在地及周边区域主要以小型野生动物居多。均为当地常见的鼠、野兔等；鸟类以麻雀、喜鹊等为主；两栖纲、爬行纲野生动物的种类和数量较少。从整体分析，区域野生动物已趋于稳定，水库运行对区域野生动物多样性未产生根本性影响，水库区域无外来物种入侵现状。</w:t>
      </w:r>
    </w:p>
    <w:p w14:paraId="6EF8C86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对水生生态环境影响</w:t>
      </w:r>
    </w:p>
    <w:p w14:paraId="3546C2D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微软雅黑" w:cs="Times New Roman"/>
          <w:caps w:val="0"/>
          <w:smallCaps w:val="0"/>
          <w:color w:val="auto"/>
          <w:spacing w:val="0"/>
          <w:w w:val="100"/>
          <w:kern w:val="0"/>
          <w:position w:val="0"/>
          <w:sz w:val="24"/>
          <w:szCs w:val="24"/>
          <w:u w:val="none" w:color="auto"/>
          <w:lang w:val="en-US" w:eastAsia="zh-CN"/>
        </w:rPr>
        <w:t>①</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对库区水生生态的影响</w:t>
      </w:r>
    </w:p>
    <w:p w14:paraId="6DDF0D3D">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水利工程建设后，对河道水文情势产生影响。坝上水面变宽，流速变缓，水深增加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，水库水位库容关系见表3.1-2</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经过</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40余</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年的运行，河段的水文情势逐步趋于相对稳定状态。</w:t>
      </w:r>
    </w:p>
    <w:p w14:paraId="5383AF9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olor w:val="auto"/>
          <w:spacing w:val="0"/>
          <w:w w:val="100"/>
          <w:position w:val="0"/>
          <w:sz w:val="24"/>
          <w:szCs w:val="24"/>
          <w:u w:val="none" w:color="auto"/>
          <w:lang w:eastAsia="zh-CN"/>
        </w:rPr>
      </w:pPr>
      <w:r>
        <w:rPr>
          <w:rFonts w:hint="eastAsia" w:ascii="Times New Roman" w:hAnsi="Times New Roman" w:eastAsia="宋体" w:cs="Times New Roman"/>
          <w:color w:val="auto"/>
          <w:spacing w:val="0"/>
          <w:w w:val="100"/>
          <w:position w:val="0"/>
          <w:sz w:val="24"/>
          <w:szCs w:val="24"/>
          <w:u w:val="none" w:color="auto"/>
          <w:lang w:val="en-US" w:eastAsia="zh-CN"/>
        </w:rPr>
        <w:t>北汊水库</w:t>
      </w:r>
      <w:r>
        <w:rPr>
          <w:rFonts w:hint="default" w:ascii="Times New Roman" w:hAnsi="Times New Roman" w:eastAsia="宋体" w:cs="Times New Roman"/>
          <w:color w:val="auto"/>
          <w:spacing w:val="0"/>
          <w:w w:val="100"/>
          <w:position w:val="0"/>
          <w:sz w:val="24"/>
          <w:szCs w:val="24"/>
          <w:u w:val="none" w:color="auto"/>
          <w:lang w:val="en-US" w:eastAsia="zh-CN"/>
        </w:rPr>
        <w:t>大坝已建成运行约</w:t>
      </w:r>
      <w:r>
        <w:rPr>
          <w:rFonts w:hint="eastAsia" w:ascii="Times New Roman" w:hAnsi="Times New Roman" w:eastAsia="宋体" w:cs="Times New Roman"/>
          <w:color w:val="auto"/>
          <w:spacing w:val="0"/>
          <w:w w:val="100"/>
          <w:position w:val="0"/>
          <w:sz w:val="24"/>
          <w:szCs w:val="24"/>
          <w:u w:val="none" w:color="auto"/>
          <w:lang w:val="en-US" w:eastAsia="zh-CN"/>
        </w:rPr>
        <w:t>40余</w:t>
      </w:r>
      <w:r>
        <w:rPr>
          <w:rFonts w:hint="default" w:ascii="Times New Roman" w:hAnsi="Times New Roman" w:eastAsia="宋体" w:cs="Times New Roman"/>
          <w:color w:val="auto"/>
          <w:spacing w:val="0"/>
          <w:w w:val="100"/>
          <w:position w:val="0"/>
          <w:sz w:val="24"/>
          <w:szCs w:val="24"/>
          <w:u w:val="none" w:color="auto"/>
          <w:lang w:val="en-US" w:eastAsia="zh-CN"/>
        </w:rPr>
        <w:t>年，</w:t>
      </w:r>
      <w:r>
        <w:rPr>
          <w:rFonts w:hint="default" w:ascii="Times New Roman" w:hAnsi="Times New Roman" w:eastAsia="宋体" w:cs="Times New Roman"/>
          <w:caps w:val="0"/>
          <w:smallCaps w:val="0"/>
          <w:color w:val="auto"/>
          <w:spacing w:val="0"/>
          <w:w w:val="100"/>
          <w:kern w:val="0"/>
          <w:position w:val="0"/>
          <w:sz w:val="24"/>
          <w:szCs w:val="24"/>
          <w:u w:val="none" w:color="auto"/>
        </w:rPr>
        <w:t>对水库环境而言，建坝蓄水后，因水流状态的人为改变，水体水温、流速都会较水库建设前有所变化，势必造成生物群落次生演替。对浮游植物、浮游动物的生长繁殖有一定的影响。水生植物变化进而影响到底栖动物密度及数量</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大坝阻隔改变了天然河道的水文情势和水生生境条件，对原有适应急流、流水生境的鱼类造成一定影响，其栖息范围缩小或丧失；河流连通性下降使河流生境呈现破碎化和片段化，阻隔了鱼类在上下游以及干支流间的交流，从而造成流域鱼类种群结构发生改变，并形成累积影响。</w:t>
      </w:r>
      <w:r>
        <w:rPr>
          <w:rFonts w:hint="eastAsia" w:ascii="Times New Roman" w:hAnsi="Times New Roman" w:eastAsia="宋体" w:cs="Times New Roman"/>
          <w:color w:val="auto"/>
          <w:spacing w:val="0"/>
          <w:w w:val="100"/>
          <w:position w:val="0"/>
          <w:sz w:val="24"/>
          <w:szCs w:val="24"/>
          <w:u w:val="none" w:color="auto"/>
          <w:lang w:val="en-US" w:eastAsia="zh-CN"/>
        </w:rPr>
        <w:t>北汊水库</w:t>
      </w:r>
      <w:r>
        <w:rPr>
          <w:rFonts w:hint="default" w:ascii="Times New Roman" w:hAnsi="Times New Roman" w:eastAsia="宋体" w:cs="Times New Roman"/>
          <w:color w:val="auto"/>
          <w:spacing w:val="0"/>
          <w:w w:val="100"/>
          <w:position w:val="0"/>
          <w:sz w:val="24"/>
          <w:szCs w:val="24"/>
          <w:u w:val="none" w:color="auto"/>
          <w:lang w:val="en-US" w:eastAsia="zh-CN"/>
        </w:rPr>
        <w:t>经过</w:t>
      </w:r>
      <w:r>
        <w:rPr>
          <w:rFonts w:hint="eastAsia" w:ascii="Times New Roman" w:hAnsi="Times New Roman" w:eastAsia="宋体" w:cs="Times New Roman"/>
          <w:color w:val="auto"/>
          <w:spacing w:val="0"/>
          <w:w w:val="100"/>
          <w:position w:val="0"/>
          <w:sz w:val="24"/>
          <w:szCs w:val="24"/>
          <w:u w:val="none" w:color="auto"/>
          <w:lang w:val="en-US" w:eastAsia="zh-CN"/>
        </w:rPr>
        <w:t>40余</w:t>
      </w:r>
      <w:r>
        <w:rPr>
          <w:rFonts w:hint="default" w:ascii="Times New Roman" w:hAnsi="Times New Roman" w:eastAsia="宋体" w:cs="Times New Roman"/>
          <w:color w:val="auto"/>
          <w:spacing w:val="0"/>
          <w:w w:val="100"/>
          <w:position w:val="0"/>
          <w:sz w:val="24"/>
          <w:szCs w:val="24"/>
          <w:u w:val="none" w:color="auto"/>
          <w:lang w:val="en-US" w:eastAsia="zh-CN"/>
        </w:rPr>
        <w:t>年的运行，水生生物</w:t>
      </w:r>
      <w:r>
        <w:rPr>
          <w:rFonts w:hint="default" w:ascii="Times New Roman" w:hAnsi="Times New Roman" w:eastAsia="浠垮畫" w:cs="Times New Roman"/>
          <w:color w:val="000000"/>
          <w:kern w:val="0"/>
          <w:sz w:val="24"/>
          <w:szCs w:val="24"/>
          <w:u w:val="none" w:color="auto"/>
          <w:lang w:val="en-US" w:eastAsia="zh-CN" w:bidi="ar"/>
        </w:rPr>
        <w:t>逐步适应生境变化，</w:t>
      </w:r>
      <w:r>
        <w:rPr>
          <w:rFonts w:hint="default" w:ascii="Times New Roman" w:hAnsi="Times New Roman" w:eastAsia="宋体" w:cs="Times New Roman"/>
          <w:color w:val="auto"/>
          <w:spacing w:val="0"/>
          <w:w w:val="100"/>
          <w:position w:val="0"/>
          <w:sz w:val="24"/>
          <w:szCs w:val="24"/>
          <w:u w:val="none" w:color="auto"/>
          <w:lang w:val="en-US" w:eastAsia="zh-CN"/>
        </w:rPr>
        <w:t xml:space="preserve">鱼类种群逐步趋于稳定。库区水体流速减缓、甚至静止，喜流水生活鱼类、产漂流性卵鱼类分布减少，适应静缓流水生活的定居性鱼类种群壮大，同时饵料生物组成的变化对鱼类结构产生间接影响，总体上库区鱼类多样性有所下降，种群结构趋于简单。 </w:t>
      </w:r>
    </w:p>
    <w:p w14:paraId="67003219">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微软雅黑" w:cs="Times New Roman"/>
          <w:caps w:val="0"/>
          <w:smallCaps w:val="0"/>
          <w:color w:val="auto"/>
          <w:spacing w:val="0"/>
          <w:w w:val="100"/>
          <w:kern w:val="0"/>
          <w:position w:val="0"/>
          <w:sz w:val="24"/>
          <w:szCs w:val="24"/>
          <w:u w:val="none" w:color="auto"/>
          <w:lang w:eastAsia="zh-CN"/>
        </w:rPr>
        <w:t>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对坝下水生态系统的影响</w:t>
      </w:r>
    </w:p>
    <w:p w14:paraId="66D8D7A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水库坝下鱼类种类较单一，无珍稀保护级别的鱼类及当地特有的土著鱼类，未发现长距离洄游鱼类，也未发现有重要的鱼类“三场”。大坝设置有</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泄洪涵和输水涵</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，下游生态用水由水库管理人员按需放水，由输水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涵</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向下游</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渠</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道供水。</w:t>
      </w:r>
    </w:p>
    <w:p w14:paraId="373B4B56">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3）景观生态完整性影响回顾性分析</w:t>
      </w:r>
    </w:p>
    <w:p w14:paraId="2E1EB97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由于水库的建设，永久改变了原有土地</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利用</w:t>
      </w:r>
      <w:r>
        <w:rPr>
          <w:rFonts w:hint="default" w:ascii="Times New Roman" w:hAnsi="Times New Roman" w:eastAsia="宋体" w:cs="Times New Roman"/>
          <w:caps w:val="0"/>
          <w:smallCaps w:val="0"/>
          <w:color w:val="auto"/>
          <w:spacing w:val="0"/>
          <w:w w:val="100"/>
          <w:kern w:val="0"/>
          <w:position w:val="0"/>
          <w:sz w:val="24"/>
          <w:szCs w:val="24"/>
          <w:u w:val="none" w:color="auto"/>
        </w:rPr>
        <w:t>类型，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主要增加了水域面积</w:t>
      </w:r>
      <w:r>
        <w:rPr>
          <w:rFonts w:hint="default" w:ascii="Times New Roman" w:hAnsi="Times New Roman" w:eastAsia="宋体" w:cs="Times New Roman"/>
          <w:caps w:val="0"/>
          <w:smallCaps w:val="0"/>
          <w:color w:val="auto"/>
          <w:spacing w:val="0"/>
          <w:w w:val="100"/>
          <w:kern w:val="0"/>
          <w:position w:val="0"/>
          <w:sz w:val="24"/>
          <w:szCs w:val="24"/>
          <w:u w:val="none" w:color="auto"/>
        </w:rPr>
        <w:t>。水库建成运行多年，区域生态系统已趋于稳定，水库工程的实施美化了当地的自然风光，提高了区域景观美学价值。</w:t>
      </w:r>
    </w:p>
    <w:p w14:paraId="59298A2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根据上述综合分析，水库建成运行多年，区域生态系统已趋于稳定，植被恢复良好，水库建设和运行对区域生态环境影响可以接受。</w:t>
      </w:r>
    </w:p>
    <w:p w14:paraId="6CF8CEBD">
      <w:pPr>
        <w:pStyle w:val="3"/>
        <w:bidi w:val="0"/>
        <w:rPr>
          <w:rFonts w:hint="default" w:ascii="Times New Roman" w:hAnsi="Times New Roman" w:cs="Times New Roman"/>
          <w:u w:val="none" w:color="auto"/>
        </w:rPr>
      </w:pPr>
      <w:bookmarkStart w:id="282" w:name="_Toc26830"/>
      <w:r>
        <w:rPr>
          <w:rFonts w:hint="default" w:ascii="Times New Roman" w:hAnsi="Times New Roman" w:cs="Times New Roman"/>
          <w:u w:val="none" w:color="auto"/>
        </w:rPr>
        <w:t>施工期环境影响分析</w:t>
      </w:r>
      <w:bookmarkEnd w:id="282"/>
    </w:p>
    <w:p w14:paraId="0024415E">
      <w:pPr>
        <w:pStyle w:val="4"/>
        <w:bidi w:val="0"/>
        <w:rPr>
          <w:rFonts w:hint="default" w:ascii="Times New Roman" w:hAnsi="Times New Roman" w:cs="Times New Roman"/>
          <w:u w:val="none" w:color="auto"/>
          <w:lang w:eastAsia="zh-CN"/>
        </w:rPr>
      </w:pPr>
      <w:bookmarkStart w:id="283" w:name="_Toc3793"/>
      <w:r>
        <w:rPr>
          <w:rFonts w:hint="default" w:ascii="Times New Roman" w:hAnsi="Times New Roman" w:cs="Times New Roman"/>
          <w:u w:val="none" w:color="auto"/>
          <w:lang w:eastAsia="zh-CN"/>
        </w:rPr>
        <w:t>施工期大气环境影响分析</w:t>
      </w:r>
      <w:bookmarkEnd w:id="283"/>
    </w:p>
    <w:p w14:paraId="57F574FB">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（1）施工现场扬尘影响</w:t>
      </w:r>
    </w:p>
    <w:p w14:paraId="79A0EC6A">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000000"/>
          <w:kern w:val="0"/>
          <w:sz w:val="24"/>
          <w:szCs w:val="24"/>
          <w:u w:val="none" w:color="auto"/>
          <w:lang w:val="en-US" w:eastAsia="zh-CN" w:bidi="ar"/>
        </w:rPr>
        <w:t>施工期间产生的扬尘污染受风力因素的影响最大，在一般气象条件下，当风速&lt;2m/s时，施工场地的TSP浓度可达1.5～3.0mg/m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，对100m范围内的大气环境影响较大，在做好施工期扬尘的防护措施下施工，下风向50m处的TSP浓度会小于0.3mg/m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。当风速为2～3m/s时，建筑工地下风向TSP浓度为上风向对照点的2.0～2.5倍，建筑施工扬尘的影响范围在其下风向可达150m，该范围内的TSP浓度平均值可达0.49mg/m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。当风速大于5m/s时，施工现场及其下风向部分区域的TSP浓度可能会超过《环境空气质量标准》的二级标准，且随着风速的增加，施工扬尘产生的污染程度和超标范围也将随之增强和扩大。</w:t>
      </w:r>
    </w:p>
    <w:p w14:paraId="7D6E612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000000"/>
          <w:kern w:val="0"/>
          <w:sz w:val="24"/>
          <w:szCs w:val="24"/>
          <w:u w:val="none" w:color="auto"/>
          <w:lang w:val="en-US" w:eastAsia="zh-CN" w:bidi="ar"/>
        </w:rPr>
        <w:t>施工扬尘主要来源于施工区内的各类堆场、渣场、土石方工程</w:t>
      </w:r>
      <w:r>
        <w:rPr>
          <w:rFonts w:hint="eastAsia" w:ascii="Times New Roman" w:hAnsi="Times New Roman" w:eastAsia="宋体" w:cs="Times New Roman"/>
          <w:color w:val="000000"/>
          <w:kern w:val="0"/>
          <w:sz w:val="24"/>
          <w:szCs w:val="24"/>
          <w:u w:val="none" w:color="auto"/>
          <w:lang w:val="en-US" w:eastAsia="zh-CN" w:bidi="ar"/>
        </w:rPr>
        <w:t>、拆除工程和</w:t>
      </w:r>
      <w:r>
        <w:rPr>
          <w:rFonts w:hint="default" w:ascii="Times New Roman" w:hAnsi="Times New Roman" w:eastAsia="宋体" w:cs="Times New Roman"/>
          <w:color w:val="000000"/>
          <w:kern w:val="0"/>
          <w:sz w:val="24"/>
          <w:szCs w:val="24"/>
          <w:u w:val="none" w:color="auto"/>
          <w:lang w:val="en-US" w:eastAsia="zh-CN" w:bidi="ar"/>
        </w:rPr>
        <w:t>裸露面等区域，此外施工</w:t>
      </w:r>
      <w:r>
        <w:rPr>
          <w:rFonts w:hint="eastAsia" w:ascii="Times New Roman" w:hAnsi="Times New Roman" w:eastAsia="宋体" w:cs="Times New Roman"/>
          <w:color w:val="000000"/>
          <w:kern w:val="0"/>
          <w:sz w:val="24"/>
          <w:szCs w:val="24"/>
          <w:u w:val="none" w:color="auto"/>
          <w:lang w:val="en-US" w:eastAsia="zh-CN" w:bidi="ar"/>
        </w:rPr>
        <w:t>加工区</w:t>
      </w:r>
      <w:r>
        <w:rPr>
          <w:rFonts w:hint="default" w:ascii="Times New Roman" w:hAnsi="Times New Roman" w:eastAsia="宋体" w:cs="Times New Roman"/>
          <w:color w:val="000000"/>
          <w:kern w:val="0"/>
          <w:sz w:val="24"/>
          <w:szCs w:val="24"/>
          <w:u w:val="none" w:color="auto"/>
          <w:lang w:val="en-US" w:eastAsia="zh-CN" w:bidi="ar"/>
        </w:rPr>
        <w:t>及施工区在物料装卸和堆存过程中也会产生少量扬尘。类比同类工程施工区及周边大气环境的监测资料分析，施工场地周边地区TSP浓度值在40m范围内呈明显下降趋势，50m范围之外TSP浓度值趋于稳定。在施工区处于良好管理的情况下，如对施工区采取洒水降尘措施后，距施工现场40m以外区域的TSP24小时平均浓度可满足《环境空气质量标准》（GB3095-2012）二级标准要求。施工现场TSP对周边环境影响见下表：</w:t>
      </w:r>
    </w:p>
    <w:p w14:paraId="5FA6740A">
      <w:pPr>
        <w:keepNext w:val="0"/>
        <w:keepLines w:val="0"/>
        <w:widowControl/>
        <w:suppressLineNumbers w:val="0"/>
        <w:spacing w:line="360" w:lineRule="auto"/>
        <w:ind w:firstLine="422" w:firstLineChars="200"/>
        <w:jc w:val="center"/>
        <w:rPr>
          <w:rFonts w:hint="default" w:ascii="Times New Roman" w:hAnsi="Times New Roman" w:eastAsia="宋体" w:cs="Times New Roman"/>
          <w:b/>
          <w:bCs/>
          <w:color w:val="000000"/>
          <w:kern w:val="0"/>
          <w:sz w:val="21"/>
          <w:szCs w:val="21"/>
          <w:u w:val="none" w:color="auto"/>
          <w:lang w:val="en-US" w:eastAsia="zh-CN" w:bidi="ar"/>
        </w:rPr>
      </w:pPr>
      <w:r>
        <w:rPr>
          <w:rFonts w:hint="default" w:ascii="Times New Roman" w:hAnsi="Times New Roman" w:eastAsia="宋体" w:cs="Times New Roman"/>
          <w:b/>
          <w:bCs/>
          <w:color w:val="000000"/>
          <w:kern w:val="0"/>
          <w:sz w:val="21"/>
          <w:szCs w:val="21"/>
          <w:u w:val="none" w:color="auto"/>
          <w:lang w:val="en-US" w:eastAsia="zh-CN" w:bidi="ar"/>
        </w:rPr>
        <w:t>表4.2-1  施工场地及周边TSP浓度变化对比表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458"/>
        <w:gridCol w:w="1998"/>
        <w:gridCol w:w="1998"/>
        <w:gridCol w:w="1876"/>
      </w:tblGrid>
      <w:tr w14:paraId="35BCD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847" w:type="dxa"/>
            <w:gridSpan w:val="2"/>
            <w:tcBorders>
              <w:tl2br w:val="nil"/>
              <w:tr2bl w:val="nil"/>
            </w:tcBorders>
            <w:vAlign w:val="center"/>
          </w:tcPr>
          <w:p w14:paraId="5B434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sz w:val="21"/>
                <w:szCs w:val="21"/>
                <w:u w:val="none" w:color="auto"/>
              </w:rPr>
            </w:pPr>
            <w:r>
              <w:rPr>
                <w:rFonts w:hint="default" w:ascii="Times New Roman" w:hAnsi="Times New Roman" w:eastAsia="宋体" w:cs="Times New Roman"/>
                <w:b/>
                <w:sz w:val="21"/>
                <w:szCs w:val="21"/>
                <w:u w:val="none" w:color="auto"/>
              </w:rPr>
              <w:t>监测点位置</w:t>
            </w:r>
          </w:p>
        </w:tc>
        <w:tc>
          <w:tcPr>
            <w:tcW w:w="2174" w:type="dxa"/>
            <w:tcBorders>
              <w:tl2br w:val="nil"/>
              <w:tr2bl w:val="nil"/>
            </w:tcBorders>
            <w:vAlign w:val="center"/>
          </w:tcPr>
          <w:p w14:paraId="54E18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sz w:val="21"/>
                <w:szCs w:val="21"/>
                <w:u w:val="none" w:color="auto"/>
              </w:rPr>
            </w:pPr>
            <w:r>
              <w:rPr>
                <w:rFonts w:hint="default" w:ascii="Times New Roman" w:hAnsi="Times New Roman" w:eastAsia="宋体" w:cs="Times New Roman"/>
                <w:b/>
                <w:sz w:val="21"/>
                <w:szCs w:val="21"/>
                <w:u w:val="none" w:color="auto"/>
              </w:rPr>
              <w:t>场地不洒水</w:t>
            </w:r>
          </w:p>
        </w:tc>
        <w:tc>
          <w:tcPr>
            <w:tcW w:w="2039" w:type="dxa"/>
            <w:tcBorders>
              <w:tl2br w:val="nil"/>
              <w:tr2bl w:val="nil"/>
            </w:tcBorders>
            <w:vAlign w:val="center"/>
          </w:tcPr>
          <w:p w14:paraId="15B99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sz w:val="21"/>
                <w:szCs w:val="21"/>
                <w:u w:val="none" w:color="auto"/>
              </w:rPr>
            </w:pPr>
            <w:r>
              <w:rPr>
                <w:rFonts w:hint="default" w:ascii="Times New Roman" w:hAnsi="Times New Roman" w:eastAsia="宋体" w:cs="Times New Roman"/>
                <w:b/>
                <w:sz w:val="21"/>
                <w:szCs w:val="21"/>
                <w:u w:val="none" w:color="auto"/>
              </w:rPr>
              <w:t>场地洒水后</w:t>
            </w:r>
          </w:p>
        </w:tc>
      </w:tr>
      <w:tr w14:paraId="50548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restart"/>
            <w:tcBorders>
              <w:tl2br w:val="nil"/>
              <w:tr2bl w:val="nil"/>
            </w:tcBorders>
            <w:vAlign w:val="center"/>
          </w:tcPr>
          <w:p w14:paraId="1EB14A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距施工场地不同距离处TSP的浓度值</w:t>
            </w:r>
          </w:p>
          <w:p w14:paraId="07FF99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（mg/m</w:t>
            </w:r>
            <w:r>
              <w:rPr>
                <w:rFonts w:hint="default" w:ascii="Times New Roman" w:hAnsi="Times New Roman" w:eastAsia="宋体" w:cs="Times New Roman"/>
                <w:sz w:val="21"/>
                <w:szCs w:val="21"/>
                <w:u w:val="none" w:color="auto"/>
                <w:vertAlign w:val="superscript"/>
              </w:rPr>
              <w:t>3</w:t>
            </w:r>
            <w:r>
              <w:rPr>
                <w:rFonts w:hint="default" w:ascii="Times New Roman" w:hAnsi="Times New Roman" w:eastAsia="宋体" w:cs="Times New Roman"/>
                <w:sz w:val="21"/>
                <w:szCs w:val="21"/>
                <w:u w:val="none" w:color="auto"/>
              </w:rPr>
              <w:t>）</w:t>
            </w:r>
          </w:p>
        </w:tc>
        <w:tc>
          <w:tcPr>
            <w:tcW w:w="2174" w:type="dxa"/>
            <w:tcBorders>
              <w:tl2br w:val="nil"/>
              <w:tr2bl w:val="nil"/>
            </w:tcBorders>
            <w:vAlign w:val="center"/>
          </w:tcPr>
          <w:p w14:paraId="07E9B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10m</w:t>
            </w:r>
          </w:p>
        </w:tc>
        <w:tc>
          <w:tcPr>
            <w:tcW w:w="2174" w:type="dxa"/>
            <w:tcBorders>
              <w:tl2br w:val="nil"/>
              <w:tr2bl w:val="nil"/>
            </w:tcBorders>
            <w:vAlign w:val="center"/>
          </w:tcPr>
          <w:p w14:paraId="3C54A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1.75</w:t>
            </w:r>
          </w:p>
        </w:tc>
        <w:tc>
          <w:tcPr>
            <w:tcW w:w="2039" w:type="dxa"/>
            <w:tcBorders>
              <w:tl2br w:val="nil"/>
              <w:tr2bl w:val="nil"/>
            </w:tcBorders>
            <w:vAlign w:val="center"/>
          </w:tcPr>
          <w:p w14:paraId="69A92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0.437</w:t>
            </w:r>
          </w:p>
        </w:tc>
      </w:tr>
      <w:tr w14:paraId="53028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continue"/>
            <w:tcBorders>
              <w:tl2br w:val="nil"/>
              <w:tr2bl w:val="nil"/>
            </w:tcBorders>
            <w:vAlign w:val="center"/>
          </w:tcPr>
          <w:p w14:paraId="027D82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p>
        </w:tc>
        <w:tc>
          <w:tcPr>
            <w:tcW w:w="2174" w:type="dxa"/>
            <w:tcBorders>
              <w:tl2br w:val="nil"/>
              <w:tr2bl w:val="nil"/>
            </w:tcBorders>
            <w:vAlign w:val="center"/>
          </w:tcPr>
          <w:p w14:paraId="5C3F8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20m</w:t>
            </w:r>
          </w:p>
        </w:tc>
        <w:tc>
          <w:tcPr>
            <w:tcW w:w="2174" w:type="dxa"/>
            <w:tcBorders>
              <w:tl2br w:val="nil"/>
              <w:tr2bl w:val="nil"/>
            </w:tcBorders>
            <w:vAlign w:val="center"/>
          </w:tcPr>
          <w:p w14:paraId="58027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1.30</w:t>
            </w:r>
          </w:p>
        </w:tc>
        <w:tc>
          <w:tcPr>
            <w:tcW w:w="2039" w:type="dxa"/>
            <w:tcBorders>
              <w:tl2br w:val="nil"/>
              <w:tr2bl w:val="nil"/>
            </w:tcBorders>
            <w:vAlign w:val="center"/>
          </w:tcPr>
          <w:p w14:paraId="3EE0A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0.350</w:t>
            </w:r>
          </w:p>
        </w:tc>
      </w:tr>
      <w:tr w14:paraId="4249E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continue"/>
            <w:tcBorders>
              <w:tl2br w:val="nil"/>
              <w:tr2bl w:val="nil"/>
            </w:tcBorders>
            <w:vAlign w:val="center"/>
          </w:tcPr>
          <w:p w14:paraId="652A5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p>
        </w:tc>
        <w:tc>
          <w:tcPr>
            <w:tcW w:w="2174" w:type="dxa"/>
            <w:tcBorders>
              <w:tl2br w:val="nil"/>
              <w:tr2bl w:val="nil"/>
            </w:tcBorders>
            <w:vAlign w:val="center"/>
          </w:tcPr>
          <w:p w14:paraId="797C33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30m</w:t>
            </w:r>
          </w:p>
        </w:tc>
        <w:tc>
          <w:tcPr>
            <w:tcW w:w="2174" w:type="dxa"/>
            <w:tcBorders>
              <w:tl2br w:val="nil"/>
              <w:tr2bl w:val="nil"/>
            </w:tcBorders>
            <w:vAlign w:val="center"/>
          </w:tcPr>
          <w:p w14:paraId="43AF1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0.78</w:t>
            </w:r>
          </w:p>
        </w:tc>
        <w:tc>
          <w:tcPr>
            <w:tcW w:w="2039" w:type="dxa"/>
            <w:tcBorders>
              <w:tl2br w:val="nil"/>
              <w:tr2bl w:val="nil"/>
            </w:tcBorders>
            <w:vAlign w:val="center"/>
          </w:tcPr>
          <w:p w14:paraId="53A93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0.310</w:t>
            </w:r>
          </w:p>
        </w:tc>
      </w:tr>
      <w:tr w14:paraId="3FA56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continue"/>
            <w:tcBorders>
              <w:tl2br w:val="nil"/>
              <w:tr2bl w:val="nil"/>
            </w:tcBorders>
            <w:vAlign w:val="center"/>
          </w:tcPr>
          <w:p w14:paraId="1B018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p>
        </w:tc>
        <w:tc>
          <w:tcPr>
            <w:tcW w:w="2174" w:type="dxa"/>
            <w:tcBorders>
              <w:tl2br w:val="nil"/>
              <w:tr2bl w:val="nil"/>
            </w:tcBorders>
            <w:vAlign w:val="center"/>
          </w:tcPr>
          <w:p w14:paraId="58611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40m</w:t>
            </w:r>
          </w:p>
        </w:tc>
        <w:tc>
          <w:tcPr>
            <w:tcW w:w="2174" w:type="dxa"/>
            <w:tcBorders>
              <w:tl2br w:val="nil"/>
              <w:tr2bl w:val="nil"/>
            </w:tcBorders>
            <w:vAlign w:val="center"/>
          </w:tcPr>
          <w:p w14:paraId="03F1BC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0.365</w:t>
            </w:r>
          </w:p>
        </w:tc>
        <w:tc>
          <w:tcPr>
            <w:tcW w:w="2039" w:type="dxa"/>
            <w:tcBorders>
              <w:tl2br w:val="nil"/>
              <w:tr2bl w:val="nil"/>
            </w:tcBorders>
            <w:vAlign w:val="center"/>
          </w:tcPr>
          <w:p w14:paraId="6138D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0.265</w:t>
            </w:r>
          </w:p>
        </w:tc>
      </w:tr>
      <w:tr w14:paraId="42B6E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continue"/>
            <w:tcBorders>
              <w:tl2br w:val="nil"/>
              <w:tr2bl w:val="nil"/>
            </w:tcBorders>
            <w:vAlign w:val="center"/>
          </w:tcPr>
          <w:p w14:paraId="1C63C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p>
        </w:tc>
        <w:tc>
          <w:tcPr>
            <w:tcW w:w="2174" w:type="dxa"/>
            <w:tcBorders>
              <w:tl2br w:val="nil"/>
              <w:tr2bl w:val="nil"/>
            </w:tcBorders>
            <w:vAlign w:val="center"/>
          </w:tcPr>
          <w:p w14:paraId="1AB43F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50m</w:t>
            </w:r>
          </w:p>
        </w:tc>
        <w:tc>
          <w:tcPr>
            <w:tcW w:w="2174" w:type="dxa"/>
            <w:tcBorders>
              <w:tl2br w:val="nil"/>
              <w:tr2bl w:val="nil"/>
            </w:tcBorders>
            <w:vAlign w:val="center"/>
          </w:tcPr>
          <w:p w14:paraId="460A73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0.345</w:t>
            </w:r>
          </w:p>
        </w:tc>
        <w:tc>
          <w:tcPr>
            <w:tcW w:w="2039" w:type="dxa"/>
            <w:tcBorders>
              <w:tl2br w:val="nil"/>
              <w:tr2bl w:val="nil"/>
            </w:tcBorders>
            <w:vAlign w:val="center"/>
          </w:tcPr>
          <w:p w14:paraId="7A2E1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0.250</w:t>
            </w:r>
          </w:p>
        </w:tc>
      </w:tr>
      <w:tr w14:paraId="3734D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73" w:type="dxa"/>
            <w:vMerge w:val="continue"/>
            <w:tcBorders>
              <w:tl2br w:val="nil"/>
              <w:tr2bl w:val="nil"/>
            </w:tcBorders>
            <w:vAlign w:val="center"/>
          </w:tcPr>
          <w:p w14:paraId="4DF233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p>
        </w:tc>
        <w:tc>
          <w:tcPr>
            <w:tcW w:w="2174" w:type="dxa"/>
            <w:tcBorders>
              <w:tl2br w:val="nil"/>
              <w:tr2bl w:val="nil"/>
            </w:tcBorders>
            <w:vAlign w:val="center"/>
          </w:tcPr>
          <w:p w14:paraId="364EC3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100m</w:t>
            </w:r>
          </w:p>
        </w:tc>
        <w:tc>
          <w:tcPr>
            <w:tcW w:w="2174" w:type="dxa"/>
            <w:tcBorders>
              <w:tl2br w:val="nil"/>
              <w:tr2bl w:val="nil"/>
            </w:tcBorders>
            <w:vAlign w:val="center"/>
          </w:tcPr>
          <w:p w14:paraId="2F858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0.330</w:t>
            </w:r>
          </w:p>
        </w:tc>
        <w:tc>
          <w:tcPr>
            <w:tcW w:w="2039" w:type="dxa"/>
            <w:tcBorders>
              <w:tl2br w:val="nil"/>
              <w:tr2bl w:val="nil"/>
            </w:tcBorders>
            <w:vAlign w:val="center"/>
          </w:tcPr>
          <w:p w14:paraId="4E37C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0.238</w:t>
            </w:r>
          </w:p>
        </w:tc>
      </w:tr>
    </w:tbl>
    <w:p w14:paraId="56941B54">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由表4.</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u w:val="none" w:color="auto"/>
        </w:rPr>
        <w:t>-1可知，在无任何防尘措施的情况下，施工现场对周围环境的影响较严重，</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position w:val="0"/>
          <w:sz w:val="24"/>
          <w:szCs w:val="24"/>
          <w:u w:val="none" w:color="auto"/>
        </w:rPr>
        <w:t>00m外TSP浓度才可达到《环境空气质量标准》（GB3095-2012）二级标准；而在有防尘措施的情况下，污染范围降至</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position w:val="0"/>
          <w:sz w:val="24"/>
          <w:szCs w:val="24"/>
          <w:u w:val="none" w:color="auto"/>
        </w:rPr>
        <w:t>0m范围内。</w:t>
      </w:r>
    </w:p>
    <w:p w14:paraId="2B3AD7C8">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结合敏感点和施工区域的位置关系，本工程施工对局部区域的环境空气造成了影响，但影响的居民人数较少</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其中影响较大的居民点为</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大坝周边</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的</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老河口村、青山村、南岭</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村</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等</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居民点，</w:t>
      </w:r>
      <w:r>
        <w:rPr>
          <w:rFonts w:hint="default" w:ascii="Times New Roman" w:hAnsi="Times New Roman" w:eastAsia="宋体" w:cs="Times New Roman"/>
          <w:caps w:val="0"/>
          <w:smallCaps w:val="0"/>
          <w:color w:val="auto"/>
          <w:spacing w:val="0"/>
          <w:w w:val="100"/>
          <w:position w:val="0"/>
          <w:sz w:val="24"/>
          <w:szCs w:val="24"/>
          <w:u w:val="none" w:color="auto"/>
        </w:rPr>
        <w:t>局部时段将受扬尘影响较大。工程施工时间较短，且当地扩散条件较好，因此扬尘的影响具有区域有限、时间短的特点。</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施工期应做好施工扬尘的防护措施，如采取边界围挡、裸露地面覆盖、物料遮盖、施工场地洒水降尘、保证路面清洁干净、车辆冲洗等措施后，施工扬尘的去除率可达90%，可进一步减轻扬尘对周边环境影响。</w:t>
      </w:r>
    </w:p>
    <w:p w14:paraId="280D9467">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u w:val="none" w:color="auto"/>
        </w:rPr>
        <w:t>）交通运输扬尘影响</w:t>
      </w:r>
    </w:p>
    <w:p w14:paraId="7866630B">
      <w:pPr>
        <w:pStyle w:val="106"/>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施工过程中若对装载容易散落、飞扬、流漏物料的运输车辆管理不当，对沿途周围环境会产生一次和二次扬尘污染，影响较大的是运输土石方的车辆。运输车辆在进出施工工地时，车体不清洁，车轮挂带泥沙，产生扬尘也会影响施工场地周围环境质量。</w:t>
      </w:r>
    </w:p>
    <w:p w14:paraId="2AB66A29">
      <w:pPr>
        <w:pStyle w:val="106"/>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cs="Times New Roman"/>
          <w:color w:val="000000" w:themeColor="text1"/>
          <w:u w:val="none" w:color="auto"/>
          <w14:textFill>
            <w14:solidFill>
              <w14:schemeClr w14:val="tx1"/>
            </w14:solidFill>
          </w14:textFill>
        </w:rPr>
        <w:t>产生扬尘量与场地状况有很大关系，道路扬尘视其路面质量不同而产生的扬尘量相差较大，最少的是水泥路面，其次是坚实的土路、一般土路，最差的是浮土多的土路。据有关资料，运输车辆在施工场地行驶产生的扬尘约占施工扬尘总量的60%。</w:t>
      </w:r>
      <w:r>
        <w:rPr>
          <w:rFonts w:hint="default" w:ascii="Times New Roman" w:hAnsi="Times New Roman" w:eastAsia="宋体" w:cs="Times New Roman"/>
          <w:caps w:val="0"/>
          <w:smallCaps w:val="0"/>
          <w:color w:val="auto"/>
          <w:spacing w:val="0"/>
          <w:w w:val="100"/>
          <w:position w:val="0"/>
          <w:sz w:val="24"/>
          <w:szCs w:val="24"/>
          <w:u w:val="none" w:color="auto"/>
        </w:rPr>
        <w:t>一辆载重5t的卡车，通过一段长度为500m的路面时，不同表面清洁程度，不同行驶速度情况下产生的扬尘量如表</w:t>
      </w:r>
      <w:r>
        <w:rPr>
          <w:rFonts w:hint="default" w:ascii="Times New Roman" w:hAnsi="Times New Roman" w:eastAsia="宋体" w:cs="Times New Roman"/>
          <w:bCs/>
          <w:caps w:val="0"/>
          <w:smallCaps w:val="0"/>
          <w:color w:val="auto"/>
          <w:spacing w:val="0"/>
          <w:w w:val="100"/>
          <w:position w:val="0"/>
          <w:sz w:val="24"/>
          <w:szCs w:val="24"/>
          <w:u w:val="none" w:color="auto"/>
        </w:rPr>
        <w:t>4.</w:t>
      </w:r>
      <w:r>
        <w:rPr>
          <w:rFonts w:hint="default" w:ascii="Times New Roman" w:hAnsi="Times New Roman" w:eastAsia="宋体" w:cs="Times New Roman"/>
          <w:bCs/>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bCs/>
          <w:caps w:val="0"/>
          <w:smallCaps w:val="0"/>
          <w:color w:val="auto"/>
          <w:spacing w:val="0"/>
          <w:w w:val="100"/>
          <w:position w:val="0"/>
          <w:sz w:val="24"/>
          <w:szCs w:val="24"/>
          <w:u w:val="none" w:color="auto"/>
        </w:rPr>
        <w:t>-2</w:t>
      </w:r>
      <w:r>
        <w:rPr>
          <w:rFonts w:hint="default" w:ascii="Times New Roman" w:hAnsi="Times New Roman" w:eastAsia="宋体" w:cs="Times New Roman"/>
          <w:caps w:val="0"/>
          <w:smallCaps w:val="0"/>
          <w:color w:val="auto"/>
          <w:spacing w:val="0"/>
          <w:w w:val="100"/>
          <w:position w:val="0"/>
          <w:sz w:val="24"/>
          <w:szCs w:val="24"/>
          <w:u w:val="none" w:color="auto"/>
        </w:rPr>
        <w:t>所示。</w:t>
      </w:r>
    </w:p>
    <w:p w14:paraId="6E729225">
      <w:pPr>
        <w:pageBreakBefore w:val="0"/>
        <w:kinsoku w:val="0"/>
        <w:wordWrap w:val="0"/>
        <w:overflowPunct/>
        <w:topLinePunct/>
        <w:autoSpaceDE/>
        <w:autoSpaceDN/>
        <w:bidi w:val="0"/>
        <w:spacing w:line="360" w:lineRule="auto"/>
        <w:jc w:val="center"/>
        <w:rPr>
          <w:rFonts w:hint="default" w:ascii="Times New Roman" w:hAnsi="Times New Roman" w:eastAsia="宋体" w:cs="Times New Roman"/>
          <w:b/>
          <w:caps w:val="0"/>
          <w:smallCaps w:val="0"/>
          <w:color w:val="auto"/>
          <w:spacing w:val="0"/>
          <w:w w:val="100"/>
          <w:position w:val="0"/>
          <w:sz w:val="24"/>
          <w:szCs w:val="24"/>
          <w:u w:val="none" w:color="auto"/>
        </w:rPr>
      </w:pPr>
      <w:r>
        <w:rPr>
          <w:rFonts w:hint="default" w:ascii="Times New Roman" w:hAnsi="Times New Roman" w:eastAsia="宋体" w:cs="Times New Roman"/>
          <w:b/>
          <w:caps w:val="0"/>
          <w:smallCaps w:val="0"/>
          <w:color w:val="auto"/>
          <w:spacing w:val="0"/>
          <w:w w:val="100"/>
          <w:position w:val="0"/>
          <w:sz w:val="21"/>
          <w:szCs w:val="21"/>
          <w:u w:val="none" w:color="auto"/>
        </w:rPr>
        <w:t>表4.</w:t>
      </w:r>
      <w:r>
        <w:rPr>
          <w:rFonts w:hint="default" w:ascii="Times New Roman" w:hAnsi="Times New Roman" w:eastAsia="宋体" w:cs="Times New Roman"/>
          <w:b/>
          <w:caps w:val="0"/>
          <w:smallCaps w:val="0"/>
          <w:color w:val="auto"/>
          <w:spacing w:val="0"/>
          <w:w w:val="100"/>
          <w:position w:val="0"/>
          <w:sz w:val="21"/>
          <w:szCs w:val="21"/>
          <w:u w:val="none" w:color="auto"/>
          <w:lang w:val="en-US" w:eastAsia="zh-CN"/>
        </w:rPr>
        <w:t>2</w:t>
      </w:r>
      <w:r>
        <w:rPr>
          <w:rFonts w:hint="default" w:ascii="Times New Roman" w:hAnsi="Times New Roman" w:eastAsia="宋体" w:cs="Times New Roman"/>
          <w:b/>
          <w:caps w:val="0"/>
          <w:smallCaps w:val="0"/>
          <w:color w:val="auto"/>
          <w:spacing w:val="0"/>
          <w:w w:val="100"/>
          <w:position w:val="0"/>
          <w:sz w:val="21"/>
          <w:szCs w:val="21"/>
          <w:u w:val="none" w:color="auto"/>
        </w:rPr>
        <w:t>-2  不同车速和地面清洁程度时的汽车扬尘  单位：kg/km·辆</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103"/>
        <w:gridCol w:w="1103"/>
        <w:gridCol w:w="1104"/>
        <w:gridCol w:w="1103"/>
        <w:gridCol w:w="1104"/>
        <w:gridCol w:w="1103"/>
      </w:tblGrid>
      <w:tr w14:paraId="21586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1" w:type="dxa"/>
            <w:tcBorders>
              <w:tl2br w:val="single" w:color="auto" w:sz="12" w:space="0"/>
            </w:tcBorders>
            <w:vAlign w:val="center"/>
          </w:tcPr>
          <w:p w14:paraId="3D371A88">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right"/>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P（kg/m</w:t>
            </w:r>
            <w:r>
              <w:rPr>
                <w:rFonts w:hint="default" w:ascii="Times New Roman" w:hAnsi="Times New Roman" w:eastAsia="宋体" w:cs="Times New Roman"/>
                <w:b/>
                <w:bCs/>
                <w:caps w:val="0"/>
                <w:smallCaps w:val="0"/>
                <w:color w:val="auto"/>
                <w:spacing w:val="0"/>
                <w:w w:val="100"/>
                <w:position w:val="0"/>
                <w:sz w:val="21"/>
                <w:szCs w:val="21"/>
                <w:u w:val="none" w:color="auto"/>
                <w:vertAlign w:val="superscript"/>
              </w:rPr>
              <w:t>2</w:t>
            </w:r>
            <w:r>
              <w:rPr>
                <w:rFonts w:hint="default" w:ascii="Times New Roman" w:hAnsi="Times New Roman" w:eastAsia="宋体" w:cs="Times New Roman"/>
                <w:b/>
                <w:bCs/>
                <w:caps w:val="0"/>
                <w:smallCaps w:val="0"/>
                <w:color w:val="auto"/>
                <w:spacing w:val="0"/>
                <w:w w:val="100"/>
                <w:position w:val="0"/>
                <w:sz w:val="21"/>
                <w:szCs w:val="21"/>
                <w:u w:val="none" w:color="auto"/>
              </w:rPr>
              <w:t>）</w:t>
            </w:r>
          </w:p>
          <w:p w14:paraId="10DDCE8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车速（km/h）</w:t>
            </w:r>
          </w:p>
        </w:tc>
        <w:tc>
          <w:tcPr>
            <w:tcW w:w="1173" w:type="dxa"/>
            <w:tcBorders>
              <w:tl2br w:val="nil"/>
              <w:tr2bl w:val="nil"/>
            </w:tcBorders>
            <w:vAlign w:val="center"/>
          </w:tcPr>
          <w:p w14:paraId="75F261E4">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0.1</w:t>
            </w:r>
          </w:p>
        </w:tc>
        <w:tc>
          <w:tcPr>
            <w:tcW w:w="1173" w:type="dxa"/>
            <w:tcBorders>
              <w:tl2br w:val="nil"/>
              <w:tr2bl w:val="nil"/>
            </w:tcBorders>
            <w:vAlign w:val="center"/>
          </w:tcPr>
          <w:p w14:paraId="4F347DD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0.2</w:t>
            </w:r>
          </w:p>
        </w:tc>
        <w:tc>
          <w:tcPr>
            <w:tcW w:w="1174" w:type="dxa"/>
            <w:tcBorders>
              <w:tl2br w:val="nil"/>
              <w:tr2bl w:val="nil"/>
            </w:tcBorders>
            <w:vAlign w:val="center"/>
          </w:tcPr>
          <w:p w14:paraId="0E996116">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0.3</w:t>
            </w:r>
          </w:p>
        </w:tc>
        <w:tc>
          <w:tcPr>
            <w:tcW w:w="1173" w:type="dxa"/>
            <w:tcBorders>
              <w:tl2br w:val="nil"/>
              <w:tr2bl w:val="nil"/>
            </w:tcBorders>
            <w:vAlign w:val="center"/>
          </w:tcPr>
          <w:p w14:paraId="2108CD51">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0.4</w:t>
            </w:r>
          </w:p>
        </w:tc>
        <w:tc>
          <w:tcPr>
            <w:tcW w:w="1174" w:type="dxa"/>
            <w:tcBorders>
              <w:tl2br w:val="nil"/>
              <w:tr2bl w:val="nil"/>
            </w:tcBorders>
            <w:vAlign w:val="center"/>
          </w:tcPr>
          <w:p w14:paraId="3FFB251E">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0.5</w:t>
            </w:r>
          </w:p>
        </w:tc>
        <w:tc>
          <w:tcPr>
            <w:tcW w:w="1173" w:type="dxa"/>
            <w:tcBorders>
              <w:tl2br w:val="nil"/>
              <w:tr2bl w:val="nil"/>
            </w:tcBorders>
            <w:vAlign w:val="center"/>
          </w:tcPr>
          <w:p w14:paraId="57D110EE">
            <w:pPr>
              <w:keepNext w:val="0"/>
              <w:keepLines w:val="0"/>
              <w:pageBreakBefore w:val="0"/>
              <w:suppressLineNumbers w:val="0"/>
              <w:kinsoku w:val="0"/>
              <w:wordWrap w:val="0"/>
              <w:overflowPunct/>
              <w:topLinePunct/>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pacing w:val="0"/>
                <w:w w:val="100"/>
                <w:position w:val="0"/>
                <w:sz w:val="21"/>
                <w:szCs w:val="21"/>
                <w:u w:val="none" w:color="auto"/>
              </w:rPr>
            </w:pPr>
            <w:r>
              <w:rPr>
                <w:rFonts w:hint="default" w:ascii="Times New Roman" w:hAnsi="Times New Roman" w:eastAsia="宋体" w:cs="Times New Roman"/>
                <w:b/>
                <w:bCs/>
                <w:caps w:val="0"/>
                <w:smallCaps w:val="0"/>
                <w:color w:val="auto"/>
                <w:spacing w:val="0"/>
                <w:w w:val="100"/>
                <w:position w:val="0"/>
                <w:sz w:val="21"/>
                <w:szCs w:val="21"/>
                <w:u w:val="none" w:color="auto"/>
              </w:rPr>
              <w:t>1.0</w:t>
            </w:r>
          </w:p>
        </w:tc>
      </w:tr>
      <w:tr w14:paraId="5B403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1" w:type="dxa"/>
            <w:tcBorders>
              <w:tl2br w:val="nil"/>
              <w:tr2bl w:val="nil"/>
            </w:tcBorders>
            <w:vAlign w:val="center"/>
          </w:tcPr>
          <w:p w14:paraId="220C93F2">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5</w:t>
            </w:r>
          </w:p>
        </w:tc>
        <w:tc>
          <w:tcPr>
            <w:tcW w:w="1173" w:type="dxa"/>
            <w:tcBorders>
              <w:tl2br w:val="nil"/>
              <w:tr2bl w:val="nil"/>
            </w:tcBorders>
            <w:vAlign w:val="center"/>
          </w:tcPr>
          <w:p w14:paraId="130529B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0.0283</w:t>
            </w:r>
          </w:p>
        </w:tc>
        <w:tc>
          <w:tcPr>
            <w:tcW w:w="1173" w:type="dxa"/>
            <w:tcBorders>
              <w:tl2br w:val="nil"/>
              <w:tr2bl w:val="nil"/>
            </w:tcBorders>
            <w:vAlign w:val="center"/>
          </w:tcPr>
          <w:p w14:paraId="1275904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0.0476</w:t>
            </w:r>
          </w:p>
        </w:tc>
        <w:tc>
          <w:tcPr>
            <w:tcW w:w="1174" w:type="dxa"/>
            <w:tcBorders>
              <w:tl2br w:val="nil"/>
              <w:tr2bl w:val="nil"/>
            </w:tcBorders>
            <w:vAlign w:val="center"/>
          </w:tcPr>
          <w:p w14:paraId="736DC98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0.0646</w:t>
            </w:r>
          </w:p>
        </w:tc>
        <w:tc>
          <w:tcPr>
            <w:tcW w:w="1173" w:type="dxa"/>
            <w:tcBorders>
              <w:tl2br w:val="nil"/>
              <w:tr2bl w:val="nil"/>
            </w:tcBorders>
            <w:vAlign w:val="center"/>
          </w:tcPr>
          <w:p w14:paraId="12C4D73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0.0801</w:t>
            </w:r>
          </w:p>
        </w:tc>
        <w:tc>
          <w:tcPr>
            <w:tcW w:w="1174" w:type="dxa"/>
            <w:tcBorders>
              <w:tl2br w:val="nil"/>
              <w:tr2bl w:val="nil"/>
            </w:tcBorders>
            <w:vAlign w:val="center"/>
          </w:tcPr>
          <w:p w14:paraId="40D58B9A">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0.0947</w:t>
            </w:r>
          </w:p>
        </w:tc>
        <w:tc>
          <w:tcPr>
            <w:tcW w:w="1173" w:type="dxa"/>
            <w:tcBorders>
              <w:tl2br w:val="nil"/>
              <w:tr2bl w:val="nil"/>
            </w:tcBorders>
            <w:vAlign w:val="center"/>
          </w:tcPr>
          <w:p w14:paraId="47D64FCB">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0.1593</w:t>
            </w:r>
          </w:p>
        </w:tc>
      </w:tr>
      <w:tr w14:paraId="72FB0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1" w:type="dxa"/>
            <w:tcBorders>
              <w:tl2br w:val="nil"/>
              <w:tr2bl w:val="nil"/>
            </w:tcBorders>
            <w:vAlign w:val="center"/>
          </w:tcPr>
          <w:p w14:paraId="03D05B0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10</w:t>
            </w:r>
          </w:p>
        </w:tc>
        <w:tc>
          <w:tcPr>
            <w:tcW w:w="1173" w:type="dxa"/>
            <w:tcBorders>
              <w:tl2br w:val="nil"/>
              <w:tr2bl w:val="nil"/>
            </w:tcBorders>
            <w:vAlign w:val="center"/>
          </w:tcPr>
          <w:p w14:paraId="546CAFE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0.0566</w:t>
            </w:r>
          </w:p>
        </w:tc>
        <w:tc>
          <w:tcPr>
            <w:tcW w:w="1173" w:type="dxa"/>
            <w:tcBorders>
              <w:tl2br w:val="nil"/>
              <w:tr2bl w:val="nil"/>
            </w:tcBorders>
            <w:vAlign w:val="center"/>
          </w:tcPr>
          <w:p w14:paraId="231BF4E3">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0.0953</w:t>
            </w:r>
          </w:p>
        </w:tc>
        <w:tc>
          <w:tcPr>
            <w:tcW w:w="1174" w:type="dxa"/>
            <w:tcBorders>
              <w:tl2br w:val="nil"/>
              <w:tr2bl w:val="nil"/>
            </w:tcBorders>
            <w:vAlign w:val="center"/>
          </w:tcPr>
          <w:p w14:paraId="766D441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0.1291</w:t>
            </w:r>
          </w:p>
        </w:tc>
        <w:tc>
          <w:tcPr>
            <w:tcW w:w="1173" w:type="dxa"/>
            <w:tcBorders>
              <w:tl2br w:val="nil"/>
              <w:tr2bl w:val="nil"/>
            </w:tcBorders>
            <w:vAlign w:val="center"/>
          </w:tcPr>
          <w:p w14:paraId="44DAA119">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0.1602</w:t>
            </w:r>
          </w:p>
        </w:tc>
        <w:tc>
          <w:tcPr>
            <w:tcW w:w="1174" w:type="dxa"/>
            <w:tcBorders>
              <w:tl2br w:val="nil"/>
              <w:tr2bl w:val="nil"/>
            </w:tcBorders>
            <w:vAlign w:val="center"/>
          </w:tcPr>
          <w:p w14:paraId="7CA85525">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0.1894</w:t>
            </w:r>
          </w:p>
        </w:tc>
        <w:tc>
          <w:tcPr>
            <w:tcW w:w="1173" w:type="dxa"/>
            <w:tcBorders>
              <w:tl2br w:val="nil"/>
              <w:tr2bl w:val="nil"/>
            </w:tcBorders>
            <w:vAlign w:val="center"/>
          </w:tcPr>
          <w:p w14:paraId="0FB37DD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0.3186</w:t>
            </w:r>
          </w:p>
        </w:tc>
      </w:tr>
      <w:tr w14:paraId="7CB01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1" w:type="dxa"/>
            <w:tcBorders>
              <w:tl2br w:val="nil"/>
              <w:tr2bl w:val="nil"/>
            </w:tcBorders>
            <w:vAlign w:val="center"/>
          </w:tcPr>
          <w:p w14:paraId="063505A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15</w:t>
            </w:r>
          </w:p>
        </w:tc>
        <w:tc>
          <w:tcPr>
            <w:tcW w:w="1173" w:type="dxa"/>
            <w:tcBorders>
              <w:tl2br w:val="nil"/>
              <w:tr2bl w:val="nil"/>
            </w:tcBorders>
            <w:vAlign w:val="center"/>
          </w:tcPr>
          <w:p w14:paraId="6548D9CE">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0.0850</w:t>
            </w:r>
          </w:p>
        </w:tc>
        <w:tc>
          <w:tcPr>
            <w:tcW w:w="1173" w:type="dxa"/>
            <w:tcBorders>
              <w:tl2br w:val="nil"/>
              <w:tr2bl w:val="nil"/>
            </w:tcBorders>
            <w:vAlign w:val="center"/>
          </w:tcPr>
          <w:p w14:paraId="31CBF43D">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0.1429</w:t>
            </w:r>
          </w:p>
        </w:tc>
        <w:tc>
          <w:tcPr>
            <w:tcW w:w="1174" w:type="dxa"/>
            <w:tcBorders>
              <w:tl2br w:val="nil"/>
              <w:tr2bl w:val="nil"/>
            </w:tcBorders>
            <w:vAlign w:val="center"/>
          </w:tcPr>
          <w:p w14:paraId="3D2DF3C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0.1937</w:t>
            </w:r>
          </w:p>
        </w:tc>
        <w:tc>
          <w:tcPr>
            <w:tcW w:w="1173" w:type="dxa"/>
            <w:tcBorders>
              <w:tl2br w:val="nil"/>
              <w:tr2bl w:val="nil"/>
            </w:tcBorders>
            <w:vAlign w:val="center"/>
          </w:tcPr>
          <w:p w14:paraId="5B42F676">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0.2403</w:t>
            </w:r>
          </w:p>
        </w:tc>
        <w:tc>
          <w:tcPr>
            <w:tcW w:w="1174" w:type="dxa"/>
            <w:tcBorders>
              <w:tl2br w:val="nil"/>
              <w:tr2bl w:val="nil"/>
            </w:tcBorders>
            <w:vAlign w:val="center"/>
          </w:tcPr>
          <w:p w14:paraId="6A540E3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0.2841</w:t>
            </w:r>
          </w:p>
        </w:tc>
        <w:tc>
          <w:tcPr>
            <w:tcW w:w="1173" w:type="dxa"/>
            <w:tcBorders>
              <w:tl2br w:val="nil"/>
              <w:tr2bl w:val="nil"/>
            </w:tcBorders>
            <w:vAlign w:val="center"/>
          </w:tcPr>
          <w:p w14:paraId="54127C24">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0.4778</w:t>
            </w:r>
          </w:p>
        </w:tc>
      </w:tr>
      <w:tr w14:paraId="3F9B5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1" w:type="dxa"/>
            <w:tcBorders>
              <w:tl2br w:val="nil"/>
              <w:tr2bl w:val="nil"/>
            </w:tcBorders>
            <w:vAlign w:val="center"/>
          </w:tcPr>
          <w:p w14:paraId="14F2B35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20</w:t>
            </w:r>
          </w:p>
        </w:tc>
        <w:tc>
          <w:tcPr>
            <w:tcW w:w="1173" w:type="dxa"/>
            <w:tcBorders>
              <w:tl2br w:val="nil"/>
              <w:tr2bl w:val="nil"/>
            </w:tcBorders>
            <w:vAlign w:val="center"/>
          </w:tcPr>
          <w:p w14:paraId="2036F12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0.1133</w:t>
            </w:r>
          </w:p>
        </w:tc>
        <w:tc>
          <w:tcPr>
            <w:tcW w:w="1173" w:type="dxa"/>
            <w:tcBorders>
              <w:tl2br w:val="nil"/>
              <w:tr2bl w:val="nil"/>
            </w:tcBorders>
            <w:vAlign w:val="center"/>
          </w:tcPr>
          <w:p w14:paraId="1297FD9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0.1905</w:t>
            </w:r>
          </w:p>
        </w:tc>
        <w:tc>
          <w:tcPr>
            <w:tcW w:w="1174" w:type="dxa"/>
            <w:tcBorders>
              <w:tl2br w:val="nil"/>
              <w:tr2bl w:val="nil"/>
            </w:tcBorders>
            <w:vAlign w:val="center"/>
          </w:tcPr>
          <w:p w14:paraId="39A62FB1">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0.2583</w:t>
            </w:r>
          </w:p>
        </w:tc>
        <w:tc>
          <w:tcPr>
            <w:tcW w:w="1173" w:type="dxa"/>
            <w:tcBorders>
              <w:tl2br w:val="nil"/>
              <w:tr2bl w:val="nil"/>
            </w:tcBorders>
            <w:vAlign w:val="center"/>
          </w:tcPr>
          <w:p w14:paraId="08B3704F">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0.3204</w:t>
            </w:r>
          </w:p>
        </w:tc>
        <w:tc>
          <w:tcPr>
            <w:tcW w:w="1174" w:type="dxa"/>
            <w:tcBorders>
              <w:tl2br w:val="nil"/>
              <w:tr2bl w:val="nil"/>
            </w:tcBorders>
            <w:vAlign w:val="center"/>
          </w:tcPr>
          <w:p w14:paraId="3D7122B7">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0.3788</w:t>
            </w:r>
          </w:p>
        </w:tc>
        <w:tc>
          <w:tcPr>
            <w:tcW w:w="1173" w:type="dxa"/>
            <w:tcBorders>
              <w:tl2br w:val="nil"/>
              <w:tr2bl w:val="nil"/>
            </w:tcBorders>
            <w:vAlign w:val="center"/>
          </w:tcPr>
          <w:p w14:paraId="06F727D8">
            <w:pPr>
              <w:keepNext w:val="0"/>
              <w:keepLines w:val="0"/>
              <w:pageBreakBefore w:val="0"/>
              <w:widowControl w:val="0"/>
              <w:suppressLineNumbers w:val="0"/>
              <w:kinsoku w:val="0"/>
              <w:wordWrap w:val="0"/>
              <w:overflowPunct/>
              <w:topLinePunct/>
              <w:autoSpaceDE/>
              <w:autoSpaceDN/>
              <w:bidi w:val="0"/>
              <w:adjustRightInd w:val="0"/>
              <w:snapToGrid w:val="0"/>
              <w:spacing w:before="0" w:beforeAutospacing="0" w:after="0" w:afterAutospacing="0" w:line="340" w:lineRule="exact"/>
              <w:ind w:left="0" w:right="0"/>
              <w:jc w:val="center"/>
              <w:textAlignment w:val="auto"/>
              <w:rPr>
                <w:rFonts w:hint="default" w:ascii="Times New Roman" w:hAnsi="Times New Roman" w:eastAsia="宋体" w:cs="Times New Roman"/>
                <w:caps w:val="0"/>
                <w:smallCaps w:val="0"/>
                <w:color w:val="auto"/>
                <w:spacing w:val="0"/>
                <w:w w:val="100"/>
                <w:position w:val="0"/>
                <w:sz w:val="21"/>
                <w:szCs w:val="21"/>
                <w:u w:val="none" w:color="auto"/>
              </w:rPr>
            </w:pPr>
            <w:r>
              <w:rPr>
                <w:rFonts w:hint="default" w:ascii="Times New Roman" w:hAnsi="Times New Roman" w:eastAsia="宋体" w:cs="Times New Roman"/>
                <w:caps w:val="0"/>
                <w:smallCaps w:val="0"/>
                <w:color w:val="auto"/>
                <w:spacing w:val="0"/>
                <w:w w:val="100"/>
                <w:position w:val="0"/>
                <w:sz w:val="21"/>
                <w:szCs w:val="21"/>
                <w:u w:val="none" w:color="auto"/>
              </w:rPr>
              <w:t>0.6371</w:t>
            </w:r>
          </w:p>
        </w:tc>
      </w:tr>
    </w:tbl>
    <w:p w14:paraId="711D8AEC">
      <w:pPr>
        <w:pStyle w:val="106"/>
        <w:spacing w:line="360" w:lineRule="auto"/>
        <w:rPr>
          <w:rFonts w:hint="default" w:ascii="Times New Roman" w:hAnsi="Times New Roman" w:eastAsia="宋体" w:cs="Times New Roman"/>
          <w:color w:val="000000" w:themeColor="text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u w:val="none" w:color="auto"/>
          <w14:textFill>
            <w14:solidFill>
              <w14:schemeClr w14:val="tx1"/>
            </w14:solidFill>
          </w14:textFill>
        </w:rPr>
        <w:t>由表4.</w:t>
      </w:r>
      <w:r>
        <w:rPr>
          <w:rFonts w:hint="eastAsia" w:cs="Times New Roman"/>
          <w:color w:val="000000" w:themeColor="text1"/>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u w:val="none" w:color="auto"/>
          <w14:textFill>
            <w14:solidFill>
              <w14:schemeClr w14:val="tx1"/>
            </w14:solidFill>
          </w14:textFill>
        </w:rPr>
        <w:t>-2可见，在同样路面清洁情况下，车速越快，扬尘量越大；而在同样车速情况下，路面清洁度越差，则扬尘量越大。根据类比调查，一般情况下，</w:t>
      </w:r>
      <w:r>
        <w:rPr>
          <w:rFonts w:hint="default" w:ascii="Times New Roman" w:hAnsi="Times New Roman" w:eastAsia="宋体" w:cs="Times New Roman"/>
          <w:color w:val="000000" w:themeColor="text1"/>
          <w:u w:val="none" w:color="auto"/>
          <w:lang w:val="en-US" w:eastAsia="zh-CN"/>
          <w14:textFill>
            <w14:solidFill>
              <w14:schemeClr w14:val="tx1"/>
            </w14:solidFill>
          </w14:textFill>
        </w:rPr>
        <w:t>在未采取抑尘措施的条件下，道路扬尘所影响的范围在100m以内，而对道路实施定期洒水冲洗（每天3~5次）措施后，道扬尘的影响范围可控制在30m以内。</w:t>
      </w:r>
    </w:p>
    <w:p w14:paraId="024B7EB9">
      <w:pPr>
        <w:spacing w:line="360" w:lineRule="auto"/>
        <w:ind w:left="-63"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根据工程布置，本工程对外交通公路直接利用</w:t>
      </w:r>
      <w:r>
        <w:rPr>
          <w:rFonts w:hint="eastAsia" w:ascii="Times New Roman" w:hAnsi="Times New Roman" w:eastAsia="宋体" w:cs="Times New Roman"/>
          <w:color w:val="auto"/>
          <w:spacing w:val="0"/>
          <w:w w:val="100"/>
          <w:position w:val="0"/>
          <w:sz w:val="24"/>
          <w:szCs w:val="24"/>
          <w:u w:val="none" w:color="auto"/>
          <w:lang w:eastAsia="zh-CN"/>
        </w:rPr>
        <w:t>乡村</w:t>
      </w:r>
      <w:r>
        <w:rPr>
          <w:rFonts w:hint="default" w:ascii="Times New Roman" w:hAnsi="Times New Roman" w:eastAsia="宋体" w:cs="Times New Roman"/>
          <w:color w:val="auto"/>
          <w:spacing w:val="0"/>
          <w:w w:val="100"/>
          <w:position w:val="0"/>
          <w:sz w:val="24"/>
          <w:szCs w:val="24"/>
          <w:u w:val="none" w:color="auto"/>
        </w:rPr>
        <w:t>道路，该道路为混凝土</w:t>
      </w:r>
      <w:r>
        <w:rPr>
          <w:rFonts w:hint="eastAsia" w:ascii="Times New Roman" w:hAnsi="Times New Roman" w:eastAsia="宋体" w:cs="Times New Roman"/>
          <w:color w:val="auto"/>
          <w:spacing w:val="0"/>
          <w:w w:val="100"/>
          <w:position w:val="0"/>
          <w:sz w:val="24"/>
          <w:szCs w:val="24"/>
          <w:u w:val="none" w:color="auto"/>
          <w:lang w:val="en-US" w:eastAsia="zh-CN"/>
        </w:rPr>
        <w:t>/泥结石</w:t>
      </w:r>
      <w:r>
        <w:rPr>
          <w:rFonts w:hint="default" w:ascii="Times New Roman" w:hAnsi="Times New Roman" w:eastAsia="宋体" w:cs="Times New Roman"/>
          <w:color w:val="auto"/>
          <w:spacing w:val="0"/>
          <w:w w:val="100"/>
          <w:position w:val="0"/>
          <w:sz w:val="24"/>
          <w:szCs w:val="24"/>
          <w:u w:val="none" w:color="auto"/>
        </w:rPr>
        <w:t>路面，满足物料运输要求。</w:t>
      </w: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本工程交通运输扬尘主要影响</w:t>
      </w:r>
      <w:r>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防汛公路沿线及运输道路沿线的</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老河口村、青山村、南岭</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村</w:t>
      </w: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居民点等敏感目标。道路扬尘对周边环境空气质量和敏感目标有不利影响，但影响程度有限。</w:t>
      </w:r>
      <w:r>
        <w:rPr>
          <w:rFonts w:hint="default" w:ascii="Times New Roman" w:hAnsi="Times New Roman" w:eastAsia="宋体" w:cs="Times New Roman"/>
          <w:caps w:val="0"/>
          <w:smallCaps w:val="0"/>
          <w:color w:val="auto"/>
          <w:spacing w:val="0"/>
          <w:w w:val="100"/>
          <w:position w:val="0"/>
          <w:sz w:val="24"/>
          <w:szCs w:val="24"/>
          <w:u w:val="none" w:color="auto"/>
        </w:rPr>
        <w:t>项目物料运输车辆采用封闭车辆或加盖帆布，不超重装载，避免运输过程产生物料遗撒，减少扬尘产生；要求驾驶员在运输过程中做到文明驾驶，途经村庄时要减速慢行，以减少扬尘的产生量。同时在，运输道路上设专人定期清扫泥尘，配置洒水车及时洒水降尘。采取以上措施后，可有效</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减小</w:t>
      </w:r>
      <w:r>
        <w:rPr>
          <w:rFonts w:hint="default" w:ascii="Times New Roman" w:hAnsi="Times New Roman" w:eastAsia="宋体" w:cs="Times New Roman"/>
          <w:caps w:val="0"/>
          <w:smallCaps w:val="0"/>
          <w:color w:val="auto"/>
          <w:spacing w:val="0"/>
          <w:w w:val="100"/>
          <w:position w:val="0"/>
          <w:sz w:val="24"/>
          <w:szCs w:val="24"/>
          <w:u w:val="none" w:color="auto"/>
        </w:rPr>
        <w:t>运输</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扬尘对</w:t>
      </w:r>
      <w:r>
        <w:rPr>
          <w:rFonts w:hint="default" w:ascii="Times New Roman" w:hAnsi="Times New Roman" w:eastAsia="宋体" w:cs="Times New Roman"/>
          <w:caps w:val="0"/>
          <w:smallCaps w:val="0"/>
          <w:color w:val="auto"/>
          <w:spacing w:val="0"/>
          <w:w w:val="100"/>
          <w:position w:val="0"/>
          <w:sz w:val="24"/>
          <w:szCs w:val="24"/>
          <w:u w:val="none" w:color="auto"/>
        </w:rPr>
        <w:t>道路沿线居民的影响。</w:t>
      </w:r>
    </w:p>
    <w:p w14:paraId="10A5368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eastAsia="zh-CN"/>
        </w:rPr>
        <w:t>机械设备燃油废气影响</w:t>
      </w:r>
    </w:p>
    <w:p w14:paraId="6F1C93B6">
      <w:pPr>
        <w:keepNext w:val="0"/>
        <w:keepLines w:val="0"/>
        <w:pageBreakBefore w:val="0"/>
        <w:widowControl w:val="0"/>
        <w:kinsoku w:val="0"/>
        <w:wordWrap w:val="0"/>
        <w:overflowPunct/>
        <w:topLinePunct/>
        <w:autoSpaceDE/>
        <w:autoSpaceDN/>
        <w:bidi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rPr>
        <w:t>工程施工过程采用柴油动力机械、运输车辆等机械作业产生的废气，主要污染物为CO、NO</w:t>
      </w:r>
      <w:r>
        <w:rPr>
          <w:rFonts w:hint="default" w:ascii="Times New Roman" w:hAnsi="Times New Roman" w:eastAsia="宋体" w:cs="Times New Roman"/>
          <w:caps w:val="0"/>
          <w:smallCaps w:val="0"/>
          <w:color w:val="auto"/>
          <w:spacing w:val="0"/>
          <w:w w:val="100"/>
          <w:position w:val="0"/>
          <w:sz w:val="24"/>
          <w:szCs w:val="24"/>
          <w:u w:val="none" w:color="auto"/>
          <w:vertAlign w:val="subscript"/>
          <w:lang w:val="en-US" w:eastAsia="zh-CN"/>
        </w:rPr>
        <w:t>x</w:t>
      </w: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颗粒物</w:t>
      </w:r>
      <w:r>
        <w:rPr>
          <w:rFonts w:hint="default" w:ascii="Times New Roman" w:hAnsi="Times New Roman" w:eastAsia="宋体" w:cs="Times New Roman"/>
          <w:caps w:val="0"/>
          <w:smallCaps w:val="0"/>
          <w:color w:val="auto"/>
          <w:spacing w:val="0"/>
          <w:w w:val="100"/>
          <w:position w:val="0"/>
          <w:sz w:val="24"/>
          <w:szCs w:val="24"/>
          <w:u w:val="none" w:color="auto"/>
        </w:rPr>
        <w:t>和烃类等，各污染物的排放量与与施工机械数量及密度、耗油量、燃料品质及机械设备状况有关</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rPr>
        <w:t>施工机械、汽车产生的燃油废气会对周围环境空气产生不利影响。</w:t>
      </w:r>
    </w:p>
    <w:p w14:paraId="5A2CFA4D">
      <w:pPr>
        <w:spacing w:line="360" w:lineRule="auto"/>
        <w:ind w:left="-63"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由于施工范围较</w:t>
      </w:r>
      <w:r>
        <w:rPr>
          <w:rFonts w:hint="default" w:ascii="Times New Roman" w:hAnsi="Times New Roman" w:eastAsia="宋体" w:cs="Times New Roman"/>
          <w:caps w:val="0"/>
          <w:smallCaps w:val="0"/>
          <w:color w:val="auto"/>
          <w:spacing w:val="0"/>
          <w:w w:val="100"/>
          <w:position w:val="0"/>
          <w:sz w:val="24"/>
          <w:szCs w:val="24"/>
          <w:u w:val="none" w:color="auto"/>
          <w:lang w:eastAsia="zh-CN"/>
        </w:rPr>
        <w:t>小</w:t>
      </w:r>
      <w:r>
        <w:rPr>
          <w:rFonts w:hint="default" w:ascii="Times New Roman" w:hAnsi="Times New Roman" w:eastAsia="宋体" w:cs="Times New Roman"/>
          <w:caps w:val="0"/>
          <w:smallCaps w:val="0"/>
          <w:color w:val="auto"/>
          <w:spacing w:val="0"/>
          <w:w w:val="100"/>
          <w:position w:val="0"/>
          <w:sz w:val="24"/>
          <w:szCs w:val="24"/>
          <w:u w:val="none" w:color="auto"/>
        </w:rPr>
        <w:t>，施工项目较为</w:t>
      </w:r>
      <w:r>
        <w:rPr>
          <w:rFonts w:hint="default" w:ascii="Times New Roman" w:hAnsi="Times New Roman" w:eastAsia="宋体" w:cs="Times New Roman"/>
          <w:caps w:val="0"/>
          <w:smallCaps w:val="0"/>
          <w:color w:val="auto"/>
          <w:spacing w:val="0"/>
          <w:w w:val="100"/>
          <w:position w:val="0"/>
          <w:sz w:val="24"/>
          <w:szCs w:val="24"/>
          <w:u w:val="none" w:color="auto"/>
          <w:lang w:eastAsia="zh-CN"/>
        </w:rPr>
        <w:t>集中</w:t>
      </w:r>
      <w:r>
        <w:rPr>
          <w:rFonts w:hint="default" w:ascii="Times New Roman" w:hAnsi="Times New Roman" w:eastAsia="宋体" w:cs="Times New Roman"/>
          <w:caps w:val="0"/>
          <w:smallCaps w:val="0"/>
          <w:color w:val="auto"/>
          <w:spacing w:val="0"/>
          <w:w w:val="100"/>
          <w:position w:val="0"/>
          <w:sz w:val="24"/>
          <w:szCs w:val="24"/>
          <w:u w:val="none" w:color="auto"/>
        </w:rPr>
        <w:t>，机械废气多为流动性、间歇性、无组织排放，污染源呈面源分布，污染物排放分散且强度不大</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同时项目</w:t>
      </w:r>
      <w:r>
        <w:rPr>
          <w:rFonts w:hint="default" w:ascii="Times New Roman" w:hAnsi="Times New Roman" w:eastAsia="宋体" w:cs="Times New Roman"/>
          <w:caps w:val="0"/>
          <w:smallCaps w:val="0"/>
          <w:color w:val="auto"/>
          <w:spacing w:val="0"/>
          <w:w w:val="100"/>
          <w:position w:val="0"/>
          <w:sz w:val="24"/>
          <w:szCs w:val="24"/>
          <w:u w:val="none" w:color="auto"/>
        </w:rPr>
        <w:t>位于农村地区，现状无大型污染源，施工区域地势开阔、污染物扩散条件好</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rPr>
        <w:t>燃油废气产生后在短时间内即扩散，对施工区域周边环境空气的影响程度有限，施工区周边的敏感点受燃油废气的影响较小。</w:t>
      </w:r>
    </w:p>
    <w:p w14:paraId="252C60E8">
      <w:pPr>
        <w:numPr>
          <w:ilvl w:val="0"/>
          <w:numId w:val="3"/>
        </w:numPr>
        <w:spacing w:line="360" w:lineRule="auto"/>
        <w:ind w:left="0" w:leftChars="0" w:firstLine="480" w:firstLineChars="200"/>
        <w:rPr>
          <w:rFonts w:hint="eastAsia"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沥青烟影响</w:t>
      </w:r>
    </w:p>
    <w:p w14:paraId="22CE832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 </w:t>
      </w:r>
      <w:r>
        <w:rPr>
          <w:rFonts w:hint="eastAsia" w:ascii="Times New Roman" w:hAnsi="Times New Roman" w:eastAsia="宋体" w:cs="Times New Roman"/>
          <w:color w:val="000000"/>
          <w:kern w:val="0"/>
          <w:sz w:val="24"/>
          <w:szCs w:val="24"/>
          <w:u w:val="none" w:color="auto"/>
          <w:lang w:val="en-US" w:eastAsia="zh-CN" w:bidi="ar"/>
        </w:rPr>
        <w:t>本项目对主坝、六副坝</w:t>
      </w:r>
      <w:r>
        <w:rPr>
          <w:rFonts w:hint="default" w:ascii="Times New Roman" w:hAnsi="Times New Roman" w:eastAsia="宋体" w:cs="Times New Roman"/>
          <w:color w:val="000000"/>
          <w:kern w:val="0"/>
          <w:sz w:val="24"/>
          <w:szCs w:val="24"/>
          <w:u w:val="none" w:color="auto"/>
          <w:lang w:val="en-US" w:eastAsia="zh-CN" w:bidi="ar"/>
        </w:rPr>
        <w:t>原混凝土路面</w:t>
      </w:r>
      <w:r>
        <w:rPr>
          <w:rFonts w:hint="eastAsia" w:ascii="Times New Roman" w:hAnsi="Times New Roman" w:eastAsia="宋体" w:cs="Times New Roman"/>
          <w:color w:val="000000"/>
          <w:kern w:val="0"/>
          <w:sz w:val="24"/>
          <w:szCs w:val="24"/>
          <w:u w:val="none" w:color="auto"/>
          <w:lang w:val="en-US" w:eastAsia="zh-CN" w:bidi="ar"/>
        </w:rPr>
        <w:t>进行</w:t>
      </w:r>
      <w:r>
        <w:rPr>
          <w:rFonts w:hint="default" w:ascii="Times New Roman" w:hAnsi="Times New Roman" w:eastAsia="宋体" w:cs="Times New Roman"/>
          <w:color w:val="000000"/>
          <w:kern w:val="0"/>
          <w:sz w:val="24"/>
          <w:szCs w:val="24"/>
          <w:u w:val="none" w:color="auto"/>
          <w:lang w:val="en-US" w:eastAsia="zh-CN" w:bidi="ar"/>
        </w:rPr>
        <w:t>拆除，新建沥青混凝土路面</w:t>
      </w:r>
      <w:r>
        <w:rPr>
          <w:rFonts w:hint="eastAsia" w:ascii="Times New Roman" w:hAnsi="Times New Roman" w:eastAsia="宋体" w:cs="Times New Roman"/>
          <w:color w:val="000000"/>
          <w:kern w:val="0"/>
          <w:sz w:val="24"/>
          <w:szCs w:val="24"/>
          <w:u w:val="none" w:color="auto"/>
          <w:lang w:val="en-US" w:eastAsia="zh-CN" w:bidi="ar"/>
        </w:rPr>
        <w:t>；同时防汛公路改造过程中，约1640</w:t>
      </w:r>
      <w:r>
        <w:rPr>
          <w:rFonts w:hint="default" w:ascii="Times New Roman" w:hAnsi="Times New Roman" w:eastAsia="宋体" w:cs="Times New Roman"/>
          <w:color w:val="000000"/>
          <w:kern w:val="0"/>
          <w:sz w:val="24"/>
          <w:szCs w:val="24"/>
          <w:u w:val="none" w:color="auto"/>
          <w:lang w:val="en-US" w:eastAsia="zh-CN" w:bidi="ar"/>
        </w:rPr>
        <w:t>m路面面层采用沥青混凝土。</w:t>
      </w:r>
      <w:r>
        <w:rPr>
          <w:rFonts w:hint="default" w:ascii="Times New Roman" w:hAnsi="Times New Roman" w:eastAsia="宋体" w:cs="Times New Roman"/>
          <w:color w:val="auto"/>
          <w:spacing w:val="0"/>
          <w:w w:val="100"/>
          <w:position w:val="0"/>
          <w:sz w:val="24"/>
          <w:szCs w:val="24"/>
          <w:highlight w:val="none"/>
          <w:u w:val="none" w:color="auto"/>
          <w:lang w:val="en-US" w:eastAsia="zh-CN"/>
        </w:rPr>
        <w:t>本工程使用商品沥青混凝土，道路沥青混凝土摊铺</w:t>
      </w:r>
      <w:r>
        <w:rPr>
          <w:rFonts w:hint="eastAsia" w:ascii="Times New Roman" w:hAnsi="Times New Roman" w:eastAsia="宋体" w:cs="Times New Roman"/>
          <w:color w:val="auto"/>
          <w:spacing w:val="0"/>
          <w:w w:val="100"/>
          <w:position w:val="0"/>
          <w:sz w:val="24"/>
          <w:szCs w:val="24"/>
          <w:highlight w:val="none"/>
          <w:u w:val="none" w:color="auto"/>
          <w:lang w:val="en-US" w:eastAsia="zh-CN"/>
        </w:rPr>
        <w:t>时</w:t>
      </w:r>
      <w:r>
        <w:rPr>
          <w:rFonts w:hint="default" w:ascii="Times New Roman" w:hAnsi="Times New Roman" w:eastAsia="宋体" w:cs="Times New Roman"/>
          <w:color w:val="auto"/>
          <w:spacing w:val="0"/>
          <w:w w:val="100"/>
          <w:position w:val="0"/>
          <w:sz w:val="24"/>
          <w:szCs w:val="24"/>
          <w:highlight w:val="none"/>
          <w:u w:val="none" w:color="auto"/>
          <w:lang w:val="en-US" w:eastAsia="zh-CN"/>
        </w:rPr>
        <w:t>会有少量沥青烟产生</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p>
    <w:p w14:paraId="60C16C49">
      <w:pPr>
        <w:numPr>
          <w:ilvl w:val="0"/>
          <w:numId w:val="0"/>
        </w:numPr>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000000"/>
          <w:kern w:val="0"/>
          <w:sz w:val="24"/>
          <w:szCs w:val="24"/>
          <w:u w:val="none" w:color="auto"/>
          <w:lang w:val="en-US" w:eastAsia="zh-CN" w:bidi="ar"/>
        </w:rPr>
        <w:t>沥青烟</w:t>
      </w:r>
      <w:r>
        <w:rPr>
          <w:rFonts w:hint="default" w:ascii="Times New Roman" w:hAnsi="Times New Roman" w:eastAsia="宋体" w:cs="Times New Roman"/>
          <w:color w:val="000000"/>
          <w:kern w:val="0"/>
          <w:sz w:val="24"/>
          <w:szCs w:val="24"/>
          <w:u w:val="none" w:color="auto"/>
          <w:lang w:val="en-US" w:eastAsia="zh-CN" w:bidi="ar"/>
        </w:rPr>
        <w:t>影响距离一般在50m以内，在下风向50m外苯并[a]芘浓度低于0.00001mg/m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，酚在下风向60m左右≤0.01mg/m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，THC在60m左右浓度≤0.16mg/m</w:t>
      </w:r>
      <w:r>
        <w:rPr>
          <w:rFonts w:hint="default" w:ascii="Times New Roman" w:hAnsi="Times New Roman" w:eastAsia="宋体" w:cs="Times New Roman"/>
          <w:color w:val="000000"/>
          <w:kern w:val="0"/>
          <w:sz w:val="24"/>
          <w:szCs w:val="24"/>
          <w:u w:val="none" w:color="auto"/>
          <w:vertAlign w:val="superscript"/>
          <w:lang w:val="en-US" w:eastAsia="zh-CN" w:bidi="ar"/>
        </w:rPr>
        <w:t>3</w:t>
      </w:r>
      <w:r>
        <w:rPr>
          <w:rFonts w:hint="default" w:ascii="Times New Roman" w:hAnsi="Times New Roman" w:eastAsia="宋体" w:cs="Times New Roman"/>
          <w:color w:val="000000"/>
          <w:kern w:val="0"/>
          <w:sz w:val="24"/>
          <w:szCs w:val="24"/>
          <w:u w:val="none" w:color="auto"/>
          <w:lang w:val="en-US" w:eastAsia="zh-CN" w:bidi="ar"/>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由于摊铺过程为短期一次性作业，热沥青混凝土温度降低很快，影响是短时的，随着施工活动的结束，烟气排放随之基本结束</w:t>
      </w:r>
      <w:r>
        <w:rPr>
          <w:rFonts w:hint="eastAsia" w:ascii="Times New Roman" w:hAnsi="Times New Roman" w:eastAsia="宋体" w:cs="Times New Roman"/>
          <w:color w:val="auto"/>
          <w:spacing w:val="0"/>
          <w:w w:val="100"/>
          <w:position w:val="0"/>
          <w:sz w:val="24"/>
          <w:szCs w:val="24"/>
          <w:highlight w:val="none"/>
          <w:u w:val="none" w:color="auto"/>
          <w:lang w:val="en-US" w:eastAsia="zh-CN"/>
        </w:rPr>
        <w:t>。同时</w:t>
      </w:r>
      <w:r>
        <w:rPr>
          <w:rFonts w:hint="default" w:ascii="Times New Roman" w:hAnsi="Times New Roman" w:eastAsia="宋体" w:cs="Times New Roman"/>
          <w:color w:val="auto"/>
          <w:spacing w:val="0"/>
          <w:w w:val="100"/>
          <w:position w:val="0"/>
          <w:sz w:val="24"/>
          <w:szCs w:val="24"/>
          <w:highlight w:val="none"/>
          <w:u w:val="none" w:color="auto"/>
          <w:lang w:val="en-US" w:eastAsia="zh-CN"/>
        </w:rPr>
        <w:t>项目施工区域地势开阔，空气扩散条件较好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因此</w:t>
      </w:r>
      <w:r>
        <w:rPr>
          <w:rFonts w:hint="eastAsia" w:ascii="Times New Roman" w:hAnsi="Times New Roman" w:eastAsia="宋体" w:cs="Times New Roman"/>
          <w:color w:val="auto"/>
          <w:spacing w:val="0"/>
          <w:w w:val="100"/>
          <w:position w:val="0"/>
          <w:sz w:val="24"/>
          <w:szCs w:val="24"/>
          <w:highlight w:val="none"/>
          <w:u w:val="none" w:color="auto"/>
          <w:lang w:val="en-US" w:eastAsia="zh-CN"/>
        </w:rPr>
        <w:t>大坝坝顶路面、</w:t>
      </w:r>
      <w:r>
        <w:rPr>
          <w:rFonts w:hint="default" w:ascii="Times New Roman" w:hAnsi="Times New Roman" w:eastAsia="宋体" w:cs="Times New Roman"/>
          <w:color w:val="auto"/>
          <w:spacing w:val="0"/>
          <w:w w:val="100"/>
          <w:position w:val="0"/>
          <w:sz w:val="24"/>
          <w:szCs w:val="24"/>
          <w:highlight w:val="none"/>
          <w:u w:val="none" w:color="auto"/>
          <w:lang w:val="en-US" w:eastAsia="zh-CN"/>
        </w:rPr>
        <w:t>防汛公路改造沥青摊铺产生的沥青烟对区域环境空气质量的影响较小。</w:t>
      </w:r>
    </w:p>
    <w:p w14:paraId="7798A857">
      <w:pPr>
        <w:pStyle w:val="4"/>
        <w:bidi w:val="0"/>
        <w:rPr>
          <w:rFonts w:hint="default" w:ascii="Times New Roman" w:hAnsi="Times New Roman" w:cs="Times New Roman"/>
          <w:color w:val="auto"/>
          <w:u w:val="none" w:color="auto"/>
        </w:rPr>
      </w:pPr>
      <w:bookmarkStart w:id="284" w:name="_Toc6297"/>
      <w:r>
        <w:rPr>
          <w:rFonts w:hint="default" w:ascii="Times New Roman" w:hAnsi="Times New Roman" w:cs="Times New Roman"/>
          <w:color w:val="auto"/>
          <w:u w:val="none" w:color="auto"/>
          <w:lang w:val="en-US" w:eastAsia="zh-CN"/>
        </w:rPr>
        <w:t>施工期</w:t>
      </w:r>
      <w:r>
        <w:rPr>
          <w:rFonts w:hint="default" w:ascii="Times New Roman" w:hAnsi="Times New Roman" w:cs="Times New Roman"/>
          <w:color w:val="auto"/>
          <w:u w:val="none" w:color="auto"/>
        </w:rPr>
        <w:t>地表水环境影响分析</w:t>
      </w:r>
      <w:bookmarkEnd w:id="284"/>
    </w:p>
    <w:p w14:paraId="50861E78">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对水文情势的影响分析</w:t>
      </w:r>
    </w:p>
    <w:p w14:paraId="0E6C8874">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本工程是水库除险加固工程，不改变坝体位置，不改变水库设计正常蓄水位，不改变水库运行调度原则，本工程不进行增容。</w:t>
      </w:r>
      <w:r>
        <w:rPr>
          <w:rFonts w:hint="default" w:ascii="Times New Roman" w:hAnsi="Times New Roman" w:eastAsia="宋体" w:cs="Times New Roman"/>
          <w:color w:val="auto"/>
          <w:spacing w:val="0"/>
          <w:w w:val="100"/>
          <w:position w:val="0"/>
          <w:sz w:val="24"/>
          <w:szCs w:val="24"/>
          <w:u w:val="none" w:color="auto"/>
          <w:lang w:val="en-US" w:eastAsia="zh-CN"/>
        </w:rPr>
        <w:t>施工导流</w:t>
      </w:r>
      <w:r>
        <w:rPr>
          <w:rFonts w:hint="eastAsia" w:ascii="Times New Roman" w:hAnsi="Times New Roman" w:eastAsia="宋体" w:cs="Times New Roman"/>
          <w:color w:val="auto"/>
          <w:spacing w:val="0"/>
          <w:w w:val="100"/>
          <w:position w:val="0"/>
          <w:sz w:val="24"/>
          <w:szCs w:val="24"/>
          <w:u w:val="none" w:color="auto"/>
          <w:lang w:val="en-US" w:eastAsia="zh-CN"/>
        </w:rPr>
        <w:t>期间</w:t>
      </w:r>
      <w:r>
        <w:rPr>
          <w:rFonts w:hint="default" w:ascii="Times New Roman" w:hAnsi="Times New Roman" w:eastAsia="宋体" w:cs="Times New Roman"/>
          <w:color w:val="auto"/>
          <w:spacing w:val="0"/>
          <w:w w:val="100"/>
          <w:position w:val="0"/>
          <w:sz w:val="24"/>
          <w:szCs w:val="24"/>
          <w:u w:val="none" w:color="auto"/>
          <w:lang w:val="en-US" w:eastAsia="zh-CN"/>
        </w:rPr>
        <w:t>将导致</w:t>
      </w:r>
      <w:r>
        <w:rPr>
          <w:rFonts w:hint="eastAsia" w:ascii="Times New Roman" w:hAnsi="Times New Roman" w:eastAsia="宋体" w:cs="Times New Roman"/>
          <w:color w:val="auto"/>
          <w:spacing w:val="0"/>
          <w:w w:val="100"/>
          <w:position w:val="0"/>
          <w:sz w:val="24"/>
          <w:szCs w:val="24"/>
          <w:u w:val="none" w:color="auto"/>
          <w:lang w:val="en-US" w:eastAsia="zh-CN"/>
        </w:rPr>
        <w:t>北汊水库库区水位降低、</w:t>
      </w:r>
      <w:r>
        <w:rPr>
          <w:rFonts w:hint="default" w:ascii="Times New Roman" w:hAnsi="Times New Roman" w:eastAsia="宋体" w:cs="Times New Roman"/>
          <w:color w:val="auto"/>
          <w:spacing w:val="0"/>
          <w:w w:val="100"/>
          <w:position w:val="0"/>
          <w:sz w:val="24"/>
          <w:szCs w:val="24"/>
          <w:u w:val="none" w:color="auto"/>
          <w:lang w:val="en-US" w:eastAsia="zh-CN"/>
        </w:rPr>
        <w:t>水面面积减少</w:t>
      </w:r>
      <w:r>
        <w:rPr>
          <w:rFonts w:hint="eastAsia" w:ascii="Times New Roman" w:hAnsi="Times New Roman" w:eastAsia="宋体" w:cs="Times New Roman"/>
          <w:color w:val="auto"/>
          <w:spacing w:val="0"/>
          <w:w w:val="100"/>
          <w:position w:val="0"/>
          <w:sz w:val="24"/>
          <w:szCs w:val="24"/>
          <w:u w:val="none" w:color="auto"/>
          <w:lang w:val="en-US" w:eastAsia="zh-CN"/>
        </w:rPr>
        <w:t>、水</w:t>
      </w:r>
      <w:r>
        <w:rPr>
          <w:rFonts w:hint="default" w:ascii="Times New Roman" w:hAnsi="Times New Roman" w:eastAsia="宋体" w:cs="Times New Roman"/>
          <w:color w:val="auto"/>
          <w:spacing w:val="0"/>
          <w:w w:val="100"/>
          <w:position w:val="0"/>
          <w:sz w:val="24"/>
          <w:szCs w:val="24"/>
          <w:u w:val="none" w:color="auto"/>
          <w:lang w:val="en-US" w:eastAsia="zh-CN"/>
        </w:rPr>
        <w:t>容积</w:t>
      </w:r>
      <w:r>
        <w:rPr>
          <w:rFonts w:hint="eastAsia" w:ascii="Times New Roman" w:hAnsi="Times New Roman" w:eastAsia="宋体" w:cs="Times New Roman"/>
          <w:color w:val="auto"/>
          <w:spacing w:val="0"/>
          <w:w w:val="100"/>
          <w:position w:val="0"/>
          <w:sz w:val="24"/>
          <w:szCs w:val="24"/>
          <w:u w:val="none" w:color="auto"/>
          <w:lang w:val="en-US" w:eastAsia="zh-CN"/>
        </w:rPr>
        <w:t>减小</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但是影响是短暂的。</w:t>
      </w:r>
      <w:r>
        <w:rPr>
          <w:rFonts w:hint="eastAsia" w:ascii="Times New Roman" w:hAnsi="Times New Roman" w:eastAsia="宋体" w:cs="Times New Roman"/>
          <w:color w:val="000000"/>
          <w:kern w:val="0"/>
          <w:sz w:val="24"/>
          <w:szCs w:val="24"/>
          <w:u w:val="none" w:color="auto"/>
          <w:lang w:val="en-US" w:eastAsia="zh-CN" w:bidi="ar"/>
        </w:rPr>
        <w:t>除险加固实施后水位变化不大，对库区的水温结构、流速等影响较小，对库区水文情势影响较小。</w:t>
      </w:r>
    </w:p>
    <w:p w14:paraId="33A7E8B7">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根据设计，综合考虑水库运行水位、施工期供水要求、施工部位最低高程等因素，输水涵、进水涵及泄洪闸施工时填筑围堰挡水，降低水位至</w:t>
      </w:r>
      <w:r>
        <w:rPr>
          <w:rFonts w:hint="default" w:ascii="Times New Roman" w:hAnsi="Times New Roman" w:eastAsia="宋体" w:cs="Times New Roman"/>
          <w:color w:val="000000"/>
          <w:kern w:val="0"/>
          <w:sz w:val="24"/>
          <w:szCs w:val="24"/>
          <w:u w:val="none" w:color="auto"/>
          <w:lang w:val="en-US" w:eastAsia="zh-CN" w:bidi="ar"/>
        </w:rPr>
        <w:t>27.00m</w:t>
      </w:r>
      <w:r>
        <w:rPr>
          <w:rFonts w:hint="eastAsia" w:ascii="Times New Roman" w:hAnsi="Times New Roman" w:eastAsia="宋体" w:cs="Times New Roman"/>
          <w:color w:val="000000"/>
          <w:kern w:val="0"/>
          <w:sz w:val="24"/>
          <w:szCs w:val="24"/>
          <w:u w:val="none" w:color="auto"/>
          <w:lang w:val="en-US" w:eastAsia="zh-CN" w:bidi="ar"/>
        </w:rPr>
        <w:t>，本项目</w:t>
      </w:r>
      <w:r>
        <w:rPr>
          <w:rFonts w:hint="eastAsia" w:ascii="Times New Roman" w:hAnsi="Times New Roman" w:eastAsia="宋体" w:cs="Times New Roman"/>
          <w:sz w:val="24"/>
          <w:szCs w:val="24"/>
          <w:u w:val="none" w:color="auto"/>
          <w:lang w:val="en-US" w:eastAsia="zh-CN"/>
        </w:rPr>
        <w:t>共设4台水泵抽水过流，水泵型号采用IS150-125-250，设计流量240m</w:t>
      </w:r>
      <w:r>
        <w:rPr>
          <w:rFonts w:hint="eastAsia" w:ascii="Times New Roman" w:hAnsi="Times New Roman" w:eastAsia="宋体" w:cs="Times New Roman"/>
          <w:sz w:val="24"/>
          <w:szCs w:val="24"/>
          <w:u w:val="none" w:color="auto"/>
          <w:vertAlign w:val="superscript"/>
          <w:lang w:val="en-US" w:eastAsia="zh-CN"/>
        </w:rPr>
        <w:t xml:space="preserve"> 3</w:t>
      </w:r>
      <w:r>
        <w:rPr>
          <w:rFonts w:hint="eastAsia" w:ascii="Times New Roman" w:hAnsi="Times New Roman" w:eastAsia="宋体" w:cs="Times New Roman"/>
          <w:sz w:val="24"/>
          <w:szCs w:val="24"/>
          <w:u w:val="none" w:color="auto"/>
          <w:lang w:val="en-US" w:eastAsia="zh-CN"/>
        </w:rPr>
        <w:t>/h</w:t>
      </w:r>
      <w:r>
        <w:rPr>
          <w:rFonts w:hint="eastAsia" w:ascii="Times New Roman" w:hAnsi="Times New Roman" w:eastAsia="宋体" w:cs="Times New Roman"/>
          <w:color w:val="000000"/>
          <w:kern w:val="0"/>
          <w:sz w:val="24"/>
          <w:szCs w:val="24"/>
          <w:u w:val="none" w:color="auto"/>
          <w:lang w:val="en-US" w:eastAsia="zh-CN" w:bidi="ar"/>
        </w:rPr>
        <w:t>；进行主坝剩余部分施工，期间利用泄洪闸过流，水位维持在</w:t>
      </w:r>
      <w:r>
        <w:rPr>
          <w:rFonts w:hint="default" w:ascii="Times New Roman" w:hAnsi="Times New Roman" w:eastAsia="宋体" w:cs="Times New Roman"/>
          <w:color w:val="000000"/>
          <w:kern w:val="0"/>
          <w:sz w:val="24"/>
          <w:szCs w:val="24"/>
          <w:u w:val="none" w:color="auto"/>
          <w:lang w:val="en-US" w:eastAsia="zh-CN" w:bidi="ar"/>
        </w:rPr>
        <w:t>27.00m</w:t>
      </w:r>
      <w:r>
        <w:rPr>
          <w:rFonts w:hint="eastAsia" w:ascii="Times New Roman" w:hAnsi="Times New Roman" w:eastAsia="宋体" w:cs="Times New Roman"/>
          <w:color w:val="000000"/>
          <w:kern w:val="0"/>
          <w:sz w:val="24"/>
          <w:szCs w:val="24"/>
          <w:u w:val="none" w:color="auto"/>
          <w:lang w:val="en-US" w:eastAsia="zh-CN" w:bidi="ar"/>
        </w:rPr>
        <w:t>左右。施工期间可保证下游灌溉供水和生态流量的下泄，对下游河道水文情势影响较小。</w:t>
      </w:r>
    </w:p>
    <w:p w14:paraId="19508BD2">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施工水环境影响分析</w:t>
      </w:r>
    </w:p>
    <w:p w14:paraId="09E49781">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施工期主要生产废水为</w:t>
      </w:r>
      <w:r>
        <w:rPr>
          <w:rFonts w:hint="default" w:ascii="Times New Roman" w:hAnsi="Times New Roman" w:eastAsia="宋体" w:cs="Times New Roman"/>
          <w:color w:val="auto"/>
          <w:kern w:val="0"/>
          <w:sz w:val="24"/>
          <w:szCs w:val="24"/>
          <w:u w:val="none" w:color="auto"/>
          <w:lang w:val="en-US" w:eastAsia="zh-CN" w:bidi="ar"/>
        </w:rPr>
        <w:t>施工废水主要包括</w:t>
      </w:r>
      <w:r>
        <w:rPr>
          <w:rFonts w:hint="eastAsia" w:ascii="Times New Roman" w:hAnsi="Times New Roman" w:eastAsia="宋体" w:cs="Times New Roman"/>
          <w:color w:val="000000"/>
          <w:kern w:val="0"/>
          <w:sz w:val="24"/>
          <w:szCs w:val="24"/>
          <w:u w:val="none" w:color="auto"/>
          <w:lang w:val="en-US" w:eastAsia="zh-CN" w:bidi="ar"/>
        </w:rPr>
        <w:t>混凝土养护废水</w:t>
      </w:r>
      <w:r>
        <w:rPr>
          <w:rFonts w:hint="default" w:ascii="Times New Roman" w:hAnsi="Times New Roman" w:eastAsia="宋体" w:cs="Times New Roman"/>
          <w:color w:val="000000"/>
          <w:kern w:val="0"/>
          <w:sz w:val="24"/>
          <w:szCs w:val="24"/>
          <w:u w:val="none" w:color="auto"/>
          <w:lang w:val="en-US" w:eastAsia="zh-CN" w:bidi="ar"/>
        </w:rPr>
        <w:t>、机械设备冲洗</w:t>
      </w:r>
      <w:r>
        <w:rPr>
          <w:rFonts w:hint="eastAsia" w:ascii="Times New Roman" w:hAnsi="Times New Roman" w:eastAsia="宋体" w:cs="Times New Roman"/>
          <w:color w:val="000000"/>
          <w:kern w:val="0"/>
          <w:sz w:val="24"/>
          <w:szCs w:val="24"/>
          <w:u w:val="none" w:color="auto"/>
          <w:lang w:val="en-US" w:eastAsia="zh-CN" w:bidi="ar"/>
        </w:rPr>
        <w:t>含油</w:t>
      </w:r>
      <w:r>
        <w:rPr>
          <w:rFonts w:hint="default" w:ascii="Times New Roman" w:hAnsi="Times New Roman" w:eastAsia="宋体" w:cs="Times New Roman"/>
          <w:color w:val="000000"/>
          <w:kern w:val="0"/>
          <w:sz w:val="24"/>
          <w:szCs w:val="24"/>
          <w:u w:val="none" w:color="auto"/>
          <w:lang w:val="en-US" w:eastAsia="zh-CN" w:bidi="ar"/>
        </w:rPr>
        <w:t>废水、灌浆施工废水</w:t>
      </w:r>
      <w:r>
        <w:rPr>
          <w:rFonts w:hint="eastAsia" w:ascii="Times New Roman" w:hAnsi="Times New Roman" w:eastAsia="宋体" w:cs="Times New Roman"/>
          <w:color w:val="000000"/>
          <w:kern w:val="0"/>
          <w:sz w:val="24"/>
          <w:szCs w:val="24"/>
          <w:u w:val="none" w:color="auto"/>
          <w:lang w:val="en-US" w:eastAsia="zh-CN" w:bidi="ar"/>
        </w:rPr>
        <w:t>和</w:t>
      </w:r>
      <w:r>
        <w:rPr>
          <w:rFonts w:hint="default" w:ascii="Times New Roman" w:hAnsi="Times New Roman" w:eastAsia="宋体" w:cs="Times New Roman"/>
          <w:color w:val="000000"/>
          <w:kern w:val="0"/>
          <w:sz w:val="24"/>
          <w:szCs w:val="24"/>
          <w:u w:val="none" w:color="auto"/>
          <w:lang w:val="en-US" w:eastAsia="zh-CN" w:bidi="ar"/>
        </w:rPr>
        <w:t>基坑排水</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等。</w:t>
      </w:r>
    </w:p>
    <w:p w14:paraId="377F28B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混凝土</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养护</w:t>
      </w:r>
      <w:r>
        <w:rPr>
          <w:rFonts w:hint="default" w:ascii="Times New Roman" w:hAnsi="Times New Roman" w:eastAsia="宋体" w:cs="Times New Roman"/>
          <w:caps w:val="0"/>
          <w:smallCaps w:val="0"/>
          <w:color w:val="auto"/>
          <w:spacing w:val="0"/>
          <w:w w:val="100"/>
          <w:kern w:val="0"/>
          <w:position w:val="0"/>
          <w:sz w:val="24"/>
          <w:szCs w:val="24"/>
          <w:u w:val="none" w:color="auto"/>
        </w:rPr>
        <w:t>废水</w:t>
      </w:r>
    </w:p>
    <w:p w14:paraId="35736B6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项目施工过程中，混凝土浇筑后采取喷淋洒水进行自然养护，合理控制用水量，养护废水经自然蒸发，不外排，对地表水环境基本无影响。</w:t>
      </w:r>
    </w:p>
    <w:p w14:paraId="00383366">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机械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设备冲洗废水</w:t>
      </w:r>
    </w:p>
    <w:p w14:paraId="068E961F">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本工程施工期机械设备车辆冲洗含油废水产生量为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4.68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/d。主要污染物为SS和石油类，石油类浓度约为100mg/L，悬浮物浓度约为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000mg/L。施工机械设备停放场四周布置排水沟，收集施工机械停放场产生的冲洗废水，进入排水沟末端的</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隔油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沉淀池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。机械设备冲洗废水经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隔油沉淀处理</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，回用于施工场地、道路洒水抑尘不外排，对水环境影响较小。</w:t>
      </w:r>
      <w:r>
        <w:rPr>
          <w:rFonts w:hint="default" w:ascii="Times New Roman" w:hAnsi="Times New Roman" w:eastAsia="宋体" w:cs="Times New Roman"/>
          <w:caps w:val="0"/>
          <w:smallCaps w:val="0"/>
          <w:color w:val="FF0000"/>
          <w:spacing w:val="0"/>
          <w:w w:val="100"/>
          <w:kern w:val="0"/>
          <w:position w:val="0"/>
          <w:sz w:val="24"/>
          <w:szCs w:val="24"/>
          <w:u w:val="none" w:color="auto"/>
          <w:lang w:val="en-US" w:eastAsia="zh-CN"/>
        </w:rPr>
        <w:t xml:space="preserve"> </w:t>
      </w:r>
    </w:p>
    <w:p w14:paraId="68CEF1A8">
      <w:pPr>
        <w:pStyle w:val="19"/>
        <w:keepNext w:val="0"/>
        <w:keepLines w:val="0"/>
        <w:pageBreakBefore w:val="0"/>
        <w:widowControl w:val="0"/>
        <w:overflowPunct/>
        <w:autoSpaceDE/>
        <w:autoSpaceDN/>
        <w:bidi w:val="0"/>
        <w:snapToGrid/>
        <w:spacing w:line="360" w:lineRule="auto"/>
        <w:ind w:left="0" w:right="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灌浆施工废水</w:t>
      </w:r>
    </w:p>
    <w:p w14:paraId="5D1D76AC">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olor w:val="auto"/>
          <w:sz w:val="24"/>
          <w:szCs w:val="24"/>
          <w:u w:val="none" w:color="auto"/>
          <w:lang w:eastAsia="zh-CN"/>
        </w:rPr>
      </w:pPr>
      <w:r>
        <w:rPr>
          <w:rFonts w:hint="eastAsia" w:ascii="宋体" w:hAnsi="宋体" w:eastAsia="宋体" w:cs="宋体"/>
          <w:color w:val="000000"/>
          <w:kern w:val="0"/>
          <w:sz w:val="24"/>
          <w:szCs w:val="24"/>
          <w:lang w:val="en-US" w:eastAsia="zh-CN" w:bidi="ar"/>
        </w:rPr>
        <w:t>项目施工期</w:t>
      </w:r>
      <w:r>
        <w:rPr>
          <w:rFonts w:hint="default" w:ascii="Times New Roman" w:hAnsi="Times New Roman" w:eastAsia="宋体" w:cs="Times New Roman"/>
          <w:sz w:val="24"/>
          <w:szCs w:val="24"/>
          <w:u w:val="none" w:color="auto"/>
          <w:lang w:val="en-US" w:eastAsia="zh-CN"/>
        </w:rPr>
        <w:t>水泥土搅拌桩防渗墙、水泥土搅拌桩</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充填灌浆</w:t>
      </w:r>
      <w:r>
        <w:rPr>
          <w:rFonts w:hint="eastAsia" w:ascii="Times New Roman" w:hAnsi="Times New Roman" w:eastAsia="宋体" w:cs="Times New Roman"/>
          <w:sz w:val="24"/>
          <w:szCs w:val="24"/>
          <w:u w:val="none" w:color="auto"/>
          <w:lang w:val="en-US" w:eastAsia="zh-CN"/>
        </w:rPr>
        <w:t>施工过程中将产生含泥和水泥的泥浆，但基本不形成汇流，不会对地表水环境造成较大影响。</w:t>
      </w:r>
    </w:p>
    <w:p w14:paraId="5A020C4D">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帷幕灌浆</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施工会产生一定量的碱性、浑浊度较高的施工废水。</w:t>
      </w:r>
      <w:r>
        <w:rPr>
          <w:rFonts w:hint="eastAsia" w:ascii="Times New Roman" w:hAnsi="Times New Roman" w:eastAsia="宋体" w:cs="Times New Roman"/>
          <w:sz w:val="24"/>
          <w:szCs w:val="24"/>
          <w:u w:val="none" w:color="auto"/>
          <w:lang w:val="en-US" w:eastAsia="zh-CN"/>
        </w:rPr>
        <w:t>废水</w:t>
      </w:r>
      <w:r>
        <w:rPr>
          <w:rFonts w:hint="default" w:ascii="Times New Roman" w:hAnsi="Times New Roman" w:eastAsia="宋体" w:cs="Times New Roman"/>
          <w:sz w:val="24"/>
          <w:szCs w:val="24"/>
          <w:u w:val="none" w:color="auto"/>
          <w:lang w:val="en-US" w:eastAsia="zh-CN"/>
        </w:rPr>
        <w:t>主要污染物是pH和SS，pH值为11～12，SS浓度约5000mg/L。</w:t>
      </w:r>
      <w:r>
        <w:rPr>
          <w:rFonts w:hint="default" w:ascii="Times New Roman" w:hAnsi="Times New Roman" w:eastAsia="宋体" w:cs="Times New Roman"/>
          <w:color w:val="auto"/>
          <w:spacing w:val="0"/>
          <w:w w:val="100"/>
          <w:position w:val="0"/>
          <w:sz w:val="24"/>
          <w:szCs w:val="24"/>
          <w:u w:val="none" w:color="auto"/>
          <w:lang w:eastAsia="zh-CN"/>
        </w:rPr>
        <w:t>施工时</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临时</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制</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浆</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站</w:t>
      </w:r>
      <w:r>
        <w:rPr>
          <w:rFonts w:hint="default" w:ascii="Times New Roman" w:hAnsi="Times New Roman" w:eastAsia="宋体" w:cs="Times New Roman"/>
          <w:color w:val="auto"/>
          <w:spacing w:val="0"/>
          <w:w w:val="100"/>
          <w:position w:val="0"/>
          <w:sz w:val="24"/>
          <w:szCs w:val="24"/>
          <w:u w:val="none" w:color="auto"/>
          <w:lang w:eastAsia="zh-CN"/>
        </w:rPr>
        <w:t>内的泥浆通过导流管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在各导墙槽内循环输送</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返上来的泥浆泵至</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浆池</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内暂存后循环使用。</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灌浆施工场地设置截排水沟，出口处设置集水集浆池后</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经沉淀处理后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回用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于洒水降尘</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，严禁施工废水流入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水体</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帷幕灌浆施工废水不外排，对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水环境影响较小。 </w:t>
      </w:r>
    </w:p>
    <w:p w14:paraId="1835E929">
      <w:pPr>
        <w:pStyle w:val="19"/>
        <w:keepNext w:val="0"/>
        <w:keepLines w:val="0"/>
        <w:pageBreakBefore w:val="0"/>
        <w:widowControl w:val="0"/>
        <w:overflowPunct/>
        <w:autoSpaceDE/>
        <w:autoSpaceDN/>
        <w:bidi w:val="0"/>
        <w:snapToGrid/>
        <w:spacing w:line="360" w:lineRule="auto"/>
        <w:ind w:left="0" w:right="0"/>
        <w:textAlignment w:val="auto"/>
        <w:rPr>
          <w:rFonts w:hint="default" w:ascii="Times New Roman" w:hAnsi="Times New Roman" w:cs="Times New Roman"/>
          <w:color w:val="auto"/>
          <w:spacing w:val="0"/>
          <w:w w:val="100"/>
          <w:position w:val="0"/>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（4）基坑废水</w:t>
      </w:r>
    </w:p>
    <w:p w14:paraId="6AAA5185">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基坑废水的主要污染物为SS和pH值，其浓度受降水、地下岩隙渗水和施工用水（主要是混凝土养护水和冲洗水）等因素的影响，具有间歇排放的特点。废水中SS浓度一般为2000mg/L，pH值一般在9左右。</w:t>
      </w:r>
    </w:p>
    <w:p w14:paraId="1DA927F3">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本项目基坑废水</w:t>
      </w:r>
      <w:r>
        <w:rPr>
          <w:rFonts w:hint="default" w:ascii="Times New Roman" w:hAnsi="Times New Roman" w:eastAsia="宋体" w:cs="Times New Roman"/>
          <w:color w:val="auto"/>
          <w:spacing w:val="0"/>
          <w:w w:val="100"/>
          <w:position w:val="0"/>
          <w:sz w:val="24"/>
          <w:szCs w:val="24"/>
          <w:u w:val="none" w:color="auto"/>
          <w:lang w:eastAsia="zh-CN"/>
        </w:rPr>
        <w:t>通过修建沉淀池对废水进行收集沉淀</w:t>
      </w:r>
      <w:r>
        <w:rPr>
          <w:rFonts w:hint="default" w:ascii="Times New Roman" w:hAnsi="Times New Roman" w:eastAsia="宋体" w:cs="Times New Roman"/>
          <w:color w:val="auto"/>
          <w:spacing w:val="0"/>
          <w:w w:val="100"/>
          <w:position w:val="0"/>
          <w:sz w:val="24"/>
          <w:szCs w:val="24"/>
          <w:u w:val="none" w:color="auto"/>
        </w:rPr>
        <w:t>，同时投加絮凝剂静置</w:t>
      </w: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Times New Roman" w:cs="Times New Roman"/>
          <w:color w:val="auto"/>
          <w:spacing w:val="0"/>
          <w:w w:val="100"/>
          <w:position w:val="0"/>
          <w:sz w:val="24"/>
          <w:szCs w:val="24"/>
          <w:u w:val="none" w:color="auto"/>
        </w:rPr>
        <w:t>h</w:t>
      </w:r>
      <w:r>
        <w:rPr>
          <w:rFonts w:hint="default" w:ascii="Times New Roman" w:hAnsi="Times New Roman" w:eastAsia="宋体" w:cs="Times New Roman"/>
          <w:color w:val="auto"/>
          <w:spacing w:val="0"/>
          <w:w w:val="100"/>
          <w:position w:val="0"/>
          <w:sz w:val="24"/>
          <w:szCs w:val="24"/>
          <w:u w:val="none" w:color="auto"/>
        </w:rPr>
        <w:t>的处理方法处理后，经处理沉淀处理后由水泵抽出，回用于施工道路和施工区内洒水降尘、车辆清洗等，不外排，</w:t>
      </w:r>
      <w:r>
        <w:rPr>
          <w:rFonts w:hint="eastAsia" w:ascii="Times New Roman" w:hAnsi="Times New Roman" w:eastAsia="宋体" w:cs="Times New Roman"/>
          <w:color w:val="auto"/>
          <w:spacing w:val="0"/>
          <w:w w:val="100"/>
          <w:position w:val="0"/>
          <w:sz w:val="24"/>
          <w:szCs w:val="24"/>
          <w:u w:val="none" w:color="auto"/>
          <w:lang w:eastAsia="zh-CN"/>
        </w:rPr>
        <w:t>对地表水环境影响不大。</w:t>
      </w:r>
    </w:p>
    <w:p w14:paraId="3A8B5DB9">
      <w:pPr>
        <w:keepNext w:val="0"/>
        <w:keepLines w:val="0"/>
        <w:widowControl/>
        <w:suppressLineNumbers w:val="0"/>
        <w:spacing w:line="360" w:lineRule="auto"/>
        <w:ind w:firstLine="480" w:firstLineChars="200"/>
        <w:jc w:val="left"/>
        <w:rPr>
          <w:color w:val="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抛石、围堰扰动</w:t>
      </w:r>
      <w:r>
        <w:rPr>
          <w:rFonts w:hint="eastAsia" w:ascii="宋体" w:hAnsi="宋体" w:eastAsia="宋体" w:cs="宋体"/>
          <w:color w:val="auto"/>
          <w:kern w:val="0"/>
          <w:sz w:val="24"/>
          <w:szCs w:val="24"/>
          <w:lang w:val="en-US" w:eastAsia="zh-CN" w:bidi="ar"/>
        </w:rPr>
        <w:t xml:space="preserve"> </w:t>
      </w:r>
    </w:p>
    <w:p w14:paraId="52268E6B">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olor w:val="000000"/>
          <w:kern w:val="0"/>
          <w:sz w:val="24"/>
          <w:szCs w:val="24"/>
          <w:u w:val="none" w:color="auto"/>
          <w:lang w:val="en-US" w:eastAsia="zh-CN" w:bidi="ar"/>
        </w:rPr>
        <w:t>本项目主坝上游坝坡高程28.00</w:t>
      </w:r>
      <w:r>
        <w:rPr>
          <w:rFonts w:hint="default" w:ascii="Times New Roman" w:hAnsi="Times New Roman" w:eastAsia="宋体" w:cs="Times New Roman"/>
          <w:color w:val="000000"/>
          <w:kern w:val="0"/>
          <w:sz w:val="24"/>
          <w:szCs w:val="24"/>
          <w:u w:val="none" w:color="auto"/>
          <w:lang w:val="en-US" w:eastAsia="zh-CN" w:bidi="ar"/>
        </w:rPr>
        <w:t>m</w:t>
      </w:r>
      <w:r>
        <w:rPr>
          <w:rFonts w:hint="eastAsia" w:ascii="Times New Roman" w:hAnsi="Times New Roman" w:eastAsia="宋体" w:cs="Times New Roman"/>
          <w:color w:val="000000"/>
          <w:kern w:val="0"/>
          <w:sz w:val="24"/>
          <w:szCs w:val="24"/>
          <w:u w:val="none" w:color="auto"/>
          <w:lang w:val="en-US" w:eastAsia="zh-CN" w:bidi="ar"/>
        </w:rPr>
        <w:t>以下、一~六副坝上游高程27.5</w:t>
      </w:r>
      <w:r>
        <w:rPr>
          <w:rFonts w:hint="default" w:ascii="Times New Roman" w:hAnsi="Times New Roman" w:eastAsia="宋体" w:cs="Times New Roman"/>
          <w:color w:val="000000"/>
          <w:kern w:val="0"/>
          <w:sz w:val="24"/>
          <w:szCs w:val="24"/>
          <w:u w:val="none" w:color="auto"/>
          <w:lang w:val="en-US" w:eastAsia="zh-CN" w:bidi="ar"/>
        </w:rPr>
        <w:t>m</w:t>
      </w:r>
      <w:r>
        <w:rPr>
          <w:rFonts w:hint="eastAsia" w:ascii="Times New Roman" w:hAnsi="Times New Roman" w:eastAsia="宋体" w:cs="Times New Roman"/>
          <w:color w:val="000000"/>
          <w:kern w:val="0"/>
          <w:sz w:val="24"/>
          <w:szCs w:val="24"/>
          <w:u w:val="none" w:color="auto"/>
          <w:lang w:val="en-US" w:eastAsia="zh-CN" w:bidi="ar"/>
        </w:rPr>
        <w:t>以下均采用抛石护脚，同时</w:t>
      </w:r>
      <w:r>
        <w:rPr>
          <w:rFonts w:hint="eastAsia" w:ascii="Times New Roman" w:hAnsi="Times New Roman" w:eastAsia="宋体" w:cs="Times New Roman"/>
          <w:sz w:val="24"/>
          <w:szCs w:val="24"/>
          <w:u w:val="none" w:color="auto"/>
          <w:lang w:val="en-US" w:eastAsia="zh-CN"/>
        </w:rPr>
        <w:t>输水涵、进水涵及泄洪闸施工时需填筑围堰挡水。抛石护脚施工和</w:t>
      </w:r>
      <w:r>
        <w:rPr>
          <w:rFonts w:hint="eastAsia" w:ascii="Times New Roman" w:hAnsi="Times New Roman" w:eastAsia="宋体" w:cs="Times New Roman"/>
          <w:color w:val="000000"/>
          <w:kern w:val="0"/>
          <w:sz w:val="24"/>
          <w:szCs w:val="24"/>
          <w:u w:val="none" w:color="auto"/>
          <w:lang w:val="en-US" w:eastAsia="zh-CN" w:bidi="ar"/>
        </w:rPr>
        <w:t>围堰施工和拆除过程，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会使施工区域的水底的悬浮物、泥沙扩散进入水体，造成局部区域的SS浓度升高，对局部区域的水质产生影响。但由于围堰施工活动在枯水期进行，水力活动较弱，SS浓度升高区域仅会在围堰施工周围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。同时</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项目围堰施工范围较小，其影响范围有限</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rPr>
        <w:t>根据相关水利工程施工过程监测资料类比，本项目施工过程会对施工点周边50m范围内造成悬浮物浓度明显增加，施工结束后，局部升高的污染物浓度将会逐渐恢复至施工前水平。</w:t>
      </w:r>
    </w:p>
    <w:p w14:paraId="23D3AB16">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从水环境影响角度分析，大量的悬浮物废水会对局部水体水质产生影响，因水库水体较为稳定，加上悬浮物以泥沙为主，较易在围堰周围下沉，故对库区水质影响不大。</w:t>
      </w:r>
    </w:p>
    <w:p w14:paraId="0D02D150">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）生活污水</w:t>
      </w:r>
    </w:p>
    <w:p w14:paraId="68C185F7">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本项目施工现场不设置施工营地，也无工地食堂和工地宿舍，施工人员分散租用附近民房，生活污水利用周边已有的</w:t>
      </w:r>
      <w:r>
        <w:rPr>
          <w:rFonts w:hint="eastAsia" w:ascii="Times New Roman" w:hAnsi="Times New Roman" w:eastAsia="宋体" w:cs="Times New Roman"/>
          <w:color w:val="auto"/>
          <w:spacing w:val="0"/>
          <w:w w:val="100"/>
          <w:position w:val="0"/>
          <w:sz w:val="24"/>
          <w:szCs w:val="24"/>
          <w:u w:val="none" w:color="auto"/>
          <w:lang w:val="en-US" w:eastAsia="zh-CN"/>
        </w:rPr>
        <w:t>化粪池处理后，用于周边田地施肥</w:t>
      </w:r>
      <w:r>
        <w:rPr>
          <w:rFonts w:hint="default" w:ascii="Times New Roman" w:hAnsi="Times New Roman" w:eastAsia="宋体" w:cs="Times New Roman"/>
          <w:color w:val="auto"/>
          <w:spacing w:val="0"/>
          <w:w w:val="100"/>
          <w:position w:val="0"/>
          <w:sz w:val="24"/>
          <w:szCs w:val="24"/>
          <w:u w:val="none" w:color="auto"/>
          <w:lang w:val="en-US" w:eastAsia="zh-CN"/>
        </w:rPr>
        <w:t>。因此，本项目施工生活污水不会对周边水体产生较大影响。</w:t>
      </w:r>
    </w:p>
    <w:p w14:paraId="06769CCE">
      <w:pPr>
        <w:pStyle w:val="4"/>
        <w:bidi w:val="0"/>
        <w:rPr>
          <w:rFonts w:hint="default" w:ascii="Times New Roman" w:hAnsi="Times New Roman" w:cs="Times New Roman"/>
          <w:color w:val="auto"/>
          <w:u w:val="none" w:color="auto"/>
        </w:rPr>
      </w:pPr>
      <w:bookmarkStart w:id="285" w:name="_Toc11065"/>
      <w:r>
        <w:rPr>
          <w:rFonts w:hint="default" w:ascii="Times New Roman" w:hAnsi="Times New Roman" w:cs="Times New Roman"/>
          <w:color w:val="auto"/>
          <w:u w:val="none" w:color="auto"/>
          <w:lang w:val="en-US" w:eastAsia="zh-CN"/>
        </w:rPr>
        <w:t>施工期</w:t>
      </w:r>
      <w:r>
        <w:rPr>
          <w:rFonts w:hint="default" w:ascii="Times New Roman" w:hAnsi="Times New Roman" w:cs="Times New Roman"/>
          <w:color w:val="auto"/>
          <w:u w:val="none" w:color="auto"/>
        </w:rPr>
        <w:t>地下水环境影响分析</w:t>
      </w:r>
      <w:bookmarkEnd w:id="285"/>
    </w:p>
    <w:p w14:paraId="67BB22E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（1）对地下水水位影响</w:t>
      </w:r>
    </w:p>
    <w:p w14:paraId="15D6A64A">
      <w:pPr>
        <w:keepNext w:val="0"/>
        <w:keepLines w:val="0"/>
        <w:pageBreakBefore w:val="0"/>
        <w:widowControl w:val="0"/>
        <w:overflowPunct/>
        <w:autoSpaceDE/>
        <w:autoSpaceDN/>
        <w:bidi w:val="0"/>
        <w:snapToGrid/>
        <w:spacing w:line="360" w:lineRule="auto"/>
        <w:ind w:left="0" w:right="0" w:firstLine="483"/>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工程区受库水的影响，地下水埋深较浅，一般埋深</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.0~5.0m，受季节性变化。</w:t>
      </w:r>
      <w:r>
        <w:rPr>
          <w:rFonts w:hint="default" w:ascii="Times New Roman" w:hAnsi="Times New Roman" w:eastAsia="宋体" w:cs="Times New Roman"/>
          <w:color w:val="auto"/>
          <w:spacing w:val="0"/>
          <w:w w:val="100"/>
          <w:position w:val="0"/>
          <w:sz w:val="24"/>
          <w:szCs w:val="24"/>
          <w:u w:val="none" w:color="auto"/>
        </w:rPr>
        <w:t>区内地下水主要为基岩裂隙水和第四系孔隙水。基岩裂隙水主要赋存于花岗岩风化及构造裂隙中，受大气降水和库水补给，季节性变化小，水量贫乏，排泄于沟谷或河床。第四系孔隙水赋存于第四系残坡积层中，主要受大气降水和库水补给，受季节性影响大，水量丰富，排泄于河床及沟谷。</w:t>
      </w:r>
    </w:p>
    <w:p w14:paraId="2545EFA5">
      <w:pPr>
        <w:keepNext w:val="0"/>
        <w:keepLines w:val="0"/>
        <w:pageBreakBefore w:val="0"/>
        <w:widowControl w:val="0"/>
        <w:overflowPunct/>
        <w:autoSpaceDE/>
        <w:autoSpaceDN/>
        <w:bidi w:val="0"/>
        <w:snapToGrid/>
        <w:spacing w:line="360" w:lineRule="auto"/>
        <w:ind w:left="0" w:right="0" w:firstLine="483"/>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坝址区施工产生基坑废水，基坑废水主要为地下渗水，施工排水会造成小范围的地下水水位下降，但施工期较短，工程结束后，随着降雨和周围地下水的补给，很快会达到原来的水位，工程施工对地下水位影响不大。</w:t>
      </w:r>
      <w:r>
        <w:rPr>
          <w:rFonts w:hint="default" w:ascii="Times New Roman" w:hAnsi="Times New Roman" w:eastAsia="宋体" w:cs="Times New Roman"/>
          <w:color w:val="auto"/>
          <w:spacing w:val="0"/>
          <w:w w:val="100"/>
          <w:position w:val="0"/>
          <w:sz w:val="24"/>
          <w:szCs w:val="24"/>
          <w:u w:val="none" w:color="auto"/>
          <w:lang w:val="en-US" w:eastAsia="zh-CN"/>
        </w:rPr>
        <w:t>同时</w:t>
      </w:r>
      <w:r>
        <w:rPr>
          <w:rFonts w:hint="default" w:ascii="Times New Roman" w:hAnsi="Times New Roman" w:eastAsia="宋体" w:cs="Times New Roman"/>
          <w:color w:val="auto"/>
          <w:spacing w:val="0"/>
          <w:w w:val="100"/>
          <w:position w:val="0"/>
          <w:sz w:val="24"/>
          <w:szCs w:val="24"/>
          <w:u w:val="none" w:color="auto"/>
        </w:rPr>
        <w:t>区断层构造不发育，无大的断层切割</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val="en-US" w:eastAsia="zh-CN"/>
        </w:rPr>
        <w:t>不具备库水沿断层向库外渗漏的条件。区域</w:t>
      </w:r>
      <w:r>
        <w:rPr>
          <w:rFonts w:hint="default" w:ascii="Times New Roman" w:hAnsi="Times New Roman" w:eastAsia="宋体" w:cs="Times New Roman"/>
          <w:color w:val="auto"/>
          <w:spacing w:val="0"/>
          <w:w w:val="100"/>
          <w:position w:val="0"/>
          <w:sz w:val="24"/>
          <w:szCs w:val="24"/>
          <w:u w:val="none" w:color="auto"/>
        </w:rPr>
        <w:t>地下水埋深较浅，</w:t>
      </w:r>
      <w:r>
        <w:rPr>
          <w:rFonts w:hint="default" w:ascii="Times New Roman" w:hAnsi="Times New Roman" w:eastAsia="宋体" w:cs="Times New Roman"/>
          <w:color w:val="auto"/>
          <w:spacing w:val="0"/>
          <w:w w:val="100"/>
          <w:position w:val="0"/>
          <w:sz w:val="24"/>
          <w:szCs w:val="24"/>
          <w:u w:val="none" w:color="auto"/>
          <w:lang w:val="en-US" w:eastAsia="zh-CN"/>
        </w:rPr>
        <w:t>施工期</w:t>
      </w:r>
      <w:r>
        <w:rPr>
          <w:rFonts w:hint="eastAsia" w:ascii="Times New Roman" w:hAnsi="Times New Roman" w:eastAsia="宋体" w:cs="Times New Roman"/>
          <w:color w:val="auto"/>
          <w:spacing w:val="0"/>
          <w:w w:val="100"/>
          <w:position w:val="0"/>
          <w:sz w:val="24"/>
          <w:szCs w:val="24"/>
          <w:u w:val="none" w:color="auto"/>
          <w:lang w:val="en-US" w:eastAsia="zh-CN"/>
        </w:rPr>
        <w:t>导游降低</w:t>
      </w:r>
      <w:r>
        <w:rPr>
          <w:rFonts w:hint="default" w:ascii="Times New Roman" w:hAnsi="Times New Roman" w:eastAsia="宋体" w:cs="Times New Roman"/>
          <w:color w:val="auto"/>
          <w:spacing w:val="0"/>
          <w:w w:val="100"/>
          <w:position w:val="0"/>
          <w:sz w:val="24"/>
          <w:szCs w:val="24"/>
          <w:u w:val="none" w:color="auto"/>
          <w:lang w:val="en-US" w:eastAsia="zh-CN"/>
        </w:rPr>
        <w:t>水位不会影响库区地下水的补径排条件，对地下水水位影响较小。</w:t>
      </w:r>
    </w:p>
    <w:p w14:paraId="24C5A54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（2）对地下水水质影响</w:t>
      </w:r>
    </w:p>
    <w:p w14:paraId="26928CF3">
      <w:pPr>
        <w:keepNext w:val="0"/>
        <w:keepLines w:val="0"/>
        <w:pageBreakBefore w:val="0"/>
        <w:widowControl w:val="0"/>
        <w:kinsoku/>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w:t>
      </w:r>
      <w:r>
        <w:rPr>
          <w:rFonts w:hint="default" w:ascii="Times New Roman" w:hAnsi="Times New Roman" w:eastAsia="宋体" w:cs="Times New Roman"/>
          <w:caps w:val="0"/>
          <w:smallCaps w:val="0"/>
          <w:color w:val="auto"/>
          <w:spacing w:val="0"/>
          <w:w w:val="100"/>
          <w:kern w:val="0"/>
          <w:position w:val="0"/>
          <w:sz w:val="24"/>
          <w:szCs w:val="24"/>
          <w:u w:val="none" w:color="auto"/>
        </w:rPr>
        <w:t>施工过程对地下水的污染主要是由于工程施工废水渗入地下，可能污染地下水。工程施工期生产废水通过沉淀、隔油等措施处理后回用于施工工艺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不外排</w:t>
      </w:r>
      <w:r>
        <w:rPr>
          <w:rFonts w:hint="default" w:ascii="Times New Roman" w:hAnsi="Times New Roman" w:eastAsia="宋体" w:cs="Times New Roman"/>
          <w:caps w:val="0"/>
          <w:smallCaps w:val="0"/>
          <w:color w:val="auto"/>
          <w:spacing w:val="0"/>
          <w:w w:val="100"/>
          <w:kern w:val="0"/>
          <w:position w:val="0"/>
          <w:sz w:val="24"/>
          <w:szCs w:val="24"/>
          <w:u w:val="none" w:color="auto"/>
        </w:rPr>
        <w:t>，对区域地下水水质影响不大。</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同时工程区域潜水层为第四系孔隙水，赋存于第四系堆积层孔隙中。</w:t>
      </w:r>
      <w:r>
        <w:rPr>
          <w:rFonts w:hint="default" w:ascii="Times New Roman" w:hAnsi="Times New Roman" w:eastAsia="宋体" w:cs="Times New Roman"/>
          <w:color w:val="auto"/>
          <w:spacing w:val="0"/>
          <w:w w:val="100"/>
          <w:position w:val="0"/>
          <w:sz w:val="24"/>
          <w:szCs w:val="24"/>
          <w:u w:val="none" w:color="auto"/>
          <w:lang w:val="en-US" w:eastAsia="zh-CN"/>
        </w:rPr>
        <w:t>根据</w:t>
      </w:r>
      <w:r>
        <w:rPr>
          <w:rFonts w:hint="default" w:ascii="Times New Roman" w:hAnsi="Times New Roman" w:eastAsia="宋体" w:cs="Times New Roman"/>
          <w:color w:val="auto"/>
          <w:spacing w:val="0"/>
          <w:w w:val="100"/>
          <w:position w:val="0"/>
          <w:sz w:val="24"/>
          <w:szCs w:val="24"/>
          <w:u w:val="none" w:color="auto"/>
        </w:rPr>
        <w:t>勘察工作</w:t>
      </w:r>
      <w:r>
        <w:rPr>
          <w:rFonts w:hint="eastAsia" w:ascii="Times New Roman" w:hAnsi="Times New Roman" w:eastAsia="宋体" w:cs="Times New Roman"/>
          <w:sz w:val="24"/>
          <w:szCs w:val="24"/>
          <w:u w:val="none" w:color="auto"/>
          <w:lang w:val="en-US" w:eastAsia="zh-CN"/>
        </w:rPr>
        <w:t>对钻孔现场注水试验成果进行渗透性分级统计，现场对主、副坝共计</w:t>
      </w:r>
      <w:r>
        <w:rPr>
          <w:rFonts w:hint="default" w:ascii="Times New Roman" w:hAnsi="Times New Roman" w:eastAsia="宋体" w:cs="Times New Roman"/>
          <w:sz w:val="24"/>
          <w:szCs w:val="24"/>
          <w:u w:val="none" w:color="auto"/>
          <w:lang w:val="en-US" w:eastAsia="zh-CN"/>
        </w:rPr>
        <w:t>189</w:t>
      </w:r>
      <w:r>
        <w:rPr>
          <w:rFonts w:hint="eastAsia" w:ascii="Times New Roman" w:hAnsi="Times New Roman" w:eastAsia="宋体" w:cs="Times New Roman"/>
          <w:sz w:val="24"/>
          <w:szCs w:val="24"/>
          <w:u w:val="none" w:color="auto"/>
          <w:lang w:val="en-US" w:eastAsia="zh-CN"/>
        </w:rPr>
        <w:t>段注水试验，坝体素填土（</w:t>
      </w:r>
      <w:r>
        <w:rPr>
          <w:rFonts w:hint="default" w:ascii="Times New Roman" w:hAnsi="Times New Roman" w:eastAsia="宋体" w:cs="Times New Roman"/>
          <w:sz w:val="24"/>
          <w:szCs w:val="24"/>
          <w:u w:val="none" w:color="auto"/>
          <w:lang w:val="en-US" w:eastAsia="zh-CN"/>
        </w:rPr>
        <w:t>Ⅰ</w:t>
      </w:r>
      <w:r>
        <w:rPr>
          <w:rFonts w:hint="eastAsia" w:ascii="Times New Roman" w:hAnsi="Times New Roman" w:eastAsia="宋体" w:cs="Times New Roman"/>
          <w:sz w:val="24"/>
          <w:szCs w:val="24"/>
          <w:u w:val="none" w:color="auto"/>
          <w:lang w:val="en-US" w:eastAsia="zh-CN"/>
        </w:rPr>
        <w:t>区）为中等透水～弱透水层；坝基淤泥质粘土夹薄层粉细砂层（</w:t>
      </w:r>
      <w:r>
        <w:rPr>
          <w:rFonts w:hint="default" w:ascii="Times New Roman" w:hAnsi="Times New Roman" w:eastAsia="宋体" w:cs="Times New Roman"/>
          <w:sz w:val="24"/>
          <w:szCs w:val="24"/>
          <w:u w:val="none" w:color="auto"/>
          <w:lang w:val="en-US" w:eastAsia="zh-CN"/>
        </w:rPr>
        <w:t>Ⅱ</w:t>
      </w:r>
      <w:r>
        <w:rPr>
          <w:rFonts w:hint="eastAsia" w:ascii="Times New Roman" w:hAnsi="Times New Roman" w:eastAsia="宋体" w:cs="Times New Roman"/>
          <w:sz w:val="24"/>
          <w:szCs w:val="24"/>
          <w:u w:val="none" w:color="auto"/>
          <w:lang w:val="en-US" w:eastAsia="zh-CN"/>
        </w:rPr>
        <w:t>区）主要为弱～微透水层，局部为中等透水层；粘土（</w:t>
      </w:r>
      <w:r>
        <w:rPr>
          <w:rFonts w:hint="default" w:ascii="Times New Roman" w:hAnsi="Times New Roman" w:eastAsia="宋体" w:cs="Times New Roman"/>
          <w:sz w:val="24"/>
          <w:szCs w:val="24"/>
          <w:u w:val="none" w:color="auto"/>
          <w:lang w:val="en-US" w:eastAsia="zh-CN"/>
        </w:rPr>
        <w:t>Ⅲ-1</w:t>
      </w:r>
      <w:r>
        <w:rPr>
          <w:rFonts w:hint="eastAsia" w:ascii="Times New Roman" w:hAnsi="Times New Roman" w:eastAsia="宋体" w:cs="Times New Roman"/>
          <w:sz w:val="24"/>
          <w:szCs w:val="24"/>
          <w:u w:val="none" w:color="auto"/>
          <w:lang w:val="en-US" w:eastAsia="zh-CN"/>
        </w:rPr>
        <w:t>区）、网纹状粘土（</w:t>
      </w:r>
      <w:r>
        <w:rPr>
          <w:rFonts w:hint="default" w:ascii="Times New Roman" w:hAnsi="Times New Roman" w:eastAsia="宋体" w:cs="Times New Roman"/>
          <w:sz w:val="24"/>
          <w:szCs w:val="24"/>
          <w:u w:val="none" w:color="auto"/>
          <w:lang w:val="en-US" w:eastAsia="zh-CN"/>
        </w:rPr>
        <w:t>Ⅲ-2</w:t>
      </w:r>
      <w:r>
        <w:rPr>
          <w:rFonts w:hint="eastAsia" w:ascii="Times New Roman" w:hAnsi="Times New Roman" w:eastAsia="宋体" w:cs="Times New Roman"/>
          <w:sz w:val="24"/>
          <w:szCs w:val="24"/>
          <w:u w:val="none" w:color="auto"/>
          <w:lang w:val="en-US" w:eastAsia="zh-CN"/>
        </w:rPr>
        <w:t>区）为弱～微透水层。</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勘察对5钻孔基岩共作压水试验12段，透水率1.07～4.97Lu的段，均小于5Lu，岩体属于弱透水。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项目区土体和岩体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渗透性</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较弱，施工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对地下水质影响较小。</w:t>
      </w:r>
    </w:p>
    <w:p w14:paraId="29029224">
      <w:pPr>
        <w:pStyle w:val="4"/>
        <w:bidi w:val="0"/>
        <w:rPr>
          <w:rFonts w:hint="default" w:ascii="Times New Roman" w:hAnsi="Times New Roman" w:cs="Times New Roman"/>
          <w:color w:val="auto"/>
          <w:u w:val="none" w:color="auto"/>
        </w:rPr>
      </w:pPr>
      <w:bookmarkStart w:id="286" w:name="_Toc14620"/>
      <w:r>
        <w:rPr>
          <w:rFonts w:hint="default" w:ascii="Times New Roman" w:hAnsi="Times New Roman" w:cs="Times New Roman"/>
          <w:color w:val="auto"/>
          <w:u w:val="none" w:color="auto"/>
          <w:lang w:val="en-US" w:eastAsia="zh-CN"/>
        </w:rPr>
        <w:t>施工期</w:t>
      </w:r>
      <w:r>
        <w:rPr>
          <w:rFonts w:hint="default" w:ascii="Times New Roman" w:hAnsi="Times New Roman" w:cs="Times New Roman"/>
          <w:color w:val="auto"/>
          <w:u w:val="none" w:color="auto"/>
        </w:rPr>
        <w:t>声环境影响分析</w:t>
      </w:r>
      <w:bookmarkEnd w:id="286"/>
    </w:p>
    <w:p w14:paraId="7C4574B6">
      <w:pPr>
        <w:keepNext w:val="0"/>
        <w:keepLines w:val="0"/>
        <w:pageBreakBefore w:val="0"/>
        <w:widowControl w:val="0"/>
        <w:kinsoku/>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根据工程分析，施工期噪声源主要为运行中的施工机械、车辆。施工机械包括土石方机械、运输机械、灌浆设备等，车辆包括推土机和自卸汽车等。水库施工活动产生的噪声大致可分为固定点源噪声和流动噪声两大类。固定点源噪声主要是施工区噪声源，流动噪声主要是运输车辆交通噪声。主体工程基础开挖具有定时、瞬时、受控性强等特点</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交通噪声主要是车辆运输时的引擎声和喇叭声，具有源强较大、流动性等特点。</w:t>
      </w:r>
      <w:r>
        <w:rPr>
          <w:rFonts w:hint="default" w:ascii="Times New Roman" w:hAnsi="Times New Roman" w:eastAsia="宋体" w:cs="Times New Roman"/>
          <w:color w:val="auto"/>
          <w:spacing w:val="0"/>
          <w:w w:val="100"/>
          <w:position w:val="0"/>
          <w:sz w:val="24"/>
          <w:szCs w:val="24"/>
          <w:u w:val="none" w:color="auto"/>
          <w:lang w:val="en-US" w:eastAsia="zh-CN"/>
        </w:rPr>
        <w:t>施工期主要机械设备噪声值一般在80dB（A）～100dB（A）之间，经消声减振、围挡阻隔等措施后，削减量可达5～10dB（A）。</w:t>
      </w:r>
    </w:p>
    <w:p w14:paraId="5464FA3D">
      <w:pPr>
        <w:pStyle w:val="5"/>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施工</w:t>
      </w:r>
      <w:r>
        <w:rPr>
          <w:rFonts w:hint="default" w:ascii="Times New Roman" w:hAnsi="Times New Roman" w:cs="Times New Roman"/>
          <w:color w:val="auto"/>
          <w:u w:val="none" w:color="auto"/>
        </w:rPr>
        <w:t>噪声影响</w:t>
      </w:r>
      <w:r>
        <w:rPr>
          <w:rFonts w:hint="default" w:ascii="Times New Roman" w:hAnsi="Times New Roman" w:cs="Times New Roman"/>
          <w:color w:val="auto"/>
          <w:u w:val="none" w:color="auto"/>
          <w:lang w:eastAsia="zh-CN"/>
        </w:rPr>
        <w:t>分析</w:t>
      </w:r>
    </w:p>
    <w:p w14:paraId="544D3D06">
      <w:pPr>
        <w:spacing w:before="178" w:line="218" w:lineRule="auto"/>
        <w:ind w:left="488"/>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①预测模式</w:t>
      </w:r>
    </w:p>
    <w:p w14:paraId="0214BABE">
      <w:pPr>
        <w:spacing w:before="185" w:line="359" w:lineRule="auto"/>
        <w:ind w:left="8" w:firstLine="48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根据《环境影响评价技术导则 声环境》(</w:t>
      </w:r>
      <w:r>
        <w:rPr>
          <w:rFonts w:hint="default" w:ascii="Times New Roman" w:hAnsi="Times New Roman" w:eastAsia="Times New Roman" w:cs="Times New Roman"/>
          <w:color w:val="auto"/>
          <w:spacing w:val="0"/>
          <w:w w:val="100"/>
          <w:position w:val="0"/>
          <w:sz w:val="24"/>
          <w:szCs w:val="24"/>
          <w:u w:val="none" w:color="auto"/>
        </w:rPr>
        <w:t>HJ2.4-20</w:t>
      </w:r>
      <w:r>
        <w:rPr>
          <w:rFonts w:hint="default" w:ascii="Times New Roman" w:hAnsi="Times New Roman" w:eastAsia="宋体" w:cs="Times New Roman"/>
          <w:color w:val="auto"/>
          <w:spacing w:val="0"/>
          <w:w w:val="100"/>
          <w:position w:val="0"/>
          <w:sz w:val="24"/>
          <w:szCs w:val="24"/>
          <w:u w:val="none" w:color="auto"/>
          <w:lang w:val="en-US" w:eastAsia="zh-CN"/>
        </w:rPr>
        <w:t>21</w:t>
      </w:r>
      <w:r>
        <w:rPr>
          <w:rFonts w:hint="default" w:ascii="Times New Roman" w:hAnsi="Times New Roman" w:eastAsia="宋体" w:cs="Times New Roman"/>
          <w:color w:val="auto"/>
          <w:spacing w:val="0"/>
          <w:w w:val="100"/>
          <w:position w:val="0"/>
          <w:sz w:val="24"/>
          <w:szCs w:val="24"/>
          <w:u w:val="none" w:color="auto"/>
        </w:rPr>
        <w:t>) ，户外声传播衰减包括几何</w:t>
      </w:r>
      <w:r>
        <w:rPr>
          <w:rFonts w:hint="default" w:ascii="Times New Roman" w:hAnsi="Times New Roman" w:eastAsia="宋体" w:cs="Times New Roman"/>
          <w:color w:val="auto"/>
          <w:spacing w:val="0"/>
          <w:w w:val="100"/>
          <w:position w:val="0"/>
          <w:sz w:val="24"/>
          <w:szCs w:val="24"/>
          <w:u w:val="none" w:color="auto"/>
          <w:lang w:eastAsia="zh-CN"/>
        </w:rPr>
        <w:t>发</w:t>
      </w:r>
      <w:r>
        <w:rPr>
          <w:rFonts w:hint="default" w:ascii="Times New Roman" w:hAnsi="Times New Roman" w:eastAsia="宋体" w:cs="Times New Roman"/>
          <w:color w:val="auto"/>
          <w:spacing w:val="0"/>
          <w:w w:val="100"/>
          <w:position w:val="0"/>
          <w:sz w:val="24"/>
          <w:szCs w:val="24"/>
          <w:u w:val="none" w:color="auto"/>
        </w:rPr>
        <w:t>散、大气吸收、地面效应、屏障屏蔽及其他多方面效应引起的衰减。此处根据项目特点及实际情况，同时考虑最不利条件，拟只考虑几何发散引起的衰减。</w:t>
      </w:r>
    </w:p>
    <w:p w14:paraId="374E1540">
      <w:pPr>
        <w:spacing w:line="219" w:lineRule="auto"/>
        <w:ind w:left="485"/>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b/>
          <w:bCs/>
          <w:color w:val="auto"/>
          <w:spacing w:val="0"/>
          <w:w w:val="100"/>
          <w:position w:val="0"/>
          <w:sz w:val="24"/>
          <w:szCs w:val="24"/>
          <w:u w:val="none" w:color="auto"/>
        </w:rPr>
        <w:t>Ⅰ</w:t>
      </w:r>
      <w:r>
        <w:rPr>
          <w:rFonts w:hint="default" w:ascii="Times New Roman" w:hAnsi="Times New Roman" w:eastAsia="宋体" w:cs="Times New Roman"/>
          <w:color w:val="auto"/>
          <w:spacing w:val="0"/>
          <w:w w:val="100"/>
          <w:position w:val="0"/>
          <w:sz w:val="24"/>
          <w:szCs w:val="24"/>
          <w:u w:val="none" w:color="auto"/>
        </w:rPr>
        <w:t>、单个点源对预测点的声级计算</w:t>
      </w:r>
    </w:p>
    <w:p w14:paraId="6CE066EE">
      <w:pPr>
        <w:spacing w:before="146" w:line="780" w:lineRule="exact"/>
        <w:ind w:firstLine="420"/>
        <w:jc w:val="center"/>
        <w:textAlignment w:val="center"/>
        <w:rPr>
          <w:rFonts w:hint="default" w:ascii="Times New Roman" w:hAnsi="Times New Roman"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rPr>
        <w:drawing>
          <wp:inline distT="0" distB="0" distL="114300" distR="114300">
            <wp:extent cx="3682365" cy="495300"/>
            <wp:effectExtent l="0" t="0" r="13335" b="0"/>
            <wp:docPr id="5" name="图片 8"/>
            <wp:cNvGraphicFramePr/>
            <a:graphic xmlns:a="http://schemas.openxmlformats.org/drawingml/2006/main">
              <a:graphicData uri="http://schemas.openxmlformats.org/drawingml/2006/picture">
                <pic:pic xmlns:pic="http://schemas.openxmlformats.org/drawingml/2006/picture">
                  <pic:nvPicPr>
                    <pic:cNvPr id="5" name="图片 8"/>
                    <pic:cNvPicPr/>
                  </pic:nvPicPr>
                  <pic:blipFill>
                    <a:blip r:embed="rId60">
                      <a:lum bright="-12000" contrast="24000"/>
                    </a:blip>
                    <a:stretch>
                      <a:fillRect/>
                    </a:stretch>
                  </pic:blipFill>
                  <pic:spPr>
                    <a:xfrm>
                      <a:off x="0" y="0"/>
                      <a:ext cx="3682365" cy="495300"/>
                    </a:xfrm>
                    <a:prstGeom prst="rect">
                      <a:avLst/>
                    </a:prstGeom>
                    <a:noFill/>
                    <a:ln>
                      <a:noFill/>
                    </a:ln>
                  </pic:spPr>
                </pic:pic>
              </a:graphicData>
            </a:graphic>
          </wp:inline>
        </w:drawing>
      </w:r>
    </w:p>
    <w:p w14:paraId="5C84FAE4">
      <w:pPr>
        <w:spacing w:before="173" w:line="211" w:lineRule="auto"/>
        <w:ind w:left="494"/>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 xml:space="preserve">式中：  </w:t>
      </w:r>
      <w:r>
        <w:rPr>
          <w:rFonts w:hint="default" w:ascii="Times New Roman" w:hAnsi="Times New Roman" w:eastAsia="Times New Roman" w:cs="Times New Roman"/>
          <w:color w:val="auto"/>
          <w:spacing w:val="0"/>
          <w:w w:val="100"/>
          <w:position w:val="0"/>
          <w:sz w:val="24"/>
          <w:szCs w:val="24"/>
          <w:u w:val="none" w:color="auto"/>
        </w:rPr>
        <w:t>LA(r)</w:t>
      </w:r>
      <w:r>
        <w:rPr>
          <w:rFonts w:hint="default" w:ascii="Times New Roman" w:hAnsi="Times New Roman" w:eastAsia="宋体" w:cs="Times New Roman"/>
          <w:color w:val="auto"/>
          <w:spacing w:val="0"/>
          <w:w w:val="100"/>
          <w:position w:val="0"/>
          <w:sz w:val="24"/>
          <w:szCs w:val="24"/>
          <w:u w:val="none" w:color="auto"/>
        </w:rPr>
        <w:t>—距声源</w:t>
      </w:r>
      <w:r>
        <w:rPr>
          <w:rFonts w:hint="default" w:ascii="Times New Roman" w:hAnsi="Times New Roman" w:eastAsia="Times New Roman" w:cs="Times New Roman"/>
          <w:color w:val="auto"/>
          <w:spacing w:val="0"/>
          <w:w w:val="100"/>
          <w:position w:val="0"/>
          <w:sz w:val="24"/>
          <w:szCs w:val="24"/>
          <w:u w:val="none" w:color="auto"/>
        </w:rPr>
        <w:t>r</w:t>
      </w:r>
      <w:r>
        <w:rPr>
          <w:rFonts w:hint="default" w:ascii="Times New Roman" w:hAnsi="Times New Roman" w:eastAsia="宋体" w:cs="Times New Roman"/>
          <w:color w:val="auto"/>
          <w:spacing w:val="0"/>
          <w:w w:val="100"/>
          <w:position w:val="0"/>
          <w:sz w:val="24"/>
          <w:szCs w:val="24"/>
          <w:u w:val="none" w:color="auto"/>
        </w:rPr>
        <w:t>处的</w:t>
      </w:r>
      <w:r>
        <w:rPr>
          <w:rFonts w:hint="default" w:ascii="Times New Roman" w:hAnsi="Times New Roman" w:eastAsia="Times New Roman" w:cs="Times New Roman"/>
          <w:color w:val="auto"/>
          <w:spacing w:val="0"/>
          <w:w w:val="100"/>
          <w:position w:val="0"/>
          <w:sz w:val="24"/>
          <w:szCs w:val="24"/>
          <w:u w:val="none" w:color="auto"/>
        </w:rPr>
        <w:t>A</w:t>
      </w:r>
      <w:r>
        <w:rPr>
          <w:rFonts w:hint="default" w:ascii="Times New Roman" w:hAnsi="Times New Roman" w:eastAsia="宋体" w:cs="Times New Roman"/>
          <w:color w:val="auto"/>
          <w:spacing w:val="0"/>
          <w:w w:val="100"/>
          <w:position w:val="0"/>
          <w:sz w:val="24"/>
          <w:szCs w:val="24"/>
          <w:u w:val="none" w:color="auto"/>
        </w:rPr>
        <w:t xml:space="preserve">声级， </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49B15BE0">
      <w:pPr>
        <w:spacing w:before="147" w:line="511" w:lineRule="exact"/>
        <w:ind w:left="1324"/>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LA(r</w:t>
      </w:r>
      <w:r>
        <w:rPr>
          <w:rFonts w:hint="default" w:ascii="Times New Roman" w:hAnsi="Times New Roman" w:eastAsia="Times New Roman" w:cs="Times New Roman"/>
          <w:color w:val="auto"/>
          <w:spacing w:val="0"/>
          <w:w w:val="100"/>
          <w:position w:val="0"/>
          <w:sz w:val="15"/>
          <w:szCs w:val="15"/>
          <w:u w:val="none" w:color="auto"/>
        </w:rPr>
        <w:t xml:space="preserve">0 </w:t>
      </w:r>
      <w:r>
        <w:rPr>
          <w:rFonts w:hint="default" w:ascii="Times New Roman" w:hAnsi="Times New Roman" w:eastAsia="Times New Roman" w:cs="Times New Roman"/>
          <w:color w:val="auto"/>
          <w:spacing w:val="0"/>
          <w:w w:val="100"/>
          <w:position w:val="0"/>
          <w:sz w:val="24"/>
          <w:szCs w:val="24"/>
          <w:u w:val="none" w:color="auto"/>
        </w:rPr>
        <w:t xml:space="preserve">)  </w:t>
      </w:r>
      <w:r>
        <w:rPr>
          <w:rFonts w:hint="default" w:ascii="Times New Roman" w:hAnsi="Times New Roman" w:eastAsia="宋体" w:cs="Times New Roman"/>
          <w:color w:val="auto"/>
          <w:spacing w:val="0"/>
          <w:w w:val="100"/>
          <w:position w:val="0"/>
          <w:sz w:val="24"/>
          <w:szCs w:val="24"/>
          <w:u w:val="none" w:color="auto"/>
        </w:rPr>
        <w:t>—参考位置</w:t>
      </w:r>
      <w:r>
        <w:rPr>
          <w:rFonts w:hint="default" w:ascii="Times New Roman" w:hAnsi="Times New Roman" w:eastAsia="Times New Roman" w:cs="Times New Roman"/>
          <w:color w:val="auto"/>
          <w:spacing w:val="0"/>
          <w:w w:val="100"/>
          <w:position w:val="0"/>
          <w:sz w:val="24"/>
          <w:szCs w:val="24"/>
          <w:u w:val="none" w:color="auto"/>
        </w:rPr>
        <w:t>r</w:t>
      </w:r>
      <w:r>
        <w:rPr>
          <w:rFonts w:hint="default" w:ascii="Times New Roman" w:hAnsi="Times New Roman" w:eastAsia="Times New Roman" w:cs="Times New Roman"/>
          <w:color w:val="auto"/>
          <w:spacing w:val="0"/>
          <w:w w:val="100"/>
          <w:position w:val="0"/>
          <w:sz w:val="15"/>
          <w:szCs w:val="15"/>
          <w:u w:val="none" w:color="auto"/>
        </w:rPr>
        <w:t>0</w:t>
      </w:r>
      <w:r>
        <w:rPr>
          <w:rFonts w:hint="default" w:ascii="Times New Roman" w:hAnsi="Times New Roman" w:eastAsia="宋体" w:cs="Times New Roman"/>
          <w:color w:val="auto"/>
          <w:spacing w:val="0"/>
          <w:w w:val="100"/>
          <w:position w:val="0"/>
          <w:sz w:val="24"/>
          <w:szCs w:val="24"/>
          <w:u w:val="none" w:color="auto"/>
        </w:rPr>
        <w:t>处的</w:t>
      </w:r>
      <w:r>
        <w:rPr>
          <w:rFonts w:hint="default" w:ascii="Times New Roman" w:hAnsi="Times New Roman" w:eastAsia="Times New Roman" w:cs="Times New Roman"/>
          <w:color w:val="auto"/>
          <w:spacing w:val="0"/>
          <w:w w:val="100"/>
          <w:position w:val="0"/>
          <w:sz w:val="24"/>
          <w:szCs w:val="24"/>
          <w:u w:val="none" w:color="auto"/>
        </w:rPr>
        <w:t>A</w:t>
      </w:r>
      <w:r>
        <w:rPr>
          <w:rFonts w:hint="default" w:ascii="Times New Roman" w:hAnsi="Times New Roman" w:eastAsia="宋体" w:cs="Times New Roman"/>
          <w:color w:val="auto"/>
          <w:spacing w:val="0"/>
          <w:w w:val="100"/>
          <w:position w:val="0"/>
          <w:sz w:val="24"/>
          <w:szCs w:val="24"/>
          <w:u w:val="none" w:color="auto"/>
        </w:rPr>
        <w:t xml:space="preserve">声级， </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2C2FD338">
      <w:pPr>
        <w:spacing w:line="238" w:lineRule="auto"/>
        <w:ind w:left="1441"/>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 xml:space="preserve">r  </w:t>
      </w:r>
      <w:r>
        <w:rPr>
          <w:rFonts w:hint="default" w:ascii="Times New Roman" w:hAnsi="Times New Roman" w:eastAsia="宋体" w:cs="Times New Roman"/>
          <w:color w:val="auto"/>
          <w:spacing w:val="0"/>
          <w:w w:val="100"/>
          <w:position w:val="0"/>
          <w:sz w:val="24"/>
          <w:szCs w:val="24"/>
          <w:u w:val="none" w:color="auto"/>
        </w:rPr>
        <w:t>—预测点距离声源的距离；</w:t>
      </w:r>
    </w:p>
    <w:p w14:paraId="4BF321FE">
      <w:pPr>
        <w:spacing w:before="159" w:line="229" w:lineRule="auto"/>
        <w:ind w:left="1441"/>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r</w:t>
      </w:r>
      <w:r>
        <w:rPr>
          <w:rFonts w:hint="default" w:ascii="Times New Roman" w:hAnsi="Times New Roman" w:eastAsia="Times New Roman" w:cs="Times New Roman"/>
          <w:color w:val="auto"/>
          <w:spacing w:val="0"/>
          <w:w w:val="100"/>
          <w:position w:val="0"/>
          <w:sz w:val="15"/>
          <w:szCs w:val="15"/>
          <w:u w:val="none" w:color="auto"/>
        </w:rPr>
        <w:t>0</w:t>
      </w:r>
      <w:r>
        <w:rPr>
          <w:rFonts w:hint="default" w:ascii="Times New Roman" w:hAnsi="Times New Roman" w:eastAsia="宋体" w:cs="Times New Roman"/>
          <w:color w:val="auto"/>
          <w:spacing w:val="0"/>
          <w:w w:val="100"/>
          <w:position w:val="0"/>
          <w:sz w:val="24"/>
          <w:szCs w:val="24"/>
          <w:u w:val="none" w:color="auto"/>
        </w:rPr>
        <w:t>—参考位置距离声源的距离；</w:t>
      </w:r>
    </w:p>
    <w:p w14:paraId="69E085B0">
      <w:pPr>
        <w:spacing w:before="169" w:line="211" w:lineRule="auto"/>
        <w:ind w:left="1497"/>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Δ</w:t>
      </w:r>
      <w:r>
        <w:rPr>
          <w:rFonts w:hint="default" w:ascii="Times New Roman" w:hAnsi="Times New Roman" w:eastAsia="Times New Roman" w:cs="Times New Roman"/>
          <w:color w:val="auto"/>
          <w:spacing w:val="0"/>
          <w:w w:val="100"/>
          <w:position w:val="0"/>
          <w:sz w:val="24"/>
          <w:szCs w:val="24"/>
          <w:u w:val="none" w:color="auto"/>
        </w:rPr>
        <w:t>L —</w:t>
      </w:r>
      <w:r>
        <w:rPr>
          <w:rFonts w:hint="default" w:ascii="Times New Roman" w:hAnsi="Times New Roman" w:eastAsia="宋体" w:cs="Times New Roman"/>
          <w:color w:val="auto"/>
          <w:spacing w:val="0"/>
          <w:w w:val="100"/>
          <w:position w:val="0"/>
          <w:sz w:val="24"/>
          <w:szCs w:val="24"/>
          <w:u w:val="none" w:color="auto"/>
        </w:rPr>
        <w:t xml:space="preserve">声屏障等引起的噪声衰减量， </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3CD95849">
      <w:pPr>
        <w:spacing w:before="192" w:line="220" w:lineRule="auto"/>
        <w:ind w:left="485"/>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b/>
          <w:bCs/>
          <w:color w:val="auto"/>
          <w:spacing w:val="0"/>
          <w:w w:val="100"/>
          <w:position w:val="0"/>
          <w:sz w:val="24"/>
          <w:szCs w:val="24"/>
          <w:u w:val="none" w:color="auto"/>
        </w:rPr>
        <w:t>Ⅱ</w:t>
      </w:r>
      <w:r>
        <w:rPr>
          <w:rFonts w:hint="default" w:ascii="Times New Roman" w:hAnsi="Times New Roman" w:eastAsia="宋体" w:cs="Times New Roman"/>
          <w:color w:val="auto"/>
          <w:spacing w:val="0"/>
          <w:w w:val="100"/>
          <w:position w:val="0"/>
          <w:sz w:val="24"/>
          <w:szCs w:val="24"/>
          <w:u w:val="none" w:color="auto"/>
        </w:rPr>
        <w:t>、多个点源对预测点的声级叠加计算</w:t>
      </w:r>
    </w:p>
    <w:p w14:paraId="4F2C4255">
      <w:pPr>
        <w:spacing w:before="146" w:line="744" w:lineRule="exact"/>
        <w:ind w:firstLine="420"/>
        <w:jc w:val="center"/>
        <w:textAlignment w:val="center"/>
        <w:rPr>
          <w:rFonts w:hint="default" w:ascii="Times New Roman" w:hAnsi="Times New Roman"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rPr>
        <w:drawing>
          <wp:inline distT="0" distB="0" distL="114300" distR="114300">
            <wp:extent cx="2049780" cy="469265"/>
            <wp:effectExtent l="0" t="0" r="0" b="0"/>
            <wp:docPr id="13" name="图片 9"/>
            <wp:cNvGraphicFramePr/>
            <a:graphic xmlns:a="http://schemas.openxmlformats.org/drawingml/2006/main">
              <a:graphicData uri="http://schemas.openxmlformats.org/drawingml/2006/picture">
                <pic:pic xmlns:pic="http://schemas.openxmlformats.org/drawingml/2006/picture">
                  <pic:nvPicPr>
                    <pic:cNvPr id="13" name="图片 9"/>
                    <pic:cNvPicPr/>
                  </pic:nvPicPr>
                  <pic:blipFill>
                    <a:blip r:embed="rId61">
                      <a:lum bright="-12000" contrast="24000"/>
                    </a:blip>
                    <a:srcRect l="-2509" t="672"/>
                    <a:stretch>
                      <a:fillRect/>
                    </a:stretch>
                  </pic:blipFill>
                  <pic:spPr>
                    <a:xfrm>
                      <a:off x="0" y="0"/>
                      <a:ext cx="2049780" cy="469265"/>
                    </a:xfrm>
                    <a:prstGeom prst="rect">
                      <a:avLst/>
                    </a:prstGeom>
                    <a:noFill/>
                    <a:ln>
                      <a:noFill/>
                    </a:ln>
                  </pic:spPr>
                </pic:pic>
              </a:graphicData>
            </a:graphic>
          </wp:inline>
        </w:drawing>
      </w:r>
    </w:p>
    <w:p w14:paraId="54FB18E4">
      <w:pPr>
        <w:spacing w:before="173" w:line="211" w:lineRule="auto"/>
        <w:ind w:left="494"/>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 xml:space="preserve">式中：  </w:t>
      </w:r>
      <w:r>
        <w:rPr>
          <w:rFonts w:hint="default" w:ascii="Times New Roman" w:hAnsi="Times New Roman" w:eastAsia="Times New Roman" w:cs="Times New Roman"/>
          <w:color w:val="auto"/>
          <w:spacing w:val="0"/>
          <w:w w:val="100"/>
          <w:position w:val="0"/>
          <w:sz w:val="24"/>
          <w:szCs w:val="24"/>
          <w:u w:val="none" w:color="auto"/>
        </w:rPr>
        <w:t>L</w:t>
      </w:r>
      <w:r>
        <w:rPr>
          <w:rFonts w:hint="default" w:ascii="Times New Roman" w:hAnsi="Times New Roman" w:eastAsia="Times New Roman" w:cs="Times New Roman"/>
          <w:color w:val="auto"/>
          <w:spacing w:val="0"/>
          <w:w w:val="100"/>
          <w:position w:val="0"/>
          <w:sz w:val="15"/>
          <w:szCs w:val="15"/>
          <w:u w:val="none" w:color="auto"/>
        </w:rPr>
        <w:t xml:space="preserve">eq </w:t>
      </w:r>
      <w:r>
        <w:rPr>
          <w:rFonts w:hint="default" w:ascii="Times New Roman" w:hAnsi="Times New Roman" w:eastAsia="宋体" w:cs="Times New Roman"/>
          <w:color w:val="auto"/>
          <w:spacing w:val="0"/>
          <w:w w:val="100"/>
          <w:position w:val="0"/>
          <w:sz w:val="12"/>
          <w:szCs w:val="12"/>
          <w:u w:val="none" w:color="auto"/>
        </w:rPr>
        <w:t xml:space="preserve">(总) </w:t>
      </w:r>
      <w:r>
        <w:rPr>
          <w:rFonts w:hint="default" w:ascii="Times New Roman" w:hAnsi="Times New Roman" w:eastAsia="宋体" w:cs="Times New Roman"/>
          <w:color w:val="auto"/>
          <w:spacing w:val="0"/>
          <w:w w:val="100"/>
          <w:position w:val="0"/>
          <w:sz w:val="24"/>
          <w:szCs w:val="24"/>
          <w:u w:val="none" w:color="auto"/>
        </w:rPr>
        <w:t xml:space="preserve">—建设项目在预测点的等效声级贡献值， </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719F2527">
      <w:pPr>
        <w:spacing w:before="148" w:line="323" w:lineRule="exact"/>
        <w:ind w:left="1444"/>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L</w:t>
      </w:r>
      <w:r>
        <w:rPr>
          <w:rFonts w:hint="default" w:ascii="Times New Roman" w:hAnsi="Times New Roman" w:eastAsia="Times New Roman" w:cs="Times New Roman"/>
          <w:color w:val="auto"/>
          <w:spacing w:val="0"/>
          <w:w w:val="100"/>
          <w:position w:val="0"/>
          <w:sz w:val="15"/>
          <w:szCs w:val="15"/>
          <w:u w:val="none" w:color="auto"/>
        </w:rPr>
        <w:t xml:space="preserve">epi   </w:t>
      </w:r>
      <w:r>
        <w:rPr>
          <w:rFonts w:hint="default" w:ascii="Times New Roman" w:hAnsi="Times New Roman" w:eastAsia="宋体" w:cs="Times New Roman"/>
          <w:color w:val="auto"/>
          <w:spacing w:val="0"/>
          <w:w w:val="100"/>
          <w:position w:val="0"/>
          <w:sz w:val="24"/>
          <w:szCs w:val="24"/>
          <w:u w:val="none" w:color="auto"/>
        </w:rPr>
        <w:t xml:space="preserve">—第 </w:t>
      </w:r>
      <w:r>
        <w:rPr>
          <w:rFonts w:hint="default" w:ascii="Times New Roman" w:hAnsi="Times New Roman" w:eastAsia="Times New Roman" w:cs="Times New Roman"/>
          <w:color w:val="auto"/>
          <w:spacing w:val="0"/>
          <w:w w:val="100"/>
          <w:position w:val="0"/>
          <w:sz w:val="24"/>
          <w:szCs w:val="24"/>
          <w:u w:val="none" w:color="auto"/>
        </w:rPr>
        <w:t xml:space="preserve">i  </w:t>
      </w:r>
      <w:r>
        <w:rPr>
          <w:rFonts w:hint="default" w:ascii="Times New Roman" w:hAnsi="Times New Roman" w:eastAsia="宋体" w:cs="Times New Roman"/>
          <w:color w:val="auto"/>
          <w:spacing w:val="0"/>
          <w:w w:val="100"/>
          <w:position w:val="0"/>
          <w:sz w:val="24"/>
          <w:szCs w:val="24"/>
          <w:u w:val="none" w:color="auto"/>
        </w:rPr>
        <w:t xml:space="preserve">个声源在预测点产生的 </w:t>
      </w:r>
      <w:r>
        <w:rPr>
          <w:rFonts w:hint="default" w:ascii="Times New Roman" w:hAnsi="Times New Roman" w:eastAsia="Times New Roman" w:cs="Times New Roman"/>
          <w:color w:val="auto"/>
          <w:spacing w:val="0"/>
          <w:w w:val="100"/>
          <w:position w:val="0"/>
          <w:sz w:val="24"/>
          <w:szCs w:val="24"/>
          <w:u w:val="none" w:color="auto"/>
        </w:rPr>
        <w:t xml:space="preserve">A  </w:t>
      </w:r>
      <w:r>
        <w:rPr>
          <w:rFonts w:hint="default" w:ascii="Times New Roman" w:hAnsi="Times New Roman" w:eastAsia="宋体" w:cs="Times New Roman"/>
          <w:color w:val="auto"/>
          <w:spacing w:val="0"/>
          <w:w w:val="100"/>
          <w:position w:val="0"/>
          <w:sz w:val="24"/>
          <w:szCs w:val="24"/>
          <w:u w:val="none" w:color="auto"/>
        </w:rPr>
        <w:t xml:space="preserve">声级， </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0BBAD6A6">
      <w:pPr>
        <w:spacing w:before="192" w:line="220" w:lineRule="auto"/>
        <w:ind w:left="485"/>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III、预测点昼、夜间噪声预测值计算</w:t>
      </w:r>
    </w:p>
    <w:p w14:paraId="4D2F7705">
      <w:pPr>
        <w:spacing w:before="147" w:line="661" w:lineRule="exact"/>
        <w:ind w:firstLine="420"/>
        <w:jc w:val="center"/>
        <w:textAlignment w:val="center"/>
        <w:rPr>
          <w:rFonts w:hint="default" w:ascii="Times New Roman" w:hAnsi="Times New Roman"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rPr>
        <w:drawing>
          <wp:inline distT="0" distB="0" distL="114300" distR="114300">
            <wp:extent cx="2042160" cy="419735"/>
            <wp:effectExtent l="0" t="0" r="15240" b="18415"/>
            <wp:docPr id="15" name="图片 10"/>
            <wp:cNvGraphicFramePr/>
            <a:graphic xmlns:a="http://schemas.openxmlformats.org/drawingml/2006/main">
              <a:graphicData uri="http://schemas.openxmlformats.org/drawingml/2006/picture">
                <pic:pic xmlns:pic="http://schemas.openxmlformats.org/drawingml/2006/picture">
                  <pic:nvPicPr>
                    <pic:cNvPr id="15" name="图片 10"/>
                    <pic:cNvPicPr/>
                  </pic:nvPicPr>
                  <pic:blipFill>
                    <a:blip r:embed="rId62">
                      <a:lum bright="-12000" contrast="24000"/>
                    </a:blip>
                    <a:stretch>
                      <a:fillRect/>
                    </a:stretch>
                  </pic:blipFill>
                  <pic:spPr>
                    <a:xfrm>
                      <a:off x="0" y="0"/>
                      <a:ext cx="2042160" cy="419735"/>
                    </a:xfrm>
                    <a:prstGeom prst="rect">
                      <a:avLst/>
                    </a:prstGeom>
                    <a:noFill/>
                    <a:ln>
                      <a:noFill/>
                    </a:ln>
                  </pic:spPr>
                </pic:pic>
              </a:graphicData>
            </a:graphic>
          </wp:inline>
        </w:drawing>
      </w:r>
    </w:p>
    <w:p w14:paraId="754D663B">
      <w:pPr>
        <w:spacing w:before="171" w:line="218" w:lineRule="auto"/>
        <w:ind w:left="487"/>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②预测结果及分析</w:t>
      </w:r>
    </w:p>
    <w:p w14:paraId="1020D999">
      <w:pPr>
        <w:spacing w:before="187" w:line="363" w:lineRule="auto"/>
        <w:ind w:left="8" w:firstLine="480"/>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rPr>
        <w:t>根据上述预测公式</w:t>
      </w:r>
      <w:r>
        <w:rPr>
          <w:rFonts w:hint="default" w:ascii="Times New Roman" w:hAnsi="Times New Roman" w:eastAsia="宋体" w:cs="Times New Roman"/>
          <w:color w:val="auto"/>
          <w:spacing w:val="0"/>
          <w:w w:val="10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施工期</w:t>
      </w:r>
      <w:r>
        <w:rPr>
          <w:rFonts w:hint="default" w:ascii="Times New Roman" w:hAnsi="Times New Roman" w:eastAsia="宋体" w:cs="Times New Roman"/>
          <w:color w:val="auto"/>
          <w:spacing w:val="0"/>
          <w:w w:val="100"/>
          <w:position w:val="0"/>
          <w:sz w:val="24"/>
          <w:szCs w:val="24"/>
          <w:u w:val="none" w:color="auto"/>
        </w:rPr>
        <w:t>各施工机械噪声影响预测结果见表</w:t>
      </w:r>
      <w:r>
        <w:rPr>
          <w:rFonts w:hint="default" w:ascii="Times New Roman" w:hAnsi="Times New Roman" w:eastAsia="宋体" w:cs="Times New Roman"/>
          <w:color w:val="auto"/>
          <w:spacing w:val="0"/>
          <w:w w:val="100"/>
          <w:position w:val="0"/>
          <w:sz w:val="24"/>
          <w:szCs w:val="24"/>
          <w:u w:val="none" w:color="auto"/>
          <w:lang w:val="en-US" w:eastAsia="zh-CN"/>
        </w:rPr>
        <w:t>4.</w:t>
      </w: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4：</w:t>
      </w:r>
    </w:p>
    <w:p w14:paraId="7E4CA353">
      <w:pPr>
        <w:spacing w:before="68" w:line="212" w:lineRule="auto"/>
        <w:ind w:left="1705"/>
        <w:rPr>
          <w:rFonts w:hint="default" w:ascii="Times New Roman" w:hAnsi="Times New Roman" w:cs="Times New Roman"/>
          <w:color w:val="FF0000"/>
          <w:spacing w:val="0"/>
          <w:w w:val="100"/>
          <w:position w:val="0"/>
          <w:sz w:val="2"/>
          <w:u w:val="none" w:color="auto"/>
        </w:rPr>
      </w:pPr>
      <w:r>
        <w:rPr>
          <w:rFonts w:hint="default" w:ascii="Times New Roman" w:hAnsi="Times New Roman" w:eastAsia="宋体" w:cs="Times New Roman"/>
          <w:b/>
          <w:bCs/>
          <w:color w:val="auto"/>
          <w:spacing w:val="0"/>
          <w:w w:val="100"/>
          <w:position w:val="0"/>
          <w:sz w:val="21"/>
          <w:szCs w:val="21"/>
          <w:u w:val="none" w:color="auto"/>
        </w:rPr>
        <w:t>表</w:t>
      </w:r>
      <w:r>
        <w:rPr>
          <w:rFonts w:hint="default" w:ascii="Times New Roman" w:hAnsi="Times New Roman" w:eastAsia="宋体" w:cs="Times New Roman"/>
          <w:b/>
          <w:bCs/>
          <w:color w:val="auto"/>
          <w:spacing w:val="0"/>
          <w:w w:val="100"/>
          <w:position w:val="0"/>
          <w:sz w:val="21"/>
          <w:szCs w:val="21"/>
          <w:u w:val="none" w:color="auto"/>
          <w:lang w:val="en-US" w:eastAsia="zh-CN"/>
        </w:rPr>
        <w:t>4.2-4</w:t>
      </w:r>
      <w:r>
        <w:rPr>
          <w:rFonts w:hint="default" w:ascii="Times New Roman" w:hAnsi="Times New Roman" w:eastAsia="Times New Roman" w:cs="Times New Roman"/>
          <w:b/>
          <w:bCs/>
          <w:color w:val="auto"/>
          <w:spacing w:val="0"/>
          <w:w w:val="100"/>
          <w:position w:val="0"/>
          <w:sz w:val="21"/>
          <w:szCs w:val="21"/>
          <w:u w:val="none" w:color="auto"/>
        </w:rPr>
        <w:t xml:space="preserve"> </w:t>
      </w:r>
      <w:r>
        <w:rPr>
          <w:rFonts w:hint="eastAsia" w:ascii="Times New Roman" w:hAnsi="Times New Roman" w:eastAsia="宋体" w:cs="Times New Roman"/>
          <w:b/>
          <w:bCs/>
          <w:color w:val="auto"/>
          <w:spacing w:val="0"/>
          <w:w w:val="100"/>
          <w:position w:val="0"/>
          <w:sz w:val="21"/>
          <w:szCs w:val="21"/>
          <w:u w:val="none" w:color="auto"/>
          <w:lang w:val="en-US" w:eastAsia="zh-CN"/>
        </w:rPr>
        <w:t xml:space="preserve"> 施工期</w:t>
      </w:r>
      <w:r>
        <w:rPr>
          <w:rFonts w:hint="default" w:ascii="Times New Roman" w:hAnsi="Times New Roman" w:eastAsia="宋体" w:cs="Times New Roman"/>
          <w:b/>
          <w:bCs/>
          <w:color w:val="auto"/>
          <w:spacing w:val="0"/>
          <w:w w:val="100"/>
          <w:position w:val="0"/>
          <w:sz w:val="21"/>
          <w:szCs w:val="21"/>
          <w:u w:val="none" w:color="auto"/>
        </w:rPr>
        <w:t>各施工机械运行时噪声影响预测</w:t>
      </w:r>
      <w:r>
        <w:rPr>
          <w:rFonts w:hint="eastAsia" w:ascii="Times New Roman" w:hAnsi="Times New Roman" w:eastAsia="宋体" w:cs="Times New Roman"/>
          <w:b/>
          <w:bCs/>
          <w:color w:val="auto"/>
          <w:spacing w:val="0"/>
          <w:w w:val="100"/>
          <w:position w:val="0"/>
          <w:sz w:val="21"/>
          <w:szCs w:val="21"/>
          <w:u w:val="none" w:color="auto"/>
          <w:lang w:val="en-US" w:eastAsia="zh-CN"/>
        </w:rPr>
        <w:t xml:space="preserve">结果 </w:t>
      </w:r>
      <w:r>
        <w:rPr>
          <w:rFonts w:hint="default" w:ascii="Times New Roman" w:hAnsi="Times New Roman" w:eastAsia="宋体" w:cs="Times New Roman"/>
          <w:b/>
          <w:bCs/>
          <w:color w:val="auto"/>
          <w:spacing w:val="0"/>
          <w:w w:val="100"/>
          <w:position w:val="0"/>
          <w:sz w:val="21"/>
          <w:szCs w:val="21"/>
          <w:u w:val="none" w:color="auto"/>
        </w:rPr>
        <w:t xml:space="preserve">    单位 </w:t>
      </w:r>
      <w:r>
        <w:rPr>
          <w:rFonts w:hint="default" w:ascii="Times New Roman" w:hAnsi="Times New Roman" w:eastAsia="Times New Roman" w:cs="Times New Roman"/>
          <w:b/>
          <w:bCs/>
          <w:color w:val="auto"/>
          <w:spacing w:val="0"/>
          <w:w w:val="100"/>
          <w:position w:val="0"/>
          <w:sz w:val="21"/>
          <w:szCs w:val="21"/>
          <w:u w:val="none" w:color="auto"/>
        </w:rPr>
        <w:t>dB(A)</w:t>
      </w:r>
    </w:p>
    <w:tbl>
      <w:tblPr>
        <w:tblStyle w:val="9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93"/>
        <w:gridCol w:w="773"/>
        <w:gridCol w:w="791"/>
        <w:gridCol w:w="907"/>
        <w:gridCol w:w="907"/>
        <w:gridCol w:w="907"/>
        <w:gridCol w:w="907"/>
        <w:gridCol w:w="907"/>
        <w:gridCol w:w="938"/>
      </w:tblGrid>
      <w:tr w14:paraId="0F2F1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vMerge w:val="restart"/>
            <w:tcBorders>
              <w:tl2br w:val="nil"/>
              <w:tr2bl w:val="nil"/>
            </w:tcBorders>
            <w:noWrap w:val="0"/>
            <w:vAlign w:val="center"/>
          </w:tcPr>
          <w:p w14:paraId="53969F02">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cs="Times New Roman"/>
                <w:color w:val="auto"/>
                <w:spacing w:val="0"/>
                <w:w w:val="100"/>
                <w:position w:val="0"/>
                <w:sz w:val="21"/>
                <w:u w:val="none" w:color="auto"/>
              </w:rPr>
            </w:pPr>
          </w:p>
          <w:p w14:paraId="08BD7832">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名   称</w:t>
            </w:r>
          </w:p>
        </w:tc>
        <w:tc>
          <w:tcPr>
            <w:tcW w:w="783" w:type="dxa"/>
            <w:vMerge w:val="restart"/>
            <w:tcBorders>
              <w:tl2br w:val="nil"/>
              <w:tr2bl w:val="nil"/>
            </w:tcBorders>
            <w:noWrap w:val="0"/>
            <w:vAlign w:val="center"/>
          </w:tcPr>
          <w:p w14:paraId="3F90DFA3">
            <w:pPr>
              <w:keepNext w:val="0"/>
              <w:keepLines w:val="0"/>
              <w:pageBreakBefore w:val="0"/>
              <w:kinsoku/>
              <w:wordWrap/>
              <w:overflowPunct/>
              <w:topLinePunct w:val="0"/>
              <w:autoSpaceDE/>
              <w:autoSpaceDN/>
              <w:bidi w:val="0"/>
              <w:adjustRightInd/>
              <w:snapToGrid/>
              <w:spacing w:line="240" w:lineRule="auto"/>
              <w:ind w:left="0" w:right="0"/>
              <w:jc w:val="center"/>
              <w:rPr>
                <w:rFonts w:hint="eastAsia" w:ascii="Times New Roman" w:hAnsi="Times New Roman" w:eastAsia="宋体" w:cs="Times New Roman"/>
                <w:color w:val="auto"/>
                <w:spacing w:val="0"/>
                <w:w w:val="100"/>
                <w:position w:val="0"/>
                <w:sz w:val="21"/>
                <w:szCs w:val="21"/>
                <w:u w:val="none" w:color="auto"/>
                <w:lang w:eastAsia="zh-CN"/>
              </w:rPr>
            </w:pPr>
            <w:r>
              <w:rPr>
                <w:rFonts w:hint="eastAsia" w:ascii="Times New Roman" w:hAnsi="Times New Roman" w:eastAsia="宋体" w:cs="Times New Roman"/>
                <w:color w:val="auto"/>
                <w:spacing w:val="0"/>
                <w:w w:val="100"/>
                <w:position w:val="0"/>
                <w:sz w:val="21"/>
                <w:szCs w:val="21"/>
                <w:u w:val="none" w:color="auto"/>
                <w:lang w:eastAsia="zh-CN"/>
              </w:rPr>
              <w:t>噪声</w:t>
            </w:r>
          </w:p>
          <w:p w14:paraId="6B64815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 xml:space="preserve">源强 </w:t>
            </w:r>
            <w:r>
              <w:rPr>
                <w:rFonts w:hint="default" w:ascii="Times New Roman" w:hAnsi="Times New Roman" w:eastAsia="Times New Roman" w:cs="Times New Roman"/>
                <w:color w:val="auto"/>
                <w:spacing w:val="0"/>
                <w:w w:val="100"/>
                <w:position w:val="0"/>
                <w:sz w:val="21"/>
                <w:szCs w:val="21"/>
                <w:u w:val="none" w:color="auto"/>
              </w:rPr>
              <w:t>dB(A)</w:t>
            </w:r>
          </w:p>
        </w:tc>
        <w:tc>
          <w:tcPr>
            <w:tcW w:w="6348" w:type="dxa"/>
            <w:gridSpan w:val="7"/>
            <w:tcBorders>
              <w:tl2br w:val="nil"/>
              <w:tr2bl w:val="nil"/>
            </w:tcBorders>
            <w:noWrap w:val="0"/>
            <w:vAlign w:val="center"/>
          </w:tcPr>
          <w:p w14:paraId="0C73B4C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距噪声源距离</w:t>
            </w:r>
            <w:r>
              <w:rPr>
                <w:rFonts w:hint="default" w:ascii="Times New Roman" w:hAnsi="Times New Roman" w:eastAsia="Times New Roman" w:cs="Times New Roman"/>
                <w:color w:val="auto"/>
                <w:spacing w:val="0"/>
                <w:w w:val="100"/>
                <w:position w:val="0"/>
                <w:sz w:val="21"/>
                <w:szCs w:val="21"/>
                <w:u w:val="none" w:color="auto"/>
              </w:rPr>
              <w:t>/m</w:t>
            </w:r>
          </w:p>
        </w:tc>
      </w:tr>
      <w:tr w14:paraId="623D7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vMerge w:val="continue"/>
            <w:tcBorders>
              <w:tl2br w:val="nil"/>
              <w:tr2bl w:val="nil"/>
            </w:tcBorders>
            <w:noWrap w:val="0"/>
            <w:vAlign w:val="center"/>
          </w:tcPr>
          <w:p w14:paraId="639DBBC1">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cs="Times New Roman"/>
                <w:color w:val="auto"/>
                <w:spacing w:val="0"/>
                <w:w w:val="100"/>
                <w:position w:val="0"/>
                <w:sz w:val="21"/>
                <w:u w:val="none" w:color="auto"/>
              </w:rPr>
            </w:pPr>
          </w:p>
        </w:tc>
        <w:tc>
          <w:tcPr>
            <w:tcW w:w="783" w:type="dxa"/>
            <w:vMerge w:val="continue"/>
            <w:tcBorders>
              <w:tl2br w:val="nil"/>
              <w:tr2bl w:val="nil"/>
            </w:tcBorders>
            <w:noWrap w:val="0"/>
            <w:vAlign w:val="center"/>
          </w:tcPr>
          <w:p w14:paraId="7CD007B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cs="Times New Roman"/>
                <w:color w:val="auto"/>
                <w:spacing w:val="0"/>
                <w:w w:val="100"/>
                <w:position w:val="0"/>
                <w:sz w:val="21"/>
                <w:u w:val="none" w:color="auto"/>
              </w:rPr>
            </w:pPr>
          </w:p>
        </w:tc>
        <w:tc>
          <w:tcPr>
            <w:tcW w:w="802" w:type="dxa"/>
            <w:tcBorders>
              <w:tl2br w:val="nil"/>
              <w:tr2bl w:val="nil"/>
            </w:tcBorders>
            <w:noWrap w:val="0"/>
            <w:vAlign w:val="center"/>
          </w:tcPr>
          <w:p w14:paraId="6782659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5m</w:t>
            </w:r>
          </w:p>
        </w:tc>
        <w:tc>
          <w:tcPr>
            <w:tcW w:w="919" w:type="dxa"/>
            <w:tcBorders>
              <w:tl2br w:val="nil"/>
              <w:tr2bl w:val="nil"/>
            </w:tcBorders>
            <w:noWrap w:val="0"/>
            <w:vAlign w:val="center"/>
          </w:tcPr>
          <w:p w14:paraId="139DADD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10m</w:t>
            </w:r>
          </w:p>
        </w:tc>
        <w:tc>
          <w:tcPr>
            <w:tcW w:w="919" w:type="dxa"/>
            <w:tcBorders>
              <w:tl2br w:val="nil"/>
              <w:tr2bl w:val="nil"/>
            </w:tcBorders>
            <w:noWrap w:val="0"/>
            <w:vAlign w:val="center"/>
          </w:tcPr>
          <w:p w14:paraId="08EAAC3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3</w:t>
            </w:r>
            <w:r>
              <w:rPr>
                <w:rFonts w:hint="default" w:ascii="Times New Roman" w:hAnsi="Times New Roman" w:eastAsia="Times New Roman" w:cs="Times New Roman"/>
                <w:color w:val="auto"/>
                <w:spacing w:val="0"/>
                <w:w w:val="100"/>
                <w:position w:val="0"/>
                <w:sz w:val="21"/>
                <w:szCs w:val="21"/>
                <w:u w:val="none" w:color="auto"/>
              </w:rPr>
              <w:t>0m</w:t>
            </w:r>
          </w:p>
        </w:tc>
        <w:tc>
          <w:tcPr>
            <w:tcW w:w="919" w:type="dxa"/>
            <w:tcBorders>
              <w:tl2br w:val="nil"/>
              <w:tr2bl w:val="nil"/>
            </w:tcBorders>
            <w:noWrap w:val="0"/>
            <w:vAlign w:val="center"/>
          </w:tcPr>
          <w:p w14:paraId="32EF3C5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5</w:t>
            </w:r>
            <w:r>
              <w:rPr>
                <w:rFonts w:hint="default" w:ascii="Times New Roman" w:hAnsi="Times New Roman" w:eastAsia="Times New Roman" w:cs="Times New Roman"/>
                <w:color w:val="auto"/>
                <w:spacing w:val="0"/>
                <w:w w:val="100"/>
                <w:position w:val="0"/>
                <w:sz w:val="21"/>
                <w:szCs w:val="21"/>
                <w:u w:val="none" w:color="auto"/>
              </w:rPr>
              <w:t>0m</w:t>
            </w:r>
          </w:p>
        </w:tc>
        <w:tc>
          <w:tcPr>
            <w:tcW w:w="919" w:type="dxa"/>
            <w:tcBorders>
              <w:tl2br w:val="nil"/>
              <w:tr2bl w:val="nil"/>
            </w:tcBorders>
            <w:noWrap w:val="0"/>
            <w:vAlign w:val="center"/>
          </w:tcPr>
          <w:p w14:paraId="49D4832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6</w:t>
            </w:r>
            <w:r>
              <w:rPr>
                <w:rFonts w:hint="default" w:ascii="Times New Roman" w:hAnsi="Times New Roman" w:eastAsia="Times New Roman" w:cs="Times New Roman"/>
                <w:color w:val="auto"/>
                <w:spacing w:val="0"/>
                <w:w w:val="100"/>
                <w:position w:val="0"/>
                <w:sz w:val="21"/>
                <w:szCs w:val="21"/>
                <w:u w:val="none" w:color="auto"/>
              </w:rPr>
              <w:t>0m</w:t>
            </w:r>
          </w:p>
        </w:tc>
        <w:tc>
          <w:tcPr>
            <w:tcW w:w="919" w:type="dxa"/>
            <w:tcBorders>
              <w:tl2br w:val="nil"/>
              <w:tr2bl w:val="nil"/>
            </w:tcBorders>
            <w:noWrap w:val="0"/>
            <w:vAlign w:val="center"/>
          </w:tcPr>
          <w:p w14:paraId="2A4B377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1</w:t>
            </w:r>
            <w:r>
              <w:rPr>
                <w:rFonts w:hint="default" w:ascii="Times New Roman" w:hAnsi="Times New Roman" w:eastAsia="Times New Roman" w:cs="Times New Roman"/>
                <w:color w:val="auto"/>
                <w:spacing w:val="0"/>
                <w:w w:val="100"/>
                <w:position w:val="0"/>
                <w:sz w:val="21"/>
                <w:szCs w:val="21"/>
                <w:u w:val="none" w:color="auto"/>
              </w:rPr>
              <w:t>00m</w:t>
            </w:r>
          </w:p>
        </w:tc>
        <w:tc>
          <w:tcPr>
            <w:tcW w:w="951" w:type="dxa"/>
            <w:tcBorders>
              <w:tl2br w:val="nil"/>
              <w:tr2bl w:val="nil"/>
            </w:tcBorders>
            <w:noWrap w:val="0"/>
            <w:vAlign w:val="center"/>
          </w:tcPr>
          <w:p w14:paraId="42AE539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rPr>
            </w:pPr>
            <w:r>
              <w:rPr>
                <w:rFonts w:hint="default" w:ascii="Times New Roman" w:hAnsi="Times New Roman" w:eastAsia="Times New Roman" w:cs="Times New Roman"/>
                <w:color w:val="auto"/>
                <w:spacing w:val="0"/>
                <w:w w:val="100"/>
                <w:position w:val="0"/>
                <w:sz w:val="21"/>
                <w:szCs w:val="21"/>
                <w:u w:val="none" w:color="auto"/>
              </w:rPr>
              <w:t>200m</w:t>
            </w:r>
          </w:p>
        </w:tc>
      </w:tr>
      <w:tr w14:paraId="0E3B5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73DB7B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挖掘机</w:t>
            </w:r>
          </w:p>
        </w:tc>
        <w:tc>
          <w:tcPr>
            <w:tcW w:w="783" w:type="dxa"/>
            <w:tcBorders>
              <w:tl2br w:val="nil"/>
              <w:tr2bl w:val="nil"/>
            </w:tcBorders>
            <w:noWrap w:val="0"/>
            <w:vAlign w:val="center"/>
          </w:tcPr>
          <w:p w14:paraId="386899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c>
          <w:tcPr>
            <w:tcW w:w="802" w:type="dxa"/>
            <w:tcBorders>
              <w:tl2br w:val="nil"/>
              <w:tr2bl w:val="nil"/>
            </w:tcBorders>
            <w:noWrap w:val="0"/>
            <w:vAlign w:val="center"/>
          </w:tcPr>
          <w:p w14:paraId="043D5D72">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76.0</w:t>
            </w:r>
          </w:p>
        </w:tc>
        <w:tc>
          <w:tcPr>
            <w:tcW w:w="919" w:type="dxa"/>
            <w:tcBorders>
              <w:tl2br w:val="nil"/>
              <w:tr2bl w:val="nil"/>
            </w:tcBorders>
            <w:noWrap w:val="0"/>
            <w:vAlign w:val="center"/>
          </w:tcPr>
          <w:p w14:paraId="466F8B0E">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70.0</w:t>
            </w:r>
          </w:p>
        </w:tc>
        <w:tc>
          <w:tcPr>
            <w:tcW w:w="919" w:type="dxa"/>
            <w:tcBorders>
              <w:tl2br w:val="nil"/>
              <w:tr2bl w:val="nil"/>
            </w:tcBorders>
            <w:noWrap w:val="0"/>
            <w:vAlign w:val="center"/>
          </w:tcPr>
          <w:p w14:paraId="55A4746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60.5</w:t>
            </w:r>
          </w:p>
        </w:tc>
        <w:tc>
          <w:tcPr>
            <w:tcW w:w="919" w:type="dxa"/>
            <w:tcBorders>
              <w:tl2br w:val="nil"/>
              <w:tr2bl w:val="nil"/>
            </w:tcBorders>
            <w:noWrap w:val="0"/>
            <w:vAlign w:val="center"/>
          </w:tcPr>
          <w:p w14:paraId="682791E2">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56.0</w:t>
            </w:r>
          </w:p>
        </w:tc>
        <w:tc>
          <w:tcPr>
            <w:tcW w:w="919" w:type="dxa"/>
            <w:tcBorders>
              <w:tl2br w:val="nil"/>
              <w:tr2bl w:val="nil"/>
            </w:tcBorders>
            <w:noWrap w:val="0"/>
            <w:vAlign w:val="center"/>
          </w:tcPr>
          <w:p w14:paraId="37737F1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54.4</w:t>
            </w:r>
          </w:p>
        </w:tc>
        <w:tc>
          <w:tcPr>
            <w:tcW w:w="919" w:type="dxa"/>
            <w:tcBorders>
              <w:tl2br w:val="nil"/>
              <w:tr2bl w:val="nil"/>
            </w:tcBorders>
            <w:noWrap w:val="0"/>
            <w:vAlign w:val="center"/>
          </w:tcPr>
          <w:p w14:paraId="7F2E842C">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50.0</w:t>
            </w:r>
          </w:p>
        </w:tc>
        <w:tc>
          <w:tcPr>
            <w:tcW w:w="951" w:type="dxa"/>
            <w:tcBorders>
              <w:tl2br w:val="nil"/>
              <w:tr2bl w:val="nil"/>
            </w:tcBorders>
            <w:noWrap w:val="0"/>
            <w:vAlign w:val="center"/>
          </w:tcPr>
          <w:p w14:paraId="7773115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44.0</w:t>
            </w:r>
          </w:p>
        </w:tc>
      </w:tr>
      <w:tr w14:paraId="0B4DB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65B353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自卸汽车</w:t>
            </w:r>
          </w:p>
        </w:tc>
        <w:tc>
          <w:tcPr>
            <w:tcW w:w="783" w:type="dxa"/>
            <w:tcBorders>
              <w:tl2br w:val="nil"/>
              <w:tr2bl w:val="nil"/>
            </w:tcBorders>
            <w:noWrap w:val="0"/>
            <w:vAlign w:val="center"/>
          </w:tcPr>
          <w:p w14:paraId="5F909A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c>
          <w:tcPr>
            <w:tcW w:w="802" w:type="dxa"/>
            <w:tcBorders>
              <w:tl2br w:val="nil"/>
              <w:tr2bl w:val="nil"/>
            </w:tcBorders>
            <w:shd w:val="clear" w:color="auto" w:fill="auto"/>
            <w:noWrap w:val="0"/>
            <w:vAlign w:val="center"/>
          </w:tcPr>
          <w:p w14:paraId="12BCF6C7">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76.0</w:t>
            </w:r>
          </w:p>
        </w:tc>
        <w:tc>
          <w:tcPr>
            <w:tcW w:w="919" w:type="dxa"/>
            <w:tcBorders>
              <w:tl2br w:val="nil"/>
              <w:tr2bl w:val="nil"/>
            </w:tcBorders>
            <w:shd w:val="clear" w:color="auto" w:fill="auto"/>
            <w:noWrap w:val="0"/>
            <w:vAlign w:val="center"/>
          </w:tcPr>
          <w:p w14:paraId="22A0B391">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70.0</w:t>
            </w:r>
          </w:p>
        </w:tc>
        <w:tc>
          <w:tcPr>
            <w:tcW w:w="919" w:type="dxa"/>
            <w:tcBorders>
              <w:tl2br w:val="nil"/>
              <w:tr2bl w:val="nil"/>
            </w:tcBorders>
            <w:shd w:val="clear" w:color="auto" w:fill="auto"/>
            <w:noWrap w:val="0"/>
            <w:vAlign w:val="center"/>
          </w:tcPr>
          <w:p w14:paraId="5D7F972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60.5</w:t>
            </w:r>
          </w:p>
        </w:tc>
        <w:tc>
          <w:tcPr>
            <w:tcW w:w="919" w:type="dxa"/>
            <w:tcBorders>
              <w:tl2br w:val="nil"/>
              <w:tr2bl w:val="nil"/>
            </w:tcBorders>
            <w:shd w:val="clear" w:color="auto" w:fill="auto"/>
            <w:noWrap w:val="0"/>
            <w:vAlign w:val="center"/>
          </w:tcPr>
          <w:p w14:paraId="224004A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56.0</w:t>
            </w:r>
          </w:p>
        </w:tc>
        <w:tc>
          <w:tcPr>
            <w:tcW w:w="919" w:type="dxa"/>
            <w:tcBorders>
              <w:tl2br w:val="nil"/>
              <w:tr2bl w:val="nil"/>
            </w:tcBorders>
            <w:shd w:val="clear" w:color="auto" w:fill="auto"/>
            <w:noWrap w:val="0"/>
            <w:vAlign w:val="center"/>
          </w:tcPr>
          <w:p w14:paraId="550905D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54.4</w:t>
            </w:r>
          </w:p>
        </w:tc>
        <w:tc>
          <w:tcPr>
            <w:tcW w:w="919" w:type="dxa"/>
            <w:tcBorders>
              <w:tl2br w:val="nil"/>
              <w:tr2bl w:val="nil"/>
            </w:tcBorders>
            <w:shd w:val="clear" w:color="auto" w:fill="auto"/>
            <w:noWrap w:val="0"/>
            <w:vAlign w:val="center"/>
          </w:tcPr>
          <w:p w14:paraId="172AA1E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50.0</w:t>
            </w:r>
          </w:p>
        </w:tc>
        <w:tc>
          <w:tcPr>
            <w:tcW w:w="951" w:type="dxa"/>
            <w:tcBorders>
              <w:tl2br w:val="nil"/>
              <w:tr2bl w:val="nil"/>
            </w:tcBorders>
            <w:shd w:val="clear" w:color="auto" w:fill="auto"/>
            <w:noWrap w:val="0"/>
            <w:vAlign w:val="center"/>
          </w:tcPr>
          <w:p w14:paraId="0208A69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44.0</w:t>
            </w:r>
          </w:p>
        </w:tc>
      </w:tr>
      <w:tr w14:paraId="6BCEA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630AC4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振动碾</w:t>
            </w:r>
          </w:p>
        </w:tc>
        <w:tc>
          <w:tcPr>
            <w:tcW w:w="783" w:type="dxa"/>
            <w:tcBorders>
              <w:tl2br w:val="nil"/>
              <w:tr2bl w:val="nil"/>
            </w:tcBorders>
            <w:noWrap w:val="0"/>
            <w:vAlign w:val="center"/>
          </w:tcPr>
          <w:p w14:paraId="39D969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92</w:t>
            </w:r>
          </w:p>
        </w:tc>
        <w:tc>
          <w:tcPr>
            <w:tcW w:w="802" w:type="dxa"/>
            <w:tcBorders>
              <w:tl2br w:val="nil"/>
              <w:tr2bl w:val="nil"/>
            </w:tcBorders>
            <w:noWrap w:val="0"/>
            <w:vAlign w:val="center"/>
          </w:tcPr>
          <w:p w14:paraId="2275AC6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78.0</w:t>
            </w:r>
          </w:p>
        </w:tc>
        <w:tc>
          <w:tcPr>
            <w:tcW w:w="919" w:type="dxa"/>
            <w:tcBorders>
              <w:tl2br w:val="nil"/>
              <w:tr2bl w:val="nil"/>
            </w:tcBorders>
            <w:noWrap w:val="0"/>
            <w:vAlign w:val="center"/>
          </w:tcPr>
          <w:p w14:paraId="6353574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72.0</w:t>
            </w:r>
          </w:p>
        </w:tc>
        <w:tc>
          <w:tcPr>
            <w:tcW w:w="919" w:type="dxa"/>
            <w:tcBorders>
              <w:tl2br w:val="nil"/>
              <w:tr2bl w:val="nil"/>
            </w:tcBorders>
            <w:noWrap w:val="0"/>
            <w:vAlign w:val="center"/>
          </w:tcPr>
          <w:p w14:paraId="1334644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62.5</w:t>
            </w:r>
          </w:p>
        </w:tc>
        <w:tc>
          <w:tcPr>
            <w:tcW w:w="919" w:type="dxa"/>
            <w:tcBorders>
              <w:tl2br w:val="nil"/>
              <w:tr2bl w:val="nil"/>
            </w:tcBorders>
            <w:noWrap w:val="0"/>
            <w:vAlign w:val="center"/>
          </w:tcPr>
          <w:p w14:paraId="42AFE4C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58.0</w:t>
            </w:r>
          </w:p>
        </w:tc>
        <w:tc>
          <w:tcPr>
            <w:tcW w:w="919" w:type="dxa"/>
            <w:tcBorders>
              <w:tl2br w:val="nil"/>
              <w:tr2bl w:val="nil"/>
            </w:tcBorders>
            <w:noWrap w:val="0"/>
            <w:vAlign w:val="center"/>
          </w:tcPr>
          <w:p w14:paraId="32D4011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56.4</w:t>
            </w:r>
          </w:p>
        </w:tc>
        <w:tc>
          <w:tcPr>
            <w:tcW w:w="919" w:type="dxa"/>
            <w:tcBorders>
              <w:tl2br w:val="nil"/>
              <w:tr2bl w:val="nil"/>
            </w:tcBorders>
            <w:noWrap w:val="0"/>
            <w:vAlign w:val="center"/>
          </w:tcPr>
          <w:p w14:paraId="059BD40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52.0</w:t>
            </w:r>
          </w:p>
        </w:tc>
        <w:tc>
          <w:tcPr>
            <w:tcW w:w="951" w:type="dxa"/>
            <w:tcBorders>
              <w:tl2br w:val="nil"/>
              <w:tr2bl w:val="nil"/>
            </w:tcBorders>
            <w:noWrap w:val="0"/>
            <w:vAlign w:val="center"/>
          </w:tcPr>
          <w:p w14:paraId="7628A09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46.0</w:t>
            </w:r>
          </w:p>
        </w:tc>
      </w:tr>
      <w:tr w14:paraId="46633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3720CB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蛙式打夯机</w:t>
            </w:r>
          </w:p>
        </w:tc>
        <w:tc>
          <w:tcPr>
            <w:tcW w:w="783" w:type="dxa"/>
            <w:tcBorders>
              <w:tl2br w:val="nil"/>
              <w:tr2bl w:val="nil"/>
            </w:tcBorders>
            <w:noWrap w:val="0"/>
            <w:vAlign w:val="center"/>
          </w:tcPr>
          <w:p w14:paraId="64F9B0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94</w:t>
            </w:r>
          </w:p>
        </w:tc>
        <w:tc>
          <w:tcPr>
            <w:tcW w:w="802" w:type="dxa"/>
            <w:tcBorders>
              <w:tl2br w:val="nil"/>
              <w:tr2bl w:val="nil"/>
            </w:tcBorders>
            <w:noWrap w:val="0"/>
            <w:vAlign w:val="center"/>
          </w:tcPr>
          <w:p w14:paraId="5637D88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80.0</w:t>
            </w:r>
          </w:p>
        </w:tc>
        <w:tc>
          <w:tcPr>
            <w:tcW w:w="919" w:type="dxa"/>
            <w:tcBorders>
              <w:tl2br w:val="nil"/>
              <w:tr2bl w:val="nil"/>
            </w:tcBorders>
            <w:noWrap w:val="0"/>
            <w:vAlign w:val="center"/>
          </w:tcPr>
          <w:p w14:paraId="53181103">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74.0</w:t>
            </w:r>
          </w:p>
        </w:tc>
        <w:tc>
          <w:tcPr>
            <w:tcW w:w="919" w:type="dxa"/>
            <w:tcBorders>
              <w:tl2br w:val="nil"/>
              <w:tr2bl w:val="nil"/>
            </w:tcBorders>
            <w:noWrap w:val="0"/>
            <w:vAlign w:val="center"/>
          </w:tcPr>
          <w:p w14:paraId="2C4A0CA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64.5</w:t>
            </w:r>
          </w:p>
        </w:tc>
        <w:tc>
          <w:tcPr>
            <w:tcW w:w="919" w:type="dxa"/>
            <w:tcBorders>
              <w:tl2br w:val="nil"/>
              <w:tr2bl w:val="nil"/>
            </w:tcBorders>
            <w:noWrap w:val="0"/>
            <w:vAlign w:val="center"/>
          </w:tcPr>
          <w:p w14:paraId="17839A97">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60.0</w:t>
            </w:r>
          </w:p>
        </w:tc>
        <w:tc>
          <w:tcPr>
            <w:tcW w:w="919" w:type="dxa"/>
            <w:tcBorders>
              <w:tl2br w:val="nil"/>
              <w:tr2bl w:val="nil"/>
            </w:tcBorders>
            <w:noWrap w:val="0"/>
            <w:vAlign w:val="center"/>
          </w:tcPr>
          <w:p w14:paraId="2DA69A6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58.4</w:t>
            </w:r>
          </w:p>
        </w:tc>
        <w:tc>
          <w:tcPr>
            <w:tcW w:w="919" w:type="dxa"/>
            <w:tcBorders>
              <w:tl2br w:val="nil"/>
              <w:tr2bl w:val="nil"/>
            </w:tcBorders>
            <w:noWrap w:val="0"/>
            <w:vAlign w:val="center"/>
          </w:tcPr>
          <w:p w14:paraId="7631091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54.0</w:t>
            </w:r>
          </w:p>
        </w:tc>
        <w:tc>
          <w:tcPr>
            <w:tcW w:w="951" w:type="dxa"/>
            <w:tcBorders>
              <w:tl2br w:val="nil"/>
              <w:tr2bl w:val="nil"/>
            </w:tcBorders>
            <w:noWrap w:val="0"/>
            <w:vAlign w:val="center"/>
          </w:tcPr>
          <w:p w14:paraId="78818E6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48.0</w:t>
            </w:r>
          </w:p>
        </w:tc>
      </w:tr>
      <w:tr w14:paraId="50D35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4EE88C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推土机</w:t>
            </w:r>
          </w:p>
        </w:tc>
        <w:tc>
          <w:tcPr>
            <w:tcW w:w="783" w:type="dxa"/>
            <w:tcBorders>
              <w:tl2br w:val="nil"/>
              <w:tr2bl w:val="nil"/>
            </w:tcBorders>
            <w:noWrap w:val="0"/>
            <w:vAlign w:val="center"/>
          </w:tcPr>
          <w:p w14:paraId="6F9FE2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88</w:t>
            </w:r>
          </w:p>
        </w:tc>
        <w:tc>
          <w:tcPr>
            <w:tcW w:w="802" w:type="dxa"/>
            <w:tcBorders>
              <w:tl2br w:val="nil"/>
              <w:tr2bl w:val="nil"/>
            </w:tcBorders>
            <w:noWrap w:val="0"/>
            <w:vAlign w:val="center"/>
          </w:tcPr>
          <w:p w14:paraId="3F6153F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74.0</w:t>
            </w:r>
          </w:p>
        </w:tc>
        <w:tc>
          <w:tcPr>
            <w:tcW w:w="919" w:type="dxa"/>
            <w:tcBorders>
              <w:tl2br w:val="nil"/>
              <w:tr2bl w:val="nil"/>
            </w:tcBorders>
            <w:noWrap w:val="0"/>
            <w:vAlign w:val="center"/>
          </w:tcPr>
          <w:p w14:paraId="3BA069C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68.0</w:t>
            </w:r>
          </w:p>
        </w:tc>
        <w:tc>
          <w:tcPr>
            <w:tcW w:w="919" w:type="dxa"/>
            <w:tcBorders>
              <w:tl2br w:val="nil"/>
              <w:tr2bl w:val="nil"/>
            </w:tcBorders>
            <w:noWrap w:val="0"/>
            <w:vAlign w:val="center"/>
          </w:tcPr>
          <w:p w14:paraId="0A84B81C">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58.5</w:t>
            </w:r>
          </w:p>
        </w:tc>
        <w:tc>
          <w:tcPr>
            <w:tcW w:w="919" w:type="dxa"/>
            <w:tcBorders>
              <w:tl2br w:val="nil"/>
              <w:tr2bl w:val="nil"/>
            </w:tcBorders>
            <w:noWrap w:val="0"/>
            <w:vAlign w:val="center"/>
          </w:tcPr>
          <w:p w14:paraId="186D4EB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54.0</w:t>
            </w:r>
          </w:p>
        </w:tc>
        <w:tc>
          <w:tcPr>
            <w:tcW w:w="919" w:type="dxa"/>
            <w:tcBorders>
              <w:tl2br w:val="nil"/>
              <w:tr2bl w:val="nil"/>
            </w:tcBorders>
            <w:noWrap w:val="0"/>
            <w:vAlign w:val="center"/>
          </w:tcPr>
          <w:p w14:paraId="14F641F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52.4</w:t>
            </w:r>
          </w:p>
        </w:tc>
        <w:tc>
          <w:tcPr>
            <w:tcW w:w="919" w:type="dxa"/>
            <w:tcBorders>
              <w:tl2br w:val="nil"/>
              <w:tr2bl w:val="nil"/>
            </w:tcBorders>
            <w:noWrap w:val="0"/>
            <w:vAlign w:val="center"/>
          </w:tcPr>
          <w:p w14:paraId="060D0167">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48.0</w:t>
            </w:r>
          </w:p>
        </w:tc>
        <w:tc>
          <w:tcPr>
            <w:tcW w:w="951" w:type="dxa"/>
            <w:tcBorders>
              <w:tl2br w:val="nil"/>
              <w:tr2bl w:val="nil"/>
            </w:tcBorders>
            <w:noWrap w:val="0"/>
            <w:vAlign w:val="center"/>
          </w:tcPr>
          <w:p w14:paraId="0F98785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42.0</w:t>
            </w:r>
          </w:p>
        </w:tc>
      </w:tr>
      <w:tr w14:paraId="5AD84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18642F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混凝土振捣器</w:t>
            </w:r>
          </w:p>
        </w:tc>
        <w:tc>
          <w:tcPr>
            <w:tcW w:w="783" w:type="dxa"/>
            <w:tcBorders>
              <w:tl2br w:val="nil"/>
              <w:tr2bl w:val="nil"/>
            </w:tcBorders>
            <w:noWrap w:val="0"/>
            <w:vAlign w:val="center"/>
          </w:tcPr>
          <w:p w14:paraId="054600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88</w:t>
            </w:r>
          </w:p>
        </w:tc>
        <w:tc>
          <w:tcPr>
            <w:tcW w:w="802" w:type="dxa"/>
            <w:tcBorders>
              <w:tl2br w:val="nil"/>
              <w:tr2bl w:val="nil"/>
            </w:tcBorders>
            <w:shd w:val="clear" w:color="auto" w:fill="auto"/>
            <w:noWrap w:val="0"/>
            <w:vAlign w:val="center"/>
          </w:tcPr>
          <w:p w14:paraId="44CC607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74.0</w:t>
            </w:r>
          </w:p>
        </w:tc>
        <w:tc>
          <w:tcPr>
            <w:tcW w:w="919" w:type="dxa"/>
            <w:tcBorders>
              <w:tl2br w:val="nil"/>
              <w:tr2bl w:val="nil"/>
            </w:tcBorders>
            <w:shd w:val="clear" w:color="auto" w:fill="auto"/>
            <w:noWrap w:val="0"/>
            <w:vAlign w:val="center"/>
          </w:tcPr>
          <w:p w14:paraId="2714D6E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68.0</w:t>
            </w:r>
          </w:p>
        </w:tc>
        <w:tc>
          <w:tcPr>
            <w:tcW w:w="919" w:type="dxa"/>
            <w:tcBorders>
              <w:tl2br w:val="nil"/>
              <w:tr2bl w:val="nil"/>
            </w:tcBorders>
            <w:shd w:val="clear" w:color="auto" w:fill="auto"/>
            <w:noWrap w:val="0"/>
            <w:vAlign w:val="center"/>
          </w:tcPr>
          <w:p w14:paraId="69C6ADB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58.5</w:t>
            </w:r>
          </w:p>
        </w:tc>
        <w:tc>
          <w:tcPr>
            <w:tcW w:w="919" w:type="dxa"/>
            <w:tcBorders>
              <w:tl2br w:val="nil"/>
              <w:tr2bl w:val="nil"/>
            </w:tcBorders>
            <w:shd w:val="clear" w:color="auto" w:fill="auto"/>
            <w:noWrap w:val="0"/>
            <w:vAlign w:val="center"/>
          </w:tcPr>
          <w:p w14:paraId="7E41BCC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54.0</w:t>
            </w:r>
          </w:p>
        </w:tc>
        <w:tc>
          <w:tcPr>
            <w:tcW w:w="919" w:type="dxa"/>
            <w:tcBorders>
              <w:tl2br w:val="nil"/>
              <w:tr2bl w:val="nil"/>
            </w:tcBorders>
            <w:shd w:val="clear" w:color="auto" w:fill="auto"/>
            <w:noWrap w:val="0"/>
            <w:vAlign w:val="center"/>
          </w:tcPr>
          <w:p w14:paraId="7295C6E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52.4</w:t>
            </w:r>
          </w:p>
        </w:tc>
        <w:tc>
          <w:tcPr>
            <w:tcW w:w="919" w:type="dxa"/>
            <w:tcBorders>
              <w:tl2br w:val="nil"/>
              <w:tr2bl w:val="nil"/>
            </w:tcBorders>
            <w:shd w:val="clear" w:color="auto" w:fill="auto"/>
            <w:noWrap w:val="0"/>
            <w:vAlign w:val="center"/>
          </w:tcPr>
          <w:p w14:paraId="18D0082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48.0</w:t>
            </w:r>
          </w:p>
        </w:tc>
        <w:tc>
          <w:tcPr>
            <w:tcW w:w="951" w:type="dxa"/>
            <w:tcBorders>
              <w:tl2br w:val="nil"/>
              <w:tr2bl w:val="nil"/>
            </w:tcBorders>
            <w:shd w:val="clear" w:color="auto" w:fill="auto"/>
            <w:noWrap w:val="0"/>
            <w:vAlign w:val="center"/>
          </w:tcPr>
          <w:p w14:paraId="4BD8FF1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42.0</w:t>
            </w:r>
          </w:p>
        </w:tc>
      </w:tr>
      <w:tr w14:paraId="45B79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29D428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搅拌桩机</w:t>
            </w:r>
          </w:p>
        </w:tc>
        <w:tc>
          <w:tcPr>
            <w:tcW w:w="783" w:type="dxa"/>
            <w:tcBorders>
              <w:tl2br w:val="nil"/>
              <w:tr2bl w:val="nil"/>
            </w:tcBorders>
            <w:noWrap w:val="0"/>
            <w:vAlign w:val="center"/>
          </w:tcPr>
          <w:p w14:paraId="289DC2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c>
          <w:tcPr>
            <w:tcW w:w="802" w:type="dxa"/>
            <w:tcBorders>
              <w:tl2br w:val="nil"/>
              <w:tr2bl w:val="nil"/>
            </w:tcBorders>
            <w:shd w:val="clear" w:color="auto" w:fill="auto"/>
            <w:noWrap w:val="0"/>
            <w:vAlign w:val="center"/>
          </w:tcPr>
          <w:p w14:paraId="3267A04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76.0</w:t>
            </w:r>
          </w:p>
        </w:tc>
        <w:tc>
          <w:tcPr>
            <w:tcW w:w="919" w:type="dxa"/>
            <w:tcBorders>
              <w:tl2br w:val="nil"/>
              <w:tr2bl w:val="nil"/>
            </w:tcBorders>
            <w:shd w:val="clear" w:color="auto" w:fill="auto"/>
            <w:noWrap w:val="0"/>
            <w:vAlign w:val="center"/>
          </w:tcPr>
          <w:p w14:paraId="0005C73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70.0</w:t>
            </w:r>
          </w:p>
        </w:tc>
        <w:tc>
          <w:tcPr>
            <w:tcW w:w="919" w:type="dxa"/>
            <w:tcBorders>
              <w:tl2br w:val="nil"/>
              <w:tr2bl w:val="nil"/>
            </w:tcBorders>
            <w:shd w:val="clear" w:color="auto" w:fill="auto"/>
            <w:noWrap w:val="0"/>
            <w:vAlign w:val="center"/>
          </w:tcPr>
          <w:p w14:paraId="3358556E">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60.5</w:t>
            </w:r>
          </w:p>
        </w:tc>
        <w:tc>
          <w:tcPr>
            <w:tcW w:w="919" w:type="dxa"/>
            <w:tcBorders>
              <w:tl2br w:val="nil"/>
              <w:tr2bl w:val="nil"/>
            </w:tcBorders>
            <w:shd w:val="clear" w:color="auto" w:fill="auto"/>
            <w:noWrap w:val="0"/>
            <w:vAlign w:val="center"/>
          </w:tcPr>
          <w:p w14:paraId="68E193F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56.0</w:t>
            </w:r>
          </w:p>
        </w:tc>
        <w:tc>
          <w:tcPr>
            <w:tcW w:w="919" w:type="dxa"/>
            <w:tcBorders>
              <w:tl2br w:val="nil"/>
              <w:tr2bl w:val="nil"/>
            </w:tcBorders>
            <w:shd w:val="clear" w:color="auto" w:fill="auto"/>
            <w:noWrap w:val="0"/>
            <w:vAlign w:val="center"/>
          </w:tcPr>
          <w:p w14:paraId="297DEBBC">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54.4</w:t>
            </w:r>
          </w:p>
        </w:tc>
        <w:tc>
          <w:tcPr>
            <w:tcW w:w="919" w:type="dxa"/>
            <w:tcBorders>
              <w:tl2br w:val="nil"/>
              <w:tr2bl w:val="nil"/>
            </w:tcBorders>
            <w:shd w:val="clear" w:color="auto" w:fill="auto"/>
            <w:noWrap w:val="0"/>
            <w:vAlign w:val="center"/>
          </w:tcPr>
          <w:p w14:paraId="7481520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50.0</w:t>
            </w:r>
          </w:p>
        </w:tc>
        <w:tc>
          <w:tcPr>
            <w:tcW w:w="951" w:type="dxa"/>
            <w:tcBorders>
              <w:tl2br w:val="nil"/>
              <w:tr2bl w:val="nil"/>
            </w:tcBorders>
            <w:shd w:val="clear" w:color="auto" w:fill="auto"/>
            <w:noWrap w:val="0"/>
            <w:vAlign w:val="center"/>
          </w:tcPr>
          <w:p w14:paraId="57D2F1F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44.0</w:t>
            </w:r>
          </w:p>
        </w:tc>
      </w:tr>
      <w:tr w14:paraId="7F3B5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051399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灰浆搅拌机</w:t>
            </w:r>
          </w:p>
        </w:tc>
        <w:tc>
          <w:tcPr>
            <w:tcW w:w="783" w:type="dxa"/>
            <w:tcBorders>
              <w:tl2br w:val="nil"/>
              <w:tr2bl w:val="nil"/>
            </w:tcBorders>
            <w:noWrap w:val="0"/>
            <w:vAlign w:val="center"/>
          </w:tcPr>
          <w:p w14:paraId="53C1FD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84</w:t>
            </w:r>
          </w:p>
        </w:tc>
        <w:tc>
          <w:tcPr>
            <w:tcW w:w="802" w:type="dxa"/>
            <w:tcBorders>
              <w:tl2br w:val="nil"/>
              <w:tr2bl w:val="nil"/>
            </w:tcBorders>
            <w:noWrap w:val="0"/>
            <w:vAlign w:val="center"/>
          </w:tcPr>
          <w:p w14:paraId="7AFF8751">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70.0</w:t>
            </w:r>
          </w:p>
        </w:tc>
        <w:tc>
          <w:tcPr>
            <w:tcW w:w="919" w:type="dxa"/>
            <w:tcBorders>
              <w:tl2br w:val="nil"/>
              <w:tr2bl w:val="nil"/>
            </w:tcBorders>
            <w:noWrap w:val="0"/>
            <w:vAlign w:val="center"/>
          </w:tcPr>
          <w:p w14:paraId="2B7C5F91">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64.0</w:t>
            </w:r>
          </w:p>
        </w:tc>
        <w:tc>
          <w:tcPr>
            <w:tcW w:w="919" w:type="dxa"/>
            <w:tcBorders>
              <w:tl2br w:val="nil"/>
              <w:tr2bl w:val="nil"/>
            </w:tcBorders>
            <w:noWrap w:val="0"/>
            <w:vAlign w:val="center"/>
          </w:tcPr>
          <w:p w14:paraId="1FCDC3C2">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54.5</w:t>
            </w:r>
          </w:p>
        </w:tc>
        <w:tc>
          <w:tcPr>
            <w:tcW w:w="919" w:type="dxa"/>
            <w:tcBorders>
              <w:tl2br w:val="nil"/>
              <w:tr2bl w:val="nil"/>
            </w:tcBorders>
            <w:noWrap w:val="0"/>
            <w:vAlign w:val="center"/>
          </w:tcPr>
          <w:p w14:paraId="30596C0C">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50.0</w:t>
            </w:r>
          </w:p>
        </w:tc>
        <w:tc>
          <w:tcPr>
            <w:tcW w:w="919" w:type="dxa"/>
            <w:tcBorders>
              <w:tl2br w:val="nil"/>
              <w:tr2bl w:val="nil"/>
            </w:tcBorders>
            <w:noWrap w:val="0"/>
            <w:vAlign w:val="center"/>
          </w:tcPr>
          <w:p w14:paraId="6CA9FA8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48.4</w:t>
            </w:r>
          </w:p>
        </w:tc>
        <w:tc>
          <w:tcPr>
            <w:tcW w:w="919" w:type="dxa"/>
            <w:tcBorders>
              <w:tl2br w:val="nil"/>
              <w:tr2bl w:val="nil"/>
            </w:tcBorders>
            <w:noWrap w:val="0"/>
            <w:vAlign w:val="center"/>
          </w:tcPr>
          <w:p w14:paraId="51FEA9A8">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44.0</w:t>
            </w:r>
          </w:p>
        </w:tc>
        <w:tc>
          <w:tcPr>
            <w:tcW w:w="951" w:type="dxa"/>
            <w:tcBorders>
              <w:tl2br w:val="nil"/>
              <w:tr2bl w:val="nil"/>
            </w:tcBorders>
            <w:noWrap w:val="0"/>
            <w:vAlign w:val="center"/>
          </w:tcPr>
          <w:p w14:paraId="6C72EF0E">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38.0</w:t>
            </w:r>
          </w:p>
        </w:tc>
      </w:tr>
      <w:tr w14:paraId="0D14A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1CBC3C3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灰浆泵</w:t>
            </w:r>
          </w:p>
        </w:tc>
        <w:tc>
          <w:tcPr>
            <w:tcW w:w="783" w:type="dxa"/>
            <w:tcBorders>
              <w:tl2br w:val="nil"/>
              <w:tr2bl w:val="nil"/>
            </w:tcBorders>
            <w:noWrap w:val="0"/>
            <w:vAlign w:val="center"/>
          </w:tcPr>
          <w:p w14:paraId="71217A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95</w:t>
            </w:r>
          </w:p>
        </w:tc>
        <w:tc>
          <w:tcPr>
            <w:tcW w:w="802" w:type="dxa"/>
            <w:tcBorders>
              <w:tl2br w:val="nil"/>
              <w:tr2bl w:val="nil"/>
            </w:tcBorders>
            <w:noWrap w:val="0"/>
            <w:vAlign w:val="center"/>
          </w:tcPr>
          <w:p w14:paraId="2B359983">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81.0</w:t>
            </w:r>
          </w:p>
        </w:tc>
        <w:tc>
          <w:tcPr>
            <w:tcW w:w="919" w:type="dxa"/>
            <w:tcBorders>
              <w:tl2br w:val="nil"/>
              <w:tr2bl w:val="nil"/>
            </w:tcBorders>
            <w:noWrap w:val="0"/>
            <w:vAlign w:val="center"/>
          </w:tcPr>
          <w:p w14:paraId="472E8FC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75.0</w:t>
            </w:r>
          </w:p>
        </w:tc>
        <w:tc>
          <w:tcPr>
            <w:tcW w:w="919" w:type="dxa"/>
            <w:tcBorders>
              <w:tl2br w:val="nil"/>
              <w:tr2bl w:val="nil"/>
            </w:tcBorders>
            <w:noWrap w:val="0"/>
            <w:vAlign w:val="center"/>
          </w:tcPr>
          <w:p w14:paraId="5E0EE30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65.5</w:t>
            </w:r>
          </w:p>
        </w:tc>
        <w:tc>
          <w:tcPr>
            <w:tcW w:w="919" w:type="dxa"/>
            <w:tcBorders>
              <w:tl2br w:val="nil"/>
              <w:tr2bl w:val="nil"/>
            </w:tcBorders>
            <w:noWrap w:val="0"/>
            <w:vAlign w:val="center"/>
          </w:tcPr>
          <w:p w14:paraId="6EB1A68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61.0</w:t>
            </w:r>
          </w:p>
        </w:tc>
        <w:tc>
          <w:tcPr>
            <w:tcW w:w="919" w:type="dxa"/>
            <w:tcBorders>
              <w:tl2br w:val="nil"/>
              <w:tr2bl w:val="nil"/>
            </w:tcBorders>
            <w:noWrap w:val="0"/>
            <w:vAlign w:val="center"/>
          </w:tcPr>
          <w:p w14:paraId="5FEE43F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59.4</w:t>
            </w:r>
          </w:p>
        </w:tc>
        <w:tc>
          <w:tcPr>
            <w:tcW w:w="919" w:type="dxa"/>
            <w:tcBorders>
              <w:tl2br w:val="nil"/>
              <w:tr2bl w:val="nil"/>
            </w:tcBorders>
            <w:noWrap w:val="0"/>
            <w:vAlign w:val="center"/>
          </w:tcPr>
          <w:p w14:paraId="65AD7EB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55.0</w:t>
            </w:r>
          </w:p>
        </w:tc>
        <w:tc>
          <w:tcPr>
            <w:tcW w:w="951" w:type="dxa"/>
            <w:tcBorders>
              <w:tl2br w:val="nil"/>
              <w:tr2bl w:val="nil"/>
            </w:tcBorders>
            <w:noWrap w:val="0"/>
            <w:vAlign w:val="center"/>
          </w:tcPr>
          <w:p w14:paraId="04E8E7C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49.0</w:t>
            </w:r>
          </w:p>
        </w:tc>
      </w:tr>
      <w:tr w14:paraId="72260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561E9E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灌浆泵</w:t>
            </w:r>
          </w:p>
        </w:tc>
        <w:tc>
          <w:tcPr>
            <w:tcW w:w="783" w:type="dxa"/>
            <w:tcBorders>
              <w:tl2br w:val="nil"/>
              <w:tr2bl w:val="nil"/>
            </w:tcBorders>
            <w:noWrap w:val="0"/>
            <w:vAlign w:val="center"/>
          </w:tcPr>
          <w:p w14:paraId="5831AA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89</w:t>
            </w:r>
          </w:p>
        </w:tc>
        <w:tc>
          <w:tcPr>
            <w:tcW w:w="802" w:type="dxa"/>
            <w:tcBorders>
              <w:tl2br w:val="nil"/>
              <w:tr2bl w:val="nil"/>
            </w:tcBorders>
            <w:noWrap w:val="0"/>
            <w:vAlign w:val="center"/>
          </w:tcPr>
          <w:p w14:paraId="622FF4D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75.0</w:t>
            </w:r>
          </w:p>
        </w:tc>
        <w:tc>
          <w:tcPr>
            <w:tcW w:w="919" w:type="dxa"/>
            <w:tcBorders>
              <w:tl2br w:val="nil"/>
              <w:tr2bl w:val="nil"/>
            </w:tcBorders>
            <w:noWrap w:val="0"/>
            <w:vAlign w:val="center"/>
          </w:tcPr>
          <w:p w14:paraId="73767959">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69.0</w:t>
            </w:r>
          </w:p>
        </w:tc>
        <w:tc>
          <w:tcPr>
            <w:tcW w:w="919" w:type="dxa"/>
            <w:tcBorders>
              <w:tl2br w:val="nil"/>
              <w:tr2bl w:val="nil"/>
            </w:tcBorders>
            <w:noWrap w:val="0"/>
            <w:vAlign w:val="center"/>
          </w:tcPr>
          <w:p w14:paraId="653B6FD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59.5</w:t>
            </w:r>
          </w:p>
        </w:tc>
        <w:tc>
          <w:tcPr>
            <w:tcW w:w="919" w:type="dxa"/>
            <w:tcBorders>
              <w:tl2br w:val="nil"/>
              <w:tr2bl w:val="nil"/>
            </w:tcBorders>
            <w:noWrap w:val="0"/>
            <w:vAlign w:val="center"/>
          </w:tcPr>
          <w:p w14:paraId="7C8716DD">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55.0</w:t>
            </w:r>
          </w:p>
        </w:tc>
        <w:tc>
          <w:tcPr>
            <w:tcW w:w="919" w:type="dxa"/>
            <w:tcBorders>
              <w:tl2br w:val="nil"/>
              <w:tr2bl w:val="nil"/>
            </w:tcBorders>
            <w:noWrap w:val="0"/>
            <w:vAlign w:val="center"/>
          </w:tcPr>
          <w:p w14:paraId="797AFFC4">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53.4</w:t>
            </w:r>
          </w:p>
        </w:tc>
        <w:tc>
          <w:tcPr>
            <w:tcW w:w="919" w:type="dxa"/>
            <w:tcBorders>
              <w:tl2br w:val="nil"/>
              <w:tr2bl w:val="nil"/>
            </w:tcBorders>
            <w:noWrap w:val="0"/>
            <w:vAlign w:val="center"/>
          </w:tcPr>
          <w:p w14:paraId="10856755">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49.0</w:t>
            </w:r>
          </w:p>
        </w:tc>
        <w:tc>
          <w:tcPr>
            <w:tcW w:w="951" w:type="dxa"/>
            <w:tcBorders>
              <w:tl2br w:val="nil"/>
              <w:tr2bl w:val="nil"/>
            </w:tcBorders>
            <w:noWrap w:val="0"/>
            <w:vAlign w:val="center"/>
          </w:tcPr>
          <w:p w14:paraId="387D7E4B">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43.0</w:t>
            </w:r>
          </w:p>
        </w:tc>
      </w:tr>
      <w:tr w14:paraId="181F2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11" w:type="dxa"/>
            <w:tcBorders>
              <w:tl2br w:val="nil"/>
              <w:tr2bl w:val="nil"/>
            </w:tcBorders>
            <w:noWrap w:val="0"/>
            <w:vAlign w:val="center"/>
          </w:tcPr>
          <w:p w14:paraId="00ACCD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地质钻机</w:t>
            </w:r>
          </w:p>
        </w:tc>
        <w:tc>
          <w:tcPr>
            <w:tcW w:w="783" w:type="dxa"/>
            <w:tcBorders>
              <w:tl2br w:val="nil"/>
              <w:tr2bl w:val="nil"/>
            </w:tcBorders>
            <w:noWrap w:val="0"/>
            <w:vAlign w:val="center"/>
          </w:tcPr>
          <w:p w14:paraId="18CB3D5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w:t>
            </w:r>
          </w:p>
        </w:tc>
        <w:tc>
          <w:tcPr>
            <w:tcW w:w="802" w:type="dxa"/>
            <w:tcBorders>
              <w:tl2br w:val="nil"/>
              <w:tr2bl w:val="nil"/>
            </w:tcBorders>
            <w:shd w:val="clear" w:color="auto" w:fill="auto"/>
            <w:noWrap w:val="0"/>
            <w:vAlign w:val="center"/>
          </w:tcPr>
          <w:p w14:paraId="56554BC0">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76.0</w:t>
            </w:r>
          </w:p>
        </w:tc>
        <w:tc>
          <w:tcPr>
            <w:tcW w:w="919" w:type="dxa"/>
            <w:tcBorders>
              <w:tl2br w:val="nil"/>
              <w:tr2bl w:val="nil"/>
            </w:tcBorders>
            <w:shd w:val="clear" w:color="auto" w:fill="auto"/>
            <w:noWrap w:val="0"/>
            <w:vAlign w:val="center"/>
          </w:tcPr>
          <w:p w14:paraId="105D8B3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70.0</w:t>
            </w:r>
          </w:p>
        </w:tc>
        <w:tc>
          <w:tcPr>
            <w:tcW w:w="919" w:type="dxa"/>
            <w:tcBorders>
              <w:tl2br w:val="nil"/>
              <w:tr2bl w:val="nil"/>
            </w:tcBorders>
            <w:shd w:val="clear" w:color="auto" w:fill="auto"/>
            <w:noWrap w:val="0"/>
            <w:vAlign w:val="center"/>
          </w:tcPr>
          <w:p w14:paraId="37EE5A9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60.5</w:t>
            </w:r>
          </w:p>
        </w:tc>
        <w:tc>
          <w:tcPr>
            <w:tcW w:w="919" w:type="dxa"/>
            <w:tcBorders>
              <w:tl2br w:val="nil"/>
              <w:tr2bl w:val="nil"/>
            </w:tcBorders>
            <w:shd w:val="clear" w:color="auto" w:fill="auto"/>
            <w:noWrap w:val="0"/>
            <w:vAlign w:val="center"/>
          </w:tcPr>
          <w:p w14:paraId="3A8BDFFA">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56.0</w:t>
            </w:r>
          </w:p>
        </w:tc>
        <w:tc>
          <w:tcPr>
            <w:tcW w:w="919" w:type="dxa"/>
            <w:tcBorders>
              <w:tl2br w:val="nil"/>
              <w:tr2bl w:val="nil"/>
            </w:tcBorders>
            <w:shd w:val="clear" w:color="auto" w:fill="auto"/>
            <w:noWrap w:val="0"/>
            <w:vAlign w:val="center"/>
          </w:tcPr>
          <w:p w14:paraId="3F5FAA46">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54.4</w:t>
            </w:r>
          </w:p>
        </w:tc>
        <w:tc>
          <w:tcPr>
            <w:tcW w:w="919" w:type="dxa"/>
            <w:tcBorders>
              <w:tl2br w:val="nil"/>
              <w:tr2bl w:val="nil"/>
            </w:tcBorders>
            <w:shd w:val="clear" w:color="auto" w:fill="auto"/>
            <w:noWrap w:val="0"/>
            <w:vAlign w:val="center"/>
          </w:tcPr>
          <w:p w14:paraId="1EE2842F">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50.0</w:t>
            </w:r>
          </w:p>
        </w:tc>
        <w:tc>
          <w:tcPr>
            <w:tcW w:w="951" w:type="dxa"/>
            <w:tcBorders>
              <w:tl2br w:val="nil"/>
              <w:tr2bl w:val="nil"/>
            </w:tcBorders>
            <w:shd w:val="clear" w:color="auto" w:fill="auto"/>
            <w:noWrap w:val="0"/>
            <w:vAlign w:val="center"/>
          </w:tcPr>
          <w:p w14:paraId="1BEDF3CE">
            <w:pPr>
              <w:keepNext w:val="0"/>
              <w:keepLines w:val="0"/>
              <w:pageBreakBefore w:val="0"/>
              <w:kinsoku/>
              <w:wordWrap/>
              <w:overflowPunct/>
              <w:topLinePunct w:val="0"/>
              <w:autoSpaceDE/>
              <w:autoSpaceDN/>
              <w:bidi w:val="0"/>
              <w:adjustRightInd/>
              <w:snapToGrid/>
              <w:spacing w:line="240" w:lineRule="auto"/>
              <w:ind w:left="0" w:right="0"/>
              <w:jc w:val="center"/>
              <w:rPr>
                <w:rFonts w:hint="default" w:ascii="Times New Roman" w:hAnsi="Times New Roman" w:eastAsia="Times New Roman" w:cs="Times New Roman"/>
                <w:color w:val="auto"/>
                <w:spacing w:val="0"/>
                <w:w w:val="100"/>
                <w:position w:val="0"/>
                <w:sz w:val="21"/>
                <w:szCs w:val="21"/>
                <w:u w:val="none" w:color="auto"/>
                <w:lang w:val="en-US" w:eastAsia="zh-CN"/>
              </w:rPr>
            </w:pPr>
            <w:r>
              <w:rPr>
                <w:rFonts w:hint="eastAsia" w:ascii="Times New Roman" w:hAnsi="Times New Roman" w:eastAsia="Times New Roman" w:cs="Times New Roman"/>
                <w:color w:val="auto"/>
                <w:spacing w:val="0"/>
                <w:w w:val="100"/>
                <w:position w:val="0"/>
                <w:sz w:val="21"/>
                <w:szCs w:val="21"/>
                <w:u w:val="none" w:color="auto"/>
                <w:lang w:val="en-US" w:eastAsia="zh-CN"/>
              </w:rPr>
              <w:t>44.0</w:t>
            </w:r>
          </w:p>
        </w:tc>
      </w:tr>
    </w:tbl>
    <w:p w14:paraId="0091F0DC">
      <w:pPr>
        <w:spacing w:before="36" w:line="359" w:lineRule="auto"/>
        <w:ind w:left="131" w:right="123" w:firstLine="48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由上表可知，施工期机械设备</w:t>
      </w:r>
      <w:r>
        <w:rPr>
          <w:rFonts w:hint="eastAsia" w:ascii="Times New Roman" w:hAnsi="Times New Roman" w:eastAsia="宋体" w:cs="Times New Roman"/>
          <w:color w:val="auto"/>
          <w:spacing w:val="0"/>
          <w:w w:val="100"/>
          <w:position w:val="0"/>
          <w:sz w:val="24"/>
          <w:szCs w:val="24"/>
          <w:u w:val="none" w:color="auto"/>
          <w:lang w:val="en-US" w:eastAsia="zh-CN"/>
        </w:rPr>
        <w:t>30</w:t>
      </w:r>
      <w:r>
        <w:rPr>
          <w:rFonts w:hint="default" w:ascii="Times New Roman" w:hAnsi="Times New Roman" w:eastAsia="宋体" w:cs="Times New Roman"/>
          <w:color w:val="auto"/>
          <w:spacing w:val="0"/>
          <w:w w:val="100"/>
          <w:position w:val="0"/>
          <w:sz w:val="24"/>
          <w:szCs w:val="24"/>
          <w:u w:val="none" w:color="auto"/>
        </w:rPr>
        <w:t>m外能满足《建筑施工场界环境噪声排放标准》(GB12523-2011）</w:t>
      </w:r>
      <w:r>
        <w:rPr>
          <w:rFonts w:hint="eastAsia" w:ascii="Times New Roman" w:hAnsi="Times New Roman" w:eastAsia="宋体" w:cs="Times New Roman"/>
          <w:color w:val="auto"/>
          <w:spacing w:val="0"/>
          <w:w w:val="100"/>
          <w:position w:val="0"/>
          <w:sz w:val="24"/>
          <w:szCs w:val="24"/>
          <w:u w:val="none" w:color="auto"/>
          <w:lang w:val="en-US" w:eastAsia="zh-CN"/>
        </w:rPr>
        <w:t>中</w:t>
      </w:r>
      <w:r>
        <w:rPr>
          <w:rFonts w:hint="default" w:ascii="Times New Roman" w:hAnsi="Times New Roman" w:eastAsia="宋体" w:cs="Times New Roman"/>
          <w:color w:val="auto"/>
          <w:spacing w:val="0"/>
          <w:w w:val="100"/>
          <w:position w:val="0"/>
          <w:sz w:val="24"/>
          <w:szCs w:val="24"/>
          <w:u w:val="none" w:color="auto"/>
        </w:rPr>
        <w:t>昼间70 dB(A)标准</w:t>
      </w:r>
      <w:r>
        <w:rPr>
          <w:rFonts w:hint="eastAsia" w:ascii="Times New Roman" w:hAnsi="Times New Roman" w:eastAsia="宋体" w:cs="Times New Roman"/>
          <w:color w:val="auto"/>
          <w:spacing w:val="0"/>
          <w:w w:val="100"/>
          <w:position w:val="0"/>
          <w:sz w:val="24"/>
          <w:szCs w:val="24"/>
          <w:u w:val="none" w:color="auto"/>
          <w:lang w:val="en-US" w:eastAsia="zh-CN"/>
        </w:rPr>
        <w:t>要求；</w:t>
      </w:r>
      <w:r>
        <w:rPr>
          <w:rFonts w:hint="default" w:ascii="Times New Roman" w:hAnsi="Times New Roman" w:eastAsia="宋体" w:cs="Times New Roman"/>
          <w:color w:val="auto"/>
          <w:spacing w:val="0"/>
          <w:w w:val="100"/>
          <w:position w:val="0"/>
          <w:sz w:val="24"/>
          <w:szCs w:val="24"/>
          <w:u w:val="none" w:color="auto"/>
        </w:rPr>
        <w:t>施工期所有机械设备</w:t>
      </w:r>
      <w:r>
        <w:rPr>
          <w:rFonts w:hint="eastAsia" w:ascii="Times New Roman" w:hAnsi="Times New Roman" w:eastAsia="宋体" w:cs="Times New Roman"/>
          <w:color w:val="auto"/>
          <w:spacing w:val="0"/>
          <w:w w:val="100"/>
          <w:position w:val="0"/>
          <w:sz w:val="24"/>
          <w:szCs w:val="24"/>
          <w:u w:val="none" w:color="auto"/>
          <w:lang w:val="en-US" w:eastAsia="zh-CN"/>
        </w:rPr>
        <w:t>10</w:t>
      </w:r>
      <w:r>
        <w:rPr>
          <w:rFonts w:hint="default" w:ascii="Times New Roman" w:hAnsi="Times New Roman" w:eastAsia="宋体" w:cs="Times New Roman"/>
          <w:color w:val="auto"/>
          <w:spacing w:val="0"/>
          <w:w w:val="100"/>
          <w:position w:val="0"/>
          <w:sz w:val="24"/>
          <w:szCs w:val="24"/>
          <w:u w:val="none" w:color="auto"/>
        </w:rPr>
        <w:t>0m外能满足夜间55dB(A)标准</w:t>
      </w:r>
      <w:r>
        <w:rPr>
          <w:rFonts w:hint="eastAsia" w:ascii="Times New Roman" w:hAnsi="Times New Roman" w:eastAsia="宋体" w:cs="Times New Roman"/>
          <w:color w:val="auto"/>
          <w:spacing w:val="0"/>
          <w:w w:val="100"/>
          <w:position w:val="0"/>
          <w:sz w:val="24"/>
          <w:szCs w:val="24"/>
          <w:u w:val="none" w:color="auto"/>
          <w:lang w:val="en-US" w:eastAsia="zh-CN"/>
        </w:rPr>
        <w:t>要求</w:t>
      </w:r>
      <w:r>
        <w:rPr>
          <w:rFonts w:hint="default" w:ascii="Times New Roman" w:hAnsi="Times New Roman" w:eastAsia="宋体" w:cs="Times New Roman"/>
          <w:color w:val="auto"/>
          <w:spacing w:val="0"/>
          <w:w w:val="100"/>
          <w:position w:val="0"/>
          <w:sz w:val="24"/>
          <w:szCs w:val="24"/>
          <w:u w:val="none" w:color="auto"/>
        </w:rPr>
        <w:t>。施工噪声对声环境质量的影响时间短暂，通过合理安排施工时间、选用低噪声施工设备</w:t>
      </w:r>
      <w:r>
        <w:rPr>
          <w:rFonts w:hint="eastAsia" w:ascii="Times New Roman" w:hAnsi="Times New Roman" w:eastAsia="宋体" w:cs="Times New Roman"/>
          <w:color w:val="auto"/>
          <w:spacing w:val="0"/>
          <w:w w:val="10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围挡隔声</w:t>
      </w:r>
      <w:r>
        <w:rPr>
          <w:rFonts w:hint="default" w:ascii="Times New Roman" w:hAnsi="Times New Roman" w:eastAsia="宋体" w:cs="Times New Roman"/>
          <w:color w:val="auto"/>
          <w:spacing w:val="0"/>
          <w:w w:val="100"/>
          <w:position w:val="0"/>
          <w:sz w:val="24"/>
          <w:szCs w:val="24"/>
          <w:u w:val="none" w:color="auto"/>
        </w:rPr>
        <w:t>等措施，</w:t>
      </w:r>
      <w:r>
        <w:rPr>
          <w:rFonts w:hint="eastAsia" w:ascii="Times New Roman" w:hAnsi="Times New Roman" w:eastAsia="宋体" w:cs="Times New Roman"/>
          <w:color w:val="auto"/>
          <w:spacing w:val="0"/>
          <w:w w:val="100"/>
          <w:position w:val="0"/>
          <w:sz w:val="24"/>
          <w:szCs w:val="24"/>
          <w:u w:val="none" w:color="auto"/>
          <w:lang w:val="en-US" w:eastAsia="zh-CN"/>
        </w:rPr>
        <w:t>同时通过距离衰减、</w:t>
      </w:r>
      <w:r>
        <w:rPr>
          <w:rFonts w:hint="default" w:ascii="Times New Roman" w:hAnsi="Times New Roman" w:eastAsia="宋体" w:cs="Times New Roman"/>
          <w:color w:val="auto"/>
          <w:spacing w:val="0"/>
          <w:w w:val="100"/>
          <w:position w:val="0"/>
          <w:sz w:val="24"/>
          <w:szCs w:val="24"/>
          <w:u w:val="none" w:color="auto"/>
        </w:rPr>
        <w:t>空气吸收、地形及建筑物阻挡、植被吸收、山体阻挡</w:t>
      </w:r>
      <w:r>
        <w:rPr>
          <w:rFonts w:hint="eastAsia" w:ascii="Times New Roman" w:hAnsi="Times New Roman" w:eastAsia="宋体" w:cs="Times New Roman"/>
          <w:color w:val="auto"/>
          <w:spacing w:val="0"/>
          <w:w w:val="100"/>
          <w:position w:val="0"/>
          <w:sz w:val="24"/>
          <w:szCs w:val="24"/>
          <w:u w:val="none" w:color="auto"/>
          <w:lang w:val="en-US" w:eastAsia="zh-CN"/>
        </w:rPr>
        <w:t>等影响因素</w:t>
      </w:r>
      <w:r>
        <w:rPr>
          <w:rFonts w:hint="default" w:ascii="Times New Roman" w:hAnsi="Times New Roman" w:eastAsia="宋体" w:cs="Times New Roman"/>
          <w:color w:val="auto"/>
          <w:spacing w:val="0"/>
          <w:w w:val="100"/>
          <w:position w:val="0"/>
          <w:sz w:val="24"/>
          <w:szCs w:val="24"/>
          <w:u w:val="none" w:color="auto"/>
        </w:rPr>
        <w:t>可</w:t>
      </w:r>
      <w:r>
        <w:rPr>
          <w:rFonts w:hint="eastAsia" w:ascii="Times New Roman" w:hAnsi="Times New Roman" w:eastAsia="宋体" w:cs="Times New Roman"/>
          <w:color w:val="auto"/>
          <w:spacing w:val="0"/>
          <w:w w:val="100"/>
          <w:position w:val="0"/>
          <w:sz w:val="24"/>
          <w:szCs w:val="24"/>
          <w:u w:val="none" w:color="auto"/>
          <w:lang w:val="en-US" w:eastAsia="zh-CN"/>
        </w:rPr>
        <w:t>进一步</w:t>
      </w:r>
      <w:r>
        <w:rPr>
          <w:rFonts w:hint="default" w:ascii="Times New Roman" w:hAnsi="Times New Roman" w:eastAsia="宋体" w:cs="Times New Roman"/>
          <w:color w:val="auto"/>
          <w:spacing w:val="0"/>
          <w:w w:val="100"/>
          <w:position w:val="0"/>
          <w:sz w:val="24"/>
          <w:szCs w:val="24"/>
          <w:u w:val="none" w:color="auto"/>
        </w:rPr>
        <w:t>降低噪声影响。拟建工程噪声影响随着施工期的结束而消失，施工期机械设备</w:t>
      </w:r>
      <w:r>
        <w:rPr>
          <w:rFonts w:hint="eastAsia" w:ascii="Times New Roman" w:hAnsi="Times New Roman" w:eastAsia="宋体" w:cs="Times New Roman"/>
          <w:color w:val="auto"/>
          <w:spacing w:val="0"/>
          <w:w w:val="100"/>
          <w:position w:val="0"/>
          <w:sz w:val="24"/>
          <w:szCs w:val="24"/>
          <w:u w:val="none" w:color="auto"/>
          <w:lang w:val="en-US" w:eastAsia="zh-CN"/>
        </w:rPr>
        <w:t>噪声对周边环境</w:t>
      </w:r>
      <w:r>
        <w:rPr>
          <w:rFonts w:hint="default" w:ascii="Times New Roman" w:hAnsi="Times New Roman" w:eastAsia="宋体" w:cs="Times New Roman"/>
          <w:color w:val="auto"/>
          <w:spacing w:val="0"/>
          <w:w w:val="100"/>
          <w:position w:val="0"/>
          <w:sz w:val="24"/>
          <w:szCs w:val="24"/>
          <w:u w:val="none" w:color="auto"/>
        </w:rPr>
        <w:t>影响较小。</w:t>
      </w:r>
    </w:p>
    <w:p w14:paraId="48EF221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施工单位应尽量避免使用一些高噪声设备。晚上严禁高噪声设备进行施工，以免影响周围的夜间声环境质量，若是工程需要必须在晚上施工，要上报当地生态环境主管部门批准同意后方可进行，并进行公告。建议建设单位应与施工单位签订环境管理责任书，具体落实方法措施，同时加强对施工人员的管理，增强环境意识，通过合理安排施工时间并采取相应的防治措施</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将对外环境影响降到最低。本工程施工期施工营地在进行物料堆放以及</w:t>
      </w:r>
      <w:r>
        <w:rPr>
          <w:rFonts w:hint="default" w:ascii="Times New Roman" w:hAnsi="Times New Roman" w:eastAsia="宋体" w:cs="Times New Roman"/>
          <w:color w:val="auto"/>
          <w:spacing w:val="0"/>
          <w:w w:val="100"/>
          <w:position w:val="0"/>
          <w:sz w:val="24"/>
          <w:szCs w:val="24"/>
          <w:u w:val="none" w:color="auto"/>
          <w:lang w:eastAsia="zh-CN"/>
        </w:rPr>
        <w:t>设备作业</w:t>
      </w:r>
      <w:r>
        <w:rPr>
          <w:rFonts w:hint="default" w:ascii="Times New Roman" w:hAnsi="Times New Roman" w:eastAsia="宋体" w:cs="Times New Roman"/>
          <w:color w:val="auto"/>
          <w:spacing w:val="0"/>
          <w:w w:val="100"/>
          <w:position w:val="0"/>
          <w:sz w:val="24"/>
          <w:szCs w:val="24"/>
          <w:u w:val="none" w:color="auto"/>
        </w:rPr>
        <w:t>时，四周须设置围挡，通过采用低噪声机械设备、合理安排施工时间和采取隔声等措施，使施工场地场界噪声满足</w:t>
      </w:r>
      <w:r>
        <w:rPr>
          <w:rFonts w:hint="default" w:ascii="Times New Roman" w:hAnsi="Times New Roman" w:eastAsia="Times New Roman" w:cs="Times New Roman"/>
          <w:color w:val="auto"/>
          <w:spacing w:val="0"/>
          <w:w w:val="100"/>
          <w:position w:val="0"/>
          <w:sz w:val="24"/>
          <w:szCs w:val="24"/>
          <w:u w:val="none" w:color="auto"/>
        </w:rPr>
        <w:t>GB12523-2011</w:t>
      </w:r>
      <w:r>
        <w:rPr>
          <w:rFonts w:hint="default" w:ascii="Times New Roman" w:hAnsi="Times New Roman" w:eastAsia="宋体" w:cs="Times New Roman"/>
          <w:color w:val="auto"/>
          <w:spacing w:val="0"/>
          <w:w w:val="100"/>
          <w:position w:val="0"/>
          <w:sz w:val="24"/>
          <w:szCs w:val="24"/>
          <w:u w:val="none" w:color="auto"/>
        </w:rPr>
        <w:t>《建筑施工场界环境噪声排放标准》的要求，以减轻噪声对周围环境的不利影响。</w:t>
      </w:r>
    </w:p>
    <w:p w14:paraId="2109E13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③</w:t>
      </w:r>
      <w:r>
        <w:rPr>
          <w:rFonts w:hint="eastAsia" w:ascii="Times New Roman" w:hAnsi="Times New Roman" w:eastAsia="宋体" w:cs="Times New Roman"/>
          <w:color w:val="auto"/>
          <w:spacing w:val="0"/>
          <w:w w:val="100"/>
          <w:position w:val="0"/>
          <w:sz w:val="24"/>
          <w:szCs w:val="24"/>
          <w:u w:val="none" w:color="auto"/>
          <w:lang w:val="en-US" w:eastAsia="zh-CN"/>
        </w:rPr>
        <w:t>对敏感点</w:t>
      </w:r>
      <w:r>
        <w:rPr>
          <w:rFonts w:hint="default" w:ascii="Times New Roman" w:hAnsi="Times New Roman" w:eastAsia="宋体" w:cs="Times New Roman"/>
          <w:color w:val="auto"/>
          <w:spacing w:val="0"/>
          <w:w w:val="100"/>
          <w:position w:val="0"/>
          <w:sz w:val="24"/>
          <w:szCs w:val="24"/>
          <w:u w:val="none" w:color="auto"/>
        </w:rPr>
        <w:t>影响分析</w:t>
      </w:r>
    </w:p>
    <w:p w14:paraId="49E1479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 xml:space="preserve">工程噪声影响预测范围与评价范围一致，即施工区域向外延伸 </w:t>
      </w:r>
      <w:r>
        <w:rPr>
          <w:rFonts w:hint="default" w:ascii="Times New Roman" w:hAnsi="Times New Roman" w:eastAsia="宋体" w:cs="Times New Roman"/>
          <w:color w:val="auto"/>
          <w:spacing w:val="0"/>
          <w:w w:val="100"/>
          <w:position w:val="0"/>
          <w:sz w:val="24"/>
          <w:szCs w:val="24"/>
          <w:u w:val="none" w:color="auto"/>
          <w:lang w:val="en-US" w:eastAsia="zh-CN"/>
        </w:rPr>
        <w:t>200m</w:t>
      </w:r>
      <w:r>
        <w:rPr>
          <w:rFonts w:hint="eastAsia" w:ascii="Times New Roman" w:hAnsi="Times New Roman" w:eastAsia="宋体" w:cs="Times New Roman"/>
          <w:color w:val="auto"/>
          <w:spacing w:val="0"/>
          <w:w w:val="100"/>
          <w:position w:val="0"/>
          <w:sz w:val="24"/>
          <w:szCs w:val="24"/>
          <w:u w:val="none" w:color="auto"/>
          <w:lang w:val="en-US" w:eastAsia="zh-CN"/>
        </w:rPr>
        <w:t>。预测方法选用《环境影响评价技术导则 声环境》（</w:t>
      </w:r>
      <w:r>
        <w:rPr>
          <w:rFonts w:hint="default" w:ascii="Times New Roman" w:hAnsi="Times New Roman" w:eastAsia="宋体" w:cs="Times New Roman"/>
          <w:color w:val="auto"/>
          <w:spacing w:val="0"/>
          <w:w w:val="100"/>
          <w:position w:val="0"/>
          <w:sz w:val="24"/>
          <w:szCs w:val="24"/>
          <w:u w:val="none" w:color="auto"/>
          <w:lang w:val="en-US" w:eastAsia="zh-CN"/>
        </w:rPr>
        <w:t>HJ2.4-2009</w:t>
      </w:r>
      <w:r>
        <w:rPr>
          <w:rFonts w:hint="eastAsia" w:ascii="Times New Roman" w:hAnsi="Times New Roman" w:eastAsia="宋体" w:cs="Times New Roman"/>
          <w:color w:val="auto"/>
          <w:spacing w:val="0"/>
          <w:w w:val="100"/>
          <w:position w:val="0"/>
          <w:sz w:val="24"/>
          <w:szCs w:val="24"/>
          <w:u w:val="none" w:color="auto"/>
          <w:lang w:val="en-US" w:eastAsia="zh-CN"/>
        </w:rPr>
        <w:t>）中的无指向性点声源几何发散衰减基本公式进行预测计算。项目夜间不进行建筑施工作业，但抢修、抢险施工作业，因生产工艺要求或者其他特殊需要必须连续施工作业的除外。本项目可能存在因混凝土连续浇筑需夜间施工的情况。经预测分析，本工程施工期噪声对敏感目标的预测分析结果见表4.2-5。</w:t>
      </w:r>
    </w:p>
    <w:p w14:paraId="47C61080">
      <w:pPr>
        <w:spacing w:before="68" w:line="212" w:lineRule="auto"/>
        <w:jc w:val="center"/>
        <w:rPr>
          <w:rFonts w:hint="default" w:ascii="Times New Roman" w:hAnsi="Times New Roman" w:cs="Times New Roman"/>
          <w:color w:val="auto"/>
          <w:spacing w:val="0"/>
          <w:w w:val="100"/>
          <w:position w:val="0"/>
          <w:sz w:val="2"/>
          <w:u w:val="none" w:color="auto"/>
        </w:rPr>
      </w:pPr>
      <w:r>
        <w:rPr>
          <w:rFonts w:hint="default" w:ascii="Times New Roman" w:hAnsi="Times New Roman" w:eastAsia="宋体" w:cs="Times New Roman"/>
          <w:b/>
          <w:bCs/>
          <w:color w:val="auto"/>
          <w:spacing w:val="0"/>
          <w:w w:val="100"/>
          <w:position w:val="0"/>
          <w:sz w:val="21"/>
          <w:szCs w:val="21"/>
          <w:u w:val="none" w:color="auto"/>
        </w:rPr>
        <w:t>表</w:t>
      </w:r>
      <w:r>
        <w:rPr>
          <w:rFonts w:hint="default" w:ascii="Times New Roman" w:hAnsi="Times New Roman" w:eastAsia="宋体" w:cs="Times New Roman"/>
          <w:b/>
          <w:bCs/>
          <w:color w:val="auto"/>
          <w:spacing w:val="0"/>
          <w:w w:val="100"/>
          <w:position w:val="0"/>
          <w:sz w:val="21"/>
          <w:szCs w:val="21"/>
          <w:u w:val="none" w:color="auto"/>
          <w:lang w:val="en-US" w:eastAsia="zh-CN"/>
        </w:rPr>
        <w:t>4.2-</w:t>
      </w:r>
      <w:r>
        <w:rPr>
          <w:rFonts w:hint="eastAsia" w:ascii="Times New Roman" w:hAnsi="Times New Roman" w:eastAsia="宋体" w:cs="Times New Roman"/>
          <w:b/>
          <w:bCs/>
          <w:color w:val="auto"/>
          <w:spacing w:val="0"/>
          <w:w w:val="100"/>
          <w:position w:val="0"/>
          <w:sz w:val="21"/>
          <w:szCs w:val="21"/>
          <w:u w:val="none" w:color="auto"/>
          <w:lang w:val="en-US" w:eastAsia="zh-CN"/>
        </w:rPr>
        <w:t>5</w:t>
      </w:r>
      <w:r>
        <w:rPr>
          <w:rFonts w:hint="default" w:ascii="Times New Roman" w:hAnsi="Times New Roman" w:eastAsia="Times New Roman" w:cs="Times New Roman"/>
          <w:b/>
          <w:bCs/>
          <w:color w:val="auto"/>
          <w:spacing w:val="0"/>
          <w:w w:val="100"/>
          <w:position w:val="0"/>
          <w:sz w:val="21"/>
          <w:szCs w:val="21"/>
          <w:u w:val="none" w:color="auto"/>
        </w:rPr>
        <w:t xml:space="preserve"> </w:t>
      </w:r>
      <w:r>
        <w:rPr>
          <w:rFonts w:hint="eastAsia" w:ascii="Times New Roman" w:hAnsi="Times New Roman" w:eastAsia="宋体" w:cs="Times New Roman"/>
          <w:b/>
          <w:bCs/>
          <w:color w:val="auto"/>
          <w:spacing w:val="0"/>
          <w:w w:val="100"/>
          <w:position w:val="0"/>
          <w:sz w:val="21"/>
          <w:szCs w:val="21"/>
          <w:u w:val="none" w:color="auto"/>
          <w:lang w:val="en-US" w:eastAsia="zh-CN"/>
        </w:rPr>
        <w:t xml:space="preserve"> 施工期</w:t>
      </w:r>
      <w:r>
        <w:rPr>
          <w:rFonts w:hint="default" w:ascii="Times New Roman" w:hAnsi="Times New Roman" w:eastAsia="宋体" w:cs="Times New Roman"/>
          <w:b/>
          <w:bCs/>
          <w:color w:val="auto"/>
          <w:spacing w:val="0"/>
          <w:w w:val="100"/>
          <w:position w:val="0"/>
          <w:sz w:val="21"/>
          <w:szCs w:val="21"/>
          <w:u w:val="none" w:color="auto"/>
        </w:rPr>
        <w:t>噪声</w:t>
      </w:r>
      <w:r>
        <w:rPr>
          <w:rFonts w:hint="eastAsia" w:ascii="Times New Roman" w:hAnsi="Times New Roman" w:eastAsia="宋体" w:cs="Times New Roman"/>
          <w:b/>
          <w:bCs/>
          <w:color w:val="auto"/>
          <w:spacing w:val="0"/>
          <w:w w:val="100"/>
          <w:position w:val="0"/>
          <w:sz w:val="21"/>
          <w:szCs w:val="21"/>
          <w:u w:val="none" w:color="auto"/>
          <w:lang w:val="en-US" w:eastAsia="zh-CN"/>
        </w:rPr>
        <w:t>对敏感目标</w:t>
      </w:r>
      <w:r>
        <w:rPr>
          <w:rFonts w:hint="default" w:ascii="Times New Roman" w:hAnsi="Times New Roman" w:eastAsia="宋体" w:cs="Times New Roman"/>
          <w:b/>
          <w:bCs/>
          <w:color w:val="auto"/>
          <w:spacing w:val="0"/>
          <w:w w:val="100"/>
          <w:position w:val="0"/>
          <w:sz w:val="21"/>
          <w:szCs w:val="21"/>
          <w:u w:val="none" w:color="auto"/>
        </w:rPr>
        <w:t>影响预测</w:t>
      </w:r>
      <w:r>
        <w:rPr>
          <w:rFonts w:hint="eastAsia" w:ascii="Times New Roman" w:hAnsi="Times New Roman" w:eastAsia="宋体" w:cs="Times New Roman"/>
          <w:b/>
          <w:bCs/>
          <w:color w:val="auto"/>
          <w:spacing w:val="0"/>
          <w:w w:val="100"/>
          <w:position w:val="0"/>
          <w:sz w:val="21"/>
          <w:szCs w:val="21"/>
          <w:u w:val="none" w:color="auto"/>
          <w:lang w:val="en-US" w:eastAsia="zh-CN"/>
        </w:rPr>
        <w:t>结果</w:t>
      </w:r>
      <w:r>
        <w:rPr>
          <w:rFonts w:hint="default" w:ascii="Times New Roman" w:hAnsi="Times New Roman" w:eastAsia="宋体" w:cs="Times New Roman"/>
          <w:b/>
          <w:bCs/>
          <w:color w:val="auto"/>
          <w:spacing w:val="0"/>
          <w:w w:val="100"/>
          <w:position w:val="0"/>
          <w:sz w:val="21"/>
          <w:szCs w:val="21"/>
          <w:u w:val="none" w:color="auto"/>
        </w:rPr>
        <w:t xml:space="preserve">   单位 </w:t>
      </w:r>
      <w:r>
        <w:rPr>
          <w:rFonts w:hint="default" w:ascii="Times New Roman" w:hAnsi="Times New Roman" w:eastAsia="Times New Roman" w:cs="Times New Roman"/>
          <w:b/>
          <w:bCs/>
          <w:color w:val="auto"/>
          <w:spacing w:val="0"/>
          <w:w w:val="100"/>
          <w:position w:val="0"/>
          <w:sz w:val="21"/>
          <w:szCs w:val="21"/>
          <w:u w:val="none" w:color="auto"/>
        </w:rPr>
        <w:t>dB(A)</w:t>
      </w:r>
    </w:p>
    <w:tbl>
      <w:tblPr>
        <w:tblStyle w:val="96"/>
        <w:tblW w:w="507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86"/>
        <w:gridCol w:w="812"/>
        <w:gridCol w:w="869"/>
        <w:gridCol w:w="788"/>
        <w:gridCol w:w="790"/>
        <w:gridCol w:w="649"/>
        <w:gridCol w:w="800"/>
        <w:gridCol w:w="652"/>
        <w:gridCol w:w="652"/>
        <w:gridCol w:w="638"/>
        <w:gridCol w:w="652"/>
        <w:gridCol w:w="658"/>
      </w:tblGrid>
      <w:tr w14:paraId="729E65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vMerge w:val="restart"/>
            <w:tcBorders>
              <w:tl2br w:val="nil"/>
              <w:tr2bl w:val="nil"/>
            </w:tcBorders>
            <w:noWrap w:val="0"/>
            <w:vAlign w:val="center"/>
          </w:tcPr>
          <w:p w14:paraId="1FDDC4C1">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序号</w:t>
            </w:r>
          </w:p>
        </w:tc>
        <w:tc>
          <w:tcPr>
            <w:tcW w:w="809" w:type="dxa"/>
            <w:vMerge w:val="restart"/>
            <w:tcBorders>
              <w:tl2br w:val="nil"/>
              <w:tr2bl w:val="nil"/>
            </w:tcBorders>
            <w:noWrap w:val="0"/>
            <w:vAlign w:val="center"/>
          </w:tcPr>
          <w:p w14:paraId="7C39D95F">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声环境保护目标</w:t>
            </w:r>
          </w:p>
        </w:tc>
        <w:tc>
          <w:tcPr>
            <w:tcW w:w="1651" w:type="dxa"/>
            <w:gridSpan w:val="2"/>
            <w:tcBorders>
              <w:tl2br w:val="nil"/>
              <w:tr2bl w:val="nil"/>
            </w:tcBorders>
            <w:noWrap w:val="0"/>
            <w:vAlign w:val="center"/>
          </w:tcPr>
          <w:p w14:paraId="158EF2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 xml:space="preserve">现状值 </w:t>
            </w:r>
          </w:p>
        </w:tc>
        <w:tc>
          <w:tcPr>
            <w:tcW w:w="1434" w:type="dxa"/>
            <w:gridSpan w:val="2"/>
            <w:tcBorders>
              <w:tl2br w:val="nil"/>
              <w:tr2bl w:val="nil"/>
            </w:tcBorders>
            <w:noWrap w:val="0"/>
            <w:vAlign w:val="center"/>
          </w:tcPr>
          <w:p w14:paraId="081E6D3B">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贡献值</w:t>
            </w:r>
          </w:p>
        </w:tc>
        <w:tc>
          <w:tcPr>
            <w:tcW w:w="1447" w:type="dxa"/>
            <w:gridSpan w:val="2"/>
            <w:tcBorders>
              <w:tl2br w:val="nil"/>
              <w:tr2bl w:val="nil"/>
            </w:tcBorders>
            <w:noWrap w:val="0"/>
            <w:vAlign w:val="center"/>
          </w:tcPr>
          <w:p w14:paraId="03CF945D">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预测值</w:t>
            </w:r>
          </w:p>
        </w:tc>
        <w:tc>
          <w:tcPr>
            <w:tcW w:w="1286" w:type="dxa"/>
            <w:gridSpan w:val="2"/>
            <w:tcBorders>
              <w:tl2br w:val="nil"/>
              <w:tr2bl w:val="nil"/>
            </w:tcBorders>
            <w:noWrap w:val="0"/>
            <w:vAlign w:val="center"/>
          </w:tcPr>
          <w:p w14:paraId="4352B4DE">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变化值</w:t>
            </w:r>
          </w:p>
        </w:tc>
        <w:tc>
          <w:tcPr>
            <w:tcW w:w="1306" w:type="dxa"/>
            <w:gridSpan w:val="2"/>
            <w:tcBorders>
              <w:tl2br w:val="nil"/>
              <w:tr2bl w:val="nil"/>
            </w:tcBorders>
            <w:noWrap w:val="0"/>
            <w:vAlign w:val="center"/>
          </w:tcPr>
          <w:p w14:paraId="3D55AE25">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超、达标情况</w:t>
            </w:r>
          </w:p>
        </w:tc>
      </w:tr>
      <w:tr w14:paraId="3839B5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vMerge w:val="continue"/>
            <w:tcBorders>
              <w:tl2br w:val="nil"/>
              <w:tr2bl w:val="nil"/>
            </w:tcBorders>
            <w:noWrap w:val="0"/>
            <w:vAlign w:val="center"/>
          </w:tcPr>
          <w:p w14:paraId="08A65DDC">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p>
        </w:tc>
        <w:tc>
          <w:tcPr>
            <w:tcW w:w="809" w:type="dxa"/>
            <w:vMerge w:val="continue"/>
            <w:tcBorders>
              <w:tl2br w:val="nil"/>
              <w:tr2bl w:val="nil"/>
            </w:tcBorders>
            <w:noWrap w:val="0"/>
            <w:vAlign w:val="center"/>
          </w:tcPr>
          <w:p w14:paraId="05D0EBD3">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p>
        </w:tc>
        <w:tc>
          <w:tcPr>
            <w:tcW w:w="866" w:type="dxa"/>
            <w:tcBorders>
              <w:tl2br w:val="nil"/>
              <w:tr2bl w:val="nil"/>
            </w:tcBorders>
            <w:noWrap w:val="0"/>
            <w:vAlign w:val="center"/>
          </w:tcPr>
          <w:p w14:paraId="3C9CA6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昼间</w:t>
            </w:r>
          </w:p>
        </w:tc>
        <w:tc>
          <w:tcPr>
            <w:tcW w:w="785" w:type="dxa"/>
            <w:tcBorders>
              <w:tl2br w:val="nil"/>
              <w:tr2bl w:val="nil"/>
            </w:tcBorders>
            <w:noWrap w:val="0"/>
            <w:vAlign w:val="center"/>
          </w:tcPr>
          <w:p w14:paraId="21B933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夜间</w:t>
            </w:r>
          </w:p>
        </w:tc>
        <w:tc>
          <w:tcPr>
            <w:tcW w:w="787" w:type="dxa"/>
            <w:tcBorders>
              <w:tl2br w:val="nil"/>
              <w:tr2bl w:val="nil"/>
            </w:tcBorders>
            <w:noWrap w:val="0"/>
            <w:vAlign w:val="center"/>
          </w:tcPr>
          <w:p w14:paraId="2C8CD3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昼间</w:t>
            </w:r>
          </w:p>
        </w:tc>
        <w:tc>
          <w:tcPr>
            <w:tcW w:w="647" w:type="dxa"/>
            <w:tcBorders>
              <w:tl2br w:val="nil"/>
              <w:tr2bl w:val="nil"/>
            </w:tcBorders>
            <w:noWrap w:val="0"/>
            <w:vAlign w:val="center"/>
          </w:tcPr>
          <w:p w14:paraId="555A7E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夜间</w:t>
            </w:r>
          </w:p>
        </w:tc>
        <w:tc>
          <w:tcPr>
            <w:tcW w:w="797" w:type="dxa"/>
            <w:tcBorders>
              <w:tl2br w:val="nil"/>
              <w:tr2bl w:val="nil"/>
            </w:tcBorders>
            <w:noWrap w:val="0"/>
            <w:vAlign w:val="center"/>
          </w:tcPr>
          <w:p w14:paraId="195409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昼间</w:t>
            </w:r>
          </w:p>
        </w:tc>
        <w:tc>
          <w:tcPr>
            <w:tcW w:w="650" w:type="dxa"/>
            <w:tcBorders>
              <w:tl2br w:val="nil"/>
              <w:tr2bl w:val="nil"/>
            </w:tcBorders>
            <w:noWrap w:val="0"/>
            <w:vAlign w:val="center"/>
          </w:tcPr>
          <w:p w14:paraId="31410D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夜间</w:t>
            </w:r>
          </w:p>
        </w:tc>
        <w:tc>
          <w:tcPr>
            <w:tcW w:w="650" w:type="dxa"/>
            <w:tcBorders>
              <w:tl2br w:val="nil"/>
              <w:tr2bl w:val="nil"/>
            </w:tcBorders>
            <w:noWrap w:val="0"/>
            <w:vAlign w:val="center"/>
          </w:tcPr>
          <w:p w14:paraId="7F37E7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昼间</w:t>
            </w:r>
          </w:p>
        </w:tc>
        <w:tc>
          <w:tcPr>
            <w:tcW w:w="636" w:type="dxa"/>
            <w:tcBorders>
              <w:tl2br w:val="nil"/>
              <w:tr2bl w:val="nil"/>
            </w:tcBorders>
            <w:noWrap w:val="0"/>
            <w:vAlign w:val="center"/>
          </w:tcPr>
          <w:p w14:paraId="7436D1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夜间</w:t>
            </w:r>
          </w:p>
        </w:tc>
        <w:tc>
          <w:tcPr>
            <w:tcW w:w="650" w:type="dxa"/>
            <w:tcBorders>
              <w:tl2br w:val="nil"/>
              <w:tr2bl w:val="nil"/>
            </w:tcBorders>
            <w:noWrap w:val="0"/>
            <w:vAlign w:val="center"/>
          </w:tcPr>
          <w:p w14:paraId="7618AB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昼间</w:t>
            </w:r>
          </w:p>
        </w:tc>
        <w:tc>
          <w:tcPr>
            <w:tcW w:w="656" w:type="dxa"/>
            <w:tcBorders>
              <w:tl2br w:val="nil"/>
              <w:tr2bl w:val="nil"/>
            </w:tcBorders>
            <w:noWrap w:val="0"/>
            <w:vAlign w:val="center"/>
          </w:tcPr>
          <w:p w14:paraId="674F3A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夜间</w:t>
            </w:r>
          </w:p>
        </w:tc>
      </w:tr>
      <w:tr w14:paraId="571FA8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276553D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1</w:t>
            </w:r>
          </w:p>
        </w:tc>
        <w:tc>
          <w:tcPr>
            <w:tcW w:w="809" w:type="dxa"/>
            <w:tcBorders>
              <w:tl2br w:val="nil"/>
              <w:tr2bl w:val="nil"/>
            </w:tcBorders>
            <w:noWrap w:val="0"/>
            <w:vAlign w:val="center"/>
          </w:tcPr>
          <w:p w14:paraId="2D97BA5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刘家湾</w:t>
            </w:r>
          </w:p>
        </w:tc>
        <w:tc>
          <w:tcPr>
            <w:tcW w:w="866" w:type="dxa"/>
            <w:tcBorders>
              <w:tl2br w:val="nil"/>
              <w:tr2bl w:val="nil"/>
            </w:tcBorders>
            <w:noWrap w:val="0"/>
            <w:vAlign w:val="center"/>
          </w:tcPr>
          <w:p w14:paraId="265CB9AC">
            <w:pPr>
              <w:jc w:val="center"/>
              <w:rPr>
                <w:rFonts w:hint="default"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43.0</w:t>
            </w:r>
          </w:p>
        </w:tc>
        <w:tc>
          <w:tcPr>
            <w:tcW w:w="785" w:type="dxa"/>
            <w:tcBorders>
              <w:tl2br w:val="nil"/>
              <w:tr2bl w:val="nil"/>
            </w:tcBorders>
            <w:noWrap w:val="0"/>
            <w:vAlign w:val="center"/>
          </w:tcPr>
          <w:p w14:paraId="745B3182">
            <w:pPr>
              <w:jc w:val="center"/>
              <w:rPr>
                <w:rFonts w:hint="default"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c>
          <w:tcPr>
            <w:tcW w:w="787" w:type="dxa"/>
            <w:tcBorders>
              <w:tl2br w:val="nil"/>
              <w:tr2bl w:val="nil"/>
            </w:tcBorders>
            <w:shd w:val="clear" w:color="auto" w:fill="auto"/>
            <w:noWrap w:val="0"/>
            <w:vAlign w:val="center"/>
          </w:tcPr>
          <w:p w14:paraId="6E1FBE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44.2</w:t>
            </w:r>
          </w:p>
        </w:tc>
        <w:tc>
          <w:tcPr>
            <w:tcW w:w="647" w:type="dxa"/>
            <w:tcBorders>
              <w:tl2br w:val="nil"/>
              <w:tr2bl w:val="nil"/>
            </w:tcBorders>
            <w:shd w:val="clear" w:color="auto" w:fill="auto"/>
            <w:noWrap w:val="0"/>
            <w:vAlign w:val="center"/>
          </w:tcPr>
          <w:p w14:paraId="6E32CE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20.8</w:t>
            </w:r>
          </w:p>
        </w:tc>
        <w:tc>
          <w:tcPr>
            <w:tcW w:w="797" w:type="dxa"/>
            <w:tcBorders>
              <w:tl2br w:val="nil"/>
              <w:tr2bl w:val="nil"/>
            </w:tcBorders>
            <w:noWrap w:val="0"/>
            <w:vAlign w:val="bottom"/>
          </w:tcPr>
          <w:p w14:paraId="4870E3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46.7 </w:t>
            </w:r>
          </w:p>
        </w:tc>
        <w:tc>
          <w:tcPr>
            <w:tcW w:w="650" w:type="dxa"/>
            <w:tcBorders>
              <w:tl2br w:val="nil"/>
              <w:tr2bl w:val="nil"/>
            </w:tcBorders>
            <w:noWrap w:val="0"/>
            <w:vAlign w:val="bottom"/>
          </w:tcPr>
          <w:p w14:paraId="29F74B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39.2 </w:t>
            </w:r>
          </w:p>
        </w:tc>
        <w:tc>
          <w:tcPr>
            <w:tcW w:w="650" w:type="dxa"/>
            <w:tcBorders>
              <w:tl2br w:val="nil"/>
              <w:tr2bl w:val="nil"/>
            </w:tcBorders>
            <w:noWrap w:val="0"/>
            <w:vAlign w:val="bottom"/>
          </w:tcPr>
          <w:p w14:paraId="1622DC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3.7 </w:t>
            </w:r>
          </w:p>
        </w:tc>
        <w:tc>
          <w:tcPr>
            <w:tcW w:w="636" w:type="dxa"/>
            <w:tcBorders>
              <w:tl2br w:val="nil"/>
              <w:tr2bl w:val="nil"/>
            </w:tcBorders>
            <w:noWrap w:val="0"/>
            <w:vAlign w:val="center"/>
          </w:tcPr>
          <w:p w14:paraId="05CBF3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0.1 </w:t>
            </w:r>
          </w:p>
        </w:tc>
        <w:tc>
          <w:tcPr>
            <w:tcW w:w="650" w:type="dxa"/>
            <w:tcBorders>
              <w:tl2br w:val="nil"/>
              <w:tr2bl w:val="nil"/>
            </w:tcBorders>
            <w:noWrap w:val="0"/>
            <w:vAlign w:val="center"/>
          </w:tcPr>
          <w:p w14:paraId="459B5092">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571AFEE4">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743734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44BFA47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2</w:t>
            </w:r>
          </w:p>
        </w:tc>
        <w:tc>
          <w:tcPr>
            <w:tcW w:w="809" w:type="dxa"/>
            <w:tcBorders>
              <w:tl2br w:val="nil"/>
              <w:tr2bl w:val="nil"/>
            </w:tcBorders>
            <w:noWrap w:val="0"/>
            <w:vAlign w:val="center"/>
          </w:tcPr>
          <w:p w14:paraId="525F0F5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老虎尾</w:t>
            </w:r>
          </w:p>
        </w:tc>
        <w:tc>
          <w:tcPr>
            <w:tcW w:w="866" w:type="dxa"/>
            <w:tcBorders>
              <w:tl2br w:val="nil"/>
              <w:tr2bl w:val="nil"/>
            </w:tcBorders>
            <w:noWrap w:val="0"/>
            <w:vAlign w:val="center"/>
          </w:tcPr>
          <w:p w14:paraId="18C468A8">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46.3</w:t>
            </w:r>
          </w:p>
        </w:tc>
        <w:tc>
          <w:tcPr>
            <w:tcW w:w="785" w:type="dxa"/>
            <w:tcBorders>
              <w:tl2br w:val="nil"/>
              <w:tr2bl w:val="nil"/>
            </w:tcBorders>
            <w:noWrap w:val="0"/>
            <w:vAlign w:val="center"/>
          </w:tcPr>
          <w:p w14:paraId="68C3EBC5">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36.6</w:t>
            </w:r>
          </w:p>
        </w:tc>
        <w:tc>
          <w:tcPr>
            <w:tcW w:w="787" w:type="dxa"/>
            <w:tcBorders>
              <w:tl2br w:val="nil"/>
              <w:tr2bl w:val="nil"/>
            </w:tcBorders>
            <w:noWrap w:val="0"/>
            <w:vAlign w:val="center"/>
          </w:tcPr>
          <w:p w14:paraId="2C37C574">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49.6</w:t>
            </w:r>
          </w:p>
        </w:tc>
        <w:tc>
          <w:tcPr>
            <w:tcW w:w="647" w:type="dxa"/>
            <w:tcBorders>
              <w:tl2br w:val="nil"/>
              <w:tr2bl w:val="nil"/>
            </w:tcBorders>
            <w:noWrap w:val="0"/>
            <w:vAlign w:val="center"/>
          </w:tcPr>
          <w:p w14:paraId="6AC3F066">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23.1</w:t>
            </w:r>
          </w:p>
        </w:tc>
        <w:tc>
          <w:tcPr>
            <w:tcW w:w="797" w:type="dxa"/>
            <w:tcBorders>
              <w:tl2br w:val="nil"/>
              <w:tr2bl w:val="nil"/>
            </w:tcBorders>
            <w:noWrap w:val="0"/>
            <w:vAlign w:val="bottom"/>
          </w:tcPr>
          <w:p w14:paraId="387ED5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51.3 </w:t>
            </w:r>
          </w:p>
        </w:tc>
        <w:tc>
          <w:tcPr>
            <w:tcW w:w="650" w:type="dxa"/>
            <w:tcBorders>
              <w:tl2br w:val="nil"/>
              <w:tr2bl w:val="nil"/>
            </w:tcBorders>
            <w:noWrap w:val="0"/>
            <w:vAlign w:val="bottom"/>
          </w:tcPr>
          <w:p w14:paraId="3CE131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36.8 </w:t>
            </w:r>
          </w:p>
        </w:tc>
        <w:tc>
          <w:tcPr>
            <w:tcW w:w="650" w:type="dxa"/>
            <w:tcBorders>
              <w:tl2br w:val="nil"/>
              <w:tr2bl w:val="nil"/>
            </w:tcBorders>
            <w:noWrap w:val="0"/>
            <w:vAlign w:val="bottom"/>
          </w:tcPr>
          <w:p w14:paraId="1B0E2F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5.0 </w:t>
            </w:r>
          </w:p>
        </w:tc>
        <w:tc>
          <w:tcPr>
            <w:tcW w:w="636" w:type="dxa"/>
            <w:tcBorders>
              <w:tl2br w:val="nil"/>
              <w:tr2bl w:val="nil"/>
            </w:tcBorders>
            <w:noWrap w:val="0"/>
            <w:vAlign w:val="center"/>
          </w:tcPr>
          <w:p w14:paraId="48ED9B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0.2 </w:t>
            </w:r>
          </w:p>
        </w:tc>
        <w:tc>
          <w:tcPr>
            <w:tcW w:w="650" w:type="dxa"/>
            <w:tcBorders>
              <w:tl2br w:val="nil"/>
              <w:tr2bl w:val="nil"/>
            </w:tcBorders>
            <w:noWrap w:val="0"/>
            <w:vAlign w:val="center"/>
          </w:tcPr>
          <w:p w14:paraId="630DC155">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1BC46573">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05E43E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053AB5E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3</w:t>
            </w:r>
          </w:p>
        </w:tc>
        <w:tc>
          <w:tcPr>
            <w:tcW w:w="809" w:type="dxa"/>
            <w:tcBorders>
              <w:tl2br w:val="nil"/>
              <w:tr2bl w:val="nil"/>
            </w:tcBorders>
            <w:noWrap w:val="0"/>
            <w:vAlign w:val="center"/>
          </w:tcPr>
          <w:p w14:paraId="5847753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龙狮窖</w:t>
            </w:r>
          </w:p>
        </w:tc>
        <w:tc>
          <w:tcPr>
            <w:tcW w:w="866" w:type="dxa"/>
            <w:tcBorders>
              <w:tl2br w:val="nil"/>
              <w:tr2bl w:val="nil"/>
            </w:tcBorders>
            <w:noWrap w:val="0"/>
            <w:vAlign w:val="center"/>
          </w:tcPr>
          <w:p w14:paraId="2FC3F1FE">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46.2</w:t>
            </w:r>
          </w:p>
        </w:tc>
        <w:tc>
          <w:tcPr>
            <w:tcW w:w="785" w:type="dxa"/>
            <w:tcBorders>
              <w:tl2br w:val="nil"/>
              <w:tr2bl w:val="nil"/>
            </w:tcBorders>
            <w:noWrap w:val="0"/>
            <w:vAlign w:val="center"/>
          </w:tcPr>
          <w:p w14:paraId="1A2C241A">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38.8</w:t>
            </w:r>
          </w:p>
        </w:tc>
        <w:tc>
          <w:tcPr>
            <w:tcW w:w="787" w:type="dxa"/>
            <w:tcBorders>
              <w:tl2br w:val="nil"/>
              <w:tr2bl w:val="nil"/>
            </w:tcBorders>
            <w:noWrap w:val="0"/>
            <w:vAlign w:val="center"/>
          </w:tcPr>
          <w:p w14:paraId="5615A365">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51.7</w:t>
            </w:r>
          </w:p>
        </w:tc>
        <w:tc>
          <w:tcPr>
            <w:tcW w:w="647" w:type="dxa"/>
            <w:tcBorders>
              <w:tl2br w:val="nil"/>
              <w:tr2bl w:val="nil"/>
            </w:tcBorders>
            <w:noWrap w:val="0"/>
            <w:vAlign w:val="center"/>
          </w:tcPr>
          <w:p w14:paraId="1B949650">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26.3</w:t>
            </w:r>
          </w:p>
        </w:tc>
        <w:tc>
          <w:tcPr>
            <w:tcW w:w="797" w:type="dxa"/>
            <w:tcBorders>
              <w:tl2br w:val="nil"/>
              <w:tr2bl w:val="nil"/>
            </w:tcBorders>
            <w:noWrap w:val="0"/>
            <w:vAlign w:val="bottom"/>
          </w:tcPr>
          <w:p w14:paraId="70A2FD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52.8 </w:t>
            </w:r>
          </w:p>
        </w:tc>
        <w:tc>
          <w:tcPr>
            <w:tcW w:w="650" w:type="dxa"/>
            <w:tcBorders>
              <w:tl2br w:val="nil"/>
              <w:tr2bl w:val="nil"/>
            </w:tcBorders>
            <w:noWrap w:val="0"/>
            <w:vAlign w:val="bottom"/>
          </w:tcPr>
          <w:p w14:paraId="0436AF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39.0 </w:t>
            </w:r>
          </w:p>
        </w:tc>
        <w:tc>
          <w:tcPr>
            <w:tcW w:w="650" w:type="dxa"/>
            <w:tcBorders>
              <w:tl2br w:val="nil"/>
              <w:tr2bl w:val="nil"/>
            </w:tcBorders>
            <w:noWrap w:val="0"/>
            <w:vAlign w:val="bottom"/>
          </w:tcPr>
          <w:p w14:paraId="47C50C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6.6 </w:t>
            </w:r>
          </w:p>
        </w:tc>
        <w:tc>
          <w:tcPr>
            <w:tcW w:w="636" w:type="dxa"/>
            <w:tcBorders>
              <w:tl2br w:val="nil"/>
              <w:tr2bl w:val="nil"/>
            </w:tcBorders>
            <w:noWrap w:val="0"/>
            <w:vAlign w:val="center"/>
          </w:tcPr>
          <w:p w14:paraId="70F13C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0.2 </w:t>
            </w:r>
          </w:p>
        </w:tc>
        <w:tc>
          <w:tcPr>
            <w:tcW w:w="650" w:type="dxa"/>
            <w:tcBorders>
              <w:tl2br w:val="nil"/>
              <w:tr2bl w:val="nil"/>
            </w:tcBorders>
            <w:noWrap w:val="0"/>
            <w:vAlign w:val="center"/>
          </w:tcPr>
          <w:p w14:paraId="10EFF2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3E7C56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3ADE27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14A0468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4</w:t>
            </w:r>
          </w:p>
        </w:tc>
        <w:tc>
          <w:tcPr>
            <w:tcW w:w="809" w:type="dxa"/>
            <w:tcBorders>
              <w:tl2br w:val="nil"/>
              <w:tr2bl w:val="nil"/>
            </w:tcBorders>
            <w:noWrap w:val="0"/>
            <w:vAlign w:val="center"/>
          </w:tcPr>
          <w:p w14:paraId="44EB6E6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风波岭</w:t>
            </w:r>
          </w:p>
        </w:tc>
        <w:tc>
          <w:tcPr>
            <w:tcW w:w="866" w:type="dxa"/>
            <w:tcBorders>
              <w:tl2br w:val="nil"/>
              <w:tr2bl w:val="nil"/>
            </w:tcBorders>
            <w:noWrap w:val="0"/>
            <w:vAlign w:val="center"/>
          </w:tcPr>
          <w:p w14:paraId="5118F428">
            <w:pPr>
              <w:jc w:val="center"/>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45.6</w:t>
            </w:r>
          </w:p>
        </w:tc>
        <w:tc>
          <w:tcPr>
            <w:tcW w:w="785" w:type="dxa"/>
            <w:tcBorders>
              <w:tl2br w:val="nil"/>
              <w:tr2bl w:val="nil"/>
            </w:tcBorders>
            <w:noWrap w:val="0"/>
            <w:vAlign w:val="center"/>
          </w:tcPr>
          <w:p w14:paraId="65BD9CD5">
            <w:pPr>
              <w:jc w:val="center"/>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39.1</w:t>
            </w:r>
          </w:p>
        </w:tc>
        <w:tc>
          <w:tcPr>
            <w:tcW w:w="787" w:type="dxa"/>
            <w:tcBorders>
              <w:tl2br w:val="nil"/>
              <w:tr2bl w:val="nil"/>
            </w:tcBorders>
            <w:noWrap w:val="0"/>
            <w:vAlign w:val="center"/>
          </w:tcPr>
          <w:p w14:paraId="021CFA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49.8</w:t>
            </w:r>
          </w:p>
        </w:tc>
        <w:tc>
          <w:tcPr>
            <w:tcW w:w="647" w:type="dxa"/>
            <w:tcBorders>
              <w:tl2br w:val="nil"/>
              <w:tr2bl w:val="nil"/>
            </w:tcBorders>
            <w:noWrap w:val="0"/>
            <w:vAlign w:val="center"/>
          </w:tcPr>
          <w:p w14:paraId="3EADBE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23.6</w:t>
            </w:r>
          </w:p>
        </w:tc>
        <w:tc>
          <w:tcPr>
            <w:tcW w:w="797" w:type="dxa"/>
            <w:tcBorders>
              <w:tl2br w:val="nil"/>
              <w:tr2bl w:val="nil"/>
            </w:tcBorders>
            <w:noWrap w:val="0"/>
            <w:vAlign w:val="bottom"/>
          </w:tcPr>
          <w:p w14:paraId="64A7FA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51.2 </w:t>
            </w:r>
          </w:p>
        </w:tc>
        <w:tc>
          <w:tcPr>
            <w:tcW w:w="650" w:type="dxa"/>
            <w:tcBorders>
              <w:tl2br w:val="nil"/>
              <w:tr2bl w:val="nil"/>
            </w:tcBorders>
            <w:noWrap w:val="0"/>
            <w:vAlign w:val="bottom"/>
          </w:tcPr>
          <w:p w14:paraId="5C307E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39.2 </w:t>
            </w:r>
          </w:p>
        </w:tc>
        <w:tc>
          <w:tcPr>
            <w:tcW w:w="650" w:type="dxa"/>
            <w:tcBorders>
              <w:tl2br w:val="nil"/>
              <w:tr2bl w:val="nil"/>
            </w:tcBorders>
            <w:noWrap w:val="0"/>
            <w:vAlign w:val="bottom"/>
          </w:tcPr>
          <w:p w14:paraId="0135FA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5.6 </w:t>
            </w:r>
          </w:p>
        </w:tc>
        <w:tc>
          <w:tcPr>
            <w:tcW w:w="636" w:type="dxa"/>
            <w:tcBorders>
              <w:tl2br w:val="nil"/>
              <w:tr2bl w:val="nil"/>
            </w:tcBorders>
            <w:noWrap w:val="0"/>
            <w:vAlign w:val="center"/>
          </w:tcPr>
          <w:p w14:paraId="2F90C5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0.1 </w:t>
            </w:r>
          </w:p>
        </w:tc>
        <w:tc>
          <w:tcPr>
            <w:tcW w:w="650" w:type="dxa"/>
            <w:tcBorders>
              <w:tl2br w:val="nil"/>
              <w:tr2bl w:val="nil"/>
            </w:tcBorders>
            <w:noWrap w:val="0"/>
            <w:vAlign w:val="center"/>
          </w:tcPr>
          <w:p w14:paraId="09CDB3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21C1AA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00179F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198014C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5</w:t>
            </w:r>
          </w:p>
        </w:tc>
        <w:tc>
          <w:tcPr>
            <w:tcW w:w="809" w:type="dxa"/>
            <w:tcBorders>
              <w:tl2br w:val="nil"/>
              <w:tr2bl w:val="nil"/>
            </w:tcBorders>
            <w:noWrap w:val="0"/>
            <w:vAlign w:val="center"/>
          </w:tcPr>
          <w:p w14:paraId="147BEEC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何家湾</w:t>
            </w:r>
          </w:p>
        </w:tc>
        <w:tc>
          <w:tcPr>
            <w:tcW w:w="866" w:type="dxa"/>
            <w:tcBorders>
              <w:tl2br w:val="nil"/>
              <w:tr2bl w:val="nil"/>
            </w:tcBorders>
            <w:noWrap w:val="0"/>
            <w:vAlign w:val="center"/>
          </w:tcPr>
          <w:p w14:paraId="72A6F2DE">
            <w:pPr>
              <w:jc w:val="center"/>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42.8</w:t>
            </w:r>
          </w:p>
        </w:tc>
        <w:tc>
          <w:tcPr>
            <w:tcW w:w="785" w:type="dxa"/>
            <w:tcBorders>
              <w:tl2br w:val="nil"/>
              <w:tr2bl w:val="nil"/>
            </w:tcBorders>
            <w:noWrap w:val="0"/>
            <w:vAlign w:val="center"/>
          </w:tcPr>
          <w:p w14:paraId="4A29289F">
            <w:pPr>
              <w:jc w:val="center"/>
              <w:rPr>
                <w:rFonts w:hint="eastAsia" w:ascii="Times New Roman" w:hAnsi="Times New Roman" w:eastAsia="宋体" w:cs="Times New Roman"/>
                <w:color w:val="FF0000"/>
                <w:spacing w:val="0"/>
                <w:w w:val="100"/>
                <w:position w:val="0"/>
                <w:sz w:val="21"/>
                <w:szCs w:val="21"/>
                <w:u w:val="none" w:color="auto"/>
                <w:lang w:val="en-US" w:eastAsia="zh-CN"/>
              </w:rPr>
            </w:pPr>
            <w:r>
              <w:rPr>
                <w:rFonts w:hint="eastAsia" w:ascii="Times New Roman" w:hAnsi="Times New Roman" w:eastAsia="宋体" w:cs="Times New Roman"/>
                <w:color w:val="000000"/>
                <w:kern w:val="2"/>
                <w:sz w:val="21"/>
                <w:szCs w:val="21"/>
                <w:lang w:val="en-US" w:eastAsia="zh-CN" w:bidi="ar-SA"/>
              </w:rPr>
              <w:t>38.5</w:t>
            </w:r>
          </w:p>
        </w:tc>
        <w:tc>
          <w:tcPr>
            <w:tcW w:w="787" w:type="dxa"/>
            <w:tcBorders>
              <w:tl2br w:val="nil"/>
              <w:tr2bl w:val="nil"/>
            </w:tcBorders>
            <w:noWrap w:val="0"/>
            <w:vAlign w:val="center"/>
          </w:tcPr>
          <w:p w14:paraId="641AE8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48.5</w:t>
            </w:r>
          </w:p>
        </w:tc>
        <w:tc>
          <w:tcPr>
            <w:tcW w:w="647" w:type="dxa"/>
            <w:tcBorders>
              <w:tl2br w:val="nil"/>
              <w:tr2bl w:val="nil"/>
            </w:tcBorders>
            <w:noWrap w:val="0"/>
            <w:vAlign w:val="center"/>
          </w:tcPr>
          <w:p w14:paraId="154C20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22.4</w:t>
            </w:r>
          </w:p>
        </w:tc>
        <w:tc>
          <w:tcPr>
            <w:tcW w:w="797" w:type="dxa"/>
            <w:tcBorders>
              <w:tl2br w:val="nil"/>
              <w:tr2bl w:val="nil"/>
            </w:tcBorders>
            <w:noWrap w:val="0"/>
            <w:vAlign w:val="bottom"/>
          </w:tcPr>
          <w:p w14:paraId="410569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49.5 </w:t>
            </w:r>
          </w:p>
        </w:tc>
        <w:tc>
          <w:tcPr>
            <w:tcW w:w="650" w:type="dxa"/>
            <w:tcBorders>
              <w:tl2br w:val="nil"/>
              <w:tr2bl w:val="nil"/>
            </w:tcBorders>
            <w:noWrap w:val="0"/>
            <w:vAlign w:val="bottom"/>
          </w:tcPr>
          <w:p w14:paraId="51750A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38.6 </w:t>
            </w:r>
          </w:p>
        </w:tc>
        <w:tc>
          <w:tcPr>
            <w:tcW w:w="650" w:type="dxa"/>
            <w:tcBorders>
              <w:tl2br w:val="nil"/>
              <w:tr2bl w:val="nil"/>
            </w:tcBorders>
            <w:noWrap w:val="0"/>
            <w:vAlign w:val="bottom"/>
          </w:tcPr>
          <w:p w14:paraId="613EC5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6.7 </w:t>
            </w:r>
          </w:p>
        </w:tc>
        <w:tc>
          <w:tcPr>
            <w:tcW w:w="636" w:type="dxa"/>
            <w:tcBorders>
              <w:tl2br w:val="nil"/>
              <w:tr2bl w:val="nil"/>
            </w:tcBorders>
            <w:noWrap w:val="0"/>
            <w:vAlign w:val="center"/>
          </w:tcPr>
          <w:p w14:paraId="3376B9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0.1 </w:t>
            </w:r>
          </w:p>
        </w:tc>
        <w:tc>
          <w:tcPr>
            <w:tcW w:w="650" w:type="dxa"/>
            <w:tcBorders>
              <w:tl2br w:val="nil"/>
              <w:tr2bl w:val="nil"/>
            </w:tcBorders>
            <w:noWrap w:val="0"/>
            <w:vAlign w:val="center"/>
          </w:tcPr>
          <w:p w14:paraId="45AEC7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44AC32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3AB88F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6E2AD1D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6</w:t>
            </w:r>
          </w:p>
        </w:tc>
        <w:tc>
          <w:tcPr>
            <w:tcW w:w="809" w:type="dxa"/>
            <w:tcBorders>
              <w:tl2br w:val="nil"/>
              <w:tr2bl w:val="nil"/>
            </w:tcBorders>
            <w:noWrap w:val="0"/>
            <w:vAlign w:val="center"/>
          </w:tcPr>
          <w:p w14:paraId="31798E6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西菱湖</w:t>
            </w:r>
          </w:p>
        </w:tc>
        <w:tc>
          <w:tcPr>
            <w:tcW w:w="866" w:type="dxa"/>
            <w:tcBorders>
              <w:tl2br w:val="nil"/>
              <w:tr2bl w:val="nil"/>
            </w:tcBorders>
            <w:shd w:val="clear" w:color="auto" w:fill="auto"/>
            <w:noWrap w:val="0"/>
            <w:vAlign w:val="center"/>
          </w:tcPr>
          <w:p w14:paraId="30F8715F">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46.2</w:t>
            </w:r>
          </w:p>
        </w:tc>
        <w:tc>
          <w:tcPr>
            <w:tcW w:w="785" w:type="dxa"/>
            <w:tcBorders>
              <w:tl2br w:val="nil"/>
              <w:tr2bl w:val="nil"/>
            </w:tcBorders>
            <w:shd w:val="clear" w:color="auto" w:fill="auto"/>
            <w:noWrap w:val="0"/>
            <w:vAlign w:val="center"/>
          </w:tcPr>
          <w:p w14:paraId="19A325B1">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36.6</w:t>
            </w:r>
          </w:p>
        </w:tc>
        <w:tc>
          <w:tcPr>
            <w:tcW w:w="787" w:type="dxa"/>
            <w:tcBorders>
              <w:tl2br w:val="nil"/>
              <w:tr2bl w:val="nil"/>
            </w:tcBorders>
            <w:noWrap w:val="0"/>
            <w:vAlign w:val="center"/>
          </w:tcPr>
          <w:p w14:paraId="0E59D0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44.6</w:t>
            </w:r>
          </w:p>
        </w:tc>
        <w:tc>
          <w:tcPr>
            <w:tcW w:w="647" w:type="dxa"/>
            <w:tcBorders>
              <w:tl2br w:val="nil"/>
              <w:tr2bl w:val="nil"/>
            </w:tcBorders>
            <w:noWrap w:val="0"/>
            <w:vAlign w:val="center"/>
          </w:tcPr>
          <w:p w14:paraId="7E6022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20.1</w:t>
            </w:r>
          </w:p>
        </w:tc>
        <w:tc>
          <w:tcPr>
            <w:tcW w:w="797" w:type="dxa"/>
            <w:tcBorders>
              <w:tl2br w:val="nil"/>
              <w:tr2bl w:val="nil"/>
            </w:tcBorders>
            <w:noWrap w:val="0"/>
            <w:vAlign w:val="bottom"/>
          </w:tcPr>
          <w:p w14:paraId="172BFC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48.5 </w:t>
            </w:r>
          </w:p>
        </w:tc>
        <w:tc>
          <w:tcPr>
            <w:tcW w:w="650" w:type="dxa"/>
            <w:tcBorders>
              <w:tl2br w:val="nil"/>
              <w:tr2bl w:val="nil"/>
            </w:tcBorders>
            <w:noWrap w:val="0"/>
            <w:vAlign w:val="bottom"/>
          </w:tcPr>
          <w:p w14:paraId="730954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36.7 </w:t>
            </w:r>
          </w:p>
        </w:tc>
        <w:tc>
          <w:tcPr>
            <w:tcW w:w="650" w:type="dxa"/>
            <w:tcBorders>
              <w:tl2br w:val="nil"/>
              <w:tr2bl w:val="nil"/>
            </w:tcBorders>
            <w:noWrap w:val="0"/>
            <w:vAlign w:val="bottom"/>
          </w:tcPr>
          <w:p w14:paraId="1E4A82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2.3 </w:t>
            </w:r>
          </w:p>
        </w:tc>
        <w:tc>
          <w:tcPr>
            <w:tcW w:w="636" w:type="dxa"/>
            <w:tcBorders>
              <w:tl2br w:val="nil"/>
              <w:tr2bl w:val="nil"/>
            </w:tcBorders>
            <w:noWrap w:val="0"/>
            <w:vAlign w:val="center"/>
          </w:tcPr>
          <w:p w14:paraId="0355AC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0.1 </w:t>
            </w:r>
          </w:p>
        </w:tc>
        <w:tc>
          <w:tcPr>
            <w:tcW w:w="650" w:type="dxa"/>
            <w:tcBorders>
              <w:tl2br w:val="nil"/>
              <w:tr2bl w:val="nil"/>
            </w:tcBorders>
            <w:noWrap w:val="0"/>
            <w:vAlign w:val="center"/>
          </w:tcPr>
          <w:p w14:paraId="61C0C6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46137B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4E3B91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14E8B89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7</w:t>
            </w:r>
          </w:p>
        </w:tc>
        <w:tc>
          <w:tcPr>
            <w:tcW w:w="809" w:type="dxa"/>
            <w:tcBorders>
              <w:tl2br w:val="nil"/>
              <w:tr2bl w:val="nil"/>
            </w:tcBorders>
            <w:noWrap w:val="0"/>
            <w:vAlign w:val="center"/>
          </w:tcPr>
          <w:p w14:paraId="592046F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赵家咀</w:t>
            </w:r>
          </w:p>
        </w:tc>
        <w:tc>
          <w:tcPr>
            <w:tcW w:w="866" w:type="dxa"/>
            <w:tcBorders>
              <w:tl2br w:val="nil"/>
              <w:tr2bl w:val="nil"/>
            </w:tcBorders>
            <w:shd w:val="clear" w:color="auto" w:fill="auto"/>
            <w:noWrap w:val="0"/>
            <w:vAlign w:val="center"/>
          </w:tcPr>
          <w:p w14:paraId="291F7C56">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44.5</w:t>
            </w:r>
          </w:p>
        </w:tc>
        <w:tc>
          <w:tcPr>
            <w:tcW w:w="785" w:type="dxa"/>
            <w:tcBorders>
              <w:tl2br w:val="nil"/>
              <w:tr2bl w:val="nil"/>
            </w:tcBorders>
            <w:shd w:val="clear" w:color="auto" w:fill="auto"/>
            <w:noWrap w:val="0"/>
            <w:vAlign w:val="center"/>
          </w:tcPr>
          <w:p w14:paraId="732B7F73">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38.0</w:t>
            </w:r>
          </w:p>
        </w:tc>
        <w:tc>
          <w:tcPr>
            <w:tcW w:w="787" w:type="dxa"/>
            <w:tcBorders>
              <w:tl2br w:val="nil"/>
              <w:tr2bl w:val="nil"/>
            </w:tcBorders>
            <w:noWrap w:val="0"/>
            <w:vAlign w:val="center"/>
          </w:tcPr>
          <w:p w14:paraId="573BD4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47.7</w:t>
            </w:r>
          </w:p>
        </w:tc>
        <w:tc>
          <w:tcPr>
            <w:tcW w:w="647" w:type="dxa"/>
            <w:tcBorders>
              <w:tl2br w:val="nil"/>
              <w:tr2bl w:val="nil"/>
            </w:tcBorders>
            <w:noWrap w:val="0"/>
            <w:vAlign w:val="center"/>
          </w:tcPr>
          <w:p w14:paraId="0455DE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24.9</w:t>
            </w:r>
          </w:p>
        </w:tc>
        <w:tc>
          <w:tcPr>
            <w:tcW w:w="797" w:type="dxa"/>
            <w:tcBorders>
              <w:tl2br w:val="nil"/>
              <w:tr2bl w:val="nil"/>
            </w:tcBorders>
            <w:noWrap w:val="0"/>
            <w:vAlign w:val="bottom"/>
          </w:tcPr>
          <w:p w14:paraId="292D1A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49.4 </w:t>
            </w:r>
          </w:p>
        </w:tc>
        <w:tc>
          <w:tcPr>
            <w:tcW w:w="650" w:type="dxa"/>
            <w:tcBorders>
              <w:tl2br w:val="nil"/>
              <w:tr2bl w:val="nil"/>
            </w:tcBorders>
            <w:noWrap w:val="0"/>
            <w:vAlign w:val="bottom"/>
          </w:tcPr>
          <w:p w14:paraId="1ED854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38.2 </w:t>
            </w:r>
          </w:p>
        </w:tc>
        <w:tc>
          <w:tcPr>
            <w:tcW w:w="650" w:type="dxa"/>
            <w:tcBorders>
              <w:tl2br w:val="nil"/>
              <w:tr2bl w:val="nil"/>
            </w:tcBorders>
            <w:noWrap w:val="0"/>
            <w:vAlign w:val="bottom"/>
          </w:tcPr>
          <w:p w14:paraId="4E1FE2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4.9 </w:t>
            </w:r>
          </w:p>
        </w:tc>
        <w:tc>
          <w:tcPr>
            <w:tcW w:w="636" w:type="dxa"/>
            <w:tcBorders>
              <w:tl2br w:val="nil"/>
              <w:tr2bl w:val="nil"/>
            </w:tcBorders>
            <w:noWrap w:val="0"/>
            <w:vAlign w:val="center"/>
          </w:tcPr>
          <w:p w14:paraId="19C7C8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0.2 </w:t>
            </w:r>
          </w:p>
        </w:tc>
        <w:tc>
          <w:tcPr>
            <w:tcW w:w="650" w:type="dxa"/>
            <w:tcBorders>
              <w:tl2br w:val="nil"/>
              <w:tr2bl w:val="nil"/>
            </w:tcBorders>
            <w:noWrap w:val="0"/>
            <w:vAlign w:val="center"/>
          </w:tcPr>
          <w:p w14:paraId="039FE2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36284A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43B81F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2D86D91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8</w:t>
            </w:r>
          </w:p>
        </w:tc>
        <w:tc>
          <w:tcPr>
            <w:tcW w:w="809" w:type="dxa"/>
            <w:tcBorders>
              <w:tl2br w:val="nil"/>
              <w:tr2bl w:val="nil"/>
            </w:tcBorders>
            <w:noWrap w:val="0"/>
            <w:vAlign w:val="center"/>
          </w:tcPr>
          <w:p w14:paraId="274695F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南圻村</w:t>
            </w:r>
          </w:p>
        </w:tc>
        <w:tc>
          <w:tcPr>
            <w:tcW w:w="866" w:type="dxa"/>
            <w:tcBorders>
              <w:tl2br w:val="nil"/>
              <w:tr2bl w:val="nil"/>
            </w:tcBorders>
            <w:shd w:val="clear" w:color="auto" w:fill="auto"/>
            <w:noWrap w:val="0"/>
            <w:vAlign w:val="center"/>
          </w:tcPr>
          <w:p w14:paraId="4382C0B4">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42.6</w:t>
            </w:r>
          </w:p>
        </w:tc>
        <w:tc>
          <w:tcPr>
            <w:tcW w:w="785" w:type="dxa"/>
            <w:tcBorders>
              <w:tl2br w:val="nil"/>
              <w:tr2bl w:val="nil"/>
            </w:tcBorders>
            <w:shd w:val="clear" w:color="auto" w:fill="auto"/>
            <w:noWrap w:val="0"/>
            <w:vAlign w:val="center"/>
          </w:tcPr>
          <w:p w14:paraId="60F4000D">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39.5</w:t>
            </w:r>
          </w:p>
        </w:tc>
        <w:tc>
          <w:tcPr>
            <w:tcW w:w="787" w:type="dxa"/>
            <w:tcBorders>
              <w:tl2br w:val="nil"/>
              <w:tr2bl w:val="nil"/>
            </w:tcBorders>
            <w:noWrap w:val="0"/>
            <w:vAlign w:val="center"/>
          </w:tcPr>
          <w:p w14:paraId="3429C5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43.2</w:t>
            </w:r>
          </w:p>
        </w:tc>
        <w:tc>
          <w:tcPr>
            <w:tcW w:w="647" w:type="dxa"/>
            <w:tcBorders>
              <w:tl2br w:val="nil"/>
              <w:tr2bl w:val="nil"/>
            </w:tcBorders>
            <w:noWrap w:val="0"/>
            <w:vAlign w:val="center"/>
          </w:tcPr>
          <w:p w14:paraId="7B2FF2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21.1</w:t>
            </w:r>
          </w:p>
        </w:tc>
        <w:tc>
          <w:tcPr>
            <w:tcW w:w="797" w:type="dxa"/>
            <w:tcBorders>
              <w:tl2br w:val="nil"/>
              <w:tr2bl w:val="nil"/>
            </w:tcBorders>
            <w:noWrap w:val="0"/>
            <w:vAlign w:val="bottom"/>
          </w:tcPr>
          <w:p w14:paraId="09974E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45.9 </w:t>
            </w:r>
          </w:p>
        </w:tc>
        <w:tc>
          <w:tcPr>
            <w:tcW w:w="650" w:type="dxa"/>
            <w:tcBorders>
              <w:tl2br w:val="nil"/>
              <w:tr2bl w:val="nil"/>
            </w:tcBorders>
            <w:noWrap w:val="0"/>
            <w:vAlign w:val="bottom"/>
          </w:tcPr>
          <w:p w14:paraId="24AED6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39.6 </w:t>
            </w:r>
          </w:p>
        </w:tc>
        <w:tc>
          <w:tcPr>
            <w:tcW w:w="650" w:type="dxa"/>
            <w:tcBorders>
              <w:tl2br w:val="nil"/>
              <w:tr2bl w:val="nil"/>
            </w:tcBorders>
            <w:noWrap w:val="0"/>
            <w:vAlign w:val="bottom"/>
          </w:tcPr>
          <w:p w14:paraId="2940CE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3.3 </w:t>
            </w:r>
          </w:p>
        </w:tc>
        <w:tc>
          <w:tcPr>
            <w:tcW w:w="636" w:type="dxa"/>
            <w:tcBorders>
              <w:tl2br w:val="nil"/>
              <w:tr2bl w:val="nil"/>
            </w:tcBorders>
            <w:noWrap w:val="0"/>
            <w:vAlign w:val="center"/>
          </w:tcPr>
          <w:p w14:paraId="626436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0.1 </w:t>
            </w:r>
          </w:p>
        </w:tc>
        <w:tc>
          <w:tcPr>
            <w:tcW w:w="650" w:type="dxa"/>
            <w:tcBorders>
              <w:tl2br w:val="nil"/>
              <w:tr2bl w:val="nil"/>
            </w:tcBorders>
            <w:noWrap w:val="0"/>
            <w:vAlign w:val="center"/>
          </w:tcPr>
          <w:p w14:paraId="45A2A6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06D582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57019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447E548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9</w:t>
            </w:r>
          </w:p>
        </w:tc>
        <w:tc>
          <w:tcPr>
            <w:tcW w:w="809" w:type="dxa"/>
            <w:tcBorders>
              <w:tl2br w:val="nil"/>
              <w:tr2bl w:val="nil"/>
            </w:tcBorders>
            <w:noWrap w:val="0"/>
            <w:vAlign w:val="center"/>
          </w:tcPr>
          <w:p w14:paraId="0BAEDCB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val="en-US" w:eastAsia="zh-CN"/>
              </w:rPr>
              <w:t>高家咀</w:t>
            </w:r>
          </w:p>
        </w:tc>
        <w:tc>
          <w:tcPr>
            <w:tcW w:w="866" w:type="dxa"/>
            <w:tcBorders>
              <w:tl2br w:val="nil"/>
              <w:tr2bl w:val="nil"/>
            </w:tcBorders>
            <w:shd w:val="clear" w:color="auto" w:fill="auto"/>
            <w:noWrap w:val="0"/>
            <w:vAlign w:val="center"/>
          </w:tcPr>
          <w:p w14:paraId="7C959F5B">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46.1</w:t>
            </w:r>
          </w:p>
        </w:tc>
        <w:tc>
          <w:tcPr>
            <w:tcW w:w="785" w:type="dxa"/>
            <w:tcBorders>
              <w:tl2br w:val="nil"/>
              <w:tr2bl w:val="nil"/>
            </w:tcBorders>
            <w:shd w:val="clear" w:color="auto" w:fill="auto"/>
            <w:noWrap w:val="0"/>
            <w:vAlign w:val="center"/>
          </w:tcPr>
          <w:p w14:paraId="7831AC5B">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36.5</w:t>
            </w:r>
          </w:p>
        </w:tc>
        <w:tc>
          <w:tcPr>
            <w:tcW w:w="787" w:type="dxa"/>
            <w:tcBorders>
              <w:tl2br w:val="nil"/>
              <w:tr2bl w:val="nil"/>
            </w:tcBorders>
            <w:noWrap w:val="0"/>
            <w:vAlign w:val="center"/>
          </w:tcPr>
          <w:p w14:paraId="01A0FC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48.7</w:t>
            </w:r>
          </w:p>
        </w:tc>
        <w:tc>
          <w:tcPr>
            <w:tcW w:w="647" w:type="dxa"/>
            <w:tcBorders>
              <w:tl2br w:val="nil"/>
              <w:tr2bl w:val="nil"/>
            </w:tcBorders>
            <w:noWrap w:val="0"/>
            <w:vAlign w:val="center"/>
          </w:tcPr>
          <w:p w14:paraId="0F242D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23.5</w:t>
            </w:r>
          </w:p>
        </w:tc>
        <w:tc>
          <w:tcPr>
            <w:tcW w:w="797" w:type="dxa"/>
            <w:tcBorders>
              <w:tl2br w:val="nil"/>
              <w:tr2bl w:val="nil"/>
            </w:tcBorders>
            <w:noWrap w:val="0"/>
            <w:vAlign w:val="bottom"/>
          </w:tcPr>
          <w:p w14:paraId="029DB6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50.6 </w:t>
            </w:r>
          </w:p>
        </w:tc>
        <w:tc>
          <w:tcPr>
            <w:tcW w:w="650" w:type="dxa"/>
            <w:tcBorders>
              <w:tl2br w:val="nil"/>
              <w:tr2bl w:val="nil"/>
            </w:tcBorders>
            <w:noWrap w:val="0"/>
            <w:vAlign w:val="bottom"/>
          </w:tcPr>
          <w:p w14:paraId="221F0E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36.7 </w:t>
            </w:r>
          </w:p>
        </w:tc>
        <w:tc>
          <w:tcPr>
            <w:tcW w:w="650" w:type="dxa"/>
            <w:tcBorders>
              <w:tl2br w:val="nil"/>
              <w:tr2bl w:val="nil"/>
            </w:tcBorders>
            <w:noWrap w:val="0"/>
            <w:vAlign w:val="bottom"/>
          </w:tcPr>
          <w:p w14:paraId="630B71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4.5 </w:t>
            </w:r>
          </w:p>
        </w:tc>
        <w:tc>
          <w:tcPr>
            <w:tcW w:w="636" w:type="dxa"/>
            <w:tcBorders>
              <w:tl2br w:val="nil"/>
              <w:tr2bl w:val="nil"/>
            </w:tcBorders>
            <w:noWrap w:val="0"/>
            <w:vAlign w:val="center"/>
          </w:tcPr>
          <w:p w14:paraId="2672AC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0.2 </w:t>
            </w:r>
          </w:p>
        </w:tc>
        <w:tc>
          <w:tcPr>
            <w:tcW w:w="650" w:type="dxa"/>
            <w:tcBorders>
              <w:tl2br w:val="nil"/>
              <w:tr2bl w:val="nil"/>
            </w:tcBorders>
            <w:noWrap w:val="0"/>
            <w:vAlign w:val="center"/>
          </w:tcPr>
          <w:p w14:paraId="28B87D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46729A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r w14:paraId="4FB72D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4" w:type="dxa"/>
            <w:tcBorders>
              <w:tl2br w:val="nil"/>
              <w:tr2bl w:val="nil"/>
            </w:tcBorders>
            <w:noWrap w:val="0"/>
            <w:vAlign w:val="center"/>
          </w:tcPr>
          <w:p w14:paraId="0CD35CC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w w:val="100"/>
                <w:kern w:val="2"/>
                <w:position w:val="0"/>
                <w:sz w:val="21"/>
                <w:szCs w:val="21"/>
                <w:u w:val="none" w:color="auto"/>
                <w:lang w:val="en-US" w:eastAsia="zh-CN" w:bidi="ar-SA"/>
              </w:rPr>
            </w:pPr>
            <w:r>
              <w:rPr>
                <w:rFonts w:hint="eastAsia" w:ascii="Times New Roman" w:hAnsi="Times New Roman" w:eastAsia="宋体" w:cs="Times New Roman"/>
                <w:color w:val="auto"/>
                <w:spacing w:val="0"/>
                <w:w w:val="100"/>
                <w:kern w:val="2"/>
                <w:position w:val="0"/>
                <w:sz w:val="21"/>
                <w:szCs w:val="21"/>
                <w:u w:val="none" w:color="auto"/>
                <w:lang w:val="en-US" w:eastAsia="zh-CN" w:bidi="ar-SA"/>
              </w:rPr>
              <w:t>10</w:t>
            </w:r>
          </w:p>
        </w:tc>
        <w:tc>
          <w:tcPr>
            <w:tcW w:w="809" w:type="dxa"/>
            <w:tcBorders>
              <w:tl2br w:val="nil"/>
              <w:tr2bl w:val="nil"/>
            </w:tcBorders>
            <w:noWrap w:val="0"/>
            <w:vAlign w:val="center"/>
          </w:tcPr>
          <w:p w14:paraId="51F88C8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FF"/>
                <w:kern w:val="2"/>
                <w:sz w:val="21"/>
                <w:szCs w:val="21"/>
                <w:u w:val="none" w:color="auto"/>
                <w:lang w:val="en-US" w:eastAsia="zh-CN" w:bidi="ar-SA"/>
              </w:rPr>
            </w:pPr>
            <w:r>
              <w:rPr>
                <w:rFonts w:hint="eastAsia" w:ascii="Times New Roman" w:hAnsi="Times New Roman" w:eastAsia="宋体" w:cs="Times New Roman"/>
                <w:color w:val="auto"/>
                <w:spacing w:val="0"/>
                <w:w w:val="100"/>
                <w:position w:val="0"/>
                <w:sz w:val="21"/>
                <w:szCs w:val="21"/>
                <w:u w:val="none" w:color="auto"/>
                <w:lang w:eastAsia="zh-CN"/>
              </w:rPr>
              <w:t>安乐岭</w:t>
            </w:r>
          </w:p>
        </w:tc>
        <w:tc>
          <w:tcPr>
            <w:tcW w:w="866" w:type="dxa"/>
            <w:tcBorders>
              <w:tl2br w:val="nil"/>
              <w:tr2bl w:val="nil"/>
            </w:tcBorders>
            <w:shd w:val="clear" w:color="auto" w:fill="auto"/>
            <w:noWrap w:val="0"/>
            <w:vAlign w:val="center"/>
          </w:tcPr>
          <w:p w14:paraId="0D75319E">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44.6</w:t>
            </w:r>
          </w:p>
        </w:tc>
        <w:tc>
          <w:tcPr>
            <w:tcW w:w="785" w:type="dxa"/>
            <w:tcBorders>
              <w:tl2br w:val="nil"/>
              <w:tr2bl w:val="nil"/>
            </w:tcBorders>
            <w:shd w:val="clear" w:color="auto" w:fill="auto"/>
            <w:noWrap w:val="0"/>
            <w:vAlign w:val="center"/>
          </w:tcPr>
          <w:p w14:paraId="2E85AA14">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38.4</w:t>
            </w:r>
          </w:p>
        </w:tc>
        <w:tc>
          <w:tcPr>
            <w:tcW w:w="787" w:type="dxa"/>
            <w:tcBorders>
              <w:tl2br w:val="nil"/>
              <w:tr2bl w:val="nil"/>
            </w:tcBorders>
            <w:noWrap w:val="0"/>
            <w:vAlign w:val="center"/>
          </w:tcPr>
          <w:p w14:paraId="534306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43.2</w:t>
            </w:r>
          </w:p>
        </w:tc>
        <w:tc>
          <w:tcPr>
            <w:tcW w:w="647" w:type="dxa"/>
            <w:tcBorders>
              <w:tl2br w:val="nil"/>
              <w:tr2bl w:val="nil"/>
            </w:tcBorders>
            <w:noWrap w:val="0"/>
            <w:vAlign w:val="center"/>
          </w:tcPr>
          <w:p w14:paraId="20036F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0</w:t>
            </w:r>
          </w:p>
        </w:tc>
        <w:tc>
          <w:tcPr>
            <w:tcW w:w="797" w:type="dxa"/>
            <w:tcBorders>
              <w:tl2br w:val="nil"/>
              <w:tr2bl w:val="nil"/>
            </w:tcBorders>
            <w:noWrap w:val="0"/>
            <w:vAlign w:val="bottom"/>
          </w:tcPr>
          <w:p w14:paraId="4BD054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47.0 </w:t>
            </w:r>
          </w:p>
        </w:tc>
        <w:tc>
          <w:tcPr>
            <w:tcW w:w="650" w:type="dxa"/>
            <w:tcBorders>
              <w:tl2br w:val="nil"/>
              <w:tr2bl w:val="nil"/>
            </w:tcBorders>
            <w:noWrap w:val="0"/>
            <w:vAlign w:val="bottom"/>
          </w:tcPr>
          <w:p w14:paraId="1A6908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38.4 </w:t>
            </w:r>
          </w:p>
        </w:tc>
        <w:tc>
          <w:tcPr>
            <w:tcW w:w="650" w:type="dxa"/>
            <w:tcBorders>
              <w:tl2br w:val="nil"/>
              <w:tr2bl w:val="nil"/>
            </w:tcBorders>
            <w:noWrap w:val="0"/>
            <w:vAlign w:val="bottom"/>
          </w:tcPr>
          <w:p w14:paraId="21B749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2.4 </w:t>
            </w:r>
          </w:p>
        </w:tc>
        <w:tc>
          <w:tcPr>
            <w:tcW w:w="636" w:type="dxa"/>
            <w:tcBorders>
              <w:tl2br w:val="nil"/>
              <w:tr2bl w:val="nil"/>
            </w:tcBorders>
            <w:noWrap w:val="0"/>
            <w:vAlign w:val="center"/>
          </w:tcPr>
          <w:p w14:paraId="03F907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 xml:space="preserve">0.0 </w:t>
            </w:r>
          </w:p>
        </w:tc>
        <w:tc>
          <w:tcPr>
            <w:tcW w:w="650" w:type="dxa"/>
            <w:tcBorders>
              <w:tl2br w:val="nil"/>
              <w:tr2bl w:val="nil"/>
            </w:tcBorders>
            <w:noWrap w:val="0"/>
            <w:vAlign w:val="center"/>
          </w:tcPr>
          <w:p w14:paraId="6756AE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c>
          <w:tcPr>
            <w:tcW w:w="656" w:type="dxa"/>
            <w:tcBorders>
              <w:tl2br w:val="nil"/>
              <w:tr2bl w:val="nil"/>
            </w:tcBorders>
            <w:noWrap w:val="0"/>
            <w:vAlign w:val="center"/>
          </w:tcPr>
          <w:p w14:paraId="75CB42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w w:val="100"/>
                <w:position w:val="0"/>
                <w:sz w:val="21"/>
                <w:szCs w:val="21"/>
                <w:u w:val="none" w:color="auto"/>
                <w:lang w:val="en-US" w:eastAsia="zh-CN"/>
              </w:rPr>
            </w:pPr>
            <w:r>
              <w:rPr>
                <w:rFonts w:hint="eastAsia" w:ascii="Times New Roman" w:hAnsi="Times New Roman" w:eastAsia="宋体" w:cs="Times New Roman"/>
                <w:color w:val="auto"/>
                <w:spacing w:val="0"/>
                <w:w w:val="100"/>
                <w:position w:val="0"/>
                <w:sz w:val="21"/>
                <w:szCs w:val="21"/>
                <w:u w:val="none" w:color="auto"/>
                <w:lang w:val="en-US" w:eastAsia="zh-CN"/>
              </w:rPr>
              <w:t>达标</w:t>
            </w:r>
          </w:p>
        </w:tc>
      </w:tr>
    </w:tbl>
    <w:p w14:paraId="2727EC2F">
      <w:pPr>
        <w:keepNext w:val="0"/>
        <w:keepLines w:val="0"/>
        <w:widowControl/>
        <w:suppressLineNumbers w:val="0"/>
        <w:spacing w:line="360" w:lineRule="auto"/>
        <w:ind w:firstLine="480" w:firstLineChars="200"/>
        <w:jc w:val="left"/>
        <w:rPr>
          <w:color w:val="auto"/>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结果显示：施工噪声对施工区周边</w:t>
      </w:r>
      <w:r>
        <w:rPr>
          <w:rFonts w:hint="default" w:ascii="Times New Roman" w:hAnsi="Times New Roman" w:eastAsia="宋体" w:cs="Times New Roman"/>
          <w:color w:val="auto"/>
          <w:spacing w:val="0"/>
          <w:w w:val="100"/>
          <w:position w:val="0"/>
          <w:sz w:val="24"/>
          <w:szCs w:val="24"/>
          <w:u w:val="none" w:color="auto"/>
          <w:lang w:val="en-US" w:eastAsia="zh-CN"/>
        </w:rPr>
        <w:t>200m</w:t>
      </w:r>
      <w:r>
        <w:rPr>
          <w:rFonts w:hint="eastAsia" w:ascii="Times New Roman" w:hAnsi="Times New Roman" w:eastAsia="宋体" w:cs="Times New Roman"/>
          <w:color w:val="auto"/>
          <w:spacing w:val="0"/>
          <w:w w:val="100"/>
          <w:position w:val="0"/>
          <w:sz w:val="24"/>
          <w:szCs w:val="24"/>
          <w:u w:val="none" w:color="auto"/>
          <w:lang w:val="en-US" w:eastAsia="zh-CN"/>
        </w:rPr>
        <w:t>范围内的敏感目标均有不同程度的影响，经预测结果显示，经采取相关噪声防治措施的情况下，施工期声环境</w:t>
      </w:r>
      <w:r>
        <w:rPr>
          <w:rFonts w:hint="eastAsia" w:ascii="宋体" w:hAnsi="宋体" w:eastAsia="宋体" w:cs="宋体"/>
          <w:color w:val="auto"/>
          <w:kern w:val="0"/>
          <w:sz w:val="24"/>
          <w:szCs w:val="24"/>
          <w:u w:val="none" w:color="auto"/>
          <w:lang w:val="en-US" w:eastAsia="zh-CN" w:bidi="ar"/>
        </w:rPr>
        <w:t>敏感目标处预测值可满足《声环境质量标准》（</w:t>
      </w:r>
      <w:r>
        <w:rPr>
          <w:rFonts w:hint="default" w:ascii="Times New Roman" w:hAnsi="Times New Roman" w:eastAsia="宋体" w:cs="Times New Roman"/>
          <w:color w:val="auto"/>
          <w:kern w:val="0"/>
          <w:sz w:val="24"/>
          <w:szCs w:val="24"/>
          <w:u w:val="none" w:color="auto"/>
          <w:lang w:val="en-US" w:eastAsia="zh-CN" w:bidi="ar"/>
        </w:rPr>
        <w:t>GB3096-2008</w:t>
      </w:r>
      <w:r>
        <w:rPr>
          <w:rFonts w:hint="eastAsia" w:ascii="宋体" w:hAnsi="宋体" w:eastAsia="宋体" w:cs="宋体"/>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 xml:space="preserve">1 </w:t>
      </w:r>
      <w:r>
        <w:rPr>
          <w:rFonts w:hint="eastAsia" w:ascii="宋体" w:hAnsi="宋体" w:eastAsia="宋体" w:cs="宋体"/>
          <w:color w:val="auto"/>
          <w:kern w:val="0"/>
          <w:sz w:val="24"/>
          <w:szCs w:val="24"/>
          <w:u w:val="none" w:color="auto"/>
          <w:lang w:val="en-US" w:eastAsia="zh-CN" w:bidi="ar"/>
        </w:rPr>
        <w:t>类标准要求。</w:t>
      </w:r>
    </w:p>
    <w:p w14:paraId="49713A78">
      <w:pPr>
        <w:pStyle w:val="5"/>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车辆运输</w:t>
      </w:r>
      <w:r>
        <w:rPr>
          <w:rFonts w:hint="default" w:ascii="Times New Roman" w:hAnsi="Times New Roman" w:cs="Times New Roman"/>
          <w:color w:val="auto"/>
          <w:u w:val="none" w:color="auto"/>
        </w:rPr>
        <w:t>噪声影响</w:t>
      </w:r>
      <w:r>
        <w:rPr>
          <w:rFonts w:hint="default" w:ascii="Times New Roman" w:hAnsi="Times New Roman" w:cs="Times New Roman"/>
          <w:color w:val="auto"/>
          <w:u w:val="none" w:color="auto"/>
          <w:lang w:eastAsia="zh-CN"/>
        </w:rPr>
        <w:t>分析</w:t>
      </w:r>
    </w:p>
    <w:p w14:paraId="20A1FC6D">
      <w:pPr>
        <w:spacing w:before="187" w:line="360" w:lineRule="auto"/>
        <w:ind w:left="133" w:right="84" w:firstLine="412"/>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工程运输的主要水泥、钢筋、石料和砂料等施工材料，施工材料运输车辆多为中型车，设备、材料运输车辆行驶过程中产生交通噪声，对道路沿线敏感点产生一定的影响。据有关监测数据，载重车辆的噪声源强约为85dB(A)。根据施工组织设计，场外运输道路主要利用现有道路。根据现场踏勘情况，区域主要交通道路为乡道，其车流量相对不大，不考虑多台车辆同时通过的交通噪声影响，仅计算单台车辆通过时的噪声影响情况。同时，不考虑交通噪声计算中涉及到路面、高路堤或低路堑两侧声影区衰减量等因素，仅进行距离衰减计算。计算模式如下：</w:t>
      </w:r>
    </w:p>
    <w:p w14:paraId="3C2D6FFD">
      <w:pPr>
        <w:spacing w:before="150" w:line="360" w:lineRule="auto"/>
        <w:jc w:val="center"/>
        <w:textAlignment w:val="center"/>
        <w:rPr>
          <w:rFonts w:hint="default" w:ascii="Times New Roman" w:hAnsi="Times New Roman" w:cs="Times New Roman"/>
          <w:color w:val="auto"/>
          <w:spacing w:val="0"/>
          <w:w w:val="100"/>
          <w:position w:val="0"/>
          <w:u w:val="none" w:color="auto"/>
        </w:rPr>
      </w:pPr>
      <w:r>
        <w:rPr>
          <w:rFonts w:hint="default" w:ascii="Times New Roman" w:hAnsi="Times New Roman" w:cs="Times New Roman"/>
          <w:color w:val="auto"/>
          <w:spacing w:val="0"/>
          <w:w w:val="100"/>
          <w:position w:val="0"/>
          <w:u w:val="none" w:color="auto"/>
        </w:rPr>
        <w:drawing>
          <wp:inline distT="0" distB="0" distL="114300" distR="114300">
            <wp:extent cx="1714500" cy="266700"/>
            <wp:effectExtent l="0" t="0" r="0" b="0"/>
            <wp:docPr id="18" name="图片 11"/>
            <wp:cNvGraphicFramePr/>
            <a:graphic xmlns:a="http://schemas.openxmlformats.org/drawingml/2006/main">
              <a:graphicData uri="http://schemas.openxmlformats.org/drawingml/2006/picture">
                <pic:pic xmlns:pic="http://schemas.openxmlformats.org/drawingml/2006/picture">
                  <pic:nvPicPr>
                    <pic:cNvPr id="18" name="图片 11"/>
                    <pic:cNvPicPr/>
                  </pic:nvPicPr>
                  <pic:blipFill>
                    <a:blip r:embed="rId63"/>
                    <a:stretch>
                      <a:fillRect/>
                    </a:stretch>
                  </pic:blipFill>
                  <pic:spPr>
                    <a:xfrm>
                      <a:off x="0" y="0"/>
                      <a:ext cx="1714500" cy="266700"/>
                    </a:xfrm>
                    <a:prstGeom prst="rect">
                      <a:avLst/>
                    </a:prstGeom>
                    <a:noFill/>
                    <a:ln>
                      <a:noFill/>
                    </a:ln>
                  </pic:spPr>
                </pic:pic>
              </a:graphicData>
            </a:graphic>
          </wp:inline>
        </w:drawing>
      </w:r>
    </w:p>
    <w:p w14:paraId="4512F444">
      <w:pPr>
        <w:spacing w:before="148" w:line="360" w:lineRule="auto"/>
        <w:ind w:left="551"/>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式中：</w:t>
      </w:r>
      <w:r>
        <w:rPr>
          <w:rFonts w:hint="default" w:ascii="Times New Roman" w:hAnsi="Times New Roman" w:eastAsia="Times New Roman" w:cs="Times New Roman"/>
          <w:color w:val="auto"/>
          <w:spacing w:val="0"/>
          <w:w w:val="100"/>
          <w:position w:val="0"/>
          <w:sz w:val="24"/>
          <w:szCs w:val="24"/>
          <w:u w:val="none" w:color="auto"/>
        </w:rPr>
        <w:t>LA(r)——</w:t>
      </w:r>
      <w:r>
        <w:rPr>
          <w:rFonts w:hint="default" w:ascii="Times New Roman" w:hAnsi="Times New Roman" w:eastAsia="宋体" w:cs="Times New Roman"/>
          <w:color w:val="auto"/>
          <w:spacing w:val="0"/>
          <w:w w:val="100"/>
          <w:position w:val="0"/>
          <w:sz w:val="24"/>
          <w:szCs w:val="24"/>
          <w:u w:val="none" w:color="auto"/>
        </w:rPr>
        <w:t>距声源</w:t>
      </w:r>
      <w:r>
        <w:rPr>
          <w:rFonts w:hint="default" w:ascii="Times New Roman" w:hAnsi="Times New Roman" w:eastAsia="Times New Roman" w:cs="Times New Roman"/>
          <w:color w:val="auto"/>
          <w:spacing w:val="0"/>
          <w:w w:val="100"/>
          <w:position w:val="0"/>
          <w:sz w:val="24"/>
          <w:szCs w:val="24"/>
          <w:u w:val="none" w:color="auto"/>
        </w:rPr>
        <w:t>r</w:t>
      </w:r>
      <w:r>
        <w:rPr>
          <w:rFonts w:hint="default" w:ascii="Times New Roman" w:hAnsi="Times New Roman" w:eastAsia="宋体" w:cs="Times New Roman"/>
          <w:color w:val="auto"/>
          <w:spacing w:val="0"/>
          <w:w w:val="100"/>
          <w:position w:val="0"/>
          <w:sz w:val="24"/>
          <w:szCs w:val="24"/>
          <w:u w:val="none" w:color="auto"/>
        </w:rPr>
        <w:t>处的声压级，</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2B52E546">
      <w:pPr>
        <w:spacing w:before="143" w:line="360" w:lineRule="auto"/>
        <w:ind w:left="1224"/>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LAW——</w:t>
      </w:r>
      <w:r>
        <w:rPr>
          <w:rFonts w:hint="default" w:ascii="Times New Roman" w:hAnsi="Times New Roman" w:eastAsia="宋体" w:cs="Times New Roman"/>
          <w:color w:val="auto"/>
          <w:spacing w:val="0"/>
          <w:w w:val="100"/>
          <w:position w:val="0"/>
          <w:sz w:val="24"/>
          <w:szCs w:val="24"/>
          <w:u w:val="none" w:color="auto"/>
        </w:rPr>
        <w:t>声源强度，</w:t>
      </w:r>
      <w:r>
        <w:rPr>
          <w:rFonts w:hint="default" w:ascii="Times New Roman" w:hAnsi="Times New Roman" w:eastAsia="Times New Roman" w:cs="Times New Roman"/>
          <w:color w:val="auto"/>
          <w:spacing w:val="0"/>
          <w:w w:val="100"/>
          <w:position w:val="0"/>
          <w:sz w:val="24"/>
          <w:szCs w:val="24"/>
          <w:u w:val="none" w:color="auto"/>
        </w:rPr>
        <w:t>dB(A)</w:t>
      </w:r>
      <w:r>
        <w:rPr>
          <w:rFonts w:hint="default" w:ascii="Times New Roman" w:hAnsi="Times New Roman" w:eastAsia="宋体" w:cs="Times New Roman"/>
          <w:color w:val="auto"/>
          <w:spacing w:val="0"/>
          <w:w w:val="100"/>
          <w:position w:val="0"/>
          <w:sz w:val="24"/>
          <w:szCs w:val="24"/>
          <w:u w:val="none" w:color="auto"/>
        </w:rPr>
        <w:t>；</w:t>
      </w:r>
    </w:p>
    <w:p w14:paraId="0F7090CD">
      <w:pPr>
        <w:spacing w:before="188" w:line="360" w:lineRule="auto"/>
        <w:ind w:left="1220"/>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Times New Roman" w:cs="Times New Roman"/>
          <w:color w:val="auto"/>
          <w:spacing w:val="0"/>
          <w:w w:val="100"/>
          <w:position w:val="0"/>
          <w:sz w:val="24"/>
          <w:szCs w:val="24"/>
          <w:u w:val="none" w:color="auto"/>
        </w:rPr>
        <w:t>r——</w:t>
      </w:r>
      <w:r>
        <w:rPr>
          <w:rFonts w:hint="default" w:ascii="Times New Roman" w:hAnsi="Times New Roman" w:eastAsia="宋体" w:cs="Times New Roman"/>
          <w:color w:val="auto"/>
          <w:spacing w:val="0"/>
          <w:w w:val="100"/>
          <w:position w:val="0"/>
          <w:sz w:val="24"/>
          <w:szCs w:val="24"/>
          <w:u w:val="none" w:color="auto"/>
        </w:rPr>
        <w:t>与声源距离，  (</w:t>
      </w:r>
      <w:r>
        <w:rPr>
          <w:rFonts w:hint="default" w:ascii="Times New Roman" w:hAnsi="Times New Roman" w:eastAsia="Times New Roman" w:cs="Times New Roman"/>
          <w:color w:val="auto"/>
          <w:spacing w:val="0"/>
          <w:w w:val="100"/>
          <w:position w:val="0"/>
          <w:sz w:val="24"/>
          <w:szCs w:val="24"/>
          <w:u w:val="none" w:color="auto"/>
        </w:rPr>
        <w:t>m</w:t>
      </w:r>
      <w:r>
        <w:rPr>
          <w:rFonts w:hint="default" w:ascii="Times New Roman" w:hAnsi="Times New Roman" w:eastAsia="宋体" w:cs="Times New Roman"/>
          <w:color w:val="auto"/>
          <w:spacing w:val="0"/>
          <w:w w:val="100"/>
          <w:position w:val="0"/>
          <w:sz w:val="24"/>
          <w:szCs w:val="24"/>
          <w:u w:val="none" w:color="auto"/>
        </w:rPr>
        <w:t>) ；</w:t>
      </w:r>
    </w:p>
    <w:p w14:paraId="6A91D18D">
      <w:pPr>
        <w:spacing w:before="1" w:line="360" w:lineRule="auto"/>
        <w:ind w:left="546"/>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计算结果见表</w:t>
      </w:r>
      <w:r>
        <w:rPr>
          <w:rFonts w:hint="default" w:ascii="Times New Roman" w:hAnsi="Times New Roman" w:eastAsia="Times New Roman" w:cs="Times New Roman"/>
          <w:color w:val="auto"/>
          <w:spacing w:val="0"/>
          <w:w w:val="100"/>
          <w:position w:val="0"/>
          <w:sz w:val="24"/>
          <w:szCs w:val="24"/>
          <w:u w:val="none" w:color="auto"/>
        </w:rPr>
        <w:t>4.</w:t>
      </w:r>
      <w:r>
        <w:rPr>
          <w:rFonts w:hint="eastAsia" w:ascii="Times New Roman" w:hAnsi="Times New Roman" w:eastAsia="宋体" w:cs="Times New Roman"/>
          <w:color w:val="auto"/>
          <w:spacing w:val="0"/>
          <w:w w:val="100"/>
          <w:position w:val="0"/>
          <w:sz w:val="24"/>
          <w:szCs w:val="24"/>
          <w:u w:val="none" w:color="auto"/>
          <w:lang w:val="en-US" w:eastAsia="zh-CN"/>
        </w:rPr>
        <w:t>2</w:t>
      </w:r>
      <w:r>
        <w:rPr>
          <w:rFonts w:hint="default" w:ascii="Times New Roman" w:hAnsi="Times New Roman" w:eastAsia="Times New Roman" w:cs="Times New Roman"/>
          <w:color w:val="auto"/>
          <w:spacing w:val="0"/>
          <w:w w:val="100"/>
          <w:position w:val="0"/>
          <w:sz w:val="24"/>
          <w:szCs w:val="24"/>
          <w:u w:val="none" w:color="auto"/>
        </w:rPr>
        <w:t>-</w:t>
      </w:r>
      <w:r>
        <w:rPr>
          <w:rFonts w:hint="eastAsia" w:ascii="Times New Roman" w:hAnsi="Times New Roman" w:eastAsia="宋体" w:cs="Times New Roman"/>
          <w:color w:val="auto"/>
          <w:spacing w:val="0"/>
          <w:w w:val="100"/>
          <w:position w:val="0"/>
          <w:sz w:val="24"/>
          <w:szCs w:val="24"/>
          <w:u w:val="none" w:color="auto"/>
          <w:lang w:val="en-US" w:eastAsia="zh-CN"/>
        </w:rPr>
        <w:t>6</w:t>
      </w:r>
      <w:r>
        <w:rPr>
          <w:rFonts w:hint="default" w:ascii="Times New Roman" w:hAnsi="Times New Roman" w:eastAsia="宋体" w:cs="Times New Roman"/>
          <w:color w:val="auto"/>
          <w:spacing w:val="0"/>
          <w:w w:val="100"/>
          <w:position w:val="0"/>
          <w:sz w:val="24"/>
          <w:szCs w:val="24"/>
          <w:u w:val="none" w:color="auto"/>
        </w:rPr>
        <w:t>。</w:t>
      </w:r>
    </w:p>
    <w:p w14:paraId="46D1668D">
      <w:pPr>
        <w:spacing w:before="182" w:line="222" w:lineRule="auto"/>
        <w:ind w:left="2626"/>
        <w:rPr>
          <w:rFonts w:hint="default" w:ascii="Times New Roman" w:hAnsi="Times New Roman" w:eastAsia="宋体" w:cs="Times New Roman"/>
          <w:b/>
          <w:bCs/>
          <w:color w:val="auto"/>
          <w:spacing w:val="0"/>
          <w:w w:val="100"/>
          <w:position w:val="0"/>
          <w:sz w:val="21"/>
          <w:szCs w:val="21"/>
          <w:u w:val="none" w:color="auto"/>
        </w:rPr>
      </w:pPr>
      <w:r>
        <w:rPr>
          <w:rFonts w:hint="default" w:ascii="Times New Roman" w:hAnsi="Times New Roman" w:eastAsia="宋体" w:cs="Times New Roman"/>
          <w:b/>
          <w:bCs/>
          <w:color w:val="auto"/>
          <w:spacing w:val="0"/>
          <w:w w:val="100"/>
          <w:position w:val="0"/>
          <w:sz w:val="21"/>
          <w:szCs w:val="21"/>
          <w:u w:val="none" w:color="auto"/>
        </w:rPr>
        <w:t>表</w:t>
      </w:r>
      <w:r>
        <w:rPr>
          <w:rFonts w:hint="default" w:ascii="Times New Roman" w:hAnsi="Times New Roman" w:eastAsia="Times New Roman" w:cs="Times New Roman"/>
          <w:b/>
          <w:bCs/>
          <w:color w:val="auto"/>
          <w:spacing w:val="0"/>
          <w:w w:val="100"/>
          <w:position w:val="0"/>
          <w:sz w:val="21"/>
          <w:szCs w:val="21"/>
          <w:u w:val="none" w:color="auto"/>
        </w:rPr>
        <w:t>4.</w:t>
      </w:r>
      <w:r>
        <w:rPr>
          <w:rFonts w:hint="eastAsia" w:ascii="Times New Roman" w:hAnsi="Times New Roman" w:eastAsia="宋体" w:cs="Times New Roman"/>
          <w:b/>
          <w:bCs/>
          <w:color w:val="auto"/>
          <w:spacing w:val="0"/>
          <w:w w:val="100"/>
          <w:position w:val="0"/>
          <w:sz w:val="21"/>
          <w:szCs w:val="21"/>
          <w:u w:val="none" w:color="auto"/>
          <w:lang w:val="en-US" w:eastAsia="zh-CN"/>
        </w:rPr>
        <w:t>2</w:t>
      </w:r>
      <w:r>
        <w:rPr>
          <w:rFonts w:hint="default" w:ascii="Times New Roman" w:hAnsi="Times New Roman" w:eastAsia="Times New Roman" w:cs="Times New Roman"/>
          <w:b/>
          <w:bCs/>
          <w:color w:val="auto"/>
          <w:spacing w:val="0"/>
          <w:w w:val="100"/>
          <w:position w:val="0"/>
          <w:sz w:val="21"/>
          <w:szCs w:val="21"/>
          <w:u w:val="none" w:color="auto"/>
        </w:rPr>
        <w:t>-</w:t>
      </w:r>
      <w:r>
        <w:rPr>
          <w:rFonts w:hint="eastAsia" w:ascii="Times New Roman" w:hAnsi="Times New Roman" w:eastAsia="宋体" w:cs="Times New Roman"/>
          <w:b/>
          <w:bCs/>
          <w:color w:val="auto"/>
          <w:spacing w:val="0"/>
          <w:w w:val="100"/>
          <w:position w:val="0"/>
          <w:sz w:val="21"/>
          <w:szCs w:val="21"/>
          <w:u w:val="none" w:color="auto"/>
          <w:lang w:val="en-US" w:eastAsia="zh-CN"/>
        </w:rPr>
        <w:t>6</w:t>
      </w:r>
      <w:r>
        <w:rPr>
          <w:rFonts w:hint="default" w:ascii="Times New Roman" w:hAnsi="Times New Roman" w:eastAsia="Times New Roman" w:cs="Times New Roman"/>
          <w:b/>
          <w:bCs/>
          <w:color w:val="auto"/>
          <w:spacing w:val="0"/>
          <w:w w:val="100"/>
          <w:position w:val="0"/>
          <w:sz w:val="21"/>
          <w:szCs w:val="21"/>
          <w:u w:val="none" w:color="auto"/>
        </w:rPr>
        <w:t xml:space="preserve">   </w:t>
      </w:r>
      <w:r>
        <w:rPr>
          <w:rFonts w:hint="default" w:ascii="Times New Roman" w:hAnsi="Times New Roman" w:eastAsia="宋体" w:cs="Times New Roman"/>
          <w:b/>
          <w:bCs/>
          <w:color w:val="auto"/>
          <w:spacing w:val="0"/>
          <w:w w:val="100"/>
          <w:position w:val="0"/>
          <w:sz w:val="21"/>
          <w:szCs w:val="21"/>
          <w:u w:val="none" w:color="auto"/>
        </w:rPr>
        <w:t>运输车辆噪声影响预测结果  单位：dB(A)</w:t>
      </w:r>
    </w:p>
    <w:tbl>
      <w:tblPr>
        <w:tblStyle w:val="9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00"/>
        <w:gridCol w:w="772"/>
        <w:gridCol w:w="779"/>
        <w:gridCol w:w="886"/>
        <w:gridCol w:w="779"/>
        <w:gridCol w:w="828"/>
        <w:gridCol w:w="1013"/>
        <w:gridCol w:w="836"/>
        <w:gridCol w:w="937"/>
      </w:tblGrid>
      <w:tr w14:paraId="387BE8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0" w:type="dxa"/>
            <w:tcBorders>
              <w:tl2br w:val="nil"/>
              <w:tr2bl w:val="nil"/>
            </w:tcBorders>
            <w:noWrap w:val="0"/>
            <w:vAlign w:val="center"/>
          </w:tcPr>
          <w:p w14:paraId="183E011C">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距路中心距( m )</w:t>
            </w:r>
          </w:p>
        </w:tc>
        <w:tc>
          <w:tcPr>
            <w:tcW w:w="772" w:type="dxa"/>
            <w:tcBorders>
              <w:tl2br w:val="nil"/>
              <w:tr2bl w:val="nil"/>
            </w:tcBorders>
            <w:noWrap w:val="0"/>
            <w:vAlign w:val="center"/>
          </w:tcPr>
          <w:p w14:paraId="6295E8BE">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15</w:t>
            </w:r>
          </w:p>
        </w:tc>
        <w:tc>
          <w:tcPr>
            <w:tcW w:w="779" w:type="dxa"/>
            <w:tcBorders>
              <w:tl2br w:val="nil"/>
              <w:tr2bl w:val="nil"/>
            </w:tcBorders>
            <w:noWrap w:val="0"/>
            <w:vAlign w:val="center"/>
          </w:tcPr>
          <w:p w14:paraId="1C88189C">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20</w:t>
            </w:r>
          </w:p>
        </w:tc>
        <w:tc>
          <w:tcPr>
            <w:tcW w:w="886" w:type="dxa"/>
            <w:tcBorders>
              <w:tl2br w:val="nil"/>
              <w:tr2bl w:val="nil"/>
            </w:tcBorders>
            <w:noWrap w:val="0"/>
            <w:vAlign w:val="center"/>
          </w:tcPr>
          <w:p w14:paraId="7099E5AB">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40</w:t>
            </w:r>
          </w:p>
        </w:tc>
        <w:tc>
          <w:tcPr>
            <w:tcW w:w="779" w:type="dxa"/>
            <w:tcBorders>
              <w:tl2br w:val="nil"/>
              <w:tr2bl w:val="nil"/>
            </w:tcBorders>
            <w:noWrap w:val="0"/>
            <w:vAlign w:val="center"/>
          </w:tcPr>
          <w:p w14:paraId="657B1997">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50</w:t>
            </w:r>
          </w:p>
        </w:tc>
        <w:tc>
          <w:tcPr>
            <w:tcW w:w="828" w:type="dxa"/>
            <w:tcBorders>
              <w:tl2br w:val="nil"/>
              <w:tr2bl w:val="nil"/>
            </w:tcBorders>
            <w:noWrap w:val="0"/>
            <w:vAlign w:val="center"/>
          </w:tcPr>
          <w:p w14:paraId="531309A9">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60</w:t>
            </w:r>
          </w:p>
        </w:tc>
        <w:tc>
          <w:tcPr>
            <w:tcW w:w="1013" w:type="dxa"/>
            <w:tcBorders>
              <w:tl2br w:val="nil"/>
              <w:tr2bl w:val="nil"/>
            </w:tcBorders>
            <w:noWrap w:val="0"/>
            <w:vAlign w:val="center"/>
          </w:tcPr>
          <w:p w14:paraId="75444F91">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80</w:t>
            </w:r>
          </w:p>
        </w:tc>
        <w:tc>
          <w:tcPr>
            <w:tcW w:w="836" w:type="dxa"/>
            <w:tcBorders>
              <w:tl2br w:val="nil"/>
              <w:tr2bl w:val="nil"/>
            </w:tcBorders>
            <w:noWrap w:val="0"/>
            <w:vAlign w:val="center"/>
          </w:tcPr>
          <w:p w14:paraId="30842CA8">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100</w:t>
            </w:r>
          </w:p>
        </w:tc>
        <w:tc>
          <w:tcPr>
            <w:tcW w:w="937" w:type="dxa"/>
            <w:tcBorders>
              <w:tl2br w:val="nil"/>
              <w:tr2bl w:val="nil"/>
            </w:tcBorders>
            <w:noWrap w:val="0"/>
            <w:vAlign w:val="center"/>
          </w:tcPr>
          <w:p w14:paraId="5508FEF3">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200</w:t>
            </w:r>
          </w:p>
        </w:tc>
      </w:tr>
      <w:tr w14:paraId="798BA0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00" w:type="dxa"/>
            <w:tcBorders>
              <w:tl2br w:val="nil"/>
              <w:tr2bl w:val="nil"/>
            </w:tcBorders>
            <w:noWrap w:val="0"/>
            <w:vAlign w:val="center"/>
          </w:tcPr>
          <w:p w14:paraId="2B6182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载重车辆噪声</w:t>
            </w:r>
          </w:p>
        </w:tc>
        <w:tc>
          <w:tcPr>
            <w:tcW w:w="772" w:type="dxa"/>
            <w:tcBorders>
              <w:tl2br w:val="nil"/>
              <w:tr2bl w:val="nil"/>
            </w:tcBorders>
            <w:noWrap w:val="0"/>
            <w:vAlign w:val="center"/>
          </w:tcPr>
          <w:p w14:paraId="41C5813A">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54.5</w:t>
            </w:r>
          </w:p>
        </w:tc>
        <w:tc>
          <w:tcPr>
            <w:tcW w:w="779" w:type="dxa"/>
            <w:tcBorders>
              <w:tl2br w:val="nil"/>
              <w:tr2bl w:val="nil"/>
            </w:tcBorders>
            <w:noWrap w:val="0"/>
            <w:vAlign w:val="center"/>
          </w:tcPr>
          <w:p w14:paraId="34C3B92E">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52.0</w:t>
            </w:r>
          </w:p>
        </w:tc>
        <w:tc>
          <w:tcPr>
            <w:tcW w:w="886" w:type="dxa"/>
            <w:tcBorders>
              <w:tl2br w:val="nil"/>
              <w:tr2bl w:val="nil"/>
            </w:tcBorders>
            <w:noWrap w:val="0"/>
            <w:vAlign w:val="center"/>
          </w:tcPr>
          <w:p w14:paraId="3EF8CC17">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46.0</w:t>
            </w:r>
          </w:p>
        </w:tc>
        <w:tc>
          <w:tcPr>
            <w:tcW w:w="779" w:type="dxa"/>
            <w:tcBorders>
              <w:tl2br w:val="nil"/>
              <w:tr2bl w:val="nil"/>
            </w:tcBorders>
            <w:noWrap w:val="0"/>
            <w:vAlign w:val="center"/>
          </w:tcPr>
          <w:p w14:paraId="2999CA0D">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44.0</w:t>
            </w:r>
          </w:p>
        </w:tc>
        <w:tc>
          <w:tcPr>
            <w:tcW w:w="828" w:type="dxa"/>
            <w:tcBorders>
              <w:tl2br w:val="nil"/>
              <w:tr2bl w:val="nil"/>
            </w:tcBorders>
            <w:noWrap w:val="0"/>
            <w:vAlign w:val="center"/>
          </w:tcPr>
          <w:p w14:paraId="268432FD">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42.4</w:t>
            </w:r>
          </w:p>
        </w:tc>
        <w:tc>
          <w:tcPr>
            <w:tcW w:w="1013" w:type="dxa"/>
            <w:tcBorders>
              <w:tl2br w:val="nil"/>
              <w:tr2bl w:val="nil"/>
            </w:tcBorders>
            <w:noWrap w:val="0"/>
            <w:vAlign w:val="center"/>
          </w:tcPr>
          <w:p w14:paraId="79B55575">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39.9</w:t>
            </w:r>
          </w:p>
        </w:tc>
        <w:tc>
          <w:tcPr>
            <w:tcW w:w="836" w:type="dxa"/>
            <w:tcBorders>
              <w:tl2br w:val="nil"/>
              <w:tr2bl w:val="nil"/>
            </w:tcBorders>
            <w:noWrap w:val="0"/>
            <w:vAlign w:val="center"/>
          </w:tcPr>
          <w:p w14:paraId="66E6FF67">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39.0</w:t>
            </w:r>
          </w:p>
        </w:tc>
        <w:tc>
          <w:tcPr>
            <w:tcW w:w="937" w:type="dxa"/>
            <w:tcBorders>
              <w:tl2br w:val="nil"/>
              <w:tr2bl w:val="nil"/>
            </w:tcBorders>
            <w:noWrap w:val="0"/>
            <w:vAlign w:val="center"/>
          </w:tcPr>
          <w:p w14:paraId="00402E34">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spacing w:val="0"/>
                <w:w w:val="100"/>
                <w:position w:val="0"/>
                <w:sz w:val="21"/>
                <w:szCs w:val="21"/>
                <w:u w:val="none" w:color="auto"/>
              </w:rPr>
            </w:pPr>
            <w:r>
              <w:rPr>
                <w:rFonts w:hint="default" w:ascii="Times New Roman" w:hAnsi="Times New Roman" w:eastAsia="宋体" w:cs="Times New Roman"/>
                <w:color w:val="auto"/>
                <w:spacing w:val="0"/>
                <w:w w:val="100"/>
                <w:position w:val="0"/>
                <w:sz w:val="21"/>
                <w:szCs w:val="21"/>
                <w:u w:val="none" w:color="auto"/>
              </w:rPr>
              <w:t>32.0</w:t>
            </w:r>
          </w:p>
        </w:tc>
      </w:tr>
    </w:tbl>
    <w:p w14:paraId="03F6277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pacing w:val="0"/>
          <w:w w:val="100"/>
          <w:position w:val="0"/>
          <w:sz w:val="24"/>
          <w:szCs w:val="24"/>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根据表格预测结果，在施工高峰期间，距道路中心线</w:t>
      </w:r>
      <w:r>
        <w:rPr>
          <w:rFonts w:hint="default" w:ascii="Times New Roman" w:hAnsi="Times New Roman" w:eastAsia="宋体" w:cs="Times New Roman"/>
          <w:color w:val="auto"/>
          <w:spacing w:val="0"/>
          <w:w w:val="100"/>
          <w:position w:val="0"/>
          <w:sz w:val="24"/>
          <w:szCs w:val="24"/>
          <w:u w:val="none" w:color="auto"/>
          <w:lang w:val="en-US" w:eastAsia="zh-CN"/>
        </w:rPr>
        <w:t>1</w:t>
      </w:r>
      <w:r>
        <w:rPr>
          <w:rFonts w:hint="eastAsia" w:ascii="Times New Roman" w:hAnsi="Times New Roman" w:eastAsia="宋体" w:cs="Times New Roman"/>
          <w:color w:val="auto"/>
          <w:spacing w:val="0"/>
          <w:w w:val="100"/>
          <w:position w:val="0"/>
          <w:sz w:val="24"/>
          <w:szCs w:val="24"/>
          <w:u w:val="none" w:color="auto"/>
          <w:lang w:val="en-US" w:eastAsia="zh-CN"/>
        </w:rPr>
        <w:t>5</w:t>
      </w:r>
      <w:r>
        <w:rPr>
          <w:rFonts w:hint="default" w:ascii="Times New Roman" w:hAnsi="Times New Roman" w:eastAsia="宋体" w:cs="Times New Roman"/>
          <w:color w:val="auto"/>
          <w:spacing w:val="0"/>
          <w:w w:val="100"/>
          <w:position w:val="0"/>
          <w:sz w:val="24"/>
          <w:szCs w:val="24"/>
          <w:u w:val="none" w:color="auto"/>
          <w:lang w:val="en-US" w:eastAsia="zh-CN"/>
        </w:rPr>
        <w:t>m</w:t>
      </w:r>
      <w:r>
        <w:rPr>
          <w:rFonts w:hint="eastAsia" w:ascii="Times New Roman" w:hAnsi="Times New Roman" w:eastAsia="宋体" w:cs="Times New Roman"/>
          <w:color w:val="auto"/>
          <w:spacing w:val="0"/>
          <w:w w:val="100"/>
          <w:position w:val="0"/>
          <w:sz w:val="24"/>
          <w:szCs w:val="24"/>
          <w:u w:val="none" w:color="auto"/>
          <w:lang w:val="en-US" w:eastAsia="zh-CN"/>
        </w:rPr>
        <w:t>以内噪声可满足《声环境质量标准》1类区标准要求。建议施工单位合理安排运输作业时间，途经距离居民点较近的路段时，尽量安排在上午</w:t>
      </w:r>
      <w:r>
        <w:rPr>
          <w:rFonts w:hint="default" w:ascii="Times New Roman" w:hAnsi="Times New Roman" w:eastAsia="宋体" w:cs="Times New Roman"/>
          <w:color w:val="auto"/>
          <w:spacing w:val="0"/>
          <w:w w:val="100"/>
          <w:position w:val="0"/>
          <w:sz w:val="24"/>
          <w:szCs w:val="24"/>
          <w:u w:val="none" w:color="auto"/>
          <w:lang w:val="en-US" w:eastAsia="zh-CN"/>
        </w:rPr>
        <w:t>8</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30</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11</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30</w:t>
      </w:r>
      <w:r>
        <w:rPr>
          <w:rFonts w:hint="eastAsia" w:ascii="Times New Roman" w:hAnsi="Times New Roman" w:eastAsia="宋体" w:cs="Times New Roman"/>
          <w:color w:val="auto"/>
          <w:spacing w:val="0"/>
          <w:w w:val="100"/>
          <w:position w:val="0"/>
          <w:sz w:val="24"/>
          <w:szCs w:val="24"/>
          <w:u w:val="none" w:color="auto"/>
          <w:lang w:val="en-US" w:eastAsia="zh-CN"/>
        </w:rPr>
        <w:t>、下午</w:t>
      </w:r>
      <w:r>
        <w:rPr>
          <w:rFonts w:hint="default" w:ascii="Times New Roman" w:hAnsi="Times New Roman" w:eastAsia="宋体" w:cs="Times New Roman"/>
          <w:color w:val="auto"/>
          <w:spacing w:val="0"/>
          <w:w w:val="100"/>
          <w:position w:val="0"/>
          <w:sz w:val="24"/>
          <w:szCs w:val="24"/>
          <w:u w:val="none" w:color="auto"/>
          <w:lang w:val="en-US" w:eastAsia="zh-CN"/>
        </w:rPr>
        <w:t>2</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30</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6</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 xml:space="preserve">30 </w:t>
      </w:r>
      <w:r>
        <w:rPr>
          <w:rFonts w:hint="eastAsia" w:ascii="Times New Roman" w:hAnsi="Times New Roman" w:eastAsia="宋体" w:cs="Times New Roman"/>
          <w:color w:val="auto"/>
          <w:spacing w:val="0"/>
          <w:w w:val="100"/>
          <w:position w:val="0"/>
          <w:sz w:val="24"/>
          <w:szCs w:val="24"/>
          <w:u w:val="none" w:color="auto"/>
          <w:lang w:val="en-US" w:eastAsia="zh-CN"/>
        </w:rPr>
        <w:t>进行，车辆行驶速度控制在</w:t>
      </w:r>
      <w:r>
        <w:rPr>
          <w:rFonts w:hint="default" w:ascii="Times New Roman" w:hAnsi="Times New Roman" w:eastAsia="宋体" w:cs="Times New Roman"/>
          <w:color w:val="auto"/>
          <w:spacing w:val="0"/>
          <w:w w:val="100"/>
          <w:position w:val="0"/>
          <w:sz w:val="24"/>
          <w:szCs w:val="24"/>
          <w:u w:val="none" w:color="auto"/>
          <w:lang w:val="en-US" w:eastAsia="zh-CN"/>
        </w:rPr>
        <w:t>20km/h</w:t>
      </w:r>
      <w:r>
        <w:rPr>
          <w:rFonts w:hint="eastAsia" w:ascii="Times New Roman" w:hAnsi="Times New Roman" w:eastAsia="宋体" w:cs="Times New Roman"/>
          <w:color w:val="auto"/>
          <w:spacing w:val="0"/>
          <w:w w:val="100"/>
          <w:position w:val="0"/>
          <w:sz w:val="24"/>
          <w:szCs w:val="24"/>
          <w:u w:val="none" w:color="auto"/>
          <w:lang w:val="en-US" w:eastAsia="zh-CN"/>
        </w:rPr>
        <w:t xml:space="preserve">以内。随着施工期结束，项目对运输道路沿线居民声环境影响随即结束，在落实环评提出的运输噪声控制措施基础上，对运输沿线声环境影响可以接受。 </w:t>
      </w:r>
    </w:p>
    <w:p w14:paraId="17F41E3B">
      <w:pPr>
        <w:pStyle w:val="4"/>
        <w:bidi w:val="0"/>
        <w:rPr>
          <w:rFonts w:hint="default" w:ascii="Times New Roman" w:hAnsi="Times New Roman" w:cs="Times New Roman"/>
          <w:color w:val="auto"/>
          <w:u w:val="none" w:color="auto"/>
        </w:rPr>
      </w:pPr>
      <w:bookmarkStart w:id="287" w:name="_Toc32028"/>
      <w:r>
        <w:rPr>
          <w:rFonts w:hint="default" w:ascii="Times New Roman" w:hAnsi="Times New Roman" w:cs="Times New Roman"/>
          <w:color w:val="auto"/>
          <w:u w:val="none" w:color="auto"/>
          <w:lang w:val="en-US" w:eastAsia="zh-CN"/>
        </w:rPr>
        <w:t>施工期</w:t>
      </w:r>
      <w:r>
        <w:rPr>
          <w:rFonts w:hint="default" w:ascii="Times New Roman" w:hAnsi="Times New Roman" w:cs="Times New Roman"/>
          <w:color w:val="auto"/>
          <w:u w:val="none" w:color="auto"/>
        </w:rPr>
        <w:t>固体废物影响分析</w:t>
      </w:r>
      <w:bookmarkEnd w:id="287"/>
    </w:p>
    <w:p w14:paraId="527EE50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b w:val="0"/>
          <w:bCs w:val="0"/>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eastAsia="zh-CN"/>
        </w:rPr>
        <w:t>工程弃</w:t>
      </w:r>
      <w:r>
        <w:rPr>
          <w:rFonts w:hint="default" w:ascii="Times New Roman" w:hAnsi="Times New Roman" w:eastAsia="宋体" w:cs="Times New Roman"/>
          <w:color w:val="auto"/>
          <w:spacing w:val="0"/>
          <w:w w:val="100"/>
          <w:position w:val="0"/>
          <w:sz w:val="24"/>
          <w:szCs w:val="24"/>
          <w:u w:val="none" w:color="auto"/>
          <w:lang w:val="en-US" w:eastAsia="zh-CN"/>
        </w:rPr>
        <w:t>土</w:t>
      </w:r>
    </w:p>
    <w:p w14:paraId="35E6AAE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根据本工程初设报告</w:t>
      </w:r>
      <w:r>
        <w:rPr>
          <w:rFonts w:hint="default" w:ascii="Times New Roman" w:hAnsi="Times New Roman" w:eastAsia="宋体" w:cs="Times New Roman"/>
          <w:color w:val="auto"/>
          <w:spacing w:val="0"/>
          <w:w w:val="100"/>
          <w:position w:val="0"/>
          <w:sz w:val="24"/>
          <w:szCs w:val="24"/>
          <w:u w:val="none" w:color="auto"/>
          <w:lang w:eastAsia="zh-CN"/>
        </w:rPr>
        <w:t>报告和</w:t>
      </w:r>
      <w:r>
        <w:rPr>
          <w:rFonts w:hint="default" w:ascii="Times New Roman" w:hAnsi="Times New Roman" w:eastAsia="宋体" w:cs="Times New Roman"/>
          <w:color w:val="auto"/>
          <w:spacing w:val="0"/>
          <w:w w:val="100"/>
          <w:position w:val="0"/>
          <w:sz w:val="24"/>
          <w:szCs w:val="24"/>
          <w:u w:val="none" w:color="auto"/>
        </w:rPr>
        <w:t>水土保持</w:t>
      </w:r>
      <w:r>
        <w:rPr>
          <w:rFonts w:hint="default" w:ascii="Times New Roman" w:hAnsi="Times New Roman" w:eastAsia="宋体" w:cs="Times New Roman"/>
          <w:color w:val="auto"/>
          <w:spacing w:val="0"/>
          <w:w w:val="100"/>
          <w:position w:val="0"/>
          <w:sz w:val="24"/>
          <w:szCs w:val="24"/>
          <w:u w:val="none" w:color="auto"/>
          <w:lang w:eastAsia="zh-CN"/>
        </w:rPr>
        <w:t>方案中</w:t>
      </w:r>
      <w:r>
        <w:rPr>
          <w:rFonts w:hint="default" w:ascii="Times New Roman" w:hAnsi="Times New Roman" w:eastAsia="宋体" w:cs="Times New Roman"/>
          <w:color w:val="auto"/>
          <w:spacing w:val="0"/>
          <w:w w:val="100"/>
          <w:position w:val="0"/>
          <w:sz w:val="24"/>
          <w:szCs w:val="24"/>
          <w:u w:val="none" w:color="auto"/>
        </w:rPr>
        <w:t>土石方平衡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本工程产生弃土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/石</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量约为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1.336万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。项目弃方全部运至</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侯家岭弃土场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，施工弃渣严禁向水库和河道内倾倒。</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该弃土场占地面积约1.0hm</w:t>
      </w:r>
      <w:r>
        <w:rPr>
          <w:rFonts w:hint="eastAsia"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，平均堆高2.3m，弃土场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可容纳工程施工过程产生的全部弃渣</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rPr>
        <w:t>施工期废弃土石方得到妥善处置，对周围影响不大。</w:t>
      </w:r>
    </w:p>
    <w:p w14:paraId="559B44D6">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w:t>
      </w:r>
      <w:r>
        <w:rPr>
          <w:rFonts w:hint="default" w:ascii="Times New Roman" w:hAnsi="Times New Roman" w:eastAsia="宋体" w:cs="Times New Roman"/>
          <w:color w:val="auto"/>
          <w:spacing w:val="0"/>
          <w:w w:val="100"/>
          <w:position w:val="0"/>
          <w:sz w:val="24"/>
          <w:szCs w:val="24"/>
          <w:u w:val="none" w:color="auto"/>
          <w:lang w:eastAsia="zh-CN"/>
        </w:rPr>
        <w:t>拆除的设备</w:t>
      </w:r>
    </w:p>
    <w:p w14:paraId="3C33236B">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本工程</w:t>
      </w:r>
      <w:r>
        <w:rPr>
          <w:rFonts w:hint="eastAsia" w:ascii="Times New Roman" w:hAnsi="Times New Roman" w:eastAsia="宋体" w:cs="Times New Roman"/>
          <w:color w:val="auto"/>
          <w:spacing w:val="0"/>
          <w:w w:val="100"/>
          <w:position w:val="0"/>
          <w:sz w:val="24"/>
          <w:szCs w:val="24"/>
          <w:u w:val="none" w:color="auto"/>
          <w:lang w:eastAsia="zh-CN"/>
        </w:rPr>
        <w:t>对</w:t>
      </w:r>
      <w:r>
        <w:rPr>
          <w:rFonts w:hint="default" w:ascii="Times New Roman" w:hAnsi="Times New Roman" w:eastAsia="宋体" w:cs="Times New Roman"/>
          <w:color w:val="auto"/>
          <w:spacing w:val="0"/>
          <w:w w:val="100"/>
          <w:position w:val="0"/>
          <w:sz w:val="24"/>
          <w:szCs w:val="24"/>
          <w:u w:val="none" w:color="auto"/>
          <w:lang w:eastAsia="zh-CN"/>
        </w:rPr>
        <w:t>泄洪闸</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输水涵闸</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进水涵</w:t>
      </w:r>
      <w:r>
        <w:rPr>
          <w:rFonts w:hint="eastAsia" w:ascii="Times New Roman" w:hAnsi="Times New Roman" w:eastAsia="宋体" w:cs="Times New Roman"/>
          <w:color w:val="auto"/>
          <w:spacing w:val="0"/>
          <w:w w:val="100"/>
          <w:position w:val="0"/>
          <w:sz w:val="24"/>
          <w:szCs w:val="24"/>
          <w:u w:val="none" w:color="auto"/>
          <w:lang w:eastAsia="zh-CN"/>
        </w:rPr>
        <w:t>的</w:t>
      </w:r>
      <w:r>
        <w:rPr>
          <w:rFonts w:hint="default" w:ascii="Times New Roman" w:hAnsi="Times New Roman" w:eastAsia="宋体" w:cs="Times New Roman"/>
          <w:color w:val="auto"/>
          <w:spacing w:val="0"/>
          <w:w w:val="100"/>
          <w:position w:val="0"/>
          <w:sz w:val="24"/>
          <w:szCs w:val="24"/>
          <w:u w:val="none" w:color="auto"/>
          <w:lang w:eastAsia="zh-CN"/>
        </w:rPr>
        <w:t>拦污栅、工作闸门及其启闭设备</w:t>
      </w:r>
      <w:r>
        <w:rPr>
          <w:rFonts w:hint="eastAsia" w:ascii="Times New Roman" w:hAnsi="Times New Roman" w:eastAsia="宋体" w:cs="Times New Roman"/>
          <w:color w:val="auto"/>
          <w:spacing w:val="0"/>
          <w:w w:val="100"/>
          <w:position w:val="0"/>
          <w:sz w:val="24"/>
          <w:szCs w:val="24"/>
          <w:u w:val="none" w:color="auto"/>
          <w:lang w:eastAsia="zh-CN"/>
        </w:rPr>
        <w:t>进行更新或维修</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工程对金属结构及设备拆除后</w:t>
      </w:r>
      <w:r>
        <w:rPr>
          <w:rFonts w:hint="default" w:ascii="Times New Roman" w:hAnsi="Times New Roman" w:eastAsia="宋体" w:cs="Times New Roman"/>
          <w:color w:val="auto"/>
          <w:spacing w:val="0"/>
          <w:w w:val="100"/>
          <w:position w:val="0"/>
          <w:sz w:val="24"/>
          <w:szCs w:val="24"/>
          <w:u w:val="none" w:color="auto"/>
          <w:lang w:eastAsia="zh-CN"/>
        </w:rPr>
        <w:t>外售</w:t>
      </w:r>
      <w:r>
        <w:rPr>
          <w:rFonts w:hint="default" w:ascii="Times New Roman" w:hAnsi="Times New Roman" w:eastAsia="宋体" w:cs="Times New Roman"/>
          <w:color w:val="auto"/>
          <w:spacing w:val="0"/>
          <w:w w:val="100"/>
          <w:position w:val="0"/>
          <w:sz w:val="24"/>
          <w:szCs w:val="24"/>
          <w:u w:val="none" w:color="auto"/>
        </w:rPr>
        <w:t>进行资源回收</w:t>
      </w:r>
      <w:r>
        <w:rPr>
          <w:rFonts w:hint="default" w:ascii="Times New Roman" w:hAnsi="Times New Roman" w:eastAsia="宋体" w:cs="Times New Roman"/>
          <w:color w:val="auto"/>
          <w:spacing w:val="0"/>
          <w:w w:val="100"/>
          <w:position w:val="0"/>
          <w:sz w:val="24"/>
          <w:szCs w:val="24"/>
          <w:u w:val="none" w:color="auto"/>
          <w:lang w:eastAsia="zh-CN"/>
        </w:rPr>
        <w:t>利用</w:t>
      </w:r>
      <w:r>
        <w:rPr>
          <w:rFonts w:hint="eastAsia" w:ascii="Times New Roman" w:hAnsi="Times New Roman" w:eastAsia="宋体" w:cs="Times New Roman"/>
          <w:color w:val="auto"/>
          <w:spacing w:val="0"/>
          <w:w w:val="100"/>
          <w:position w:val="0"/>
          <w:sz w:val="24"/>
          <w:szCs w:val="24"/>
          <w:u w:val="none" w:color="auto"/>
          <w:lang w:eastAsia="zh-CN"/>
        </w:rPr>
        <w:t>，不会对周边环境造成明显不利影响</w:t>
      </w:r>
      <w:r>
        <w:rPr>
          <w:rFonts w:hint="default" w:ascii="Times New Roman" w:hAnsi="Times New Roman" w:eastAsia="宋体" w:cs="Times New Roman"/>
          <w:color w:val="auto"/>
          <w:spacing w:val="0"/>
          <w:w w:val="100"/>
          <w:position w:val="0"/>
          <w:sz w:val="24"/>
          <w:szCs w:val="24"/>
          <w:u w:val="none" w:color="auto"/>
        </w:rPr>
        <w:t>。</w:t>
      </w:r>
    </w:p>
    <w:p w14:paraId="56821756">
      <w:pPr>
        <w:pageBreakBefore w:val="0"/>
        <w:kinsoku w:val="0"/>
        <w:wordWrap w:val="0"/>
        <w:overflowPunct/>
        <w:topLinePunct/>
        <w:autoSpaceDE/>
        <w:autoSpaceDN/>
        <w:bidi w:val="0"/>
        <w:adjustRightInd w:val="0"/>
        <w:spacing w:line="360" w:lineRule="auto"/>
        <w:ind w:firstLine="480" w:firstLineChars="200"/>
        <w:rPr>
          <w:rFonts w:hint="eastAsia" w:ascii="Times New Roman" w:hAnsi="Times New Roman" w:eastAsia="宋体" w:cs="Times New Roman"/>
          <w:caps w:val="0"/>
          <w:smallCaps w:val="0"/>
          <w:color w:val="FF0000"/>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建筑垃圾</w:t>
      </w:r>
    </w:p>
    <w:p w14:paraId="1C38481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项目施工过程中会产生部分建筑垃圾，主要为管理房、大坝护坡</w:t>
      </w:r>
      <w:r>
        <w:rPr>
          <w:rFonts w:hint="eastAsia" w:ascii="Times New Roman" w:hAnsi="Times New Roman" w:eastAsia="宋体" w:cs="Times New Roman"/>
          <w:color w:val="auto"/>
          <w:spacing w:val="0"/>
          <w:w w:val="100"/>
          <w:position w:val="0"/>
          <w:sz w:val="24"/>
          <w:szCs w:val="24"/>
          <w:u w:val="none" w:color="auto"/>
          <w:lang w:eastAsia="zh-CN"/>
        </w:rPr>
        <w:t>、路面混凝土，以及施工临时设施</w:t>
      </w:r>
      <w:r>
        <w:rPr>
          <w:rFonts w:hint="default" w:ascii="Times New Roman" w:hAnsi="Times New Roman" w:eastAsia="宋体" w:cs="Times New Roman"/>
          <w:color w:val="auto"/>
          <w:spacing w:val="0"/>
          <w:w w:val="100"/>
          <w:position w:val="0"/>
          <w:sz w:val="24"/>
          <w:szCs w:val="24"/>
          <w:u w:val="none" w:color="auto"/>
          <w:lang w:eastAsia="zh-CN"/>
        </w:rPr>
        <w:t>等拆除工程产生的废弃建筑垃圾。根据工程设计方案，砌体和混凝土拆除工程量约为</w:t>
      </w:r>
      <w:r>
        <w:rPr>
          <w:rFonts w:hint="eastAsia" w:ascii="Times New Roman" w:hAnsi="Times New Roman" w:eastAsia="宋体" w:cs="Times New Roman"/>
          <w:color w:val="auto"/>
          <w:spacing w:val="0"/>
          <w:w w:val="100"/>
          <w:position w:val="0"/>
          <w:sz w:val="24"/>
          <w:szCs w:val="24"/>
          <w:u w:val="none" w:color="auto"/>
          <w:lang w:val="en-US" w:eastAsia="zh-CN"/>
        </w:rPr>
        <w:t>0.873万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olor w:val="auto"/>
          <w:spacing w:val="0"/>
          <w:w w:val="100"/>
          <w:position w:val="0"/>
          <w:sz w:val="24"/>
          <w:szCs w:val="24"/>
          <w:u w:val="none" w:color="auto"/>
          <w:lang w:val="en-US" w:eastAsia="zh-CN"/>
        </w:rPr>
        <w:t>，收集后</w:t>
      </w:r>
      <w:r>
        <w:rPr>
          <w:rFonts w:hint="eastAsia" w:ascii="Times New Roman" w:hAnsi="Times New Roman" w:eastAsia="宋体" w:cs="Times New Roman"/>
          <w:color w:val="auto"/>
          <w:spacing w:val="0"/>
          <w:w w:val="100"/>
          <w:position w:val="0"/>
          <w:sz w:val="24"/>
          <w:szCs w:val="24"/>
          <w:u w:val="none" w:color="auto"/>
          <w:lang w:val="en-US" w:eastAsia="zh-CN"/>
        </w:rPr>
        <w:t>交由专业渣土公司</w:t>
      </w:r>
      <w:r>
        <w:rPr>
          <w:rFonts w:hint="default" w:ascii="Times New Roman" w:hAnsi="Times New Roman" w:eastAsia="宋体" w:cs="Times New Roman"/>
          <w:color w:val="auto"/>
          <w:spacing w:val="0"/>
          <w:w w:val="100"/>
          <w:position w:val="0"/>
          <w:sz w:val="24"/>
          <w:szCs w:val="24"/>
          <w:u w:val="none" w:color="auto"/>
          <w:lang w:val="en-US" w:eastAsia="zh-CN"/>
        </w:rPr>
        <w:t>运至</w:t>
      </w:r>
      <w:r>
        <w:rPr>
          <w:rFonts w:hint="eastAsia" w:ascii="Times New Roman" w:hAnsi="Times New Roman" w:eastAsia="宋体" w:cs="Times New Roman"/>
          <w:color w:val="auto"/>
          <w:spacing w:val="0"/>
          <w:w w:val="100"/>
          <w:position w:val="0"/>
          <w:sz w:val="24"/>
          <w:szCs w:val="24"/>
          <w:u w:val="none" w:color="auto"/>
          <w:lang w:val="en-US" w:eastAsia="zh-CN"/>
        </w:rPr>
        <w:t>城管部门指定地点处理处置</w:t>
      </w:r>
      <w:r>
        <w:rPr>
          <w:rFonts w:hint="default" w:ascii="Times New Roman" w:hAnsi="Times New Roman" w:eastAsia="宋体" w:cs="Times New Roman"/>
          <w:color w:val="auto"/>
          <w:spacing w:val="0"/>
          <w:w w:val="100"/>
          <w:position w:val="0"/>
          <w:sz w:val="24"/>
          <w:szCs w:val="24"/>
          <w:u w:val="none" w:color="auto"/>
          <w:lang w:val="en-US" w:eastAsia="zh-CN"/>
        </w:rPr>
        <w:t>。在落实上述措施的前提下，建筑垃圾不会对周围环境造成明显影响。</w:t>
      </w:r>
    </w:p>
    <w:p w14:paraId="5EFFBD1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沉淀池收集的污泥</w:t>
      </w:r>
    </w:p>
    <w:p w14:paraId="29B5592D">
      <w:pPr>
        <w:keepNext w:val="0"/>
        <w:keepLines w:val="0"/>
        <w:widowControl/>
        <w:suppressLineNumbers w:val="0"/>
        <w:spacing w:line="360" w:lineRule="auto"/>
        <w:ind w:firstLine="480" w:firstLineChars="200"/>
        <w:jc w:val="left"/>
        <w:rPr>
          <w:u w:val="none" w:color="auto"/>
        </w:rPr>
      </w:pPr>
      <w:r>
        <w:rPr>
          <w:rFonts w:hint="default" w:ascii="Times New Roman" w:hAnsi="Times New Roman" w:eastAsia="宋体" w:cs="Times New Roman"/>
          <w:sz w:val="24"/>
          <w:szCs w:val="24"/>
          <w:u w:val="none" w:color="auto"/>
          <w:lang w:val="en-US" w:eastAsia="zh-CN"/>
        </w:rPr>
        <w:t>本工程施工期产生的废水经沉淀池处理后回用，不外排</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沉淀池会产生污泥、泥渣</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施工期污泥产生量约为15t。</w:t>
      </w:r>
      <w:r>
        <w:rPr>
          <w:rFonts w:hint="eastAsia" w:ascii="Times New Roman" w:hAnsi="Times New Roman" w:eastAsia="宋体" w:cs="Times New Roman"/>
          <w:sz w:val="24"/>
          <w:szCs w:val="24"/>
          <w:u w:val="none" w:color="auto"/>
          <w:lang w:val="en-US" w:eastAsia="zh-CN"/>
        </w:rPr>
        <w:t>各</w:t>
      </w:r>
      <w:r>
        <w:rPr>
          <w:rFonts w:hint="eastAsia" w:ascii="宋体" w:hAnsi="宋体" w:eastAsia="宋体" w:cs="宋体"/>
          <w:color w:val="000000"/>
          <w:kern w:val="0"/>
          <w:sz w:val="24"/>
          <w:szCs w:val="24"/>
          <w:u w:val="none" w:color="auto"/>
          <w:lang w:val="en-US" w:eastAsia="zh-CN" w:bidi="ar"/>
        </w:rPr>
        <w:t>沉淀池收集的污泥定期人工清理，经收集后外售砖厂制砖。</w:t>
      </w:r>
    </w:p>
    <w:p w14:paraId="1EAAECE4">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生活垃圾</w:t>
      </w:r>
    </w:p>
    <w:p w14:paraId="670384AD">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项目施工期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生活垃圾</w:t>
      </w:r>
      <w:r>
        <w:rPr>
          <w:rFonts w:hint="default" w:ascii="Times New Roman" w:hAnsi="Times New Roman" w:eastAsia="宋体" w:cs="Times New Roman"/>
          <w:caps w:val="0"/>
          <w:smallCaps w:val="0"/>
          <w:color w:val="auto"/>
          <w:spacing w:val="0"/>
          <w:w w:val="100"/>
          <w:kern w:val="0"/>
          <w:position w:val="0"/>
          <w:sz w:val="24"/>
          <w:szCs w:val="24"/>
          <w:u w:val="none" w:color="auto"/>
        </w:rPr>
        <w:t>产生量为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0.16t</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生活垃圾包括废塑料袋（瓶）、瓜果皮、废纸等。在施工期内，为避免其污染环境，滋生蚊虫传播疾病，施工场地设置垃圾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桶</w:t>
      </w:r>
      <w:r>
        <w:rPr>
          <w:rFonts w:hint="default" w:ascii="Times New Roman" w:hAnsi="Times New Roman" w:eastAsia="宋体" w:cs="Times New Roman"/>
          <w:caps w:val="0"/>
          <w:smallCaps w:val="0"/>
          <w:color w:val="auto"/>
          <w:spacing w:val="0"/>
          <w:w w:val="100"/>
          <w:kern w:val="0"/>
          <w:position w:val="0"/>
          <w:sz w:val="24"/>
          <w:szCs w:val="24"/>
          <w:u w:val="none" w:color="auto"/>
        </w:rPr>
        <w:t>，生活垃圾集中收集，定时清运处理。</w:t>
      </w:r>
    </w:p>
    <w:p w14:paraId="5BDA922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生活垃圾中的有机质等多种复杂成分如不及时清理，就会变质腐烂，产生恶臭，不仅污染空气，还容易招引和孳生苍蝇、繁殖老鼠，特别是在夏季高温和雨天污染更加突出。此外，垃圾中还可能含有各种疾病患者用过的废弃物，如果随意丢弃，垃圾中的病原微生物就会随着雨水淋洗，污染土壤，或者随着飘尘污染大气，造成疾病传染和流行，特别是肠道传染疾病。为了预防生活垃圾对土壤、水环境、景观和人群健康的危害，在施工营地和水库区设置垃圾箱，禁止随意倾倒垃圾，对施工人员生活垃圾进行定点、集中收集，统一处置。通过严格施工管理和配置相应的生活垃圾清理、处理设施后，施工人员生活垃圾对周围环境的影响可以减少到最低，生活垃圾定期处理不会对周围环境产生较大危害。</w:t>
      </w:r>
    </w:p>
    <w:p w14:paraId="448211C9">
      <w:pPr>
        <w:pageBreakBefore w:val="0"/>
        <w:numPr>
          <w:ilvl w:val="0"/>
          <w:numId w:val="23"/>
        </w:numPr>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废油</w:t>
      </w:r>
    </w:p>
    <w:p w14:paraId="3FD78CC9">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工程施工期间，对隔油沉淀池定期清理将产生一定量废油，废油产生量约为0.5t/a。根据《国家危险废物名录》（2021年版），隔油池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收集</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废油属于“HW08 废矿物油与含矿物油废物”中的“900-210-08 含油废水处理中隔油、气浮、沉淀等处理过程中产生的浮油、浮渣和污泥”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。废油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如不经处理直接排放，将对周边土壤和水体产生影响。对土壤的影响主要体现在废油会破坏土壤结构，影响土壤通透性，损害植物根部，阻碍根的呼吸与吸收；对水体的主要影响是形成油膜，影响水体复氧，并影响水质。废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经收集后交由</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有资质的单位接收处理并妥善处置。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废油</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妥善处置后可避免对周边土壤和水体水质产生影响。</w:t>
      </w:r>
    </w:p>
    <w:p w14:paraId="532F3BA3">
      <w:pPr>
        <w:pStyle w:val="4"/>
        <w:bidi w:val="0"/>
        <w:rPr>
          <w:rFonts w:hint="default" w:ascii="Times New Roman" w:hAnsi="Times New Roman" w:cs="Times New Roman"/>
          <w:color w:val="auto"/>
          <w:u w:val="none" w:color="auto"/>
        </w:rPr>
      </w:pPr>
      <w:bookmarkStart w:id="288" w:name="bookmark610"/>
      <w:bookmarkStart w:id="289" w:name="bookmark611"/>
      <w:bookmarkStart w:id="290" w:name="_Toc27478"/>
      <w:r>
        <w:rPr>
          <w:rFonts w:hint="default" w:ascii="Times New Roman" w:hAnsi="Times New Roman" w:cs="Times New Roman"/>
          <w:color w:val="auto"/>
          <w:u w:val="none" w:color="auto"/>
        </w:rPr>
        <w:t>生态环境影响</w:t>
      </w:r>
      <w:bookmarkEnd w:id="288"/>
      <w:bookmarkEnd w:id="289"/>
      <w:r>
        <w:rPr>
          <w:rFonts w:hint="default" w:ascii="Times New Roman" w:hAnsi="Times New Roman" w:cs="Times New Roman"/>
          <w:color w:val="auto"/>
          <w:u w:val="none" w:color="auto"/>
        </w:rPr>
        <w:t>分析</w:t>
      </w:r>
      <w:bookmarkEnd w:id="290"/>
    </w:p>
    <w:p w14:paraId="45F2A5D9">
      <w:pPr>
        <w:pStyle w:val="5"/>
        <w:bidi w:val="0"/>
        <w:rPr>
          <w:rFonts w:hint="default" w:ascii="Times New Roman" w:hAnsi="Times New Roman" w:cs="Times New Roman"/>
          <w:color w:val="auto"/>
          <w:u w:val="none" w:color="auto"/>
          <w:lang w:val="en-US" w:eastAsia="zh-CN"/>
        </w:rPr>
      </w:pPr>
      <w:bookmarkStart w:id="291" w:name="_Toc1002"/>
      <w:bookmarkStart w:id="292" w:name="_Toc24741"/>
      <w:bookmarkStart w:id="293" w:name="_Toc27836"/>
      <w:bookmarkStart w:id="294" w:name="_Toc16987"/>
      <w:r>
        <w:rPr>
          <w:rFonts w:hint="default" w:ascii="Times New Roman" w:hAnsi="Times New Roman" w:cs="Times New Roman"/>
          <w:color w:val="auto"/>
          <w:u w:val="none" w:color="auto"/>
          <w:lang w:val="en-US" w:eastAsia="zh-CN"/>
        </w:rPr>
        <w:t>对土地利用</w:t>
      </w:r>
      <w:bookmarkEnd w:id="291"/>
      <w:bookmarkEnd w:id="292"/>
      <w:bookmarkEnd w:id="293"/>
      <w:r>
        <w:rPr>
          <w:rFonts w:hint="default" w:ascii="Times New Roman" w:hAnsi="Times New Roman" w:cs="Times New Roman"/>
          <w:color w:val="auto"/>
          <w:u w:val="none" w:color="auto"/>
          <w:lang w:val="en-US" w:eastAsia="zh-CN"/>
        </w:rPr>
        <w:t>的影响</w:t>
      </w:r>
      <w:bookmarkEnd w:id="294"/>
    </w:p>
    <w:p w14:paraId="20C589D0">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default" w:ascii="Times New Roman" w:hAnsi="Times New Roman" w:eastAsia="宋体" w:cs="Times New Roman"/>
          <w:caps w:val="0"/>
          <w:smallCaps w:val="0"/>
          <w:snapToGrid/>
          <w:color w:val="auto"/>
          <w:spacing w:val="0"/>
          <w:kern w:val="0"/>
          <w:sz w:val="24"/>
          <w:szCs w:val="21"/>
          <w:highlight w:val="none"/>
          <w:u w:val="none" w:color="auto"/>
        </w:rPr>
        <w:t>本工程实施后，评价区各类</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土地</w:t>
      </w:r>
      <w:r>
        <w:rPr>
          <w:rFonts w:hint="default" w:ascii="Times New Roman" w:hAnsi="Times New Roman" w:eastAsia="宋体" w:cs="Times New Roman"/>
          <w:caps w:val="0"/>
          <w:smallCaps w:val="0"/>
          <w:snapToGrid/>
          <w:color w:val="auto"/>
          <w:spacing w:val="0"/>
          <w:kern w:val="0"/>
          <w:sz w:val="24"/>
          <w:szCs w:val="21"/>
          <w:highlight w:val="none"/>
          <w:u w:val="none" w:color="auto"/>
        </w:rPr>
        <w:t>面积的变化见</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下表</w:t>
      </w:r>
      <w:r>
        <w:rPr>
          <w:rFonts w:hint="default" w:ascii="Times New Roman" w:hAnsi="Times New Roman" w:eastAsia="宋体" w:cs="Times New Roman"/>
          <w:caps w:val="0"/>
          <w:smallCaps w:val="0"/>
          <w:snapToGrid/>
          <w:color w:val="auto"/>
          <w:spacing w:val="0"/>
          <w:kern w:val="0"/>
          <w:sz w:val="24"/>
          <w:szCs w:val="21"/>
          <w:highlight w:val="none"/>
          <w:u w:val="none" w:color="auto"/>
        </w:rPr>
        <w:t>。</w:t>
      </w:r>
    </w:p>
    <w:p w14:paraId="0F3339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w w:val="100"/>
          <w:position w:val="0"/>
          <w:sz w:val="21"/>
          <w:szCs w:val="21"/>
          <w:u w:val="none" w:color="auto"/>
          <w:lang w:eastAsia="zh-CN"/>
        </w:rPr>
      </w:pPr>
    </w:p>
    <w:p w14:paraId="407FDF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表</w:t>
      </w:r>
      <w:r>
        <w:rPr>
          <w:rFonts w:hint="eastAsia" w:ascii="Times New Roman" w:hAnsi="Times New Roman" w:eastAsia="宋体" w:cs="Times New Roman"/>
          <w:b/>
          <w:bCs/>
          <w:color w:val="auto"/>
          <w:spacing w:val="0"/>
          <w:w w:val="100"/>
          <w:position w:val="0"/>
          <w:sz w:val="21"/>
          <w:szCs w:val="21"/>
          <w:u w:val="none" w:color="auto"/>
          <w:lang w:val="en-US" w:eastAsia="zh-CN"/>
        </w:rPr>
        <w:t>4.2</w:t>
      </w:r>
      <w:r>
        <w:rPr>
          <w:rFonts w:hint="default" w:ascii="Times New Roman" w:hAnsi="Times New Roman" w:eastAsia="宋体" w:cs="Times New Roman"/>
          <w:b/>
          <w:bCs/>
          <w:color w:val="auto"/>
          <w:spacing w:val="0"/>
          <w:w w:val="100"/>
          <w:position w:val="0"/>
          <w:sz w:val="21"/>
          <w:szCs w:val="21"/>
          <w:u w:val="none" w:color="auto"/>
          <w:lang w:eastAsia="zh-CN"/>
        </w:rPr>
        <w:t>-</w:t>
      </w:r>
      <w:r>
        <w:rPr>
          <w:rFonts w:hint="eastAsia" w:ascii="Times New Roman" w:hAnsi="Times New Roman" w:eastAsia="宋体" w:cs="Times New Roman"/>
          <w:b/>
          <w:bCs/>
          <w:color w:val="auto"/>
          <w:spacing w:val="0"/>
          <w:w w:val="100"/>
          <w:position w:val="0"/>
          <w:sz w:val="21"/>
          <w:szCs w:val="21"/>
          <w:u w:val="none" w:color="auto"/>
          <w:lang w:val="en-US" w:eastAsia="zh-CN"/>
        </w:rPr>
        <w:t>7</w:t>
      </w:r>
      <w:r>
        <w:rPr>
          <w:rFonts w:hint="default" w:ascii="Times New Roman" w:hAnsi="Times New Roman" w:eastAsia="宋体" w:cs="Times New Roman"/>
          <w:b/>
          <w:bCs/>
          <w:color w:val="auto"/>
          <w:spacing w:val="0"/>
          <w:w w:val="100"/>
          <w:position w:val="0"/>
          <w:sz w:val="21"/>
          <w:szCs w:val="21"/>
          <w:u w:val="none" w:color="auto"/>
          <w:lang w:val="en-US" w:eastAsia="zh-CN"/>
        </w:rPr>
        <w:t xml:space="preserve"> </w:t>
      </w:r>
      <w:r>
        <w:rPr>
          <w:rFonts w:hint="default" w:ascii="Times New Roman" w:hAnsi="Times New Roman" w:eastAsia="宋体" w:cs="Times New Roman"/>
          <w:b/>
          <w:bCs/>
          <w:color w:val="auto"/>
          <w:spacing w:val="0"/>
          <w:w w:val="100"/>
          <w:position w:val="0"/>
          <w:sz w:val="21"/>
          <w:szCs w:val="21"/>
          <w:u w:val="none" w:color="auto"/>
          <w:lang w:eastAsia="zh-CN"/>
        </w:rPr>
        <w:t>工程实施前后评价区土地斑块数目和面积变化表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176"/>
        <w:gridCol w:w="1871"/>
        <w:gridCol w:w="1871"/>
        <w:gridCol w:w="1872"/>
      </w:tblGrid>
      <w:tr w14:paraId="53423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58889AF4">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
                <w:caps w:val="0"/>
                <w:smallCaps w:val="0"/>
                <w:snapToGrid/>
                <w:color w:val="auto"/>
                <w:spacing w:val="0"/>
                <w:kern w:val="0"/>
                <w:sz w:val="21"/>
                <w:szCs w:val="21"/>
                <w:highlight w:val="none"/>
                <w:u w:val="none"/>
                <w:lang w:val="en-US" w:eastAsia="zh-CN"/>
              </w:rPr>
              <w:t>编号</w:t>
            </w:r>
          </w:p>
        </w:tc>
        <w:tc>
          <w:tcPr>
            <w:tcW w:w="2178" w:type="dxa"/>
            <w:tcBorders>
              <w:tl2br w:val="nil"/>
              <w:tr2bl w:val="nil"/>
            </w:tcBorders>
            <w:noWrap w:val="0"/>
            <w:vAlign w:val="center"/>
          </w:tcPr>
          <w:p w14:paraId="2A3A5AA0">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b/>
                <w:caps w:val="0"/>
                <w:smallCaps w:val="0"/>
                <w:snapToGrid/>
                <w:color w:val="auto"/>
                <w:spacing w:val="0"/>
                <w:kern w:val="0"/>
                <w:sz w:val="21"/>
                <w:szCs w:val="21"/>
                <w:highlight w:val="none"/>
                <w:u w:val="none"/>
                <w:lang w:eastAsia="zh-CN"/>
              </w:rPr>
              <w:t>土地</w:t>
            </w:r>
            <w:r>
              <w:rPr>
                <w:rFonts w:hint="default" w:ascii="Times New Roman" w:hAnsi="Times New Roman" w:eastAsia="宋体" w:cs="Times New Roman"/>
                <w:b/>
                <w:caps w:val="0"/>
                <w:smallCaps w:val="0"/>
                <w:snapToGrid/>
                <w:color w:val="auto"/>
                <w:spacing w:val="0"/>
                <w:kern w:val="0"/>
                <w:sz w:val="21"/>
                <w:szCs w:val="21"/>
                <w:highlight w:val="none"/>
                <w:u w:val="none"/>
              </w:rPr>
              <w:t>类型</w:t>
            </w:r>
          </w:p>
        </w:tc>
        <w:tc>
          <w:tcPr>
            <w:tcW w:w="1873" w:type="dxa"/>
            <w:tcBorders>
              <w:tl2br w:val="nil"/>
              <w:tr2bl w:val="nil"/>
            </w:tcBorders>
            <w:noWrap w:val="0"/>
            <w:vAlign w:val="center"/>
          </w:tcPr>
          <w:p w14:paraId="69E25B19">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default" w:ascii="Times New Roman" w:hAnsi="Times New Roman" w:eastAsia="宋体" w:cs="Times New Roman"/>
                <w:b/>
                <w:caps w:val="0"/>
                <w:smallCaps w:val="0"/>
                <w:snapToGrid/>
                <w:color w:val="auto"/>
                <w:spacing w:val="0"/>
                <w:kern w:val="0"/>
                <w:sz w:val="21"/>
                <w:szCs w:val="21"/>
                <w:highlight w:val="none"/>
                <w:u w:val="none"/>
              </w:rPr>
              <w:t>建设前（hm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c>
          <w:tcPr>
            <w:tcW w:w="1873" w:type="dxa"/>
            <w:tcBorders>
              <w:tl2br w:val="nil"/>
              <w:tr2bl w:val="nil"/>
            </w:tcBorders>
            <w:noWrap w:val="0"/>
            <w:vAlign w:val="center"/>
          </w:tcPr>
          <w:p w14:paraId="345ABFE7">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default" w:ascii="Times New Roman" w:hAnsi="Times New Roman" w:eastAsia="宋体" w:cs="Times New Roman"/>
                <w:b/>
                <w:caps w:val="0"/>
                <w:smallCaps w:val="0"/>
                <w:snapToGrid/>
                <w:color w:val="auto"/>
                <w:spacing w:val="0"/>
                <w:kern w:val="0"/>
                <w:sz w:val="21"/>
                <w:szCs w:val="21"/>
                <w:highlight w:val="none"/>
                <w:u w:val="none"/>
              </w:rPr>
              <w:t>建设后（hm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c>
          <w:tcPr>
            <w:tcW w:w="1873" w:type="dxa"/>
            <w:tcBorders>
              <w:tl2br w:val="nil"/>
              <w:tr2bl w:val="nil"/>
            </w:tcBorders>
            <w:noWrap w:val="0"/>
            <w:vAlign w:val="center"/>
          </w:tcPr>
          <w:p w14:paraId="2B40A5A6">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default" w:ascii="Times New Roman" w:hAnsi="Times New Roman" w:eastAsia="宋体" w:cs="Times New Roman"/>
                <w:b/>
                <w:caps w:val="0"/>
                <w:smallCaps w:val="0"/>
                <w:snapToGrid/>
                <w:color w:val="auto"/>
                <w:spacing w:val="0"/>
                <w:kern w:val="0"/>
                <w:sz w:val="21"/>
                <w:szCs w:val="21"/>
                <w:highlight w:val="none"/>
                <w:u w:val="none"/>
              </w:rPr>
              <w:t>变化值（hm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r>
      <w:tr w14:paraId="57811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1B142A2F">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50410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水田</w:t>
            </w:r>
          </w:p>
        </w:tc>
        <w:tc>
          <w:tcPr>
            <w:tcW w:w="1873" w:type="dxa"/>
            <w:tcBorders>
              <w:tl2br w:val="nil"/>
              <w:tr2bl w:val="nil"/>
            </w:tcBorders>
            <w:noWrap w:val="0"/>
            <w:vAlign w:val="center"/>
          </w:tcPr>
          <w:p w14:paraId="18E49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344.2565</w:t>
            </w:r>
          </w:p>
        </w:tc>
        <w:tc>
          <w:tcPr>
            <w:tcW w:w="1873" w:type="dxa"/>
            <w:tcBorders>
              <w:tl2br w:val="nil"/>
              <w:tr2bl w:val="nil"/>
            </w:tcBorders>
            <w:noWrap w:val="0"/>
            <w:vAlign w:val="center"/>
          </w:tcPr>
          <w:p w14:paraId="37D3CD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344.2565</w:t>
            </w:r>
          </w:p>
        </w:tc>
        <w:tc>
          <w:tcPr>
            <w:tcW w:w="1873" w:type="dxa"/>
            <w:tcBorders>
              <w:tl2br w:val="nil"/>
              <w:tr2bl w:val="nil"/>
            </w:tcBorders>
            <w:noWrap w:val="0"/>
            <w:vAlign w:val="center"/>
          </w:tcPr>
          <w:p w14:paraId="76BF553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F1DF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5BFCBCF5">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52EB7F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旱地</w:t>
            </w:r>
          </w:p>
        </w:tc>
        <w:tc>
          <w:tcPr>
            <w:tcW w:w="1873" w:type="dxa"/>
            <w:tcBorders>
              <w:tl2br w:val="nil"/>
              <w:tr2bl w:val="nil"/>
            </w:tcBorders>
            <w:noWrap w:val="0"/>
            <w:vAlign w:val="center"/>
          </w:tcPr>
          <w:p w14:paraId="373C1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326.6993</w:t>
            </w:r>
          </w:p>
        </w:tc>
        <w:tc>
          <w:tcPr>
            <w:tcW w:w="1873" w:type="dxa"/>
            <w:tcBorders>
              <w:tl2br w:val="nil"/>
              <w:tr2bl w:val="nil"/>
            </w:tcBorders>
            <w:noWrap w:val="0"/>
            <w:vAlign w:val="center"/>
          </w:tcPr>
          <w:p w14:paraId="247A85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326.6993</w:t>
            </w:r>
          </w:p>
        </w:tc>
        <w:tc>
          <w:tcPr>
            <w:tcW w:w="1873" w:type="dxa"/>
            <w:tcBorders>
              <w:tl2br w:val="nil"/>
              <w:tr2bl w:val="nil"/>
            </w:tcBorders>
            <w:noWrap w:val="0"/>
            <w:vAlign w:val="center"/>
          </w:tcPr>
          <w:p w14:paraId="23FC601A">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66EBB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74274999">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72E4F1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其他园地</w:t>
            </w:r>
          </w:p>
        </w:tc>
        <w:tc>
          <w:tcPr>
            <w:tcW w:w="1873" w:type="dxa"/>
            <w:tcBorders>
              <w:tl2br w:val="nil"/>
              <w:tr2bl w:val="nil"/>
            </w:tcBorders>
            <w:noWrap w:val="0"/>
            <w:vAlign w:val="center"/>
          </w:tcPr>
          <w:p w14:paraId="5E9B4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40.3430</w:t>
            </w:r>
          </w:p>
        </w:tc>
        <w:tc>
          <w:tcPr>
            <w:tcW w:w="1873" w:type="dxa"/>
            <w:tcBorders>
              <w:tl2br w:val="nil"/>
              <w:tr2bl w:val="nil"/>
            </w:tcBorders>
            <w:noWrap w:val="0"/>
            <w:vAlign w:val="center"/>
          </w:tcPr>
          <w:p w14:paraId="3216AE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40.3430</w:t>
            </w:r>
          </w:p>
        </w:tc>
        <w:tc>
          <w:tcPr>
            <w:tcW w:w="1873" w:type="dxa"/>
            <w:tcBorders>
              <w:tl2br w:val="nil"/>
              <w:tr2bl w:val="nil"/>
            </w:tcBorders>
            <w:noWrap w:val="0"/>
            <w:vAlign w:val="center"/>
          </w:tcPr>
          <w:p w14:paraId="61F54DA6">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9FD4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2F79229B">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2A4475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乔木林地</w:t>
            </w:r>
          </w:p>
        </w:tc>
        <w:tc>
          <w:tcPr>
            <w:tcW w:w="1873" w:type="dxa"/>
            <w:tcBorders>
              <w:tl2br w:val="nil"/>
              <w:tr2bl w:val="nil"/>
            </w:tcBorders>
            <w:noWrap w:val="0"/>
            <w:vAlign w:val="center"/>
          </w:tcPr>
          <w:p w14:paraId="5CB44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224.3256</w:t>
            </w:r>
          </w:p>
        </w:tc>
        <w:tc>
          <w:tcPr>
            <w:tcW w:w="1873" w:type="dxa"/>
            <w:tcBorders>
              <w:tl2br w:val="nil"/>
              <w:tr2bl w:val="nil"/>
            </w:tcBorders>
            <w:noWrap w:val="0"/>
            <w:vAlign w:val="center"/>
          </w:tcPr>
          <w:p w14:paraId="559C1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224.3256</w:t>
            </w:r>
          </w:p>
        </w:tc>
        <w:tc>
          <w:tcPr>
            <w:tcW w:w="1873" w:type="dxa"/>
            <w:tcBorders>
              <w:tl2br w:val="nil"/>
              <w:tr2bl w:val="nil"/>
            </w:tcBorders>
            <w:noWrap w:val="0"/>
            <w:vAlign w:val="center"/>
          </w:tcPr>
          <w:p w14:paraId="1CB5BE33">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D7CC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75204261">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03480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竹林地</w:t>
            </w:r>
          </w:p>
        </w:tc>
        <w:tc>
          <w:tcPr>
            <w:tcW w:w="1873" w:type="dxa"/>
            <w:tcBorders>
              <w:tl2br w:val="nil"/>
              <w:tr2bl w:val="nil"/>
            </w:tcBorders>
            <w:noWrap w:val="0"/>
            <w:vAlign w:val="center"/>
          </w:tcPr>
          <w:p w14:paraId="117E8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81.8977</w:t>
            </w:r>
          </w:p>
        </w:tc>
        <w:tc>
          <w:tcPr>
            <w:tcW w:w="1873" w:type="dxa"/>
            <w:tcBorders>
              <w:tl2br w:val="nil"/>
              <w:tr2bl w:val="nil"/>
            </w:tcBorders>
            <w:noWrap w:val="0"/>
            <w:vAlign w:val="center"/>
          </w:tcPr>
          <w:p w14:paraId="4DC27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81.8977</w:t>
            </w:r>
          </w:p>
        </w:tc>
        <w:tc>
          <w:tcPr>
            <w:tcW w:w="1873" w:type="dxa"/>
            <w:tcBorders>
              <w:tl2br w:val="nil"/>
              <w:tr2bl w:val="nil"/>
            </w:tcBorders>
            <w:noWrap w:val="0"/>
            <w:vAlign w:val="center"/>
          </w:tcPr>
          <w:p w14:paraId="568DF84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4B737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1747B99D">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p>
        </w:tc>
        <w:tc>
          <w:tcPr>
            <w:tcW w:w="2178" w:type="dxa"/>
            <w:tcBorders>
              <w:tl2br w:val="nil"/>
              <w:tr2bl w:val="nil"/>
            </w:tcBorders>
            <w:noWrap w:val="0"/>
            <w:vAlign w:val="center"/>
          </w:tcPr>
          <w:p w14:paraId="459FF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灌木林地</w:t>
            </w:r>
          </w:p>
        </w:tc>
        <w:tc>
          <w:tcPr>
            <w:tcW w:w="1873" w:type="dxa"/>
            <w:tcBorders>
              <w:tl2br w:val="nil"/>
              <w:tr2bl w:val="nil"/>
            </w:tcBorders>
            <w:noWrap w:val="0"/>
            <w:vAlign w:val="center"/>
          </w:tcPr>
          <w:p w14:paraId="6C1DF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71.3689</w:t>
            </w:r>
          </w:p>
        </w:tc>
        <w:tc>
          <w:tcPr>
            <w:tcW w:w="1873" w:type="dxa"/>
            <w:tcBorders>
              <w:tl2br w:val="nil"/>
              <w:tr2bl w:val="nil"/>
            </w:tcBorders>
            <w:noWrap w:val="0"/>
            <w:vAlign w:val="center"/>
          </w:tcPr>
          <w:p w14:paraId="4C674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71.3689</w:t>
            </w:r>
          </w:p>
        </w:tc>
        <w:tc>
          <w:tcPr>
            <w:tcW w:w="1873" w:type="dxa"/>
            <w:tcBorders>
              <w:tl2br w:val="nil"/>
              <w:tr2bl w:val="nil"/>
            </w:tcBorders>
            <w:noWrap w:val="0"/>
            <w:vAlign w:val="center"/>
          </w:tcPr>
          <w:p w14:paraId="2152BD0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A03B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1F2B4379">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4A4FD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其他草地</w:t>
            </w:r>
          </w:p>
        </w:tc>
        <w:tc>
          <w:tcPr>
            <w:tcW w:w="1873" w:type="dxa"/>
            <w:tcBorders>
              <w:tl2br w:val="nil"/>
              <w:tr2bl w:val="nil"/>
            </w:tcBorders>
            <w:noWrap w:val="0"/>
            <w:vAlign w:val="center"/>
          </w:tcPr>
          <w:p w14:paraId="7C40C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31.4958</w:t>
            </w:r>
          </w:p>
        </w:tc>
        <w:tc>
          <w:tcPr>
            <w:tcW w:w="1873" w:type="dxa"/>
            <w:tcBorders>
              <w:tl2br w:val="nil"/>
              <w:tr2bl w:val="nil"/>
            </w:tcBorders>
            <w:noWrap w:val="0"/>
            <w:vAlign w:val="center"/>
          </w:tcPr>
          <w:p w14:paraId="5B990E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31.4958</w:t>
            </w:r>
          </w:p>
        </w:tc>
        <w:tc>
          <w:tcPr>
            <w:tcW w:w="1873" w:type="dxa"/>
            <w:tcBorders>
              <w:tl2br w:val="nil"/>
              <w:tr2bl w:val="nil"/>
            </w:tcBorders>
            <w:noWrap w:val="0"/>
            <w:vAlign w:val="center"/>
          </w:tcPr>
          <w:p w14:paraId="52024FE9">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23E60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3C436A79">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517EC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农村宅基地</w:t>
            </w:r>
          </w:p>
        </w:tc>
        <w:tc>
          <w:tcPr>
            <w:tcW w:w="1873" w:type="dxa"/>
            <w:tcBorders>
              <w:tl2br w:val="nil"/>
              <w:tr2bl w:val="nil"/>
            </w:tcBorders>
            <w:noWrap w:val="0"/>
            <w:vAlign w:val="center"/>
          </w:tcPr>
          <w:p w14:paraId="7DDCE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20.0693</w:t>
            </w:r>
          </w:p>
        </w:tc>
        <w:tc>
          <w:tcPr>
            <w:tcW w:w="1873" w:type="dxa"/>
            <w:tcBorders>
              <w:tl2br w:val="nil"/>
              <w:tr2bl w:val="nil"/>
            </w:tcBorders>
            <w:noWrap w:val="0"/>
            <w:vAlign w:val="center"/>
          </w:tcPr>
          <w:p w14:paraId="23ED82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20.0693</w:t>
            </w:r>
          </w:p>
        </w:tc>
        <w:tc>
          <w:tcPr>
            <w:tcW w:w="1873" w:type="dxa"/>
            <w:tcBorders>
              <w:tl2br w:val="nil"/>
              <w:tr2bl w:val="nil"/>
            </w:tcBorders>
            <w:noWrap w:val="0"/>
            <w:vAlign w:val="center"/>
          </w:tcPr>
          <w:p w14:paraId="476FF025">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78F5C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55BCF358">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158A7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公路用地</w:t>
            </w:r>
          </w:p>
        </w:tc>
        <w:tc>
          <w:tcPr>
            <w:tcW w:w="1873" w:type="dxa"/>
            <w:tcBorders>
              <w:tl2br w:val="nil"/>
              <w:tr2bl w:val="nil"/>
            </w:tcBorders>
            <w:noWrap w:val="0"/>
            <w:vAlign w:val="center"/>
          </w:tcPr>
          <w:p w14:paraId="4B7D7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0.2530</w:t>
            </w:r>
          </w:p>
        </w:tc>
        <w:tc>
          <w:tcPr>
            <w:tcW w:w="1873" w:type="dxa"/>
            <w:tcBorders>
              <w:tl2br w:val="nil"/>
              <w:tr2bl w:val="nil"/>
            </w:tcBorders>
            <w:noWrap w:val="0"/>
            <w:vAlign w:val="center"/>
          </w:tcPr>
          <w:p w14:paraId="41B60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0.2530</w:t>
            </w:r>
          </w:p>
        </w:tc>
        <w:tc>
          <w:tcPr>
            <w:tcW w:w="1873" w:type="dxa"/>
            <w:tcBorders>
              <w:tl2br w:val="nil"/>
              <w:tr2bl w:val="nil"/>
            </w:tcBorders>
            <w:noWrap w:val="0"/>
            <w:vAlign w:val="center"/>
          </w:tcPr>
          <w:p w14:paraId="2F305CD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65505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5CDA12EF">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317393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农村道路</w:t>
            </w:r>
          </w:p>
        </w:tc>
        <w:tc>
          <w:tcPr>
            <w:tcW w:w="1873" w:type="dxa"/>
            <w:tcBorders>
              <w:tl2br w:val="nil"/>
              <w:tr2bl w:val="nil"/>
            </w:tcBorders>
            <w:noWrap w:val="0"/>
            <w:vAlign w:val="center"/>
          </w:tcPr>
          <w:p w14:paraId="29265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37.4706</w:t>
            </w:r>
          </w:p>
        </w:tc>
        <w:tc>
          <w:tcPr>
            <w:tcW w:w="1873" w:type="dxa"/>
            <w:tcBorders>
              <w:tl2br w:val="nil"/>
              <w:tr2bl w:val="nil"/>
            </w:tcBorders>
            <w:noWrap w:val="0"/>
            <w:vAlign w:val="center"/>
          </w:tcPr>
          <w:p w14:paraId="14333B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37.4706</w:t>
            </w:r>
          </w:p>
        </w:tc>
        <w:tc>
          <w:tcPr>
            <w:tcW w:w="1873" w:type="dxa"/>
            <w:tcBorders>
              <w:tl2br w:val="nil"/>
              <w:tr2bl w:val="nil"/>
            </w:tcBorders>
            <w:noWrap w:val="0"/>
            <w:vAlign w:val="center"/>
          </w:tcPr>
          <w:p w14:paraId="58E69AD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65F62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21FF2143">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05FCF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snapToGrid/>
                <w:color w:val="auto"/>
                <w:spacing w:val="0"/>
                <w:kern w:val="0"/>
                <w:sz w:val="21"/>
                <w:szCs w:val="21"/>
                <w:highlight w:val="none"/>
                <w:u w:val="none"/>
              </w:rPr>
            </w:pPr>
            <w:r>
              <w:rPr>
                <w:rFonts w:hint="eastAsia" w:ascii="Times New Roman" w:hAnsi="Times New Roman" w:eastAsia="宋体" w:cs="Times New Roman"/>
                <w:color w:val="auto"/>
                <w:sz w:val="21"/>
                <w:szCs w:val="21"/>
                <w:lang w:val="en-US" w:eastAsia="zh-CN"/>
              </w:rPr>
              <w:t>湖泊水面</w:t>
            </w:r>
          </w:p>
        </w:tc>
        <w:tc>
          <w:tcPr>
            <w:tcW w:w="1873" w:type="dxa"/>
            <w:tcBorders>
              <w:tl2br w:val="nil"/>
              <w:tr2bl w:val="nil"/>
            </w:tcBorders>
            <w:noWrap w:val="0"/>
            <w:vAlign w:val="center"/>
          </w:tcPr>
          <w:p w14:paraId="60E9F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48.9118</w:t>
            </w:r>
          </w:p>
        </w:tc>
        <w:tc>
          <w:tcPr>
            <w:tcW w:w="1873" w:type="dxa"/>
            <w:tcBorders>
              <w:tl2br w:val="nil"/>
              <w:tr2bl w:val="nil"/>
            </w:tcBorders>
            <w:noWrap w:val="0"/>
            <w:vAlign w:val="center"/>
          </w:tcPr>
          <w:p w14:paraId="046C5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48.9118</w:t>
            </w:r>
          </w:p>
        </w:tc>
        <w:tc>
          <w:tcPr>
            <w:tcW w:w="1873" w:type="dxa"/>
            <w:tcBorders>
              <w:tl2br w:val="nil"/>
              <w:tr2bl w:val="nil"/>
            </w:tcBorders>
            <w:noWrap w:val="0"/>
            <w:vAlign w:val="center"/>
          </w:tcPr>
          <w:p w14:paraId="03EE03BA">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41DC1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67DF3AAE">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483CF3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color w:val="auto"/>
                <w:sz w:val="21"/>
                <w:szCs w:val="21"/>
                <w:lang w:val="en-US" w:eastAsia="zh-CN"/>
              </w:rPr>
              <w:t>水库水面</w:t>
            </w:r>
          </w:p>
        </w:tc>
        <w:tc>
          <w:tcPr>
            <w:tcW w:w="1873" w:type="dxa"/>
            <w:tcBorders>
              <w:tl2br w:val="nil"/>
              <w:tr2bl w:val="nil"/>
            </w:tcBorders>
            <w:noWrap w:val="0"/>
            <w:vAlign w:val="center"/>
          </w:tcPr>
          <w:p w14:paraId="7BC15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255.3673</w:t>
            </w:r>
          </w:p>
        </w:tc>
        <w:tc>
          <w:tcPr>
            <w:tcW w:w="1873" w:type="dxa"/>
            <w:tcBorders>
              <w:tl2br w:val="nil"/>
              <w:tr2bl w:val="nil"/>
            </w:tcBorders>
            <w:noWrap w:val="0"/>
            <w:vAlign w:val="center"/>
          </w:tcPr>
          <w:p w14:paraId="5D387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255.3673</w:t>
            </w:r>
          </w:p>
        </w:tc>
        <w:tc>
          <w:tcPr>
            <w:tcW w:w="1873" w:type="dxa"/>
            <w:tcBorders>
              <w:tl2br w:val="nil"/>
              <w:tr2bl w:val="nil"/>
            </w:tcBorders>
            <w:noWrap w:val="0"/>
            <w:vAlign w:val="center"/>
          </w:tcPr>
          <w:p w14:paraId="7FDB606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D64A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67B042B4">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2FC7C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color w:val="auto"/>
                <w:sz w:val="21"/>
                <w:szCs w:val="21"/>
                <w:lang w:val="en-US" w:eastAsia="zh-CN"/>
              </w:rPr>
              <w:t>坑塘水面</w:t>
            </w:r>
          </w:p>
        </w:tc>
        <w:tc>
          <w:tcPr>
            <w:tcW w:w="1873" w:type="dxa"/>
            <w:tcBorders>
              <w:tl2br w:val="nil"/>
              <w:tr2bl w:val="nil"/>
            </w:tcBorders>
            <w:noWrap w:val="0"/>
            <w:vAlign w:val="center"/>
          </w:tcPr>
          <w:p w14:paraId="407FF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41.8485</w:t>
            </w:r>
          </w:p>
        </w:tc>
        <w:tc>
          <w:tcPr>
            <w:tcW w:w="1873" w:type="dxa"/>
            <w:tcBorders>
              <w:tl2br w:val="nil"/>
              <w:tr2bl w:val="nil"/>
            </w:tcBorders>
            <w:noWrap w:val="0"/>
            <w:vAlign w:val="center"/>
          </w:tcPr>
          <w:p w14:paraId="42AC9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41.8485</w:t>
            </w:r>
          </w:p>
        </w:tc>
        <w:tc>
          <w:tcPr>
            <w:tcW w:w="1873" w:type="dxa"/>
            <w:tcBorders>
              <w:tl2br w:val="nil"/>
              <w:tr2bl w:val="nil"/>
            </w:tcBorders>
            <w:noWrap w:val="0"/>
            <w:vAlign w:val="center"/>
          </w:tcPr>
          <w:p w14:paraId="7D3AE6F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430A7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6772AFC4">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7AC01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lang w:val="en-US" w:eastAsia="zh-CN"/>
              </w:rPr>
              <w:t>沟渠</w:t>
            </w:r>
          </w:p>
        </w:tc>
        <w:tc>
          <w:tcPr>
            <w:tcW w:w="1873" w:type="dxa"/>
            <w:tcBorders>
              <w:tl2br w:val="nil"/>
              <w:tr2bl w:val="nil"/>
            </w:tcBorders>
            <w:noWrap w:val="0"/>
            <w:vAlign w:val="center"/>
          </w:tcPr>
          <w:p w14:paraId="4A6A1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16.3250</w:t>
            </w:r>
          </w:p>
        </w:tc>
        <w:tc>
          <w:tcPr>
            <w:tcW w:w="1873" w:type="dxa"/>
            <w:tcBorders>
              <w:tl2br w:val="nil"/>
              <w:tr2bl w:val="nil"/>
            </w:tcBorders>
            <w:noWrap w:val="0"/>
            <w:vAlign w:val="center"/>
          </w:tcPr>
          <w:p w14:paraId="60B2E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16.3250</w:t>
            </w:r>
          </w:p>
        </w:tc>
        <w:tc>
          <w:tcPr>
            <w:tcW w:w="1873" w:type="dxa"/>
            <w:tcBorders>
              <w:tl2br w:val="nil"/>
              <w:tr2bl w:val="nil"/>
            </w:tcBorders>
            <w:noWrap w:val="0"/>
            <w:vAlign w:val="center"/>
          </w:tcPr>
          <w:p w14:paraId="1E0A6B79">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8951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41EA12F6">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36C46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lang w:val="en-US" w:eastAsia="zh-CN"/>
              </w:rPr>
              <w:t>水工建筑用地</w:t>
            </w:r>
          </w:p>
        </w:tc>
        <w:tc>
          <w:tcPr>
            <w:tcW w:w="1873" w:type="dxa"/>
            <w:tcBorders>
              <w:tl2br w:val="nil"/>
              <w:tr2bl w:val="nil"/>
            </w:tcBorders>
            <w:noWrap w:val="0"/>
            <w:vAlign w:val="center"/>
          </w:tcPr>
          <w:p w14:paraId="6A5F3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9.4598</w:t>
            </w:r>
          </w:p>
        </w:tc>
        <w:tc>
          <w:tcPr>
            <w:tcW w:w="1873" w:type="dxa"/>
            <w:tcBorders>
              <w:tl2br w:val="nil"/>
              <w:tr2bl w:val="nil"/>
            </w:tcBorders>
            <w:noWrap w:val="0"/>
            <w:vAlign w:val="center"/>
          </w:tcPr>
          <w:p w14:paraId="3C6FD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9.4598</w:t>
            </w:r>
          </w:p>
        </w:tc>
        <w:tc>
          <w:tcPr>
            <w:tcW w:w="1873" w:type="dxa"/>
            <w:tcBorders>
              <w:tl2br w:val="nil"/>
              <w:tr2bl w:val="nil"/>
            </w:tcBorders>
            <w:noWrap w:val="0"/>
            <w:vAlign w:val="center"/>
          </w:tcPr>
          <w:p w14:paraId="6DAE4437">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74B4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noWrap w:val="0"/>
            <w:vAlign w:val="center"/>
          </w:tcPr>
          <w:p w14:paraId="63E34403">
            <w:pPr>
              <w:keepNext w:val="0"/>
              <w:keepLines w:val="0"/>
              <w:numPr>
                <w:ilvl w:val="0"/>
                <w:numId w:val="24"/>
              </w:numPr>
              <w:suppressLineNumbers w:val="0"/>
              <w:spacing w:before="0" w:beforeAutospacing="0" w:after="0" w:afterAutospacing="0" w:line="240" w:lineRule="auto"/>
              <w:ind w:left="425" w:leftChars="0" w:right="0" w:rightChars="0" w:hanging="425" w:firstLineChars="0"/>
              <w:jc w:val="center"/>
              <w:rPr>
                <w:rFonts w:hint="default" w:ascii="Times New Roman" w:hAnsi="Times New Roman" w:eastAsia="宋体" w:cs="Times New Roman"/>
                <w:b w:val="0"/>
                <w:bCs/>
                <w:caps w:val="0"/>
                <w:smallCaps w:val="0"/>
                <w:snapToGrid/>
                <w:color w:val="auto"/>
                <w:spacing w:val="0"/>
                <w:kern w:val="0"/>
                <w:sz w:val="21"/>
                <w:szCs w:val="21"/>
                <w:highlight w:val="none"/>
                <w:u w:val="none"/>
              </w:rPr>
            </w:pPr>
          </w:p>
        </w:tc>
        <w:tc>
          <w:tcPr>
            <w:tcW w:w="2178" w:type="dxa"/>
            <w:tcBorders>
              <w:tl2br w:val="nil"/>
              <w:tr2bl w:val="nil"/>
            </w:tcBorders>
            <w:noWrap w:val="0"/>
            <w:vAlign w:val="center"/>
          </w:tcPr>
          <w:p w14:paraId="41EF2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裸土地</w:t>
            </w:r>
          </w:p>
        </w:tc>
        <w:tc>
          <w:tcPr>
            <w:tcW w:w="1873" w:type="dxa"/>
            <w:tcBorders>
              <w:tl2br w:val="nil"/>
              <w:tr2bl w:val="nil"/>
            </w:tcBorders>
            <w:noWrap w:val="0"/>
            <w:vAlign w:val="center"/>
          </w:tcPr>
          <w:p w14:paraId="0648A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highlight w:val="none"/>
                <w:u w:val="none"/>
                <w:lang w:val="en-US" w:eastAsia="zh-CN" w:bidi="ar"/>
              </w:rPr>
            </w:pPr>
            <w:r>
              <w:rPr>
                <w:rFonts w:hint="eastAsia" w:ascii="Times New Roman" w:hAnsi="Times New Roman" w:eastAsia="宋体" w:cs="Times New Roman"/>
                <w:color w:val="auto"/>
                <w:sz w:val="21"/>
                <w:szCs w:val="21"/>
                <w:lang w:val="en-US" w:eastAsia="zh-CN"/>
              </w:rPr>
              <w:t>1.7481</w:t>
            </w:r>
          </w:p>
        </w:tc>
        <w:tc>
          <w:tcPr>
            <w:tcW w:w="1873" w:type="dxa"/>
            <w:tcBorders>
              <w:tl2br w:val="nil"/>
              <w:tr2bl w:val="nil"/>
            </w:tcBorders>
            <w:noWrap w:val="0"/>
            <w:vAlign w:val="center"/>
          </w:tcPr>
          <w:p w14:paraId="7585BA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2"/>
                <w:sz w:val="21"/>
                <w:szCs w:val="21"/>
                <w:highlight w:val="none"/>
                <w:u w:val="none"/>
                <w:lang w:val="en-US" w:eastAsia="zh-CN" w:bidi="ar"/>
              </w:rPr>
            </w:pPr>
            <w:r>
              <w:rPr>
                <w:rFonts w:hint="eastAsia" w:ascii="Times New Roman" w:hAnsi="Times New Roman" w:eastAsia="宋体" w:cs="Times New Roman"/>
                <w:color w:val="auto"/>
                <w:sz w:val="21"/>
                <w:szCs w:val="21"/>
                <w:lang w:val="en-US" w:eastAsia="zh-CN"/>
              </w:rPr>
              <w:t>1.7481</w:t>
            </w:r>
          </w:p>
        </w:tc>
        <w:tc>
          <w:tcPr>
            <w:tcW w:w="1873" w:type="dxa"/>
            <w:tcBorders>
              <w:tl2br w:val="nil"/>
              <w:tr2bl w:val="nil"/>
            </w:tcBorders>
            <w:noWrap w:val="0"/>
            <w:vAlign w:val="center"/>
          </w:tcPr>
          <w:p w14:paraId="692B10F1">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73208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5" w:type="dxa"/>
            <w:gridSpan w:val="2"/>
            <w:tcBorders>
              <w:tl2br w:val="nil"/>
              <w:tr2bl w:val="nil"/>
            </w:tcBorders>
            <w:noWrap w:val="0"/>
            <w:vAlign w:val="center"/>
          </w:tcPr>
          <w:p w14:paraId="453FB1E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kern w:val="0"/>
                <w:sz w:val="21"/>
                <w:szCs w:val="21"/>
                <w:highlight w:val="none"/>
                <w:u w:val="none"/>
                <w:lang w:val="en-US" w:eastAsia="zh-CN" w:bidi="ar"/>
              </w:rPr>
            </w:pPr>
            <w:r>
              <w:rPr>
                <w:rFonts w:hint="eastAsia" w:ascii="Times New Roman" w:hAnsi="Times New Roman" w:eastAsia="宋体" w:cs="Times New Roman"/>
                <w:caps w:val="0"/>
                <w:smallCaps w:val="0"/>
                <w:color w:val="auto"/>
                <w:kern w:val="0"/>
                <w:sz w:val="21"/>
                <w:szCs w:val="21"/>
                <w:highlight w:val="none"/>
                <w:u w:val="none"/>
                <w:lang w:val="en-US" w:eastAsia="zh-CN" w:bidi="ar"/>
              </w:rPr>
              <w:t>合计</w:t>
            </w:r>
          </w:p>
        </w:tc>
        <w:tc>
          <w:tcPr>
            <w:tcW w:w="1873" w:type="dxa"/>
            <w:tcBorders>
              <w:tl2br w:val="nil"/>
              <w:tr2bl w:val="nil"/>
            </w:tcBorders>
            <w:noWrap w:val="0"/>
            <w:vAlign w:val="center"/>
          </w:tcPr>
          <w:p w14:paraId="7A9DC95D">
            <w:pPr>
              <w:keepNext w:val="0"/>
              <w:keepLines w:val="0"/>
              <w:widowControl w:val="0"/>
              <w:suppressLineNumbers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bidi="ar"/>
              </w:rPr>
              <w:t>1551.8401</w:t>
            </w:r>
          </w:p>
        </w:tc>
        <w:tc>
          <w:tcPr>
            <w:tcW w:w="1873" w:type="dxa"/>
            <w:tcBorders>
              <w:tl2br w:val="nil"/>
              <w:tr2bl w:val="nil"/>
            </w:tcBorders>
            <w:noWrap w:val="0"/>
            <w:vAlign w:val="center"/>
          </w:tcPr>
          <w:p w14:paraId="38812C23">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1551.8401</w:t>
            </w:r>
          </w:p>
        </w:tc>
        <w:tc>
          <w:tcPr>
            <w:tcW w:w="1873" w:type="dxa"/>
            <w:tcBorders>
              <w:tl2br w:val="nil"/>
              <w:tr2bl w:val="nil"/>
            </w:tcBorders>
            <w:noWrap w:val="0"/>
            <w:vAlign w:val="center"/>
          </w:tcPr>
          <w:p w14:paraId="53079BE2">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bl>
    <w:p w14:paraId="04FF642B">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rPr>
      </w:pPr>
      <w:r>
        <w:rPr>
          <w:rFonts w:hint="eastAsia" w:ascii="Times New Roman" w:hAnsi="Times New Roman" w:eastAsia="宋体" w:cs="Times New Roman"/>
          <w:caps w:val="0"/>
          <w:smallCaps w:val="0"/>
          <w:snapToGrid/>
          <w:color w:val="auto"/>
          <w:spacing w:val="0"/>
          <w:kern w:val="0"/>
          <w:sz w:val="24"/>
          <w:szCs w:val="21"/>
          <w:highlight w:val="none"/>
          <w:u w:val="none" w:color="auto"/>
        </w:rPr>
        <w:t>由上表可知，工程建设前后，评价区土地利用格局</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未发生</w:t>
      </w:r>
      <w:r>
        <w:rPr>
          <w:rFonts w:hint="eastAsia" w:ascii="Times New Roman" w:hAnsi="Times New Roman" w:eastAsia="宋体" w:cs="Times New Roman"/>
          <w:caps w:val="0"/>
          <w:smallCaps w:val="0"/>
          <w:snapToGrid/>
          <w:color w:val="auto"/>
          <w:spacing w:val="0"/>
          <w:kern w:val="0"/>
          <w:sz w:val="24"/>
          <w:szCs w:val="21"/>
          <w:highlight w:val="none"/>
          <w:u w:val="none" w:color="auto"/>
        </w:rPr>
        <w:t>变化</w:t>
      </w:r>
      <w:r>
        <w:rPr>
          <w:rFonts w:hint="eastAsia" w:ascii="Times New Roman" w:hAnsi="Times New Roman" w:eastAsia="宋体" w:cs="Times New Roman"/>
          <w:caps w:val="0"/>
          <w:smallCaps w:val="0"/>
          <w:snapToGrid/>
          <w:color w:val="auto"/>
          <w:spacing w:val="0"/>
          <w:kern w:val="0"/>
          <w:sz w:val="24"/>
          <w:szCs w:val="21"/>
          <w:highlight w:val="none"/>
          <w:u w:val="none" w:color="auto"/>
          <w:lang w:eastAsia="zh-CN"/>
        </w:rPr>
        <w:t>，</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主要是因为项目用地均在现有水工建筑用地范围内，对周边土地利用基本无影响</w:t>
      </w:r>
      <w:r>
        <w:rPr>
          <w:rFonts w:hint="eastAsia" w:ascii="Times New Roman" w:hAnsi="Times New Roman" w:eastAsia="宋体" w:cs="Times New Roman"/>
          <w:caps w:val="0"/>
          <w:smallCaps w:val="0"/>
          <w:snapToGrid/>
          <w:color w:val="auto"/>
          <w:spacing w:val="0"/>
          <w:kern w:val="0"/>
          <w:sz w:val="24"/>
          <w:szCs w:val="21"/>
          <w:highlight w:val="none"/>
          <w:u w:val="none" w:color="auto"/>
        </w:rPr>
        <w:t>。</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项目临时用地占用部分乔木林地，经后期生态恢复，可逐步恢复其生态功能，对土地利用的影响较小。</w:t>
      </w:r>
    </w:p>
    <w:p w14:paraId="26F15321">
      <w:pPr>
        <w:pStyle w:val="5"/>
        <w:bidi w:val="0"/>
        <w:rPr>
          <w:rFonts w:hint="default" w:ascii="Times New Roman" w:hAnsi="Times New Roman" w:cs="Times New Roman"/>
          <w:color w:val="auto"/>
          <w:u w:val="none" w:color="auto"/>
          <w:lang w:val="en-US" w:eastAsia="zh-CN"/>
        </w:rPr>
      </w:pPr>
      <w:bookmarkStart w:id="295" w:name="_Toc16951"/>
      <w:bookmarkStart w:id="296" w:name="_Toc10439"/>
      <w:bookmarkStart w:id="297" w:name="_Toc11521"/>
      <w:bookmarkStart w:id="298" w:name="_Toc10097"/>
      <w:r>
        <w:rPr>
          <w:rFonts w:hint="default" w:ascii="Times New Roman" w:hAnsi="Times New Roman" w:cs="Times New Roman"/>
          <w:color w:val="auto"/>
          <w:u w:val="none" w:color="auto"/>
          <w:lang w:val="en-US" w:eastAsia="zh-CN"/>
        </w:rPr>
        <w:t>对生态系统的影响</w:t>
      </w:r>
      <w:bookmarkEnd w:id="295"/>
      <w:bookmarkEnd w:id="296"/>
      <w:bookmarkEnd w:id="297"/>
      <w:bookmarkEnd w:id="298"/>
    </w:p>
    <w:p w14:paraId="59F93D83">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对生态系统功能的影响</w:t>
      </w:r>
    </w:p>
    <w:p w14:paraId="68B20598">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2"/>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1"/>
          <w:highlight w:val="none"/>
          <w:u w:val="none" w:color="auto"/>
        </w:rPr>
        <w:t>根据遥感解译，</w:t>
      </w:r>
      <w:r>
        <w:rPr>
          <w:rFonts w:hint="default" w:ascii="Times New Roman" w:hAnsi="Times New Roman" w:eastAsia="宋体" w:cs="Times New Roman"/>
          <w:caps w:val="0"/>
          <w:smallCaps w:val="0"/>
          <w:snapToGrid/>
          <w:color w:val="auto"/>
          <w:spacing w:val="0"/>
          <w:kern w:val="0"/>
          <w:sz w:val="24"/>
          <w:szCs w:val="22"/>
          <w:highlight w:val="none"/>
          <w:u w:val="none" w:color="auto"/>
        </w:rPr>
        <w:t>工程占地区各生态系统类型面积见</w:t>
      </w:r>
      <w:r>
        <w:rPr>
          <w:rFonts w:hint="default" w:ascii="Times New Roman" w:hAnsi="Times New Roman" w:eastAsia="宋体" w:cs="Times New Roman"/>
          <w:caps w:val="0"/>
          <w:smallCaps w:val="0"/>
          <w:snapToGrid/>
          <w:color w:val="auto"/>
          <w:spacing w:val="0"/>
          <w:kern w:val="0"/>
          <w:sz w:val="24"/>
          <w:szCs w:val="22"/>
          <w:highlight w:val="none"/>
          <w:u w:val="none" w:color="auto"/>
          <w:lang w:eastAsia="zh-CN"/>
        </w:rPr>
        <w:t>下表。</w:t>
      </w:r>
    </w:p>
    <w:p w14:paraId="4F6CE7A0">
      <w:pPr>
        <w:bidi w:val="0"/>
        <w:jc w:val="center"/>
        <w:rPr>
          <w:rFonts w:hint="default" w:ascii="Times New Roman" w:hAnsi="Times New Roman" w:eastAsia="宋体" w:cs="Times New Roman"/>
          <w:b/>
          <w:bCs/>
          <w:color w:val="auto"/>
          <w:u w:val="none" w:color="auto"/>
          <w:lang w:eastAsia="zh-CN"/>
        </w:rPr>
      </w:pPr>
      <w:r>
        <w:rPr>
          <w:rFonts w:hint="default" w:ascii="Times New Roman" w:hAnsi="Times New Roman" w:eastAsia="宋体" w:cs="Times New Roman"/>
          <w:b/>
          <w:bCs/>
          <w:color w:val="auto"/>
          <w:u w:val="none" w:color="auto"/>
          <w:lang w:eastAsia="zh-CN"/>
        </w:rPr>
        <w:t>表</w:t>
      </w:r>
      <w:r>
        <w:rPr>
          <w:rFonts w:hint="eastAsia" w:ascii="Times New Roman" w:hAnsi="Times New Roman" w:eastAsia="宋体" w:cs="Times New Roman"/>
          <w:b/>
          <w:bCs/>
          <w:color w:val="auto"/>
          <w:u w:val="none" w:color="auto"/>
          <w:lang w:val="en-US" w:eastAsia="zh-CN"/>
        </w:rPr>
        <w:t>4.2</w:t>
      </w:r>
      <w:r>
        <w:rPr>
          <w:rFonts w:hint="default" w:ascii="Times New Roman" w:hAnsi="Times New Roman" w:eastAsia="宋体" w:cs="Times New Roman"/>
          <w:b/>
          <w:bCs/>
          <w:color w:val="auto"/>
          <w:u w:val="none" w:color="auto"/>
          <w:lang w:eastAsia="zh-CN"/>
        </w:rPr>
        <w:t>-</w:t>
      </w:r>
      <w:r>
        <w:rPr>
          <w:rFonts w:hint="eastAsia" w:ascii="Times New Roman" w:hAnsi="Times New Roman" w:eastAsia="宋体" w:cs="Times New Roman"/>
          <w:b/>
          <w:bCs/>
          <w:color w:val="auto"/>
          <w:u w:val="none" w:color="auto"/>
          <w:lang w:val="en-US" w:eastAsia="zh-CN"/>
        </w:rPr>
        <w:t xml:space="preserve">8  </w:t>
      </w:r>
      <w:r>
        <w:rPr>
          <w:rFonts w:hint="default" w:ascii="Times New Roman" w:hAnsi="Times New Roman" w:eastAsia="宋体" w:cs="Times New Roman"/>
          <w:b/>
          <w:bCs/>
          <w:color w:val="auto"/>
          <w:u w:val="none" w:color="auto"/>
          <w:lang w:val="en-US" w:eastAsia="zh-CN"/>
        </w:rPr>
        <w:t xml:space="preserve"> </w:t>
      </w:r>
      <w:r>
        <w:rPr>
          <w:rFonts w:hint="default" w:ascii="Times New Roman" w:hAnsi="Times New Roman" w:eastAsia="宋体" w:cs="Times New Roman"/>
          <w:b/>
          <w:bCs/>
          <w:color w:val="auto"/>
          <w:u w:val="none" w:color="auto"/>
        </w:rPr>
        <w:t>工程占地区各生态系统类型面积统计表</w:t>
      </w:r>
      <w:r>
        <w:rPr>
          <w:rFonts w:hint="default" w:ascii="Times New Roman" w:hAnsi="Times New Roman" w:eastAsia="宋体" w:cs="Times New Roman"/>
          <w:b/>
          <w:bCs/>
          <w:color w:val="auto"/>
          <w:u w:val="none" w:color="auto"/>
          <w:lang w:eastAsia="zh-CN"/>
        </w:rPr>
        <w:t>（单位：</w:t>
      </w:r>
      <w:r>
        <w:rPr>
          <w:rFonts w:hint="default" w:ascii="Times New Roman" w:hAnsi="Times New Roman" w:eastAsia="宋体" w:cs="Times New Roman"/>
          <w:b/>
          <w:bCs/>
          <w:color w:val="auto"/>
          <w:u w:val="none" w:color="auto"/>
        </w:rPr>
        <w:t>hm</w:t>
      </w:r>
      <w:r>
        <w:rPr>
          <w:rFonts w:hint="default" w:ascii="Times New Roman" w:hAnsi="Times New Roman" w:eastAsia="宋体" w:cs="Times New Roman"/>
          <w:b/>
          <w:bCs/>
          <w:color w:val="auto"/>
          <w:u w:val="none" w:color="auto"/>
          <w:vertAlign w:val="superscript"/>
        </w:rPr>
        <w:t>2</w:t>
      </w:r>
      <w:r>
        <w:rPr>
          <w:rFonts w:hint="default" w:ascii="Times New Roman" w:hAnsi="Times New Roman" w:eastAsia="宋体" w:cs="Times New Roman"/>
          <w:b/>
          <w:bCs/>
          <w:color w:val="auto"/>
          <w:u w:val="none" w:color="auto"/>
          <w:lang w:eastAsia="zh-CN"/>
        </w:rPr>
        <w:t>）</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98"/>
        <w:gridCol w:w="1939"/>
        <w:gridCol w:w="1939"/>
        <w:gridCol w:w="1940"/>
      </w:tblGrid>
      <w:tr w14:paraId="29F97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66F76B0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highlight w:val="none"/>
                <w:u w:val="none"/>
              </w:rPr>
            </w:pPr>
            <w:r>
              <w:rPr>
                <w:rFonts w:hint="eastAsia" w:ascii="Times New Roman" w:hAnsi="Times New Roman" w:eastAsia="宋体" w:cs="Times New Roman"/>
                <w:b/>
                <w:bCs/>
                <w:caps w:val="0"/>
                <w:smallCaps w:val="0"/>
                <w:snapToGrid/>
                <w:color w:val="auto"/>
                <w:spacing w:val="0"/>
                <w:kern w:val="0"/>
                <w:sz w:val="21"/>
                <w:szCs w:val="21"/>
                <w:highlight w:val="none"/>
                <w:u w:val="none"/>
                <w:lang w:eastAsia="zh-CN"/>
              </w:rPr>
              <w:t>系统</w:t>
            </w:r>
            <w:r>
              <w:rPr>
                <w:rFonts w:hint="default" w:ascii="Times New Roman" w:hAnsi="Times New Roman" w:eastAsia="宋体" w:cs="Times New Roman"/>
                <w:b/>
                <w:bCs/>
                <w:caps w:val="0"/>
                <w:smallCaps w:val="0"/>
                <w:snapToGrid/>
                <w:color w:val="auto"/>
                <w:spacing w:val="0"/>
                <w:kern w:val="0"/>
                <w:sz w:val="21"/>
                <w:szCs w:val="21"/>
                <w:highlight w:val="none"/>
                <w:u w:val="none"/>
              </w:rPr>
              <w:t>类型</w:t>
            </w:r>
          </w:p>
        </w:tc>
        <w:tc>
          <w:tcPr>
            <w:tcW w:w="1941" w:type="dxa"/>
            <w:tcBorders>
              <w:tl2br w:val="nil"/>
              <w:tr2bl w:val="nil"/>
            </w:tcBorders>
            <w:noWrap w:val="0"/>
            <w:vAlign w:val="center"/>
          </w:tcPr>
          <w:p w14:paraId="243231F1">
            <w:pPr>
              <w:keepNext w:val="0"/>
              <w:keepLines w:val="0"/>
              <w:suppressLineNumbers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aps w:val="0"/>
                <w:smallCaps w:val="0"/>
                <w:color w:val="auto"/>
                <w:sz w:val="21"/>
                <w:szCs w:val="21"/>
                <w:highlight w:val="none"/>
                <w:u w:val="none"/>
                <w:lang w:val="en-US" w:eastAsia="zh-CN"/>
              </w:rPr>
            </w:pPr>
            <w:r>
              <w:rPr>
                <w:rFonts w:hint="default" w:ascii="Times New Roman" w:hAnsi="Times New Roman" w:eastAsia="宋体" w:cs="Times New Roman"/>
                <w:b/>
                <w:caps w:val="0"/>
                <w:smallCaps w:val="0"/>
                <w:snapToGrid/>
                <w:color w:val="auto"/>
                <w:spacing w:val="0"/>
                <w:kern w:val="0"/>
                <w:sz w:val="21"/>
                <w:szCs w:val="21"/>
                <w:highlight w:val="none"/>
                <w:u w:val="none"/>
              </w:rPr>
              <w:t>建设前（hm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c>
          <w:tcPr>
            <w:tcW w:w="1941" w:type="dxa"/>
            <w:tcBorders>
              <w:tl2br w:val="nil"/>
              <w:tr2bl w:val="nil"/>
            </w:tcBorders>
            <w:noWrap w:val="0"/>
            <w:vAlign w:val="center"/>
          </w:tcPr>
          <w:p w14:paraId="7EB57BBF">
            <w:pPr>
              <w:keepNext w:val="0"/>
              <w:keepLines w:val="0"/>
              <w:suppressLineNumbers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bCs/>
                <w:caps w:val="0"/>
                <w:smallCaps w:val="0"/>
                <w:color w:val="auto"/>
                <w:sz w:val="21"/>
                <w:szCs w:val="21"/>
                <w:highlight w:val="none"/>
                <w:u w:val="none"/>
                <w:lang w:val="en-US" w:eastAsia="zh-CN"/>
              </w:rPr>
            </w:pPr>
            <w:r>
              <w:rPr>
                <w:rFonts w:hint="default" w:ascii="Times New Roman" w:hAnsi="Times New Roman" w:eastAsia="宋体" w:cs="Times New Roman"/>
                <w:b/>
                <w:caps w:val="0"/>
                <w:smallCaps w:val="0"/>
                <w:snapToGrid/>
                <w:color w:val="auto"/>
                <w:spacing w:val="0"/>
                <w:kern w:val="0"/>
                <w:sz w:val="21"/>
                <w:szCs w:val="21"/>
                <w:highlight w:val="none"/>
                <w:u w:val="none"/>
              </w:rPr>
              <w:t>建设后（hm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c>
          <w:tcPr>
            <w:tcW w:w="1941" w:type="dxa"/>
            <w:tcBorders>
              <w:tl2br w:val="nil"/>
              <w:tr2bl w:val="nil"/>
            </w:tcBorders>
            <w:noWrap w:val="0"/>
            <w:vAlign w:val="center"/>
          </w:tcPr>
          <w:p w14:paraId="19FA70BD">
            <w:pPr>
              <w:keepNext w:val="0"/>
              <w:keepLines w:val="0"/>
              <w:suppressLineNumbers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b/>
                <w:bCs/>
                <w:caps w:val="0"/>
                <w:smallCaps w:val="0"/>
                <w:color w:val="auto"/>
                <w:sz w:val="21"/>
                <w:szCs w:val="21"/>
                <w:highlight w:val="none"/>
                <w:u w:val="none"/>
                <w:lang w:val="en-US" w:eastAsia="zh-CN"/>
              </w:rPr>
            </w:pPr>
            <w:r>
              <w:rPr>
                <w:rFonts w:hint="default" w:ascii="Times New Roman" w:hAnsi="Times New Roman" w:eastAsia="宋体" w:cs="Times New Roman"/>
                <w:b/>
                <w:caps w:val="0"/>
                <w:smallCaps w:val="0"/>
                <w:snapToGrid/>
                <w:color w:val="auto"/>
                <w:spacing w:val="0"/>
                <w:kern w:val="0"/>
                <w:sz w:val="21"/>
                <w:szCs w:val="21"/>
                <w:highlight w:val="none"/>
                <w:u w:val="none"/>
              </w:rPr>
              <w:t>变化值（hm</w:t>
            </w:r>
            <w:r>
              <w:rPr>
                <w:rFonts w:hint="default" w:ascii="Times New Roman" w:hAnsi="Times New Roman" w:eastAsia="宋体" w:cs="Times New Roman"/>
                <w:b/>
                <w:caps w:val="0"/>
                <w:smallCaps w:val="0"/>
                <w:snapToGrid/>
                <w:color w:val="auto"/>
                <w:spacing w:val="0"/>
                <w:kern w:val="0"/>
                <w:sz w:val="21"/>
                <w:szCs w:val="21"/>
                <w:highlight w:val="none"/>
                <w:u w:val="none"/>
                <w:vertAlign w:val="superscript"/>
              </w:rPr>
              <w:t>2</w:t>
            </w:r>
            <w:r>
              <w:rPr>
                <w:rFonts w:hint="default" w:ascii="Times New Roman" w:hAnsi="Times New Roman" w:eastAsia="宋体" w:cs="Times New Roman"/>
                <w:b/>
                <w:caps w:val="0"/>
                <w:smallCaps w:val="0"/>
                <w:snapToGrid/>
                <w:color w:val="auto"/>
                <w:spacing w:val="0"/>
                <w:kern w:val="0"/>
                <w:sz w:val="21"/>
                <w:szCs w:val="21"/>
                <w:highlight w:val="none"/>
                <w:u w:val="none"/>
              </w:rPr>
              <w:t>）</w:t>
            </w:r>
          </w:p>
        </w:tc>
      </w:tr>
      <w:tr w14:paraId="61DA5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1E41673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highlight w:val="none"/>
                <w:u w:val="none"/>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森林生态系统</w:t>
            </w:r>
          </w:p>
        </w:tc>
        <w:tc>
          <w:tcPr>
            <w:tcW w:w="1941" w:type="dxa"/>
            <w:tcBorders>
              <w:tl2br w:val="nil"/>
              <w:tr2bl w:val="nil"/>
            </w:tcBorders>
            <w:noWrap w:val="0"/>
            <w:vAlign w:val="center"/>
          </w:tcPr>
          <w:p w14:paraId="590764F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bidi="ar-SA"/>
              </w:rPr>
              <w:t>306.2233</w:t>
            </w:r>
          </w:p>
        </w:tc>
        <w:tc>
          <w:tcPr>
            <w:tcW w:w="1941" w:type="dxa"/>
            <w:tcBorders>
              <w:tl2br w:val="nil"/>
              <w:tr2bl w:val="nil"/>
            </w:tcBorders>
            <w:noWrap w:val="0"/>
            <w:vAlign w:val="center"/>
          </w:tcPr>
          <w:p w14:paraId="3F8A4B3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306.2233</w:t>
            </w:r>
          </w:p>
        </w:tc>
        <w:tc>
          <w:tcPr>
            <w:tcW w:w="1941" w:type="dxa"/>
            <w:tcBorders>
              <w:tl2br w:val="nil"/>
              <w:tr2bl w:val="nil"/>
            </w:tcBorders>
            <w:noWrap w:val="0"/>
            <w:vAlign w:val="center"/>
          </w:tcPr>
          <w:p w14:paraId="76FC257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r w14:paraId="5B5EE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47F9955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灌丛生态系统</w:t>
            </w:r>
          </w:p>
        </w:tc>
        <w:tc>
          <w:tcPr>
            <w:tcW w:w="1941" w:type="dxa"/>
            <w:tcBorders>
              <w:tl2br w:val="nil"/>
              <w:tr2bl w:val="nil"/>
            </w:tcBorders>
            <w:noWrap w:val="0"/>
            <w:vAlign w:val="center"/>
          </w:tcPr>
          <w:p w14:paraId="3213016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u w:val="none"/>
                <w:lang w:val="en-US" w:eastAsia="zh-CN" w:bidi="ar-SA"/>
              </w:rPr>
              <w:t>71.3689</w:t>
            </w:r>
          </w:p>
        </w:tc>
        <w:tc>
          <w:tcPr>
            <w:tcW w:w="1941" w:type="dxa"/>
            <w:tcBorders>
              <w:tl2br w:val="nil"/>
              <w:tr2bl w:val="nil"/>
            </w:tcBorders>
            <w:noWrap w:val="0"/>
            <w:vAlign w:val="center"/>
          </w:tcPr>
          <w:p w14:paraId="7F176D6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71.3689</w:t>
            </w:r>
          </w:p>
        </w:tc>
        <w:tc>
          <w:tcPr>
            <w:tcW w:w="1941" w:type="dxa"/>
            <w:tcBorders>
              <w:tl2br w:val="nil"/>
              <w:tr2bl w:val="nil"/>
            </w:tcBorders>
            <w:noWrap w:val="0"/>
            <w:vAlign w:val="center"/>
          </w:tcPr>
          <w:p w14:paraId="3A1577A7">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r w14:paraId="1538C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25D2961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草地生态系统</w:t>
            </w:r>
          </w:p>
        </w:tc>
        <w:tc>
          <w:tcPr>
            <w:tcW w:w="1941" w:type="dxa"/>
            <w:tcBorders>
              <w:tl2br w:val="nil"/>
              <w:tr2bl w:val="nil"/>
            </w:tcBorders>
            <w:noWrap w:val="0"/>
            <w:vAlign w:val="center"/>
          </w:tcPr>
          <w:p w14:paraId="5D4C203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u w:val="none"/>
                <w:lang w:val="en-US" w:eastAsia="zh-CN" w:bidi="ar-SA"/>
              </w:rPr>
              <w:t>31.4958</w:t>
            </w:r>
          </w:p>
        </w:tc>
        <w:tc>
          <w:tcPr>
            <w:tcW w:w="1941" w:type="dxa"/>
            <w:tcBorders>
              <w:tl2br w:val="nil"/>
              <w:tr2bl w:val="nil"/>
            </w:tcBorders>
            <w:noWrap w:val="0"/>
            <w:vAlign w:val="center"/>
          </w:tcPr>
          <w:p w14:paraId="69D491C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31.4958</w:t>
            </w:r>
          </w:p>
        </w:tc>
        <w:tc>
          <w:tcPr>
            <w:tcW w:w="1941" w:type="dxa"/>
            <w:tcBorders>
              <w:tl2br w:val="nil"/>
              <w:tr2bl w:val="nil"/>
            </w:tcBorders>
            <w:noWrap w:val="0"/>
            <w:vAlign w:val="center"/>
          </w:tcPr>
          <w:p w14:paraId="655F438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r w14:paraId="69E58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4B434F01">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湿地生态系统</w:t>
            </w:r>
          </w:p>
        </w:tc>
        <w:tc>
          <w:tcPr>
            <w:tcW w:w="1941" w:type="dxa"/>
            <w:tcBorders>
              <w:tl2br w:val="nil"/>
              <w:tr2bl w:val="nil"/>
            </w:tcBorders>
            <w:noWrap w:val="0"/>
            <w:vAlign w:val="center"/>
          </w:tcPr>
          <w:p w14:paraId="00B2422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kern w:val="2"/>
                <w:sz w:val="21"/>
                <w:szCs w:val="21"/>
                <w:highlight w:val="none"/>
                <w:u w:val="none"/>
                <w:lang w:val="en-US" w:eastAsia="zh-CN" w:bidi="ar-SA"/>
              </w:rPr>
            </w:pPr>
            <w:r>
              <w:rPr>
                <w:rFonts w:hint="default" w:ascii="Times New Roman" w:hAnsi="Times New Roman" w:eastAsia="宋体" w:cs="Times New Roman"/>
                <w:caps w:val="0"/>
                <w:smallCaps w:val="0"/>
                <w:color w:val="auto"/>
                <w:kern w:val="2"/>
                <w:sz w:val="21"/>
                <w:szCs w:val="21"/>
                <w:highlight w:val="none"/>
                <w:u w:val="none"/>
                <w:lang w:val="en-US" w:eastAsia="zh-CN" w:bidi="ar-SA"/>
              </w:rPr>
              <w:t>362.4525</w:t>
            </w:r>
          </w:p>
        </w:tc>
        <w:tc>
          <w:tcPr>
            <w:tcW w:w="1941" w:type="dxa"/>
            <w:tcBorders>
              <w:tl2br w:val="nil"/>
              <w:tr2bl w:val="nil"/>
            </w:tcBorders>
            <w:noWrap w:val="0"/>
            <w:vAlign w:val="center"/>
          </w:tcPr>
          <w:p w14:paraId="2ACEE36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default" w:ascii="Times New Roman" w:hAnsi="Times New Roman" w:eastAsia="宋体" w:cs="Times New Roman"/>
                <w:caps w:val="0"/>
                <w:smallCaps w:val="0"/>
                <w:color w:val="auto"/>
                <w:kern w:val="2"/>
                <w:sz w:val="21"/>
                <w:szCs w:val="21"/>
                <w:highlight w:val="none"/>
                <w:u w:val="none"/>
                <w:lang w:val="en-US" w:eastAsia="zh-CN" w:bidi="ar-SA"/>
              </w:rPr>
              <w:t>362.4525</w:t>
            </w:r>
          </w:p>
        </w:tc>
        <w:tc>
          <w:tcPr>
            <w:tcW w:w="1941" w:type="dxa"/>
            <w:tcBorders>
              <w:tl2br w:val="nil"/>
              <w:tr2bl w:val="nil"/>
            </w:tcBorders>
            <w:noWrap w:val="0"/>
            <w:vAlign w:val="center"/>
          </w:tcPr>
          <w:p w14:paraId="028ED6C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r w14:paraId="23D3C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285C3321">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农田生态系统</w:t>
            </w:r>
          </w:p>
        </w:tc>
        <w:tc>
          <w:tcPr>
            <w:tcW w:w="1941" w:type="dxa"/>
            <w:tcBorders>
              <w:tl2br w:val="nil"/>
              <w:tr2bl w:val="nil"/>
            </w:tcBorders>
            <w:noWrap w:val="0"/>
            <w:vAlign w:val="center"/>
          </w:tcPr>
          <w:p w14:paraId="3F93404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kern w:val="2"/>
                <w:sz w:val="21"/>
                <w:szCs w:val="21"/>
                <w:highlight w:val="none"/>
                <w:u w:val="none"/>
                <w:lang w:val="en-US" w:eastAsia="zh-CN" w:bidi="ar-SA"/>
              </w:rPr>
            </w:pPr>
            <w:r>
              <w:rPr>
                <w:rFonts w:hint="default" w:ascii="Times New Roman" w:hAnsi="Times New Roman" w:eastAsia="宋体" w:cs="Times New Roman"/>
                <w:caps w:val="0"/>
                <w:smallCaps w:val="0"/>
                <w:color w:val="auto"/>
                <w:kern w:val="2"/>
                <w:sz w:val="21"/>
                <w:szCs w:val="21"/>
                <w:highlight w:val="none"/>
                <w:u w:val="none"/>
                <w:lang w:val="en-US" w:eastAsia="zh-CN" w:bidi="ar-SA"/>
              </w:rPr>
              <w:t>711.2988</w:t>
            </w:r>
          </w:p>
        </w:tc>
        <w:tc>
          <w:tcPr>
            <w:tcW w:w="1941" w:type="dxa"/>
            <w:tcBorders>
              <w:tl2br w:val="nil"/>
              <w:tr2bl w:val="nil"/>
            </w:tcBorders>
            <w:noWrap w:val="0"/>
            <w:vAlign w:val="center"/>
          </w:tcPr>
          <w:p w14:paraId="7A58DB6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default" w:ascii="Times New Roman" w:hAnsi="Times New Roman" w:eastAsia="宋体" w:cs="Times New Roman"/>
                <w:caps w:val="0"/>
                <w:smallCaps w:val="0"/>
                <w:color w:val="auto"/>
                <w:kern w:val="2"/>
                <w:sz w:val="21"/>
                <w:szCs w:val="21"/>
                <w:highlight w:val="none"/>
                <w:u w:val="none"/>
                <w:lang w:val="en-US" w:eastAsia="zh-CN" w:bidi="ar-SA"/>
              </w:rPr>
              <w:t>711.2988</w:t>
            </w:r>
          </w:p>
        </w:tc>
        <w:tc>
          <w:tcPr>
            <w:tcW w:w="1941" w:type="dxa"/>
            <w:tcBorders>
              <w:tl2br w:val="nil"/>
              <w:tr2bl w:val="nil"/>
            </w:tcBorders>
            <w:noWrap w:val="0"/>
            <w:vAlign w:val="center"/>
          </w:tcPr>
          <w:p w14:paraId="0970777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caps w:val="0"/>
                <w:smallCaps w:val="0"/>
                <w:color w:val="auto"/>
                <w:sz w:val="21"/>
                <w:szCs w:val="21"/>
                <w:highlight w:val="none"/>
                <w:u w:val="none"/>
                <w:lang w:val="en-US" w:eastAsia="zh-CN"/>
              </w:rPr>
              <w:t>/</w:t>
            </w:r>
          </w:p>
        </w:tc>
      </w:tr>
      <w:tr w14:paraId="4B265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349ECD1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城镇生态系统</w:t>
            </w:r>
          </w:p>
        </w:tc>
        <w:tc>
          <w:tcPr>
            <w:tcW w:w="1941" w:type="dxa"/>
            <w:tcBorders>
              <w:tl2br w:val="nil"/>
              <w:tr2bl w:val="nil"/>
            </w:tcBorders>
            <w:noWrap w:val="0"/>
            <w:vAlign w:val="center"/>
          </w:tcPr>
          <w:p w14:paraId="367FB69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t>67.2527</w:t>
            </w:r>
          </w:p>
        </w:tc>
        <w:tc>
          <w:tcPr>
            <w:tcW w:w="1941" w:type="dxa"/>
            <w:tcBorders>
              <w:tl2br w:val="nil"/>
              <w:tr2bl w:val="nil"/>
            </w:tcBorders>
            <w:noWrap w:val="0"/>
            <w:vAlign w:val="center"/>
          </w:tcPr>
          <w:p w14:paraId="2403D3C8">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t>67.2527</w:t>
            </w:r>
          </w:p>
        </w:tc>
        <w:tc>
          <w:tcPr>
            <w:tcW w:w="1941" w:type="dxa"/>
            <w:tcBorders>
              <w:tl2br w:val="nil"/>
              <w:tr2bl w:val="nil"/>
            </w:tcBorders>
            <w:noWrap w:val="0"/>
            <w:vAlign w:val="center"/>
          </w:tcPr>
          <w:p w14:paraId="21F4F61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bidi="ar-SA"/>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r w14:paraId="40833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0C6FD37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rPr>
              <w:t>其他</w:t>
            </w:r>
          </w:p>
        </w:tc>
        <w:tc>
          <w:tcPr>
            <w:tcW w:w="1941" w:type="dxa"/>
            <w:tcBorders>
              <w:tl2br w:val="nil"/>
              <w:tr2bl w:val="nil"/>
            </w:tcBorders>
            <w:noWrap w:val="0"/>
            <w:vAlign w:val="center"/>
          </w:tcPr>
          <w:p w14:paraId="028C882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rPr>
            </w:pPr>
            <w:r>
              <w:rPr>
                <w:rFonts w:hint="eastAsia" w:ascii="Times New Roman" w:hAnsi="Times New Roman" w:eastAsia="宋体" w:cs="Times New Roman"/>
                <w:i w:val="0"/>
                <w:iCs w:val="0"/>
                <w:color w:val="auto"/>
                <w:kern w:val="2"/>
                <w:sz w:val="21"/>
                <w:szCs w:val="21"/>
                <w:u w:val="none"/>
                <w:lang w:val="en-US" w:eastAsia="zh-CN" w:bidi="ar-SA"/>
              </w:rPr>
              <w:t>1.7481</w:t>
            </w:r>
          </w:p>
        </w:tc>
        <w:tc>
          <w:tcPr>
            <w:tcW w:w="1941" w:type="dxa"/>
            <w:tcBorders>
              <w:tl2br w:val="nil"/>
              <w:tr2bl w:val="nil"/>
            </w:tcBorders>
            <w:noWrap w:val="0"/>
            <w:vAlign w:val="center"/>
          </w:tcPr>
          <w:p w14:paraId="18A69AF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1.7481</w:t>
            </w:r>
          </w:p>
        </w:tc>
        <w:tc>
          <w:tcPr>
            <w:tcW w:w="1941" w:type="dxa"/>
            <w:tcBorders>
              <w:tl2br w:val="nil"/>
              <w:tr2bl w:val="nil"/>
            </w:tcBorders>
            <w:noWrap w:val="0"/>
            <w:vAlign w:val="center"/>
          </w:tcPr>
          <w:p w14:paraId="41E879F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aps w:val="0"/>
                <w:smallCaps w:val="0"/>
                <w:snapToGrid/>
                <w:color w:val="auto"/>
                <w:spacing w:val="0"/>
                <w:kern w:val="0"/>
                <w:sz w:val="21"/>
                <w:szCs w:val="21"/>
                <w:highlight w:val="none"/>
                <w:u w:val="none"/>
                <w:lang w:val="en-US" w:eastAsia="zh-CN" w:bidi="ar-SA"/>
              </w:rPr>
            </w:pPr>
            <w:r>
              <w:rPr>
                <w:rFonts w:hint="eastAsia" w:ascii="Times New Roman" w:hAnsi="Times New Roman" w:eastAsia="宋体" w:cs="Times New Roman"/>
                <w:bCs/>
                <w:caps w:val="0"/>
                <w:smallCaps w:val="0"/>
                <w:snapToGrid/>
                <w:color w:val="auto"/>
                <w:spacing w:val="0"/>
                <w:kern w:val="0"/>
                <w:sz w:val="21"/>
                <w:szCs w:val="21"/>
                <w:highlight w:val="none"/>
                <w:u w:val="none"/>
                <w:lang w:val="en-US" w:eastAsia="zh-CN" w:bidi="ar-SA"/>
              </w:rPr>
              <w:t>/</w:t>
            </w:r>
          </w:p>
        </w:tc>
      </w:tr>
      <w:tr w14:paraId="27974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1" w:type="dxa"/>
            <w:tcBorders>
              <w:tl2br w:val="nil"/>
              <w:tr2bl w:val="nil"/>
            </w:tcBorders>
            <w:noWrap w:val="0"/>
            <w:vAlign w:val="center"/>
          </w:tcPr>
          <w:p w14:paraId="7DCD376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z w:val="21"/>
                <w:szCs w:val="21"/>
                <w:highlight w:val="none"/>
                <w:u w:val="none"/>
              </w:rPr>
            </w:pPr>
            <w:r>
              <w:rPr>
                <w:rFonts w:hint="default" w:ascii="Times New Roman" w:hAnsi="Times New Roman" w:eastAsia="宋体" w:cs="Times New Roman"/>
                <w:bCs/>
                <w:caps w:val="0"/>
                <w:smallCaps w:val="0"/>
                <w:snapToGrid/>
                <w:color w:val="auto"/>
                <w:spacing w:val="0"/>
                <w:kern w:val="0"/>
                <w:sz w:val="21"/>
                <w:szCs w:val="21"/>
                <w:highlight w:val="none"/>
                <w:u w:val="none"/>
              </w:rPr>
              <w:t>合计</w:t>
            </w:r>
          </w:p>
        </w:tc>
        <w:tc>
          <w:tcPr>
            <w:tcW w:w="1941" w:type="dxa"/>
            <w:tcBorders>
              <w:tl2br w:val="nil"/>
              <w:tr2bl w:val="nil"/>
            </w:tcBorders>
            <w:noWrap w:val="0"/>
            <w:vAlign w:val="center"/>
          </w:tcPr>
          <w:p w14:paraId="6B95B2C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bidi="ar-SA"/>
              </w:rPr>
              <w:t>1551.8401</w:t>
            </w:r>
          </w:p>
        </w:tc>
        <w:tc>
          <w:tcPr>
            <w:tcW w:w="1941" w:type="dxa"/>
            <w:tcBorders>
              <w:tl2br w:val="nil"/>
              <w:tr2bl w:val="nil"/>
            </w:tcBorders>
            <w:noWrap w:val="0"/>
            <w:vAlign w:val="center"/>
          </w:tcPr>
          <w:p w14:paraId="5D45022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bidi="ar-SA"/>
              </w:rPr>
              <w:t>1551.8401</w:t>
            </w:r>
          </w:p>
        </w:tc>
        <w:tc>
          <w:tcPr>
            <w:tcW w:w="1941" w:type="dxa"/>
            <w:tcBorders>
              <w:tl2br w:val="nil"/>
              <w:tr2bl w:val="nil"/>
            </w:tcBorders>
            <w:noWrap w:val="0"/>
            <w:vAlign w:val="center"/>
          </w:tcPr>
          <w:p w14:paraId="22B7A66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kern w:val="2"/>
                <w:sz w:val="21"/>
                <w:szCs w:val="21"/>
                <w:highlight w:val="none"/>
                <w:u w:val="none"/>
                <w:lang w:val="en-US" w:eastAsia="zh-CN" w:bidi="ar-SA"/>
              </w:rPr>
            </w:pPr>
            <w:r>
              <w:rPr>
                <w:rFonts w:hint="eastAsia" w:ascii="Times New Roman" w:hAnsi="Times New Roman" w:eastAsia="宋体" w:cs="Times New Roman"/>
                <w:caps w:val="0"/>
                <w:smallCaps w:val="0"/>
                <w:color w:val="auto"/>
                <w:kern w:val="2"/>
                <w:sz w:val="21"/>
                <w:szCs w:val="21"/>
                <w:highlight w:val="none"/>
                <w:u w:val="none"/>
                <w:lang w:val="en-US" w:eastAsia="zh-CN" w:bidi="ar-SA"/>
              </w:rPr>
              <w:t>/</w:t>
            </w:r>
          </w:p>
        </w:tc>
      </w:tr>
    </w:tbl>
    <w:p w14:paraId="155A629B">
      <w:pPr>
        <w:spacing w:line="360" w:lineRule="auto"/>
        <w:ind w:firstLine="480" w:firstLineChars="200"/>
        <w:rPr>
          <w:rFonts w:ascii="Times New Roman" w:hAnsi="Times New Roman" w:eastAsia="宋体" w:cs="Times New Roman"/>
          <w:caps w:val="0"/>
          <w:smallCaps w:val="0"/>
          <w:snapToGrid/>
          <w:color w:val="auto"/>
          <w:spacing w:val="0"/>
          <w:kern w:val="0"/>
          <w:sz w:val="24"/>
          <w:szCs w:val="24"/>
          <w:highlight w:val="none"/>
          <w:u w:val="none"/>
        </w:rPr>
      </w:pPr>
      <w:r>
        <w:rPr>
          <w:rFonts w:ascii="Times New Roman" w:hAnsi="Times New Roman" w:eastAsia="宋体" w:cs="Times New Roman"/>
          <w:caps w:val="0"/>
          <w:smallCaps w:val="0"/>
          <w:snapToGrid/>
          <w:color w:val="auto"/>
          <w:spacing w:val="0"/>
          <w:kern w:val="0"/>
          <w:sz w:val="24"/>
          <w:szCs w:val="24"/>
          <w:highlight w:val="none"/>
          <w:u w:val="none"/>
        </w:rPr>
        <w:t>本工程建设</w:t>
      </w:r>
      <w:r>
        <w:rPr>
          <w:rFonts w:hint="eastAsia" w:ascii="Times New Roman" w:hAnsi="Times New Roman" w:eastAsia="宋体" w:cs="Times New Roman"/>
          <w:caps w:val="0"/>
          <w:smallCaps w:val="0"/>
          <w:snapToGrid/>
          <w:color w:val="auto"/>
          <w:spacing w:val="0"/>
          <w:kern w:val="0"/>
          <w:sz w:val="24"/>
          <w:szCs w:val="24"/>
          <w:highlight w:val="none"/>
          <w:u w:val="none"/>
          <w:lang w:val="en-US" w:eastAsia="zh-CN"/>
        </w:rPr>
        <w:t>活动均在现有水工建筑用地范围内，</w:t>
      </w:r>
      <w:r>
        <w:rPr>
          <w:rFonts w:ascii="Times New Roman" w:hAnsi="Times New Roman" w:eastAsia="宋体" w:cs="Times New Roman"/>
          <w:caps w:val="0"/>
          <w:smallCaps w:val="0"/>
          <w:snapToGrid/>
          <w:color w:val="auto"/>
          <w:spacing w:val="0"/>
          <w:kern w:val="0"/>
          <w:sz w:val="24"/>
          <w:szCs w:val="24"/>
          <w:highlight w:val="none"/>
          <w:u w:val="none"/>
        </w:rPr>
        <w:t>对评价区生态系统的不利影响主要有：</w:t>
      </w:r>
    </w:p>
    <w:p w14:paraId="18565254">
      <w:pPr>
        <w:spacing w:line="360" w:lineRule="auto"/>
        <w:ind w:firstLine="480" w:firstLineChars="200"/>
        <w:rPr>
          <w:rFonts w:hint="eastAsia"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1）占地：工程占地将直接占用自然生态系统面积，使系统中生产者减少，占地范围及附近区域的非生物环境发生改变，局部区域能量流动和物质循环能力降低，生态系统结构及功能退化。由于项目占地面积相对较小，其影响范围有限，对生态系统的地域连续性影响较小。</w:t>
      </w:r>
    </w:p>
    <w:p w14:paraId="4C718B9E">
      <w:pPr>
        <w:spacing w:line="360" w:lineRule="auto"/>
        <w:ind w:firstLine="480" w:firstLineChars="200"/>
        <w:rPr>
          <w:rFonts w:hint="eastAsia"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（2）施工活动：施工活动产生的</w:t>
      </w:r>
      <w:r>
        <w:rPr>
          <w:rFonts w:hint="eastAsia" w:ascii="Times New Roman" w:hAnsi="Times New Roman" w:eastAsia="宋体" w:cs="Times New Roman"/>
          <w:caps w:val="0"/>
          <w:smallCaps w:val="0"/>
          <w:snapToGrid/>
          <w:color w:val="auto"/>
          <w:spacing w:val="0"/>
          <w:kern w:val="0"/>
          <w:sz w:val="24"/>
          <w:szCs w:val="24"/>
          <w:highlight w:val="none"/>
          <w:u w:val="none"/>
          <w:lang w:val="en-US" w:eastAsia="zh-CN"/>
        </w:rPr>
        <w:t>土石方</w:t>
      </w:r>
      <w:r>
        <w:rPr>
          <w:rFonts w:hint="eastAsia" w:ascii="Times New Roman" w:hAnsi="Times New Roman" w:eastAsia="宋体" w:cs="Times New Roman"/>
          <w:caps w:val="0"/>
          <w:smallCaps w:val="0"/>
          <w:snapToGrid/>
          <w:color w:val="auto"/>
          <w:spacing w:val="0"/>
          <w:kern w:val="0"/>
          <w:sz w:val="24"/>
          <w:szCs w:val="24"/>
          <w:highlight w:val="none"/>
          <w:u w:val="none"/>
        </w:rPr>
        <w:t>、扬尘、噪声、生活垃圾等带来的污染，会直接或间接影响附近植物生境及动物的栖息环境，导致生态系统内原有的一些植物受到破坏，致使某些动物被迫迁移。由于工程占地区</w:t>
      </w:r>
      <w:r>
        <w:rPr>
          <w:rFonts w:hint="eastAsia" w:ascii="Times New Roman" w:hAnsi="Times New Roman" w:eastAsia="宋体" w:cs="Times New Roman"/>
          <w:caps w:val="0"/>
          <w:smallCaps w:val="0"/>
          <w:snapToGrid/>
          <w:color w:val="auto"/>
          <w:spacing w:val="0"/>
          <w:kern w:val="0"/>
          <w:sz w:val="24"/>
          <w:szCs w:val="24"/>
          <w:highlight w:val="none"/>
          <w:u w:val="none"/>
          <w:lang w:val="en-US" w:eastAsia="zh-CN"/>
        </w:rPr>
        <w:t>人为活动较多</w:t>
      </w:r>
      <w:r>
        <w:rPr>
          <w:rFonts w:hint="eastAsia" w:ascii="Times New Roman" w:hAnsi="Times New Roman" w:eastAsia="宋体" w:cs="Times New Roman"/>
          <w:caps w:val="0"/>
          <w:smallCaps w:val="0"/>
          <w:snapToGrid/>
          <w:color w:val="auto"/>
          <w:spacing w:val="0"/>
          <w:kern w:val="0"/>
          <w:sz w:val="24"/>
          <w:szCs w:val="24"/>
          <w:highlight w:val="none"/>
          <w:u w:val="none"/>
        </w:rPr>
        <w:t>，交通往来频繁，植被群系组成单一，动植物种类较少，个体的抵抗性和恢复能力强，因此工程施工活动不会造成物质和遗传信息交流的障碍。</w:t>
      </w:r>
    </w:p>
    <w:p w14:paraId="570F899F">
      <w:pPr>
        <w:spacing w:line="360" w:lineRule="auto"/>
        <w:ind w:firstLine="480" w:firstLineChars="200"/>
        <w:rPr>
          <w:rFonts w:hint="eastAsia"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3）人为干扰：施工过程中，如管理不善，可能会对周围植被造成破坏，特别是对乔木的随意砍伐，造成林地建群种的损失，群落层次缺失，垂直结构发生改变，进而导致生境变化。此外，人为捕猎活动也会对周边动物种群数量及生境产生不利影响。因此，施工期间必须加强宣传教育活动、施工监理工作，尽量控制避免人为干扰。在相关措施得到落实后，人为干扰对生态系统的结构和功能影响较小。</w:t>
      </w:r>
    </w:p>
    <w:p w14:paraId="70600BED">
      <w:pPr>
        <w:spacing w:line="360" w:lineRule="auto"/>
        <w:ind w:firstLine="480" w:firstLineChars="200"/>
        <w:rPr>
          <w:rFonts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综上所述，本工程建设对评价区生态系统完整性和稳定性的影响较小，对其结构及功能的影响较小。且施工结束后，将采取一定的水土保持和植被恢复措施，并采取占补平衡的方式进行生态补偿。因此，在采取各种相关措施后，本工程建设对生态系统的影响较小。</w:t>
      </w:r>
    </w:p>
    <w:p w14:paraId="16076EE9">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对生物量的影响</w:t>
      </w:r>
    </w:p>
    <w:p w14:paraId="7256D362">
      <w:pPr>
        <w:spacing w:line="360" w:lineRule="auto"/>
        <w:ind w:firstLine="480" w:firstLineChars="200"/>
        <w:rPr>
          <w:rFonts w:hint="eastAsia" w:ascii="Times New Roman" w:hAnsi="Times New Roman" w:eastAsia="宋体" w:cs="Times New Roman"/>
          <w:caps w:val="0"/>
          <w:smallCaps w:val="0"/>
          <w:color w:val="auto"/>
          <w:sz w:val="24"/>
          <w:szCs w:val="21"/>
          <w:lang w:val="en-US" w:eastAsia="zh-CN"/>
        </w:rPr>
      </w:pPr>
      <w:r>
        <w:rPr>
          <w:rFonts w:hint="eastAsia" w:ascii="Times New Roman" w:hAnsi="Times New Roman" w:eastAsia="宋体" w:cs="Times New Roman"/>
          <w:color w:val="auto"/>
          <w:sz w:val="24"/>
          <w:szCs w:val="21"/>
          <w:highlight w:val="none"/>
          <w:lang w:eastAsia="zh-CN"/>
        </w:rPr>
        <w:t>工程建设完成后，</w:t>
      </w:r>
      <w:r>
        <w:rPr>
          <w:rFonts w:hint="eastAsia" w:ascii="Times New Roman" w:hAnsi="Times New Roman" w:eastAsia="宋体" w:cs="Times New Roman"/>
          <w:caps w:val="0"/>
          <w:smallCaps w:val="0"/>
          <w:color w:val="auto"/>
          <w:sz w:val="24"/>
          <w:szCs w:val="21"/>
          <w:highlight w:val="none"/>
          <w:lang w:eastAsia="zh-CN"/>
        </w:rPr>
        <w:t>土地利用类型</w:t>
      </w:r>
      <w:r>
        <w:rPr>
          <w:rFonts w:hint="eastAsia" w:ascii="Times New Roman" w:hAnsi="Times New Roman" w:eastAsia="宋体" w:cs="Times New Roman"/>
          <w:caps w:val="0"/>
          <w:smallCaps w:val="0"/>
          <w:color w:val="auto"/>
          <w:sz w:val="24"/>
          <w:szCs w:val="21"/>
          <w:highlight w:val="none"/>
          <w:lang w:val="en-US" w:eastAsia="zh-CN"/>
        </w:rPr>
        <w:t>仍旧为水工建筑用地</w:t>
      </w:r>
      <w:r>
        <w:rPr>
          <w:rFonts w:hint="eastAsia" w:ascii="Times New Roman" w:hAnsi="Times New Roman" w:eastAsia="宋体" w:cs="Times New Roman"/>
          <w:caps w:val="0"/>
          <w:smallCaps w:val="0"/>
          <w:color w:val="auto"/>
          <w:sz w:val="24"/>
          <w:szCs w:val="21"/>
          <w:highlight w:val="none"/>
          <w:lang w:eastAsia="zh-CN"/>
        </w:rPr>
        <w:t>，</w:t>
      </w:r>
      <w:r>
        <w:rPr>
          <w:rFonts w:hint="eastAsia" w:ascii="Times New Roman" w:hAnsi="Times New Roman" w:eastAsia="宋体" w:cs="Times New Roman"/>
          <w:caps w:val="0"/>
          <w:smallCaps w:val="0"/>
          <w:color w:val="auto"/>
          <w:sz w:val="24"/>
          <w:szCs w:val="21"/>
          <w:highlight w:val="none"/>
          <w:lang w:val="en-US" w:eastAsia="zh-CN"/>
        </w:rPr>
        <w:t>土地生物量损失非常小</w:t>
      </w:r>
      <w:r>
        <w:rPr>
          <w:rFonts w:hint="eastAsia" w:ascii="Times New Roman" w:hAnsi="Times New Roman" w:eastAsia="宋体" w:cs="Times New Roman"/>
          <w:caps w:val="0"/>
          <w:smallCaps w:val="0"/>
          <w:color w:val="auto"/>
          <w:sz w:val="24"/>
          <w:szCs w:val="21"/>
          <w:highlight w:val="none"/>
          <w:lang w:eastAsia="zh-CN"/>
        </w:rPr>
        <w:t>。</w:t>
      </w:r>
      <w:r>
        <w:rPr>
          <w:rFonts w:hint="eastAsia" w:ascii="Times New Roman" w:hAnsi="Times New Roman" w:eastAsia="宋体" w:cs="Times New Roman"/>
          <w:caps w:val="0"/>
          <w:smallCaps w:val="0"/>
          <w:color w:val="auto"/>
          <w:sz w:val="24"/>
          <w:szCs w:val="21"/>
          <w:highlight w:val="none"/>
          <w:lang w:val="en-US" w:eastAsia="zh-CN"/>
        </w:rPr>
        <w:t>以草丛的损失量最大，也是占地内主要植被类型。建议施工结束后对用地边界周围以草丛恢复，场地内以灌木和草丛恢复。</w:t>
      </w:r>
    </w:p>
    <w:p w14:paraId="5DAB0FCE">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eastAsia" w:ascii="Times New Roman" w:hAnsi="Times New Roman" w:eastAsia="宋体" w:cs="Times New Roman"/>
          <w:caps w:val="0"/>
          <w:smallCaps w:val="0"/>
          <w:color w:val="auto"/>
          <w:sz w:val="24"/>
          <w:szCs w:val="21"/>
          <w:highlight w:val="none"/>
          <w:lang w:val="en-US" w:eastAsia="zh-CN"/>
        </w:rPr>
        <w:t>工程区施工占地破坏原有地貌结构，扰动地表，改变土地利用类型，破坏占地区植物及植被，使评价区内植被面积减少，植被覆盖率降低，评价区植被生物量减少，植被生产能力减弱。工程建设对生物量的影响程度位于评价区生态系统能够接受的范围之内。此外，拟建工程施工结束后，将对临时工程占地区域采取栽植乔木、灌木进行防护，临时用地使用完成后根据实际情况进行绿化。只要按照植被正向演替规律选择植被物种，就能尽快提高植被覆盖率和生产力，减少生物量损失，同时还可有效改善本工程对生态环境的影响，绿化美化环境。因此，本工程对生物量的影响是可接受的。</w:t>
      </w:r>
    </w:p>
    <w:p w14:paraId="27C03E1A">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对水生生态的影响</w:t>
      </w:r>
    </w:p>
    <w:p w14:paraId="24D65226">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本次除险加固工程主要是对已建水工建筑进行加固、改造和维护，设计的多数工程施工</w:t>
      </w:r>
      <w:r>
        <w:rPr>
          <w:rFonts w:hint="eastAsia" w:ascii="Times New Roman" w:hAnsi="Times New Roman" w:eastAsia="宋体" w:cs="Times New Roman"/>
          <w:caps w:val="0"/>
          <w:smallCaps w:val="0"/>
          <w:color w:val="auto"/>
          <w:sz w:val="24"/>
          <w:szCs w:val="21"/>
          <w:u w:val="none" w:color="auto"/>
          <w:lang w:val="en-US" w:eastAsia="zh-CN"/>
        </w:rPr>
        <w:t>多</w:t>
      </w:r>
      <w:r>
        <w:rPr>
          <w:rFonts w:hint="default" w:ascii="Times New Roman" w:hAnsi="Times New Roman" w:eastAsia="宋体" w:cs="Times New Roman"/>
          <w:caps w:val="0"/>
          <w:smallCaps w:val="0"/>
          <w:color w:val="auto"/>
          <w:sz w:val="24"/>
          <w:szCs w:val="21"/>
          <w:u w:val="none" w:color="auto"/>
          <w:lang w:val="en-US" w:eastAsia="zh-CN"/>
        </w:rPr>
        <w:t>不涉水，</w:t>
      </w:r>
      <w:r>
        <w:rPr>
          <w:rFonts w:hint="eastAsia" w:ascii="Times New Roman" w:hAnsi="Times New Roman" w:eastAsia="宋体" w:cs="Times New Roman"/>
          <w:caps w:val="0"/>
          <w:smallCaps w:val="0"/>
          <w:color w:val="auto"/>
          <w:sz w:val="24"/>
          <w:szCs w:val="21"/>
          <w:u w:val="none" w:color="auto"/>
          <w:lang w:val="en-US" w:eastAsia="zh-CN"/>
        </w:rPr>
        <w:t>基本</w:t>
      </w:r>
      <w:r>
        <w:rPr>
          <w:rFonts w:hint="default" w:ascii="Times New Roman" w:hAnsi="Times New Roman" w:eastAsia="宋体" w:cs="Times New Roman"/>
          <w:caps w:val="0"/>
          <w:smallCaps w:val="0"/>
          <w:color w:val="auto"/>
          <w:sz w:val="24"/>
          <w:szCs w:val="21"/>
          <w:u w:val="none" w:color="auto"/>
          <w:lang w:val="en-US" w:eastAsia="zh-CN"/>
        </w:rPr>
        <w:t>可保证干地施工或排干堰塘后干地施工条件。设计的各工程具有工程量总体较小、施工较为分散、对水体的扰动范围有限、施工时间短等特点。各类工程对水生生态环境的影响方式如下：</w:t>
      </w:r>
    </w:p>
    <w:p w14:paraId="4B0BFB9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工程施工期间，将对库区近岸带和</w:t>
      </w:r>
      <w:r>
        <w:rPr>
          <w:rFonts w:hint="eastAsia" w:ascii="Times New Roman" w:hAnsi="Times New Roman" w:eastAsia="宋体" w:cs="Times New Roman"/>
          <w:caps w:val="0"/>
          <w:smallCaps w:val="0"/>
          <w:color w:val="auto"/>
          <w:sz w:val="24"/>
          <w:szCs w:val="21"/>
          <w:u w:val="none" w:color="auto"/>
          <w:lang w:val="en-US" w:eastAsia="zh-CN"/>
        </w:rPr>
        <w:t>泄洪闸</w:t>
      </w:r>
      <w:r>
        <w:rPr>
          <w:rFonts w:hint="default" w:ascii="Times New Roman" w:hAnsi="Times New Roman" w:eastAsia="宋体" w:cs="Times New Roman"/>
          <w:caps w:val="0"/>
          <w:smallCaps w:val="0"/>
          <w:color w:val="auto"/>
          <w:sz w:val="24"/>
          <w:szCs w:val="21"/>
          <w:u w:val="none" w:color="auto"/>
          <w:lang w:val="en-US" w:eastAsia="zh-CN"/>
        </w:rPr>
        <w:t>、</w:t>
      </w:r>
      <w:r>
        <w:rPr>
          <w:rFonts w:hint="eastAsia" w:ascii="Times New Roman" w:hAnsi="Times New Roman" w:eastAsia="宋体" w:cs="Times New Roman"/>
          <w:caps w:val="0"/>
          <w:smallCaps w:val="0"/>
          <w:color w:val="auto"/>
          <w:sz w:val="24"/>
          <w:szCs w:val="21"/>
          <w:u w:val="none" w:color="auto"/>
          <w:lang w:val="en-US" w:eastAsia="zh-CN"/>
        </w:rPr>
        <w:t>进/输水构筑物</w:t>
      </w:r>
      <w:r>
        <w:rPr>
          <w:rFonts w:hint="default" w:ascii="Times New Roman" w:hAnsi="Times New Roman" w:eastAsia="宋体" w:cs="Times New Roman"/>
          <w:caps w:val="0"/>
          <w:smallCaps w:val="0"/>
          <w:color w:val="auto"/>
          <w:sz w:val="24"/>
          <w:szCs w:val="21"/>
          <w:u w:val="none" w:color="auto"/>
          <w:lang w:val="en-US" w:eastAsia="zh-CN"/>
        </w:rPr>
        <w:t>周边的局部水域造成扰动，进而影响水生生物的暂时性资源减少、分布格局改变，但溢洪道、灌溉渠以及库区水域的水生生态系统结构简单，水生生物现存量较低，总体上工程施工对评价区水生生态环境影响较小。</w:t>
      </w:r>
    </w:p>
    <w:p w14:paraId="14839BA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在陆域施工，施工过程中防渗处理和局部区域帷幕灌浆将会产生施工废污水，可能会流入库区对水生生境质量造成影响。通过采取施工期污水处理和排放措施，禁止污水入库后，总体上这些工程施工对评价区水生生态环境影响较小。</w:t>
      </w:r>
    </w:p>
    <w:p w14:paraId="3B1D6AB3">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在做好施工废水、废渣处理后，这些工程对评价区水生生态环境无明显影响。</w:t>
      </w:r>
    </w:p>
    <w:p w14:paraId="214C224C">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对水生生境的影响</w:t>
      </w:r>
    </w:p>
    <w:p w14:paraId="1CA8ED4C">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除险加固工程施工对</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水质和水体的扰动总体较小，通过采取施工导流、废污水处理回用、水土保持等环境保护措施后，可有效减少生产废水入库对水生生境的影响。除险加固工程不改变水库特征水位及调度运行方式，除险加固工程实施后将维持现有水库调度运行方式，库区的水深、流速、水域面积等水文特性维持现状，工程实施不会新增阻隔影响，库区及坝下游水生生物的栖息地类型、结构、比例均不会发生变化，因此工程的实施对区域水生生境的影响较小，对水生生态系统结构和功能的完整性基本无影响。</w:t>
      </w:r>
    </w:p>
    <w:p w14:paraId="49BCDD98">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对饵料生物的影响</w:t>
      </w:r>
    </w:p>
    <w:p w14:paraId="7D2705C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工程施工会对评价区域水生生物栖息环境造成一定影响，</w:t>
      </w:r>
      <w:r>
        <w:rPr>
          <w:rFonts w:hint="eastAsia" w:ascii="Times New Roman" w:hAnsi="Times New Roman" w:eastAsia="宋体" w:cs="Times New Roman"/>
          <w:caps w:val="0"/>
          <w:smallCaps w:val="0"/>
          <w:color w:val="auto"/>
          <w:sz w:val="24"/>
          <w:szCs w:val="21"/>
          <w:u w:val="none" w:color="auto"/>
          <w:lang w:val="en-US" w:eastAsia="zh-CN"/>
        </w:rPr>
        <w:t>涉水</w:t>
      </w:r>
      <w:r>
        <w:rPr>
          <w:rFonts w:hint="default" w:ascii="Times New Roman" w:hAnsi="Times New Roman" w:eastAsia="宋体" w:cs="Times New Roman"/>
          <w:caps w:val="0"/>
          <w:smallCaps w:val="0"/>
          <w:color w:val="auto"/>
          <w:sz w:val="24"/>
          <w:szCs w:val="21"/>
          <w:u w:val="none" w:color="auto"/>
          <w:lang w:val="en-US" w:eastAsia="zh-CN"/>
        </w:rPr>
        <w:t>工程施工对作业区及临近水域产生扰动，使局部近岸水域中悬浮物浓度增加，短期内造成局部水域水质下降，水体透明度和初级生产力降低，影响浮游植物光合作用，进而使食物链下游的浮游动物也相应受到影响。施工期间浮游生物的种类和生物量在短期内将有所下降，但这种影响是暂时的、有限的，施工周期短，扰动水域面积小，随着工程的完工，不利影响将逐渐消失，浮游生物的种类和数量将很快得到恢复。</w:t>
      </w:r>
    </w:p>
    <w:p w14:paraId="1892E87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底栖动物是栖息在水域底部泥沙、石块或其他水底物体上生活的动物，具有区域性强，迁移能力弱等特点。</w:t>
      </w:r>
      <w:r>
        <w:rPr>
          <w:rFonts w:hint="eastAsia" w:ascii="Times New Roman" w:hAnsi="Times New Roman" w:eastAsia="宋体" w:cs="Times New Roman"/>
          <w:caps w:val="0"/>
          <w:smallCaps w:val="0"/>
          <w:color w:val="auto"/>
          <w:sz w:val="24"/>
          <w:szCs w:val="21"/>
          <w:u w:val="none" w:color="auto"/>
          <w:lang w:val="en-US" w:eastAsia="zh-CN"/>
        </w:rPr>
        <w:t>工程</w:t>
      </w:r>
      <w:r>
        <w:rPr>
          <w:rFonts w:hint="default" w:ascii="Times New Roman" w:hAnsi="Times New Roman" w:eastAsia="宋体" w:cs="Times New Roman"/>
          <w:caps w:val="0"/>
          <w:smallCaps w:val="0"/>
          <w:color w:val="auto"/>
          <w:sz w:val="24"/>
          <w:szCs w:val="21"/>
          <w:u w:val="none" w:color="auto"/>
          <w:lang w:val="en-US" w:eastAsia="zh-CN"/>
        </w:rPr>
        <w:t>施工将对施工区域底栖动物生境造成扰动，造成底栖动物损失、生物量减少。但溢洪道、输水隧洞和近岸带底栖动物现存量较低，总体上施工对底栖动物的生境的扰动较小，影响范围有限，工程实施对底栖动物资源的影响较小。</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除险加固工程施工期间，输水隧洞进口修筑围堰；运行期，通过输水隧洞向下游供水，以保证生态流量的下泄。在保证生态流量泄放的前提下，对下游河道水生生态环境的影响较小。</w:t>
      </w:r>
    </w:p>
    <w:p w14:paraId="0E0640A6">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运行期，除险加固工程不改变水库功能，不改变库区正常蓄水位，下游河道内水位、流速较工程实施前基本没有变化，水生生境基本维持原状，工程运行期评价区生态环境不会发生明显变化，水生生物种类及组成与工程建设前相似。因此，运行期工程实施对评价范围内及下游河道水生生态环境不会造成较大影响。</w:t>
      </w:r>
    </w:p>
    <w:p w14:paraId="4AA30D12">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对鱼类的影响</w:t>
      </w:r>
    </w:p>
    <w:p w14:paraId="3327E468">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eastAsia" w:ascii="Times New Roman" w:hAnsi="Times New Roman" w:eastAsia="宋体" w:cs="Times New Roman"/>
          <w:caps w:val="0"/>
          <w:smallCaps w:val="0"/>
          <w:color w:val="auto"/>
          <w:sz w:val="24"/>
          <w:szCs w:val="21"/>
          <w:u w:val="none" w:color="auto"/>
          <w:lang w:val="en-US" w:eastAsia="zh-CN"/>
        </w:rPr>
        <w:t>涉水</w:t>
      </w:r>
      <w:r>
        <w:rPr>
          <w:rFonts w:hint="default" w:ascii="Times New Roman" w:hAnsi="Times New Roman" w:eastAsia="宋体" w:cs="Times New Roman"/>
          <w:caps w:val="0"/>
          <w:smallCaps w:val="0"/>
          <w:color w:val="auto"/>
          <w:sz w:val="24"/>
          <w:szCs w:val="21"/>
          <w:u w:val="none" w:color="auto"/>
          <w:lang w:val="en-US" w:eastAsia="zh-CN"/>
        </w:rPr>
        <w:t>工程施工可能对施工区及其附近水域鱼类产生惊扰，同时施工将影响局部水域饵料生物的资源量，改变了原有鱼类的生存、生长和繁衍条件，影响鱼类的生长、摄食和分布。但是，鱼类具有较强的趋避能力，施工期间将躲避不利因素迁徙到其它水域，从而导致短期内施工区域鱼类密度降低。但本次除险加固无大面积涉水施工，施工对水体的扰动范围较小，对鱼类的影响仅局限于施工区及附近水域，施工结束后，不利影响基本消失，鱼类资源及其生境较工程实施前不会有太大的变化，因此本工程实施对鱼类产生的影响程度、范围和时间均是有限的。施工导流和围堰建设</w:t>
      </w:r>
      <w:r>
        <w:rPr>
          <w:rFonts w:hint="eastAsia" w:ascii="Times New Roman" w:hAnsi="Times New Roman" w:eastAsia="宋体" w:cs="Times New Roman"/>
          <w:caps w:val="0"/>
          <w:smallCaps w:val="0"/>
          <w:color w:val="auto"/>
          <w:sz w:val="24"/>
          <w:szCs w:val="21"/>
          <w:u w:val="none" w:color="auto"/>
          <w:lang w:val="en-US" w:eastAsia="zh-CN"/>
        </w:rPr>
        <w:t>应</w:t>
      </w:r>
      <w:r>
        <w:rPr>
          <w:rFonts w:hint="default" w:ascii="Times New Roman" w:hAnsi="Times New Roman" w:eastAsia="宋体" w:cs="Times New Roman"/>
          <w:caps w:val="0"/>
          <w:smallCaps w:val="0"/>
          <w:color w:val="auto"/>
          <w:sz w:val="24"/>
          <w:szCs w:val="21"/>
          <w:u w:val="none" w:color="auto"/>
          <w:lang w:val="en-US" w:eastAsia="zh-CN"/>
        </w:rPr>
        <w:t>安排在10-3月枯水期，避开了鱼类繁殖期3-8月，对其繁殖行为影响较小。根据调查，评价区无国家和地方珍稀保护鱼类分布，多为青鱼、草鱼、鲢、鳙等常见种，水体中的鱼类资源量较少，未发现重要水生生物的自然产卵场、索饵场、越冬场和洄游通道，工程实施不会对珍稀保护鱼类及其生境产生明显影响。施工不会对下游河道水文情势产生影响，在严格落实生态流量泄放措施的前提下，不会对下游河道鱼类资源产生影响。</w:t>
      </w:r>
    </w:p>
    <w:p w14:paraId="33102BF7">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工程运行期，不改变</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的水文情势，不改变鱼类繁殖和生长所需的水温、水流条件，除险加固工程实施后，结合鱼类保护措施将有效改善工程实施对鱼类资源的影响，因此工程实施前后鱼类资源及其生境不会有较大变化。</w:t>
      </w:r>
    </w:p>
    <w:p w14:paraId="4F8BE20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本次除险加固工程实施对区域水生生态环境的影响程度、范围和时间均是有限的，影响可通过相应的措施避免或减缓，施工结束后不利影响逐渐消失，水生生态环境得到逐步恢复。除险加固工程完工后，水库调度方式、水库及下游河道的水文情势基本不发生改变，工程实施未改变鱼类繁殖和生长所需的水温、水流条件，水库下泄水量不受影响，原有的水生生物资源及其生境不会发生明显变化，总体上工程实施对区域水生生态环境影响较小。</w:t>
      </w:r>
    </w:p>
    <w:p w14:paraId="48B2E086">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对陆生生态的影响</w:t>
      </w:r>
    </w:p>
    <w:p w14:paraId="3C30B2D8">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对陆生植物的影响</w:t>
      </w:r>
    </w:p>
    <w:p w14:paraId="46F38752">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一、施工期</w:t>
      </w:r>
    </w:p>
    <w:p w14:paraId="6D182004">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本工程施工期对评价区的影响主要有施工占地、渣料场使用、施工活动等。</w:t>
      </w:r>
    </w:p>
    <w:p w14:paraId="241931F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1.施工占地对植物及植被的影响</w:t>
      </w:r>
    </w:p>
    <w:p w14:paraId="3378B7C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（1）永久占地对植物及植被的影响</w:t>
      </w:r>
    </w:p>
    <w:p w14:paraId="53CC7394">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永久占地对植物的影响是长期的、不可逆的。永久占地区施工将使区域内土地利用类型发生改变，植物个体损失，植被生物量减少。结合具体工程布置，根据现场调查，工程区永久占地区主要为</w:t>
      </w:r>
      <w:r>
        <w:rPr>
          <w:rFonts w:hint="eastAsia" w:ascii="Times New Roman" w:hAnsi="Times New Roman" w:eastAsia="宋体" w:cs="Times New Roman"/>
          <w:caps w:val="0"/>
          <w:smallCaps w:val="0"/>
          <w:color w:val="auto"/>
          <w:sz w:val="24"/>
          <w:szCs w:val="21"/>
          <w:u w:val="none" w:color="auto"/>
          <w:lang w:val="en-US" w:eastAsia="zh-CN"/>
        </w:rPr>
        <w:t>主</w:t>
      </w:r>
      <w:r>
        <w:rPr>
          <w:rFonts w:hint="default" w:ascii="Times New Roman" w:hAnsi="Times New Roman" w:eastAsia="宋体" w:cs="Times New Roman"/>
          <w:caps w:val="0"/>
          <w:smallCaps w:val="0"/>
          <w:color w:val="auto"/>
          <w:sz w:val="24"/>
          <w:szCs w:val="21"/>
          <w:u w:val="none" w:color="auto"/>
          <w:lang w:val="en-US" w:eastAsia="zh-CN"/>
        </w:rPr>
        <w:t>坝</w:t>
      </w:r>
      <w:r>
        <w:rPr>
          <w:rFonts w:hint="eastAsia" w:ascii="Times New Roman" w:hAnsi="Times New Roman" w:eastAsia="宋体" w:cs="Times New Roman"/>
          <w:caps w:val="0"/>
          <w:smallCaps w:val="0"/>
          <w:color w:val="auto"/>
          <w:sz w:val="24"/>
          <w:szCs w:val="21"/>
          <w:u w:val="none" w:color="auto"/>
          <w:lang w:val="en-US" w:eastAsia="zh-CN"/>
        </w:rPr>
        <w:t>和一至六副</w:t>
      </w:r>
      <w:r>
        <w:rPr>
          <w:rFonts w:hint="default" w:ascii="Times New Roman" w:hAnsi="Times New Roman" w:eastAsia="宋体" w:cs="Times New Roman"/>
          <w:caps w:val="0"/>
          <w:smallCaps w:val="0"/>
          <w:color w:val="auto"/>
          <w:sz w:val="24"/>
          <w:szCs w:val="21"/>
          <w:u w:val="none" w:color="auto"/>
          <w:lang w:val="en-US" w:eastAsia="zh-CN"/>
        </w:rPr>
        <w:t>坝</w:t>
      </w:r>
      <w:r>
        <w:rPr>
          <w:rFonts w:hint="eastAsia" w:ascii="Times New Roman" w:hAnsi="Times New Roman" w:eastAsia="宋体" w:cs="Times New Roman"/>
          <w:caps w:val="0"/>
          <w:smallCaps w:val="0"/>
          <w:color w:val="auto"/>
          <w:sz w:val="24"/>
          <w:szCs w:val="21"/>
          <w:u w:val="none" w:color="auto"/>
          <w:lang w:val="en-US" w:eastAsia="zh-CN"/>
        </w:rPr>
        <w:t>坝体加固、坝坡整体、泄洪闸、进/输水涵加固或重建、防汛公路改造、管理用房拆除重建等</w:t>
      </w:r>
      <w:r>
        <w:rPr>
          <w:rFonts w:hint="default" w:ascii="Times New Roman" w:hAnsi="Times New Roman" w:eastAsia="宋体" w:cs="Times New Roman"/>
          <w:caps w:val="0"/>
          <w:smallCaps w:val="0"/>
          <w:color w:val="auto"/>
          <w:sz w:val="24"/>
          <w:szCs w:val="21"/>
          <w:u w:val="none" w:color="auto"/>
          <w:lang w:val="en-US" w:eastAsia="zh-CN"/>
        </w:rPr>
        <w:t>。</w:t>
      </w:r>
    </w:p>
    <w:p w14:paraId="59B24760">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永久占地对占用植被及植物的影响：本工程永久占地面积</w:t>
      </w:r>
      <w:r>
        <w:rPr>
          <w:rFonts w:hint="eastAsia" w:ascii="Times New Roman" w:hAnsi="Times New Roman" w:eastAsia="宋体" w:cs="Times New Roman"/>
          <w:caps w:val="0"/>
          <w:smallCaps w:val="0"/>
          <w:color w:val="auto"/>
          <w:sz w:val="24"/>
          <w:szCs w:val="21"/>
          <w:u w:val="none" w:color="auto"/>
          <w:lang w:val="en-US" w:eastAsia="zh-CN"/>
        </w:rPr>
        <w:t>17</w:t>
      </w:r>
      <w:r>
        <w:rPr>
          <w:rFonts w:hint="default" w:ascii="Times New Roman" w:hAnsi="Times New Roman" w:eastAsia="宋体" w:cs="Times New Roman"/>
          <w:caps w:val="0"/>
          <w:smallCaps w:val="0"/>
          <w:color w:val="auto"/>
          <w:sz w:val="24"/>
          <w:szCs w:val="21"/>
          <w:u w:val="none" w:color="auto"/>
          <w:lang w:val="en-US" w:eastAsia="zh-CN"/>
        </w:rPr>
        <w:t>hm</w:t>
      </w:r>
      <w:r>
        <w:rPr>
          <w:rFonts w:hint="default" w:ascii="Times New Roman" w:hAnsi="Times New Roman" w:eastAsia="宋体" w:cs="Times New Roman"/>
          <w:caps w:val="0"/>
          <w:smallCaps w:val="0"/>
          <w:color w:val="auto"/>
          <w:sz w:val="24"/>
          <w:szCs w:val="21"/>
          <w:u w:val="none" w:color="auto"/>
          <w:vertAlign w:val="superscript"/>
          <w:lang w:val="en-US" w:eastAsia="zh-CN"/>
        </w:rPr>
        <w:t>2</w:t>
      </w:r>
      <w:r>
        <w:rPr>
          <w:rFonts w:hint="default" w:ascii="Times New Roman" w:hAnsi="Times New Roman" w:eastAsia="宋体" w:cs="Times New Roman"/>
          <w:caps w:val="0"/>
          <w:smallCaps w:val="0"/>
          <w:color w:val="auto"/>
          <w:sz w:val="24"/>
          <w:szCs w:val="21"/>
          <w:u w:val="none" w:color="auto"/>
          <w:lang w:val="en-US" w:eastAsia="zh-CN"/>
        </w:rPr>
        <w:t>，</w:t>
      </w:r>
      <w:r>
        <w:rPr>
          <w:rFonts w:hint="eastAsia" w:ascii="宋体" w:hAnsi="宋体" w:eastAsia="宋体" w:cs="宋体"/>
          <w:caps w:val="0"/>
          <w:smallCaps w:val="0"/>
          <w:color w:val="auto"/>
          <w:sz w:val="24"/>
          <w:szCs w:val="24"/>
          <w:lang w:val="en-US" w:eastAsia="zh-CN"/>
        </w:rPr>
        <w:t>根据现场调查工程永久占用的植被为葛、芒灌草丛等，常见植物有毛竹、篌竹、构树、葛、芒等，工程永久占用的植被及植物均为常见类型及常见种，在评价区内分布较为广泛。因此，本工程永久占地对植被及植物影响较小</w:t>
      </w:r>
      <w:r>
        <w:rPr>
          <w:rFonts w:hint="eastAsia" w:ascii="Times New Roman" w:hAnsi="Times New Roman" w:eastAsia="宋体"/>
          <w:caps w:val="0"/>
          <w:smallCaps w:val="0"/>
          <w:color w:val="auto"/>
          <w:lang w:val="en-US" w:eastAsia="zh-CN"/>
        </w:rPr>
        <w:t>。</w:t>
      </w:r>
    </w:p>
    <w:p w14:paraId="5FEE66F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（2）临时占地对植物及植被的影响</w:t>
      </w:r>
    </w:p>
    <w:p w14:paraId="25386238">
      <w:pPr>
        <w:spacing w:line="360" w:lineRule="auto"/>
        <w:ind w:firstLine="480" w:firstLineChars="200"/>
        <w:rPr>
          <w:rFonts w:hint="default" w:ascii="Times New Roman" w:hAnsi="Times New Roman" w:eastAsia="宋体" w:cs="Times New Roman"/>
          <w:caps w:val="0"/>
          <w:smallCaps w:val="0"/>
          <w:color w:val="auto"/>
          <w:sz w:val="24"/>
          <w:szCs w:val="24"/>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工程建设区临时占地对占地区植物及植被的影响是暂时的、可恢复的。根据工程布置临时工程主要为</w:t>
      </w:r>
      <w:r>
        <w:rPr>
          <w:rFonts w:hint="eastAsia" w:ascii="Times New Roman" w:hAnsi="Times New Roman" w:eastAsia="宋体" w:cs="Times New Roman"/>
          <w:caps w:val="0"/>
          <w:smallCaps w:val="0"/>
          <w:color w:val="auto"/>
          <w:sz w:val="24"/>
          <w:szCs w:val="21"/>
          <w:u w:val="none" w:color="auto"/>
          <w:lang w:val="en-US" w:eastAsia="zh-CN"/>
        </w:rPr>
        <w:t>取土场（取渣场）、临时堆料场、施工工区</w:t>
      </w:r>
      <w:r>
        <w:rPr>
          <w:rFonts w:hint="default" w:ascii="Times New Roman" w:hAnsi="Times New Roman" w:eastAsia="宋体" w:cs="Times New Roman"/>
          <w:caps w:val="0"/>
          <w:smallCaps w:val="0"/>
          <w:color w:val="auto"/>
          <w:sz w:val="24"/>
          <w:szCs w:val="21"/>
          <w:u w:val="none" w:color="auto"/>
          <w:lang w:val="en-US" w:eastAsia="zh-CN"/>
        </w:rPr>
        <w:t>的施工扰动区域。</w:t>
      </w:r>
      <w:r>
        <w:rPr>
          <w:rFonts w:hint="eastAsia" w:ascii="Times New Roman" w:eastAsia="宋体"/>
          <w:caps w:val="0"/>
          <w:smallCaps w:val="0"/>
          <w:color w:val="auto"/>
          <w:sz w:val="24"/>
          <w:szCs w:val="24"/>
          <w:lang w:val="en-US" w:eastAsia="zh-CN"/>
        </w:rPr>
        <w:t>取弃土工程临时占地面积2hm</w:t>
      </w:r>
      <w:r>
        <w:rPr>
          <w:rFonts w:hint="eastAsia" w:ascii="Times New Roman" w:eastAsia="宋体"/>
          <w:caps w:val="0"/>
          <w:smallCaps w:val="0"/>
          <w:color w:val="auto"/>
          <w:sz w:val="24"/>
          <w:szCs w:val="24"/>
          <w:vertAlign w:val="superscript"/>
          <w:lang w:val="en-US" w:eastAsia="zh-CN"/>
        </w:rPr>
        <w:t>2</w:t>
      </w:r>
      <w:r>
        <w:rPr>
          <w:rFonts w:hint="eastAsia" w:ascii="Times New Roman" w:eastAsia="宋体"/>
          <w:caps w:val="0"/>
          <w:smallCaps w:val="0"/>
          <w:color w:val="auto"/>
          <w:sz w:val="24"/>
          <w:szCs w:val="24"/>
          <w:lang w:val="en-US" w:eastAsia="zh-CN"/>
        </w:rPr>
        <w:t>，用地类型为乔木林地；</w:t>
      </w:r>
      <w:r>
        <w:rPr>
          <w:rFonts w:hint="eastAsia" w:ascii="Times New Roman" w:hAnsi="Times New Roman" w:eastAsia="宋体"/>
          <w:caps w:val="0"/>
          <w:smallCaps w:val="0"/>
          <w:color w:val="auto"/>
          <w:sz w:val="24"/>
          <w:szCs w:val="24"/>
          <w:lang w:val="en-US" w:eastAsia="zh-CN"/>
        </w:rPr>
        <w:t>其它临时施工占地面积为</w:t>
      </w:r>
      <w:r>
        <w:rPr>
          <w:rFonts w:hint="eastAsia" w:ascii="Times New Roman" w:eastAsia="宋体"/>
          <w:caps w:val="0"/>
          <w:smallCaps w:val="0"/>
          <w:color w:val="auto"/>
          <w:sz w:val="24"/>
          <w:szCs w:val="24"/>
          <w:lang w:val="en-US" w:eastAsia="zh-CN"/>
        </w:rPr>
        <w:t>0.38</w:t>
      </w:r>
      <w:r>
        <w:rPr>
          <w:rFonts w:hint="eastAsia" w:ascii="Times New Roman" w:hAnsi="Times New Roman" w:eastAsia="宋体"/>
          <w:caps w:val="0"/>
          <w:smallCaps w:val="0"/>
          <w:color w:val="auto"/>
          <w:sz w:val="24"/>
          <w:szCs w:val="24"/>
          <w:lang w:val="en-US" w:eastAsia="zh-CN"/>
        </w:rPr>
        <w:t>hm</w:t>
      </w:r>
      <w:r>
        <w:rPr>
          <w:rFonts w:hint="eastAsia" w:ascii="Times New Roman" w:hAnsi="Times New Roman" w:eastAsia="宋体"/>
          <w:caps w:val="0"/>
          <w:smallCaps w:val="0"/>
          <w:color w:val="auto"/>
          <w:sz w:val="24"/>
          <w:szCs w:val="24"/>
          <w:vertAlign w:val="superscript"/>
          <w:lang w:val="en-US" w:eastAsia="zh-CN"/>
        </w:rPr>
        <w:t>2</w:t>
      </w:r>
      <w:r>
        <w:rPr>
          <w:rFonts w:hint="eastAsia" w:ascii="Times New Roman" w:hAnsi="Times New Roman" w:eastAsia="宋体"/>
          <w:caps w:val="0"/>
          <w:smallCaps w:val="0"/>
          <w:color w:val="auto"/>
          <w:sz w:val="24"/>
          <w:szCs w:val="24"/>
          <w:lang w:val="en-US" w:eastAsia="zh-CN"/>
        </w:rPr>
        <w:t>，</w:t>
      </w:r>
      <w:r>
        <w:rPr>
          <w:rFonts w:hint="eastAsia" w:eastAsia="宋体"/>
          <w:caps w:val="0"/>
          <w:smallCaps w:val="0"/>
          <w:color w:val="auto"/>
          <w:sz w:val="24"/>
          <w:szCs w:val="24"/>
          <w:lang w:val="en-US" w:eastAsia="zh-CN"/>
        </w:rPr>
        <w:t>临时占地位于永久占地内均属于库区管理范围，未新增额外征占用地</w:t>
      </w:r>
      <w:r>
        <w:rPr>
          <w:rFonts w:hint="eastAsia" w:ascii="Times New Roman" w:eastAsia="宋体"/>
          <w:caps w:val="0"/>
          <w:smallCaps w:val="0"/>
          <w:color w:val="auto"/>
          <w:sz w:val="24"/>
          <w:szCs w:val="24"/>
          <w:lang w:val="en-US" w:eastAsia="zh-CN"/>
        </w:rPr>
        <w:t>。</w:t>
      </w:r>
      <w:r>
        <w:rPr>
          <w:rFonts w:hint="eastAsia" w:ascii="Times New Roman" w:hAnsi="Times New Roman" w:eastAsia="宋体"/>
          <w:caps w:val="0"/>
          <w:smallCaps w:val="0"/>
          <w:color w:val="auto"/>
          <w:sz w:val="24"/>
          <w:szCs w:val="24"/>
          <w:lang w:val="en-US" w:eastAsia="zh-CN"/>
        </w:rPr>
        <w:t>根据现场调查本工程临时占地区内常见的植被为</w:t>
      </w:r>
      <w:r>
        <w:rPr>
          <w:rFonts w:hint="eastAsia" w:ascii="Times New Roman" w:eastAsia="宋体"/>
          <w:caps w:val="0"/>
          <w:smallCaps w:val="0"/>
          <w:color w:val="auto"/>
          <w:sz w:val="24"/>
          <w:szCs w:val="24"/>
          <w:lang w:val="en-US" w:eastAsia="zh-CN"/>
        </w:rPr>
        <w:t>毛竹林、</w:t>
      </w:r>
      <w:r>
        <w:rPr>
          <w:rFonts w:hint="eastAsia" w:ascii="Times New Roman" w:hAnsi="Times New Roman" w:eastAsia="宋体"/>
          <w:caps w:val="0"/>
          <w:smallCaps w:val="0"/>
          <w:color w:val="auto"/>
          <w:sz w:val="24"/>
          <w:szCs w:val="24"/>
          <w:lang w:val="en-US" w:eastAsia="zh-CN"/>
        </w:rPr>
        <w:t>芒灌草丛、葛灌草丛等，常见植物有</w:t>
      </w:r>
      <w:r>
        <w:rPr>
          <w:rFonts w:hint="eastAsia" w:ascii="Times New Roman" w:eastAsia="宋体"/>
          <w:caps w:val="0"/>
          <w:smallCaps w:val="0"/>
          <w:color w:val="auto"/>
          <w:sz w:val="24"/>
          <w:szCs w:val="24"/>
          <w:lang w:val="en-US" w:eastAsia="zh-CN"/>
        </w:rPr>
        <w:t>毛竹、香樟、构树、</w:t>
      </w:r>
      <w:r>
        <w:rPr>
          <w:rFonts w:hint="eastAsia" w:ascii="Times New Roman" w:hAnsi="Times New Roman" w:eastAsia="宋体"/>
          <w:caps w:val="0"/>
          <w:smallCaps w:val="0"/>
          <w:color w:val="auto"/>
          <w:sz w:val="24"/>
          <w:szCs w:val="24"/>
          <w:lang w:val="en-US" w:eastAsia="zh-CN"/>
        </w:rPr>
        <w:t>芒、葛、狗牙根等，工程临时占用区植被类型较为单一，物种较为频繁，为评价区内较为常见的草本植物，其抗逆性强，繁殖能力强、恢复时间短。因此，本工程工程临时占地对占地区植被类型及植物种类的影响较小。此外，工程施工结束后，对临时占地区土地平整、植被恢复，可使临时占地区植物种类多样性、植被类型及生物量均有所增加。</w:t>
      </w:r>
    </w:p>
    <w:p w14:paraId="72B86296">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2.施工活动对植物及植被的影响</w:t>
      </w:r>
    </w:p>
    <w:p w14:paraId="0C64B50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施工期施工活动对植物及植被的影响因素主要有施工活动产生的废气、废水、弃渣、扬尘及人为干扰等。依据施工活动对植物的影响方式，可分为直接影响及间接影响，直接影响主要是指人员活动、车辆碾压等会使周边植物个体损失，植被生物量减少；间接影响主要是指施工过程中产生的废气、废水、弃渣、固废、扬尘等会使周边植物的生命活动受阻。</w:t>
      </w:r>
    </w:p>
    <w:p w14:paraId="55D19C9A">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（1）施工期废气主要来源于燃油机械的尾气，其主要污染物为SO</w:t>
      </w:r>
      <w:r>
        <w:rPr>
          <w:rFonts w:hint="default" w:ascii="Times New Roman" w:hAnsi="Times New Roman" w:eastAsia="宋体" w:cs="Times New Roman"/>
          <w:caps w:val="0"/>
          <w:smallCaps w:val="0"/>
          <w:color w:val="auto"/>
          <w:sz w:val="24"/>
          <w:szCs w:val="21"/>
          <w:u w:val="none" w:color="auto"/>
          <w:vertAlign w:val="subscript"/>
          <w:lang w:val="en-US" w:eastAsia="zh-CN"/>
        </w:rPr>
        <w:t>2</w:t>
      </w:r>
      <w:r>
        <w:rPr>
          <w:rFonts w:hint="default" w:ascii="Times New Roman" w:hAnsi="Times New Roman" w:eastAsia="宋体" w:cs="Times New Roman"/>
          <w:caps w:val="0"/>
          <w:smallCaps w:val="0"/>
          <w:color w:val="auto"/>
          <w:sz w:val="24"/>
          <w:szCs w:val="21"/>
          <w:u w:val="none" w:color="auto"/>
          <w:lang w:val="en-US" w:eastAsia="zh-CN"/>
        </w:rPr>
        <w:t>、NO</w:t>
      </w:r>
      <w:r>
        <w:rPr>
          <w:rFonts w:hint="default" w:ascii="Times New Roman" w:hAnsi="Times New Roman" w:eastAsia="宋体" w:cs="Times New Roman"/>
          <w:caps w:val="0"/>
          <w:smallCaps w:val="0"/>
          <w:color w:val="auto"/>
          <w:sz w:val="24"/>
          <w:szCs w:val="21"/>
          <w:u w:val="none" w:color="auto"/>
          <w:vertAlign w:val="subscript"/>
          <w:lang w:val="en-US" w:eastAsia="zh-CN"/>
        </w:rPr>
        <w:t>2</w:t>
      </w:r>
      <w:r>
        <w:rPr>
          <w:rFonts w:hint="default" w:ascii="Times New Roman" w:hAnsi="Times New Roman" w:eastAsia="宋体" w:cs="Times New Roman"/>
          <w:caps w:val="0"/>
          <w:smallCaps w:val="0"/>
          <w:color w:val="auto"/>
          <w:sz w:val="24"/>
          <w:szCs w:val="21"/>
          <w:u w:val="none" w:color="auto"/>
          <w:lang w:val="en-US" w:eastAsia="zh-CN"/>
        </w:rPr>
        <w:t>、CO等。废气对植物的影响主要是在叶脉间或边缘出现不规则水渍状，导致叶片逐渐坏死，植物光合生产受阻，生长发育变缓。由于加固的大坝、溢洪道、输水隧洞和施工</w:t>
      </w:r>
      <w:r>
        <w:rPr>
          <w:rFonts w:hint="eastAsia" w:ascii="Times New Roman" w:hAnsi="Times New Roman" w:eastAsia="宋体" w:cs="Times New Roman"/>
          <w:caps w:val="0"/>
          <w:smallCaps w:val="0"/>
          <w:color w:val="auto"/>
          <w:sz w:val="24"/>
          <w:szCs w:val="21"/>
          <w:u w:val="none" w:color="auto"/>
          <w:lang w:val="en-US" w:eastAsia="zh-CN"/>
        </w:rPr>
        <w:t>临建设施区</w:t>
      </w:r>
      <w:r>
        <w:rPr>
          <w:rFonts w:hint="default" w:ascii="Times New Roman" w:hAnsi="Times New Roman" w:eastAsia="宋体" w:cs="Times New Roman"/>
          <w:caps w:val="0"/>
          <w:smallCaps w:val="0"/>
          <w:color w:val="auto"/>
          <w:sz w:val="24"/>
          <w:szCs w:val="21"/>
          <w:u w:val="none" w:color="auto"/>
          <w:lang w:val="en-US" w:eastAsia="zh-CN"/>
        </w:rPr>
        <w:t>及</w:t>
      </w:r>
      <w:r>
        <w:rPr>
          <w:rFonts w:hint="eastAsia" w:ascii="Times New Roman" w:hAnsi="Times New Roman" w:eastAsia="宋体" w:cs="Times New Roman"/>
          <w:caps w:val="0"/>
          <w:smallCaps w:val="0"/>
          <w:color w:val="auto"/>
          <w:sz w:val="24"/>
          <w:szCs w:val="21"/>
          <w:u w:val="none" w:color="auto"/>
          <w:lang w:val="en-US" w:eastAsia="zh-CN"/>
        </w:rPr>
        <w:t>弃土场</w:t>
      </w:r>
      <w:r>
        <w:rPr>
          <w:rFonts w:hint="default" w:ascii="Times New Roman" w:hAnsi="Times New Roman" w:eastAsia="宋体" w:cs="Times New Roman"/>
          <w:caps w:val="0"/>
          <w:smallCaps w:val="0"/>
          <w:color w:val="auto"/>
          <w:sz w:val="24"/>
          <w:szCs w:val="21"/>
          <w:u w:val="none" w:color="auto"/>
          <w:lang w:val="en-US" w:eastAsia="zh-CN"/>
        </w:rPr>
        <w:t>距离较近，燃油机械的废气排放量相对较低，再加上施工期机械尾气属移动线源排放，因此施工期废气对植物及植被的影响较小。</w:t>
      </w:r>
    </w:p>
    <w:p w14:paraId="7B302AE4">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（2）施工期废水分为生产废水和生活污水，生产废水主要来源于基坑废水、</w:t>
      </w:r>
      <w:r>
        <w:rPr>
          <w:rFonts w:hint="eastAsia" w:ascii="Times New Roman" w:hAnsi="Times New Roman" w:eastAsia="宋体" w:cs="Times New Roman"/>
          <w:caps w:val="0"/>
          <w:smallCaps w:val="0"/>
          <w:color w:val="auto"/>
          <w:sz w:val="24"/>
          <w:szCs w:val="21"/>
          <w:u w:val="none" w:color="auto"/>
          <w:lang w:val="en-US" w:eastAsia="zh-CN"/>
        </w:rPr>
        <w:t>灌浆施工</w:t>
      </w:r>
      <w:r>
        <w:rPr>
          <w:rFonts w:hint="default" w:ascii="Times New Roman" w:hAnsi="Times New Roman" w:eastAsia="宋体" w:cs="Times New Roman"/>
          <w:caps w:val="0"/>
          <w:smallCaps w:val="0"/>
          <w:color w:val="auto"/>
          <w:sz w:val="24"/>
          <w:szCs w:val="21"/>
          <w:u w:val="none" w:color="auto"/>
          <w:lang w:val="en-US" w:eastAsia="zh-CN"/>
        </w:rPr>
        <w:t>废水和</w:t>
      </w:r>
      <w:r>
        <w:rPr>
          <w:rFonts w:hint="eastAsia" w:ascii="Times New Roman" w:hAnsi="Times New Roman" w:eastAsia="宋体" w:cs="Times New Roman"/>
          <w:caps w:val="0"/>
          <w:smallCaps w:val="0"/>
          <w:color w:val="auto"/>
          <w:sz w:val="24"/>
          <w:szCs w:val="21"/>
          <w:u w:val="none" w:color="auto"/>
          <w:lang w:val="en-US" w:eastAsia="zh-CN"/>
        </w:rPr>
        <w:t>机械设备冲洗</w:t>
      </w:r>
      <w:r>
        <w:rPr>
          <w:rFonts w:hint="default" w:ascii="Times New Roman" w:hAnsi="Times New Roman" w:eastAsia="宋体" w:cs="Times New Roman"/>
          <w:caps w:val="0"/>
          <w:smallCaps w:val="0"/>
          <w:color w:val="auto"/>
          <w:sz w:val="24"/>
          <w:szCs w:val="21"/>
          <w:u w:val="none" w:color="auto"/>
          <w:lang w:val="en-US" w:eastAsia="zh-CN"/>
        </w:rPr>
        <w:t>含油废水等，生活污水主要是工程施工时施工人员的生活产生的污水等。废水对植物的影响主要是废水的随意排放会改变土壤理化性质，改变植物生长发育环境，进而影响其正常生命活动。但这种影响可通过在施工区及生产生活区纳入当地的污水管网系统等进行避免。</w:t>
      </w:r>
    </w:p>
    <w:p w14:paraId="49356981">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3）扬尘主要来源于土石方调配，建筑物施工，直至工程竣工后场地清理、恢复等诸多工程，其中以运输车辆引起的二次扬尘影响时间最长，对周围植物及植被影响最严重。扬尘粗颗粒随风飘落到附近地面或植物叶、茎、花表面，会使其生命活动受到一定影响。由于评价区处亚热带季风气候区，区域内空气湿度相对较大，土壤湿润，扬尘扩散范围相对较小，再加上施工期如能采取洒水抑尘等措施，可有效减轻扬尘对周围植物及植被的影响。</w:t>
      </w:r>
    </w:p>
    <w:p w14:paraId="1BA3F292">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（4）人为干扰对植物及植被的影响</w:t>
      </w:r>
    </w:p>
    <w:p w14:paraId="7AAD6E0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本工程人为干扰对植物及植被的影响因素主要有人为砍伐、践踏、刻画、运输作业等。人为干扰对植物及植被的影响主要有：①施工期工程区人员增多，施工人员砍伐会破坏区域内植物及其生境，会影响群落结构及种类组成；②施工期施工人员践踏、施工机械碾压会对植物地上部分造成机械性伤害，从而影响植物的生长发育，同时践踏等造成的土壤结构变化会间接影响区域内植物的生长发育；③施工期施工人员刻画、施工车辆的剐蹭等人为活动导致植物形成创伤，伤口暴露后易导致病虫害，进而会影响其生长发育；④施工期运输作业方便种子的传播可能导致评价区外来物种入侵，破坏原区域内植物及其生境。</w:t>
      </w:r>
    </w:p>
    <w:p w14:paraId="0E440730">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由于本工程占地面积较小，占地区相对集中，施工期人为干扰等可通过加强宣传教育活动，加强施工监理，在施工前划定施工范围，规范施工人员活动等进行缓解，在相对措施得到落实后，人为干扰对植物及植被的影响较小。</w:t>
      </w:r>
    </w:p>
    <w:p w14:paraId="68A31F72">
      <w:pPr>
        <w:spacing w:line="360" w:lineRule="auto"/>
        <w:ind w:firstLine="480" w:firstLineChars="200"/>
        <w:rPr>
          <w:rFonts w:hint="default" w:ascii="Times New Roman" w:hAnsi="Times New Roman" w:eastAsia="宋体" w:cs="Times New Roman"/>
          <w:caps w:val="0"/>
          <w:smallCaps w:val="0"/>
          <w:color w:val="auto"/>
          <w:kern w:val="2"/>
          <w:sz w:val="24"/>
          <w:szCs w:val="24"/>
          <w:u w:val="none" w:color="auto"/>
          <w:lang w:val="en-US" w:eastAsia="zh-CN" w:bidi="ar-SA"/>
        </w:rPr>
      </w:pPr>
      <w:r>
        <w:rPr>
          <w:rFonts w:hint="default" w:ascii="Times New Roman" w:hAnsi="Times New Roman" w:eastAsia="宋体" w:cs="Times New Roman"/>
          <w:caps w:val="0"/>
          <w:smallCaps w:val="0"/>
          <w:color w:val="auto"/>
          <w:sz w:val="24"/>
          <w:szCs w:val="21"/>
          <w:u w:val="none" w:color="auto"/>
          <w:lang w:val="en-US" w:eastAsia="zh-CN"/>
        </w:rPr>
        <w:t>3.</w:t>
      </w:r>
      <w:r>
        <w:rPr>
          <w:rFonts w:hint="default" w:ascii="Times New Roman" w:hAnsi="Times New Roman" w:eastAsia="宋体" w:cs="Times New Roman"/>
          <w:caps w:val="0"/>
          <w:smallCaps w:val="0"/>
          <w:color w:val="auto"/>
          <w:kern w:val="2"/>
          <w:sz w:val="24"/>
          <w:szCs w:val="24"/>
          <w:u w:val="none" w:color="auto"/>
          <w:lang w:val="en-US" w:eastAsia="zh-CN" w:bidi="ar-SA"/>
        </w:rPr>
        <w:t>对古树名木的影响</w:t>
      </w:r>
    </w:p>
    <w:p w14:paraId="783AF694">
      <w:pPr>
        <w:widowControl w:val="0"/>
        <w:spacing w:after="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aps w:val="0"/>
          <w:smallCaps w:val="0"/>
          <w:color w:val="auto"/>
          <w:kern w:val="2"/>
          <w:sz w:val="24"/>
          <w:szCs w:val="24"/>
          <w:lang w:val="en-US" w:eastAsia="zh-CN" w:bidi="ar-SA"/>
        </w:rPr>
        <w:t>根据现场实地调查，评价区发现2株香樟古树，位于路旁，不在施工占地内，距离项目最近距离为10m。建议采取原址保护，强化施工监管，禁止对枝叶和根系的人为损坏。在采取严格保护措施后，项目对其基本无影响。</w:t>
      </w:r>
    </w:p>
    <w:p w14:paraId="57519EEC">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二、运营期</w:t>
      </w:r>
    </w:p>
    <w:p w14:paraId="23D44738">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工程运行期临时占地植被逐渐恢复，永久占地区域随着工程的完工结合库区绿化等相关措施，工程施工扰动等对周边植被的影响逐渐降低。</w:t>
      </w:r>
    </w:p>
    <w:p w14:paraId="1AF8727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工程建成后，</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安全隐患得到治理，有利于稳定岸坡，维护现有河势，提高河段的防洪能力，减少淹没的植被，降低生物量损失；对改善河段生态环境、维护区域生态多样性、区域生态平衡具有积极意义。</w:t>
      </w:r>
    </w:p>
    <w:p w14:paraId="42A9D261">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对陆生动物的影响</w:t>
      </w:r>
    </w:p>
    <w:p w14:paraId="7DF378CA">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一、施工期</w:t>
      </w:r>
    </w:p>
    <w:p w14:paraId="106C803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施工期对动物的影响主要包括：工程占用动物生境；施工过程中各种噪声对动物栖息和繁殖的干扰；主体工程施工引起的水体污染；生活垃圾等对动物生境的破坏及对部分啮齿目分布格局的影响；人为活动对动物的干扰等。</w:t>
      </w:r>
    </w:p>
    <w:p w14:paraId="154E0940">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1.对两栖类的影响</w:t>
      </w:r>
    </w:p>
    <w:p w14:paraId="77ECF214">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两栖类动物对水有很大的依赖性。它们分布于评价范围内的水库、坑塘、沟渠及周边农田、灌草地等区域。工程施工期对其影响因素主要有：施工场地建设和主体工程施工引起的水体污染；施工占地对其生境的占用与破坏；施工噪声对其求偶的影响；人类活动对其的干扰等。其中对其影响最为明显的为施工引起的水体污染。</w:t>
      </w:r>
    </w:p>
    <w:p w14:paraId="0E997021">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评价区内的蛙类，会在水库浅水区域和沟渠、坑塘内活动和产卵。工程施工期主体工程中主副坝加固、溢洪道的施工对</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的扰动，以及坑塘、沟渠边施工场地建设和弃渣，将引起的水体悬浮物浓度增加、水中有害物质增多，都将会对评价区内的水质造成污染从而会导致两栖类的生活环境恶化，破坏两栖类体表内外的渗透压平衡、酸碱度平衡，影响其对外界环境的适应能力及蛙卵的孵化率，导致两栖类栖息地缩小和种群、数量的减少。由于工程施工期会落实水土流失防治措施，渣场和施工场地周边水土流失较弱，且主体工程施工涉及的水域面积小，水体为静水水域，悬浮物扩散距离有限。因此在严格落实水土流失防治措施的情况下，工程施工对水质的影响小，对两栖类的影响有限。</w:t>
      </w:r>
    </w:p>
    <w:p w14:paraId="3E9C457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根据工程初步</w:t>
      </w:r>
      <w:r>
        <w:rPr>
          <w:rFonts w:hint="eastAsia" w:ascii="Times New Roman" w:hAnsi="Times New Roman" w:eastAsia="宋体" w:cs="Times New Roman"/>
          <w:caps w:val="0"/>
          <w:smallCaps w:val="0"/>
          <w:color w:val="auto"/>
          <w:sz w:val="24"/>
          <w:szCs w:val="21"/>
          <w:u w:val="none" w:color="auto"/>
          <w:lang w:val="en-US" w:eastAsia="zh-CN"/>
        </w:rPr>
        <w:t>设计</w:t>
      </w:r>
      <w:r>
        <w:rPr>
          <w:rFonts w:hint="default" w:ascii="Times New Roman" w:hAnsi="Times New Roman" w:eastAsia="宋体" w:cs="Times New Roman"/>
          <w:caps w:val="0"/>
          <w:smallCaps w:val="0"/>
          <w:color w:val="auto"/>
          <w:sz w:val="24"/>
          <w:szCs w:val="21"/>
          <w:u w:val="none" w:color="auto"/>
          <w:lang w:val="en-US" w:eastAsia="zh-CN"/>
        </w:rPr>
        <w:t>，工程占地面积为</w:t>
      </w:r>
      <w:r>
        <w:rPr>
          <w:rFonts w:hint="eastAsia" w:ascii="Times New Roman" w:hAnsi="Times New Roman" w:eastAsia="宋体" w:cs="Times New Roman"/>
          <w:caps w:val="0"/>
          <w:smallCaps w:val="0"/>
          <w:color w:val="auto"/>
          <w:sz w:val="24"/>
          <w:szCs w:val="21"/>
          <w:u w:val="none" w:color="auto"/>
          <w:lang w:val="en-US" w:eastAsia="zh-CN"/>
        </w:rPr>
        <w:t>17</w:t>
      </w:r>
      <w:r>
        <w:rPr>
          <w:rFonts w:hint="default" w:ascii="Times New Roman" w:hAnsi="Times New Roman" w:eastAsia="宋体" w:cs="Times New Roman"/>
          <w:caps w:val="0"/>
          <w:smallCaps w:val="0"/>
          <w:color w:val="auto"/>
          <w:sz w:val="24"/>
          <w:szCs w:val="21"/>
          <w:u w:val="none" w:color="auto"/>
          <w:lang w:val="en-US" w:eastAsia="zh-CN"/>
        </w:rPr>
        <w:t>hm</w:t>
      </w:r>
      <w:r>
        <w:rPr>
          <w:rFonts w:hint="default" w:ascii="Times New Roman" w:hAnsi="Times New Roman" w:eastAsia="宋体" w:cs="Times New Roman"/>
          <w:caps w:val="0"/>
          <w:smallCaps w:val="0"/>
          <w:color w:val="auto"/>
          <w:sz w:val="24"/>
          <w:szCs w:val="21"/>
          <w:u w:val="none" w:color="auto"/>
          <w:vertAlign w:val="superscript"/>
          <w:lang w:val="en-US" w:eastAsia="zh-CN"/>
        </w:rPr>
        <w:t>2</w:t>
      </w:r>
      <w:r>
        <w:rPr>
          <w:rFonts w:hint="default" w:ascii="Times New Roman" w:hAnsi="Times New Roman" w:eastAsia="宋体" w:cs="Times New Roman"/>
          <w:caps w:val="0"/>
          <w:smallCaps w:val="0"/>
          <w:color w:val="auto"/>
          <w:sz w:val="24"/>
          <w:szCs w:val="21"/>
          <w:u w:val="none" w:color="auto"/>
          <w:lang w:val="en-US" w:eastAsia="zh-CN"/>
        </w:rPr>
        <w:t>，主要占地耕地和草地，两栖类主要活动于评价区内水库、坑塘、沟渠内，占地对两栖类影响小。</w:t>
      </w:r>
    </w:p>
    <w:p w14:paraId="7F446F4C">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蛙类主要通过发声求偶，施工噪声可能导致个体重复的抵抗和避开噪声造成额外的能量消耗，进而丧失交配的机会，对蛙类繁衍具有一定的影响。由于工程施工主要在白天施工，娃类主要在夜间求偶，施工噪声对两栖类繁衍影响较小。</w:t>
      </w:r>
    </w:p>
    <w:p w14:paraId="70100E8C">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人类活动对两栖类的影响有生活污水与垃圾、人为捕杀，其中主要是人为捕杀。施工人员的生活污水与垃圾随意处理，将使两栖类动物的生境污染，迫使其寻找替代生境。此外，两栖动物存在被施工人员捕杀的风险，可能导致数量较少的种群消失。这些影响可通过宣传教育与设置惩罚等措施加以避免。</w:t>
      </w:r>
    </w:p>
    <w:p w14:paraId="0E73E2A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2.对爬行类的影响</w:t>
      </w:r>
    </w:p>
    <w:p w14:paraId="57F1990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爬行类动物对水的依赖性没有两栖类动物高，但其生存方式多样，大致可分为有水栖型、林栖傍水型、灌丛石隙型、住宅型4种生态类型，其中水栖型和林栖傍水型对水具有一定的依赖性。工程施工期对爬行类的影响主要有：施工引起的水体污染；施工占地对其生境的占用；施工噪声对其捕食的干扰；人类活动对其的干扰等。其中对其影响较明显的为施工引起的水体污染对其生境的破坏。</w:t>
      </w:r>
    </w:p>
    <w:p w14:paraId="543D991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评价区对水有一定依赖性较高的爬行类动物有水栖型种类，比如中华鳖、乌龟等，它们主要在评价区内</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及周边林地中生活。主体工程施工将引起水库内的的水体悬浮增加，对水域造成一定的污染，造成施工区域内水栖型爬行类种群数量下降。由于</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水域面积大，主体工程施工涉及水域面积小，且水栖型爬行类在水体内移动速度快。主体工程施工导致的水污染不会对水栖型爬行类造成大的影响。林栖傍水型爬行类中的虎斑颈槽蛇、乌华游蛇（Trimerodytes percarinatus）等种类会在</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内捕食鱼类，主体工程施工施工将会导致施工区域一定区域内鱼类资源减少，增加其捕食压力。由于鱼类并不是其唯一的食物来源，施工对其影响有限。对水依赖性不高的灌丛石隙型和住宅型爬行类主要在评价区的居住地、灌草地、农田等区域活动，施工引起的水体污染对其直接影响不大。</w:t>
      </w:r>
    </w:p>
    <w:p w14:paraId="6BA5BCE4">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施工时占地占用部分爬行类的生境，将迫使其转移至附近的替代生境中。由于工程影响区域附近相似生境较多，占地对爬行类影响较小。</w:t>
      </w:r>
    </w:p>
    <w:p w14:paraId="0C1C00C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与两栖类类似，爬行类中也有一些种类食用价值和经济实用价值较高，可能遭到施工人员的捕杀，造成该区域内种群数量的减少，如中华鳖、乌龟、乌梢蛇等。这种影响可通过制定相关的惩罚制度与宣传教育的方式加以避免。</w:t>
      </w:r>
    </w:p>
    <w:p w14:paraId="0955DC87">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3.对鸟类的影响</w:t>
      </w:r>
    </w:p>
    <w:p w14:paraId="077479E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鸟类善于飞翔，其特点是感官敏锐、迁移能力强，同时其生活类型也多种多样，有生活于水域中或水域附近的游禽及涉禽，生活于林中的猛禽、攀禽和鸣禽，生活于灌丛、草丛或农田中的陆禽等。工程施工期对其影响主要有：施工噪声对其的驱赶；大坝主体工程施工对湿地鸟类栖息地和食源的破坏；人为活动对其的影响等。其中施工噪音；主体工程施工对湿地鸟类栖息地和食源的破坏，对评价区内的鸟类影响相对较大。</w:t>
      </w:r>
    </w:p>
    <w:p w14:paraId="5C14230E">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工程施工噪声主要来源于大坝、输水</w:t>
      </w:r>
      <w:r>
        <w:rPr>
          <w:rFonts w:hint="eastAsia" w:ascii="Times New Roman" w:hAnsi="Times New Roman" w:eastAsia="宋体" w:cs="Times New Roman"/>
          <w:caps w:val="0"/>
          <w:smallCaps w:val="0"/>
          <w:color w:val="auto"/>
          <w:sz w:val="24"/>
          <w:szCs w:val="21"/>
          <w:u w:val="none" w:color="auto"/>
          <w:lang w:val="en-US" w:eastAsia="zh-CN"/>
        </w:rPr>
        <w:t>进水涵闸</w:t>
      </w:r>
      <w:r>
        <w:rPr>
          <w:rFonts w:hint="default" w:ascii="Times New Roman" w:hAnsi="Times New Roman" w:eastAsia="宋体" w:cs="Times New Roman"/>
          <w:caps w:val="0"/>
          <w:smallCaps w:val="0"/>
          <w:color w:val="auto"/>
          <w:sz w:val="24"/>
          <w:szCs w:val="21"/>
          <w:u w:val="none" w:color="auto"/>
          <w:lang w:val="en-US" w:eastAsia="zh-CN"/>
        </w:rPr>
        <w:t>、</w:t>
      </w:r>
      <w:r>
        <w:rPr>
          <w:rFonts w:hint="eastAsia" w:ascii="Times New Roman" w:hAnsi="Times New Roman" w:eastAsia="宋体" w:cs="Times New Roman"/>
          <w:caps w:val="0"/>
          <w:smallCaps w:val="0"/>
          <w:color w:val="auto"/>
          <w:sz w:val="24"/>
          <w:szCs w:val="21"/>
          <w:u w:val="none" w:color="auto"/>
          <w:lang w:val="en-US" w:eastAsia="zh-CN"/>
        </w:rPr>
        <w:t>防汛公路改造</w:t>
      </w:r>
      <w:r>
        <w:rPr>
          <w:rFonts w:hint="default" w:ascii="Times New Roman" w:hAnsi="Times New Roman" w:eastAsia="宋体" w:cs="Times New Roman"/>
          <w:caps w:val="0"/>
          <w:smallCaps w:val="0"/>
          <w:color w:val="auto"/>
          <w:sz w:val="24"/>
          <w:szCs w:val="21"/>
          <w:u w:val="none" w:color="auto"/>
          <w:lang w:val="en-US" w:eastAsia="zh-CN"/>
        </w:rPr>
        <w:t>时施工器械噪声，以及施工车辆运输噪声，施工噪声将导致区域鸟类远离施工区域。评价区内主要以林地为主，对噪声有很好的吸收作用，施工噪声衰减至环境背景噪声值的距离短。工程施工不会产生突发的高强度突发噪音，不会引起鸟类强烈的应急活动，因此工程作业产生的噪音对整个评价区内鸟类影响有限。施工完成后，受噪音影响的鸟类会逐渐迁回。</w:t>
      </w:r>
    </w:p>
    <w:p w14:paraId="78464FD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工程对鸟类的影响主要来源于主体工程施工导致</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悬浮物增加，对湿地鸟类栖息地和食源的破坏。影响对象为鸟类中的游禽、涉禽和以鱼类为食的翠鸟科种类，主体工程施工占用水库水域面积小，且水库为静水水域，悬浮物扩散范围小，水污染影响范围有限，影响相对可控。</w:t>
      </w:r>
    </w:p>
    <w:p w14:paraId="48E57A7A">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鸟类的视觉极其敏锐，施工期由于施工人员进驻，施工人员的活动将对鸟类造成一定驱赶作用。评价区内鸟类适宜生境较多，施工人员影响是暂时的，这种影响不大。鸟类中部分种类食用价值、观赏价值和经济价值较高，如环颈雉、珠颈斑鸠、画眉等，可能会遭到施工人员的捕捉或捕杀而导致个体死亡或种群数量减少。这种影响同样也可通过加强对施工人员的教育与宣传等方式加以避免。</w:t>
      </w:r>
    </w:p>
    <w:p w14:paraId="223BBC5C">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4.对哺乳类的影响</w:t>
      </w:r>
    </w:p>
    <w:p w14:paraId="1D34FB9A">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哺乳类感官非常敏锐、迁移能力较强，对人类活动的敏感程度较鸟类更甚。评价区内的哺乳类有筑巢于地下但主要在地面觅食的半地下生活型和在人类居民点或岩洞中生活的岩洞栖息型。工程施工期对其影响主要有，施工噪声对其的驱赶；生活垃圾对其觅食和分布的影响；施工引起的水体污染对其的影响；人为活动对其的影响等。由于工程施工区域主要为建设用地，施工区域内活动的哺乳类较少，工程施工对哺乳类影响有限。</w:t>
      </w:r>
    </w:p>
    <w:p w14:paraId="41BF7667">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哺乳类噪声非常敏感，噪声对其的影响主要为限制其活动范围，使部分种类觅食时不敢靠近施工区域。由于工程施工噪音强度不高，且周边区域替代生境多，施工噪音对哺乳类影响不大。</w:t>
      </w:r>
    </w:p>
    <w:p w14:paraId="69420C3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评价区内的哺乳类对水的依存度不高。评价范围内水域面积大，施工影响区域内的水域不是其唯一的饮用水水源地，因此施工引起的水体污染对评价区内哺乳类影响不大。</w:t>
      </w:r>
    </w:p>
    <w:p w14:paraId="62233519">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评价区分布的哺乳类中，华南兔、东北刺猬等有较高的食用价值和经济价值，若不进行有效管理可能遭到施工人员的捕杀，同样可通过宣传教育和设置奖惩来加以避免。</w:t>
      </w:r>
    </w:p>
    <w:p w14:paraId="41FBC5F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二、运行期</w:t>
      </w:r>
    </w:p>
    <w:p w14:paraId="5C2DE205">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运行期间对动物不利影响主要为主体工程施工完成后初期，临时占地工程拆除、生境修复过程中人为活动、噪声等引起。运行初期人为活动少，部分临时工程拆除的施工强度低，产生的噪音强度不高，对区域野生动物不利影响小。</w:t>
      </w:r>
      <w:r>
        <w:rPr>
          <w:rFonts w:hint="eastAsia" w:ascii="Times New Roman" w:hAnsi="Times New Roman" w:eastAsia="宋体" w:cs="Times New Roman"/>
          <w:caps w:val="0"/>
          <w:smallCaps w:val="0"/>
          <w:color w:val="auto"/>
          <w:sz w:val="24"/>
          <w:szCs w:val="21"/>
          <w:u w:val="none" w:color="auto"/>
          <w:lang w:val="en-US" w:eastAsia="zh-CN"/>
        </w:rPr>
        <w:t>北汊水库</w:t>
      </w:r>
      <w:r>
        <w:rPr>
          <w:rFonts w:hint="default" w:ascii="Times New Roman" w:hAnsi="Times New Roman" w:eastAsia="宋体" w:cs="Times New Roman"/>
          <w:caps w:val="0"/>
          <w:smallCaps w:val="0"/>
          <w:color w:val="auto"/>
          <w:sz w:val="24"/>
          <w:szCs w:val="21"/>
          <w:u w:val="none" w:color="auto"/>
          <w:lang w:val="en-US" w:eastAsia="zh-CN"/>
        </w:rPr>
        <w:t>除险加固完成后，减少了洪灾发生几率，有利于区域生境条件与生态系统的相对稳定，对区域野生动物生存、繁衍有一定的积极意义。</w:t>
      </w:r>
    </w:p>
    <w:p w14:paraId="25C75C10">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外来入侵物种的影响</w:t>
      </w:r>
    </w:p>
    <w:p w14:paraId="170C4542">
      <w:pPr>
        <w:spacing w:line="360" w:lineRule="auto"/>
        <w:ind w:firstLine="480" w:firstLineChars="200"/>
        <w:rPr>
          <w:rFonts w:hint="default" w:ascii="Times New Roman" w:hAnsi="Times New Roman" w:eastAsia="宋体" w:cs="Times New Roman"/>
          <w:caps w:val="0"/>
          <w:smallCaps w:val="0"/>
          <w:color w:val="auto"/>
          <w:sz w:val="24"/>
          <w:szCs w:val="21"/>
          <w:u w:val="none" w:color="auto"/>
        </w:rPr>
      </w:pPr>
      <w:r>
        <w:rPr>
          <w:rFonts w:hint="default" w:ascii="Times New Roman" w:hAnsi="Times New Roman" w:eastAsia="宋体" w:cs="Times New Roman"/>
          <w:caps w:val="0"/>
          <w:smallCaps w:val="0"/>
          <w:color w:val="auto"/>
          <w:sz w:val="24"/>
          <w:szCs w:val="21"/>
          <w:u w:val="none" w:color="auto"/>
        </w:rPr>
        <w:t>通过现场调查，评价区外来入侵物种主要有垂序商陆</w:t>
      </w:r>
      <w:r>
        <w:rPr>
          <w:rFonts w:hint="default" w:ascii="Times New Roman" w:hAnsi="Times New Roman" w:eastAsia="宋体" w:cs="Times New Roman"/>
          <w:caps w:val="0"/>
          <w:smallCaps w:val="0"/>
          <w:color w:val="auto"/>
          <w:sz w:val="24"/>
          <w:szCs w:val="21"/>
          <w:u w:val="none" w:color="auto"/>
          <w:lang w:eastAsia="zh-CN"/>
        </w:rPr>
        <w:t>、小蓬草、</w:t>
      </w:r>
      <w:r>
        <w:rPr>
          <w:rFonts w:hint="eastAsia" w:ascii="宋体" w:hAnsi="宋体" w:eastAsia="宋体" w:cs="宋体"/>
          <w:caps w:val="0"/>
          <w:smallCaps w:val="0"/>
          <w:color w:val="auto"/>
          <w:sz w:val="24"/>
          <w:szCs w:val="24"/>
          <w:lang w:eastAsia="zh-CN"/>
        </w:rPr>
        <w:t>凤眼莲</w:t>
      </w:r>
      <w:r>
        <w:rPr>
          <w:rFonts w:hint="default" w:ascii="Times New Roman" w:hAnsi="Times New Roman" w:eastAsia="宋体" w:cs="Times New Roman"/>
          <w:caps w:val="0"/>
          <w:smallCaps w:val="0"/>
          <w:color w:val="auto"/>
          <w:sz w:val="24"/>
          <w:szCs w:val="21"/>
          <w:u w:val="none" w:color="auto"/>
        </w:rPr>
        <w:t>等，在评价范围内散布，影响范围有限。施工期频繁的人为活动，易引起外来入侵物种的大面积扩散或者带来一些新的外来入侵物种。施工过程中如不注意对其进行控制，可能导致其大规模入侵并迅速占领生态位，对本地种的生存造成危害。</w:t>
      </w:r>
    </w:p>
    <w:p w14:paraId="74FC9C72">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水土流失影响</w:t>
      </w:r>
    </w:p>
    <w:p w14:paraId="35DEA5DB">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土地平整扰动了表土结构，土壤抗蚀能力降低，损坏了原有的水土保持能力，导致地表裸露，在地表径流的作用下，加大水土流失量，破坏生态，恶化环境。临时材料及临时弃土方的堆放在雨季可能产生水土流失。根据国家有关水土保持法律法规的要求，坚持“预防为主、全面规划、综合防治、因地制宜、加强管理、注重效益”的方针，坚持水土保持措施与主体工程建设“三同时”制度，设计中采取植物复种措施，边建设，边绿化。</w:t>
      </w:r>
    </w:p>
    <w:p w14:paraId="356C0EB3">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为减少水土流失量，减轻对当地农业生态系统的影响，还应进行规范施工，减少施工场地作业面积，在施工现场建造挡土防护墙及绿化防护，同时建好施工场地的排水系统。合理设计施工时序，尽量缩短施工工期，并尽量避免雨天施工。对挖方场地，应随挖随整，尽量减少开挖坡度，减少裸露边坡裸露时间。对堆置的弃土堆四面坡脚采用装土编织袋挡墙进行临时性防护，顶面和坡面采用塑料膜或彩条布进行覆盖防护，场地四周设置排水沟。</w:t>
      </w:r>
    </w:p>
    <w:p w14:paraId="4B6B6D5F">
      <w:pPr>
        <w:spacing w:line="360" w:lineRule="auto"/>
        <w:ind w:firstLine="480" w:firstLineChars="200"/>
        <w:rPr>
          <w:rFonts w:hint="default" w:ascii="Times New Roman" w:hAnsi="Times New Roman" w:eastAsia="宋体" w:cs="Times New Roman"/>
          <w:caps w:val="0"/>
          <w:smallCaps w:val="0"/>
          <w:color w:val="auto"/>
          <w:sz w:val="24"/>
          <w:szCs w:val="21"/>
          <w:u w:val="none" w:color="auto"/>
          <w:lang w:val="en-US" w:eastAsia="zh-CN"/>
        </w:rPr>
      </w:pPr>
      <w:r>
        <w:rPr>
          <w:rFonts w:hint="default" w:ascii="Times New Roman" w:hAnsi="Times New Roman" w:eastAsia="宋体" w:cs="Times New Roman"/>
          <w:caps w:val="0"/>
          <w:smallCaps w:val="0"/>
          <w:color w:val="auto"/>
          <w:sz w:val="24"/>
          <w:szCs w:val="21"/>
          <w:u w:val="none" w:color="auto"/>
          <w:lang w:val="en-US" w:eastAsia="zh-CN"/>
        </w:rPr>
        <w:t>总体而言，本项目的建设不会给所在区域生态系统带来明显不良影响，整个生态系统仍基本处于良性状态。</w:t>
      </w:r>
    </w:p>
    <w:p w14:paraId="3B8CFDA5">
      <w:pPr>
        <w:pStyle w:val="5"/>
        <w:bidi w:val="0"/>
        <w:rPr>
          <w:rFonts w:hint="default" w:ascii="Times New Roman" w:hAnsi="Times New Roman" w:cs="Times New Roman"/>
          <w:color w:val="auto"/>
          <w:u w:val="none" w:color="auto"/>
          <w:lang w:val="en-US" w:eastAsia="zh-CN"/>
        </w:rPr>
      </w:pPr>
      <w:bookmarkStart w:id="299" w:name="_Toc7134"/>
      <w:r>
        <w:rPr>
          <w:rFonts w:hint="default" w:ascii="Times New Roman" w:hAnsi="Times New Roman" w:cs="Times New Roman"/>
          <w:color w:val="auto"/>
          <w:u w:val="none" w:color="auto"/>
          <w:lang w:val="en-US" w:eastAsia="zh-CN"/>
        </w:rPr>
        <w:t>对湖南华容</w:t>
      </w:r>
      <w:r>
        <w:rPr>
          <w:rFonts w:hint="eastAsia" w:ascii="Times New Roman" w:hAnsi="Times New Roman" w:cs="Times New Roman"/>
          <w:color w:val="auto"/>
          <w:u w:val="none" w:color="auto"/>
          <w:lang w:val="en-US" w:eastAsia="zh-CN"/>
        </w:rPr>
        <w:t>东湖国家湿地</w:t>
      </w:r>
      <w:r>
        <w:rPr>
          <w:rFonts w:hint="default" w:ascii="Times New Roman" w:hAnsi="Times New Roman" w:cs="Times New Roman"/>
          <w:color w:val="auto"/>
          <w:u w:val="none" w:color="auto"/>
          <w:lang w:val="en-US" w:eastAsia="zh-CN"/>
        </w:rPr>
        <w:t>公园的影响</w:t>
      </w:r>
      <w:bookmarkEnd w:id="299"/>
    </w:p>
    <w:p w14:paraId="2462F071">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项目选址影响</w:t>
      </w:r>
    </w:p>
    <w:p w14:paraId="467D889B">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pPr>
      <w:r>
        <w:rPr>
          <w:rFonts w:hint="eastAsia" w:ascii="Times New Roman" w:hAnsi="Times New Roman" w:eastAsia="宋体" w:cs="Times New Roman"/>
          <w:caps w:val="0"/>
          <w:smallCaps w:val="0"/>
          <w:color w:val="auto"/>
          <w:sz w:val="24"/>
          <w:szCs w:val="21"/>
          <w:u w:val="none" w:color="auto"/>
          <w:lang w:val="en-US" w:eastAsia="zh-CN"/>
        </w:rPr>
        <w:t>项目大部分工程在湿地公园范围内，占用功能区为合理利用区；取弃土工程不在湿地公园内。由于本次除险加固工程是在已经建成的水库大坝上进行修缮、改造和维护，工程永久占地面积很小，工程施工主要在现有工程占地范围内进行，受影响主要为常见植物类型，且量较少，相对湿地公园总体数量，其比例极小，工程的实施不会使生物群落面积减少。相反，通过对后期植草绿化，增加禾本科草丛或灌丛等生物群落的面积。因此，本工程建设不会对湖南华容东湖国家湿地公园湿地生态系统产生影响。</w:t>
      </w:r>
    </w:p>
    <w:p w14:paraId="3D13C309">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对植物资源的影响</w:t>
      </w:r>
    </w:p>
    <w:p w14:paraId="6DD11416">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pPr>
      <w:r>
        <w:rPr>
          <w:rFonts w:hint="eastAsia" w:ascii="宋体" w:hAnsi="宋体" w:eastAsia="宋体" w:cs="宋体"/>
          <w:caps w:val="0"/>
          <w:smallCaps w:val="0"/>
          <w:snapToGrid/>
          <w:color w:val="auto"/>
          <w:spacing w:val="0"/>
          <w:kern w:val="0"/>
          <w:sz w:val="24"/>
          <w:szCs w:val="24"/>
          <w:highlight w:val="none"/>
          <w:u w:val="none"/>
          <w:lang w:eastAsia="zh-CN"/>
        </w:rPr>
        <w:t>工程建设和运行对湿地公园植物资源的影响主要来自于人为干扰。施工期间，人为活动增加，对</w:t>
      </w:r>
      <w:r>
        <w:rPr>
          <w:rFonts w:hint="eastAsia" w:ascii="宋体" w:hAnsi="宋体" w:eastAsia="宋体" w:cs="宋体"/>
          <w:caps w:val="0"/>
          <w:smallCaps w:val="0"/>
          <w:snapToGrid/>
          <w:color w:val="auto"/>
          <w:spacing w:val="0"/>
          <w:kern w:val="0"/>
          <w:sz w:val="24"/>
          <w:szCs w:val="24"/>
          <w:highlight w:val="none"/>
          <w:u w:val="none"/>
          <w:lang w:val="en-US" w:eastAsia="zh-CN"/>
        </w:rPr>
        <w:t>植被</w:t>
      </w:r>
      <w:r>
        <w:rPr>
          <w:rFonts w:hint="eastAsia" w:ascii="宋体" w:hAnsi="宋体" w:eastAsia="宋体" w:cs="宋体"/>
          <w:caps w:val="0"/>
          <w:smallCaps w:val="0"/>
          <w:snapToGrid/>
          <w:color w:val="auto"/>
          <w:spacing w:val="0"/>
          <w:kern w:val="0"/>
          <w:sz w:val="24"/>
          <w:szCs w:val="24"/>
          <w:highlight w:val="none"/>
          <w:u w:val="none"/>
          <w:lang w:eastAsia="zh-CN"/>
        </w:rPr>
        <w:t>的砍伐、机械的暴力操作等，一方面容易造成湿地公园</w:t>
      </w:r>
      <w:r>
        <w:rPr>
          <w:rFonts w:hint="eastAsia" w:ascii="宋体" w:hAnsi="宋体" w:eastAsia="宋体" w:cs="宋体"/>
          <w:caps w:val="0"/>
          <w:smallCaps w:val="0"/>
          <w:snapToGrid/>
          <w:color w:val="auto"/>
          <w:spacing w:val="0"/>
          <w:kern w:val="0"/>
          <w:sz w:val="24"/>
          <w:szCs w:val="24"/>
          <w:highlight w:val="none"/>
          <w:u w:val="none"/>
          <w:lang w:val="en-US" w:eastAsia="zh-CN"/>
        </w:rPr>
        <w:t>植被</w:t>
      </w:r>
      <w:r>
        <w:rPr>
          <w:rFonts w:hint="eastAsia" w:ascii="宋体" w:hAnsi="宋体" w:eastAsia="宋体" w:cs="宋体"/>
          <w:caps w:val="0"/>
          <w:smallCaps w:val="0"/>
          <w:snapToGrid/>
          <w:color w:val="auto"/>
          <w:spacing w:val="0"/>
          <w:kern w:val="0"/>
          <w:sz w:val="24"/>
          <w:szCs w:val="24"/>
          <w:highlight w:val="none"/>
          <w:u w:val="none"/>
          <w:lang w:eastAsia="zh-CN"/>
        </w:rPr>
        <w:t>遭到破坏后，使得周边生境改变，湿地公园的植物资源更直接的暴露出来，在一定程度上削弱了对湿地公园内植物资源的保护作用；二是由于施工人员擅自进入施工以外地界或扩大施工范围，使得湿地公园</w:t>
      </w:r>
      <w:r>
        <w:rPr>
          <w:rFonts w:hint="eastAsia" w:ascii="宋体" w:hAnsi="宋体" w:eastAsia="宋体" w:cs="宋体"/>
          <w:caps w:val="0"/>
          <w:smallCaps w:val="0"/>
          <w:snapToGrid/>
          <w:color w:val="auto"/>
          <w:spacing w:val="0"/>
          <w:kern w:val="0"/>
          <w:sz w:val="24"/>
          <w:szCs w:val="24"/>
          <w:highlight w:val="none"/>
          <w:u w:val="none"/>
          <w:lang w:val="en-US" w:eastAsia="zh-CN"/>
        </w:rPr>
        <w:t>内</w:t>
      </w:r>
      <w:r>
        <w:rPr>
          <w:rFonts w:hint="eastAsia" w:ascii="宋体" w:hAnsi="宋体" w:eastAsia="宋体" w:cs="宋体"/>
          <w:caps w:val="0"/>
          <w:smallCaps w:val="0"/>
          <w:snapToGrid/>
          <w:color w:val="auto"/>
          <w:spacing w:val="0"/>
          <w:kern w:val="0"/>
          <w:sz w:val="24"/>
          <w:szCs w:val="24"/>
          <w:highlight w:val="none"/>
          <w:u w:val="none"/>
          <w:lang w:eastAsia="zh-CN"/>
        </w:rPr>
        <w:t>植物被直接砍伐或破坏。同时，施工产生的扬尘会飘落到植物叶片表面，可能会影响植物的光合作用，从而影响植物的生长，对湿地公园内的植被有一定的影响。由于</w:t>
      </w:r>
      <w:r>
        <w:rPr>
          <w:rFonts w:hint="eastAsia" w:ascii="宋体" w:hAnsi="宋体" w:eastAsia="宋体" w:cs="宋体"/>
          <w:caps w:val="0"/>
          <w:smallCaps w:val="0"/>
          <w:snapToGrid/>
          <w:color w:val="auto"/>
          <w:spacing w:val="0"/>
          <w:kern w:val="0"/>
          <w:sz w:val="24"/>
          <w:szCs w:val="24"/>
          <w:highlight w:val="none"/>
          <w:u w:val="none"/>
          <w:lang w:val="en-US" w:eastAsia="zh-CN"/>
        </w:rPr>
        <w:t>项目主体工程周边为防护边坡</w:t>
      </w:r>
      <w:r>
        <w:rPr>
          <w:rFonts w:hint="eastAsia" w:ascii="宋体" w:hAnsi="宋体" w:eastAsia="宋体" w:cs="宋体"/>
          <w:caps w:val="0"/>
          <w:smallCaps w:val="0"/>
          <w:snapToGrid/>
          <w:color w:val="auto"/>
          <w:spacing w:val="0"/>
          <w:kern w:val="0"/>
          <w:sz w:val="24"/>
          <w:szCs w:val="24"/>
          <w:highlight w:val="none"/>
          <w:u w:val="none"/>
          <w:lang w:eastAsia="zh-CN"/>
        </w:rPr>
        <w:t>，</w:t>
      </w:r>
      <w:r>
        <w:rPr>
          <w:rFonts w:hint="eastAsia" w:ascii="宋体" w:hAnsi="宋体" w:eastAsia="宋体" w:cs="宋体"/>
          <w:caps w:val="0"/>
          <w:smallCaps w:val="0"/>
          <w:snapToGrid/>
          <w:color w:val="auto"/>
          <w:spacing w:val="0"/>
          <w:kern w:val="0"/>
          <w:sz w:val="24"/>
          <w:szCs w:val="24"/>
          <w:highlight w:val="none"/>
          <w:u w:val="none"/>
          <w:lang w:val="en-US" w:eastAsia="zh-CN"/>
        </w:rPr>
        <w:t>受影响的植被主要是灌草丛，附近</w:t>
      </w:r>
      <w:r>
        <w:rPr>
          <w:rFonts w:hint="eastAsia" w:ascii="宋体" w:hAnsi="宋体" w:eastAsia="宋体" w:cs="宋体"/>
          <w:caps w:val="0"/>
          <w:smallCaps w:val="0"/>
          <w:snapToGrid/>
          <w:color w:val="auto"/>
          <w:spacing w:val="0"/>
          <w:kern w:val="0"/>
          <w:sz w:val="24"/>
          <w:szCs w:val="24"/>
          <w:highlight w:val="none"/>
          <w:u w:val="none"/>
          <w:lang w:eastAsia="zh-CN"/>
        </w:rPr>
        <w:t>工程量较小，施工时间相对较短，在严格控制施工红线，规范施工操作的情况下，并按要求实施相关水土措施的情况下，工程在施工期间对湿地公园内植物资源的影响较小</w:t>
      </w:r>
      <w:r>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t>。</w:t>
      </w:r>
    </w:p>
    <w:p w14:paraId="4E8537E2">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对动物资源的影响</w:t>
      </w:r>
    </w:p>
    <w:p w14:paraId="434BD924">
      <w:pPr>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color="auto"/>
          <w:lang w:eastAsia="zh-CN"/>
        </w:rPr>
      </w:pPr>
      <w:r>
        <w:rPr>
          <w:rFonts w:hint="eastAsia" w:ascii="宋体" w:hAnsi="宋体" w:eastAsia="宋体" w:cs="宋体"/>
          <w:caps w:val="0"/>
          <w:smallCaps w:val="0"/>
          <w:snapToGrid/>
          <w:color w:val="auto"/>
          <w:spacing w:val="0"/>
          <w:kern w:val="0"/>
          <w:sz w:val="24"/>
          <w:szCs w:val="24"/>
          <w:highlight w:val="none"/>
          <w:u w:val="none"/>
          <w:lang w:eastAsia="zh-CN"/>
        </w:rPr>
        <w:t>在项目建设过程中，由于施工活动会将产生一定的噪声，如施工机械发出的声音或施工材料运输过程中发出的噪声，可能使湿地公园内的野生动物受到惊吓，对其觅食活动也将产生一定的影响。不过由于动物均具有迁移能力，特别是鸟类和兽类的迁移能力较强，且工程靠近湿地公园附近生境都比较相似，野生动物可暂时由原来的生境转移到远离施工区域的相似生境生活；且由于工程施工时间短，这些不利影响会将随施工的结束而逐渐消失。其次，施工期间施工人员会产生一定的生活垃圾和生活污水，生活垃圾的随意丢弃随意排放会劣化动物的生境，使得原来的生境变得不再适合动物生存，但通过严格的卫生条例和惩罚制度，会减缓这种影响。生活污水通过排污设施处理影响可以通过合理的措施加以避免或消减，且随着施工的结束而消失。</w:t>
      </w:r>
    </w:p>
    <w:p w14:paraId="75241955">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对生态系统的影响</w:t>
      </w:r>
    </w:p>
    <w:p w14:paraId="43B01A95">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lang w:eastAsia="zh-CN"/>
        </w:rPr>
      </w:pPr>
      <w:r>
        <w:rPr>
          <w:rFonts w:hint="eastAsia" w:ascii="Times New Roman" w:hAnsi="Times New Roman" w:eastAsia="宋体" w:cs="Times New Roman"/>
          <w:caps w:val="0"/>
          <w:smallCaps w:val="0"/>
          <w:snapToGrid/>
          <w:color w:val="auto"/>
          <w:spacing w:val="0"/>
          <w:kern w:val="0"/>
          <w:sz w:val="24"/>
          <w:szCs w:val="21"/>
          <w:highlight w:val="none"/>
          <w:u w:val="none"/>
          <w:lang w:eastAsia="zh-CN"/>
        </w:rPr>
        <w:t>湿地公园内主要分布</w:t>
      </w:r>
      <w:r>
        <w:rPr>
          <w:rFonts w:hint="eastAsia" w:ascii="Times New Roman" w:hAnsi="Times New Roman" w:eastAsia="宋体" w:cs="Times New Roman"/>
          <w:caps w:val="0"/>
          <w:smallCaps w:val="0"/>
          <w:snapToGrid/>
          <w:color w:val="auto"/>
          <w:spacing w:val="0"/>
          <w:kern w:val="0"/>
          <w:sz w:val="24"/>
          <w:szCs w:val="21"/>
          <w:highlight w:val="none"/>
          <w:u w:val="none"/>
          <w:lang w:val="en-US" w:eastAsia="zh-CN"/>
        </w:rPr>
        <w:t>湿地生态系统</w:t>
      </w:r>
      <w:r>
        <w:rPr>
          <w:rFonts w:hint="eastAsia" w:ascii="Times New Roman" w:hAnsi="Times New Roman" w:eastAsia="宋体" w:cs="Times New Roman"/>
          <w:caps w:val="0"/>
          <w:smallCaps w:val="0"/>
          <w:snapToGrid/>
          <w:color w:val="auto"/>
          <w:spacing w:val="0"/>
          <w:kern w:val="0"/>
          <w:sz w:val="24"/>
          <w:szCs w:val="21"/>
          <w:highlight w:val="none"/>
          <w:u w:val="none"/>
          <w:lang w:eastAsia="zh-CN"/>
        </w:rPr>
        <w:t>，本项目施工期占用湿地公园土地面积小，破坏</w:t>
      </w:r>
      <w:r>
        <w:rPr>
          <w:rFonts w:hint="eastAsia" w:ascii="Times New Roman" w:hAnsi="Times New Roman" w:eastAsia="宋体" w:cs="Times New Roman"/>
          <w:caps w:val="0"/>
          <w:smallCaps w:val="0"/>
          <w:snapToGrid/>
          <w:color w:val="auto"/>
          <w:spacing w:val="0"/>
          <w:kern w:val="0"/>
          <w:sz w:val="24"/>
          <w:szCs w:val="21"/>
          <w:highlight w:val="none"/>
          <w:u w:val="none"/>
          <w:lang w:val="en-US" w:eastAsia="zh-CN"/>
        </w:rPr>
        <w:t>其</w:t>
      </w:r>
      <w:r>
        <w:rPr>
          <w:rFonts w:hint="eastAsia" w:ascii="Times New Roman" w:hAnsi="Times New Roman" w:eastAsia="宋体" w:cs="Times New Roman"/>
          <w:caps w:val="0"/>
          <w:smallCaps w:val="0"/>
          <w:snapToGrid/>
          <w:color w:val="auto"/>
          <w:spacing w:val="0"/>
          <w:kern w:val="0"/>
          <w:sz w:val="24"/>
          <w:szCs w:val="21"/>
          <w:highlight w:val="none"/>
          <w:u w:val="none"/>
          <w:lang w:eastAsia="zh-CN"/>
        </w:rPr>
        <w:t>生态系统的组成基质较小，相应的材料运输等都会对沿途及湿地公园的</w:t>
      </w:r>
      <w:r>
        <w:rPr>
          <w:rFonts w:hint="eastAsia" w:ascii="Times New Roman" w:hAnsi="Times New Roman" w:eastAsia="宋体" w:cs="Times New Roman"/>
          <w:caps w:val="0"/>
          <w:smallCaps w:val="0"/>
          <w:snapToGrid/>
          <w:color w:val="auto"/>
          <w:spacing w:val="0"/>
          <w:kern w:val="0"/>
          <w:sz w:val="24"/>
          <w:szCs w:val="21"/>
          <w:highlight w:val="none"/>
          <w:u w:val="none"/>
          <w:lang w:val="en-US" w:eastAsia="zh-CN"/>
        </w:rPr>
        <w:t>湿地</w:t>
      </w:r>
      <w:r>
        <w:rPr>
          <w:rFonts w:hint="eastAsia" w:ascii="Times New Roman" w:hAnsi="Times New Roman" w:eastAsia="宋体" w:cs="Times New Roman"/>
          <w:caps w:val="0"/>
          <w:smallCaps w:val="0"/>
          <w:snapToGrid/>
          <w:color w:val="auto"/>
          <w:spacing w:val="0"/>
          <w:kern w:val="0"/>
          <w:sz w:val="24"/>
          <w:szCs w:val="21"/>
          <w:highlight w:val="none"/>
          <w:u w:val="none"/>
          <w:lang w:eastAsia="zh-CN"/>
        </w:rPr>
        <w:t>景观产生一定的视觉影响，但随着工程完工后的恢复措施的实施，这种影响会逐渐消失，因此本项目施工期对湿地公园的生态完整性影响较小。</w:t>
      </w:r>
    </w:p>
    <w:p w14:paraId="24F86B60">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对生态功能的影响</w:t>
      </w:r>
    </w:p>
    <w:p w14:paraId="658D5BD6">
      <w:pPr>
        <w:spacing w:line="360" w:lineRule="auto"/>
        <w:ind w:firstLine="480" w:firstLineChars="200"/>
        <w:rPr>
          <w:rFonts w:hint="eastAsia" w:ascii="宋体" w:hAnsi="宋体" w:eastAsia="宋体" w:cs="宋体"/>
          <w:caps w:val="0"/>
          <w:smallCaps w:val="0"/>
          <w:snapToGrid/>
          <w:color w:val="auto"/>
          <w:spacing w:val="0"/>
          <w:kern w:val="0"/>
          <w:sz w:val="24"/>
          <w:szCs w:val="21"/>
          <w:highlight w:val="none"/>
          <w:u w:val="none" w:color="auto"/>
          <w:lang w:eastAsia="zh-CN"/>
        </w:rPr>
      </w:pPr>
      <w:r>
        <w:rPr>
          <w:rFonts w:hint="eastAsia" w:ascii="宋体" w:hAnsi="宋体" w:eastAsia="宋体" w:cs="宋体"/>
          <w:caps w:val="0"/>
          <w:smallCaps w:val="0"/>
          <w:snapToGrid/>
          <w:color w:val="auto"/>
          <w:spacing w:val="0"/>
          <w:kern w:val="0"/>
          <w:sz w:val="24"/>
          <w:szCs w:val="24"/>
          <w:highlight w:val="none"/>
          <w:u w:val="none"/>
          <w:lang w:val="en-US" w:eastAsia="zh-CN"/>
        </w:rPr>
        <w:t>项目虽然</w:t>
      </w:r>
      <w:r>
        <w:rPr>
          <w:rFonts w:hint="eastAsia" w:ascii="宋体" w:hAnsi="宋体" w:eastAsia="宋体" w:cs="宋体"/>
          <w:caps w:val="0"/>
          <w:smallCaps w:val="0"/>
          <w:snapToGrid/>
          <w:color w:val="auto"/>
          <w:spacing w:val="0"/>
          <w:kern w:val="0"/>
          <w:sz w:val="24"/>
          <w:szCs w:val="24"/>
          <w:highlight w:val="none"/>
          <w:u w:val="none"/>
          <w:lang w:eastAsia="zh-CN"/>
        </w:rPr>
        <w:t>占用湿地公园的</w:t>
      </w:r>
      <w:r>
        <w:rPr>
          <w:rFonts w:hint="eastAsia" w:ascii="宋体" w:hAnsi="宋体" w:eastAsia="宋体" w:cs="宋体"/>
          <w:caps w:val="0"/>
          <w:smallCaps w:val="0"/>
          <w:snapToGrid/>
          <w:color w:val="auto"/>
          <w:spacing w:val="0"/>
          <w:kern w:val="0"/>
          <w:sz w:val="24"/>
          <w:szCs w:val="24"/>
          <w:highlight w:val="none"/>
          <w:u w:val="none"/>
          <w:lang w:val="en-US" w:eastAsia="zh-CN"/>
        </w:rPr>
        <w:t>土地，</w:t>
      </w:r>
      <w:r>
        <w:rPr>
          <w:rFonts w:hint="eastAsia" w:ascii="宋体" w:hAnsi="宋体" w:eastAsia="宋体" w:cs="宋体"/>
          <w:caps w:val="0"/>
          <w:smallCaps w:val="0"/>
          <w:snapToGrid/>
          <w:color w:val="auto"/>
          <w:spacing w:val="0"/>
          <w:kern w:val="0"/>
          <w:sz w:val="24"/>
          <w:szCs w:val="24"/>
          <w:highlight w:val="none"/>
          <w:u w:val="none"/>
          <w:lang w:eastAsia="zh-CN"/>
        </w:rPr>
        <w:t>工程施工造成的水土流失、人为干扰等，可能会</w:t>
      </w:r>
      <w:r>
        <w:rPr>
          <w:rFonts w:hint="eastAsia" w:ascii="宋体" w:hAnsi="宋体" w:eastAsia="宋体" w:cs="宋体"/>
          <w:caps w:val="0"/>
          <w:smallCaps w:val="0"/>
          <w:snapToGrid/>
          <w:color w:val="auto"/>
          <w:spacing w:val="0"/>
          <w:kern w:val="0"/>
          <w:sz w:val="24"/>
          <w:szCs w:val="24"/>
          <w:highlight w:val="none"/>
          <w:u w:val="none"/>
          <w:lang w:val="en-US" w:eastAsia="zh-CN"/>
        </w:rPr>
        <w:t>涉及湿地公园</w:t>
      </w:r>
      <w:r>
        <w:rPr>
          <w:rFonts w:hint="eastAsia" w:ascii="宋体" w:hAnsi="宋体" w:eastAsia="宋体" w:cs="宋体"/>
          <w:caps w:val="0"/>
          <w:smallCaps w:val="0"/>
          <w:snapToGrid/>
          <w:color w:val="auto"/>
          <w:spacing w:val="0"/>
          <w:kern w:val="0"/>
          <w:sz w:val="24"/>
          <w:szCs w:val="24"/>
          <w:highlight w:val="none"/>
          <w:u w:val="none"/>
          <w:lang w:eastAsia="zh-CN"/>
        </w:rPr>
        <w:t>的部分植被，可通过采取及时有效的水土保护措施和植被恢复措施，人为控制和降低对湿地公园内植被的间接影响，尽量维护现有动植物生境。因此项目建设对</w:t>
      </w:r>
      <w:r>
        <w:rPr>
          <w:rFonts w:hint="eastAsia" w:ascii="宋体" w:hAnsi="宋体" w:eastAsia="宋体" w:cs="宋体"/>
          <w:caps w:val="0"/>
          <w:smallCaps w:val="0"/>
          <w:snapToGrid/>
          <w:color w:val="auto"/>
          <w:spacing w:val="0"/>
          <w:kern w:val="0"/>
          <w:sz w:val="24"/>
          <w:szCs w:val="24"/>
          <w:highlight w:val="none"/>
          <w:u w:val="none"/>
          <w:lang w:val="en-US" w:eastAsia="zh-CN"/>
        </w:rPr>
        <w:t>湿地公园</w:t>
      </w:r>
      <w:r>
        <w:rPr>
          <w:rFonts w:hint="eastAsia" w:ascii="宋体" w:hAnsi="宋体" w:eastAsia="宋体" w:cs="宋体"/>
          <w:caps w:val="0"/>
          <w:smallCaps w:val="0"/>
          <w:snapToGrid/>
          <w:color w:val="auto"/>
          <w:spacing w:val="0"/>
          <w:kern w:val="0"/>
          <w:sz w:val="24"/>
          <w:szCs w:val="24"/>
          <w:highlight w:val="none"/>
          <w:u w:val="none"/>
          <w:lang w:eastAsia="zh-CN"/>
        </w:rPr>
        <w:t>正常保护功能基本无影响</w:t>
      </w:r>
      <w:r>
        <w:rPr>
          <w:rFonts w:hint="eastAsia" w:ascii="宋体" w:hAnsi="宋体" w:eastAsia="宋体" w:cs="宋体"/>
          <w:caps w:val="0"/>
          <w:smallCaps w:val="0"/>
          <w:snapToGrid/>
          <w:color w:val="auto"/>
          <w:spacing w:val="0"/>
          <w:kern w:val="0"/>
          <w:sz w:val="24"/>
          <w:szCs w:val="24"/>
          <w:highlight w:val="none"/>
          <w:u w:val="none" w:color="auto"/>
          <w:lang w:eastAsia="zh-CN"/>
        </w:rPr>
        <w:t>。</w:t>
      </w:r>
    </w:p>
    <w:p w14:paraId="4E37E241">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对环境质量的影响</w:t>
      </w:r>
    </w:p>
    <w:p w14:paraId="75EC07C2">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pP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由于工程运行期</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人为活动少</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，对周边</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空气环境、水环境、土壤环境</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影响</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较小。</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生活在</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湿地公园</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内的动物受到</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施工期</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噪声的惊扰会选择趋避，造成生活</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范围</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缩小，随着运行时间的延长，这种影响会逐渐减小甚至消失。</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因此项目建设对湿地公园内的环境质量影响很小</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w:t>
      </w:r>
    </w:p>
    <w:p w14:paraId="5A7AC0C8">
      <w:pPr>
        <w:pStyle w:val="5"/>
        <w:bidi w:val="0"/>
        <w:rPr>
          <w:rFonts w:hint="default" w:ascii="Times New Roman" w:hAnsi="Times New Roman" w:cs="Times New Roman"/>
          <w:color w:val="auto"/>
          <w:u w:val="none" w:color="auto"/>
          <w:lang w:val="en-US" w:eastAsia="zh-CN"/>
        </w:rPr>
      </w:pPr>
      <w:bookmarkStart w:id="300" w:name="_Toc10764"/>
      <w:r>
        <w:rPr>
          <w:rFonts w:hint="default" w:ascii="Times New Roman" w:hAnsi="Times New Roman" w:cs="Times New Roman"/>
          <w:color w:val="auto"/>
          <w:u w:val="none" w:color="auto"/>
          <w:lang w:val="en-US" w:eastAsia="zh-CN"/>
        </w:rPr>
        <w:t>对生态保护红线的影响</w:t>
      </w:r>
      <w:bookmarkEnd w:id="300"/>
    </w:p>
    <w:p w14:paraId="2D489555">
      <w:pPr>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pP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经国土部门查询，</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项目范围内多处涉及生态保护红线</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因北汊水库整体位于东湖国家湿地公园内，本工程为水库配套工程，选址无法避让</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因此项目对生态保护红线的影响</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主要</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体现在</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对</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北汊水库</w:t>
      </w:r>
      <w:r>
        <w:rPr>
          <w:rFonts w:hint="default" w:ascii="Times New Roman" w:hAnsi="Times New Roman" w:eastAsia="宋体" w:cs="Times New Roman"/>
          <w:caps w:val="0"/>
          <w:smallCaps w:val="0"/>
          <w:snapToGrid/>
          <w:color w:val="auto"/>
          <w:spacing w:val="0"/>
          <w:kern w:val="0"/>
          <w:sz w:val="24"/>
          <w:szCs w:val="21"/>
          <w:highlight w:val="none"/>
          <w:u w:val="none" w:color="auto"/>
          <w:lang w:val="en-US" w:eastAsia="zh-CN"/>
        </w:rPr>
        <w:t>水体的扰动，以及对水土保持的正向影响</w:t>
      </w:r>
      <w:r>
        <w:rPr>
          <w:rFonts w:hint="eastAsia" w:ascii="Times New Roman" w:hAnsi="Times New Roman" w:eastAsia="宋体" w:cs="Times New Roman"/>
          <w:caps w:val="0"/>
          <w:smallCaps w:val="0"/>
          <w:snapToGrid/>
          <w:color w:val="auto"/>
          <w:spacing w:val="0"/>
          <w:kern w:val="0"/>
          <w:sz w:val="24"/>
          <w:szCs w:val="21"/>
          <w:highlight w:val="none"/>
          <w:u w:val="none" w:color="auto"/>
          <w:lang w:val="en-US" w:eastAsia="zh-CN"/>
        </w:rPr>
        <w:t>。项目工程量小，可通过调整施工时序，避开对水体的影响，故影响程度和范围均较小。</w:t>
      </w:r>
    </w:p>
    <w:p w14:paraId="5E9FF95B">
      <w:pPr>
        <w:pStyle w:val="3"/>
        <w:bidi w:val="0"/>
        <w:rPr>
          <w:rFonts w:hint="default" w:ascii="Times New Roman" w:hAnsi="Times New Roman" w:cs="Times New Roman"/>
          <w:color w:val="auto"/>
          <w:u w:val="none" w:color="auto"/>
        </w:rPr>
      </w:pPr>
      <w:bookmarkStart w:id="301" w:name="_Toc10343"/>
      <w:r>
        <w:rPr>
          <w:rFonts w:hint="default" w:ascii="Times New Roman" w:hAnsi="Times New Roman" w:cs="Times New Roman"/>
          <w:color w:val="auto"/>
          <w:u w:val="none" w:color="auto"/>
        </w:rPr>
        <w:t>营运期环境影响分析</w:t>
      </w:r>
      <w:bookmarkEnd w:id="301"/>
    </w:p>
    <w:p w14:paraId="40E8DC25">
      <w:pPr>
        <w:pStyle w:val="4"/>
        <w:bidi w:val="0"/>
        <w:rPr>
          <w:rFonts w:hint="default" w:ascii="Times New Roman" w:hAnsi="Times New Roman" w:cs="Times New Roman"/>
          <w:color w:val="auto"/>
          <w:u w:val="none" w:color="auto"/>
        </w:rPr>
      </w:pPr>
      <w:bookmarkStart w:id="302" w:name="_Toc30374"/>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环境空气影响分析</w:t>
      </w:r>
      <w:bookmarkEnd w:id="302"/>
    </w:p>
    <w:p w14:paraId="298F83CE">
      <w:pPr>
        <w:keepNext w:val="0"/>
        <w:keepLines w:val="0"/>
        <w:pageBreakBefore w:val="0"/>
        <w:widowControl w:val="0"/>
        <w:tabs>
          <w:tab w:val="left" w:pos="135"/>
        </w:tabs>
        <w:kinsoku/>
        <w:wordWrap/>
        <w:overflowPunct/>
        <w:topLinePunct w:val="0"/>
        <w:autoSpaceDE/>
        <w:autoSpaceDN/>
        <w:bidi w:val="0"/>
        <w:adjustRightInd/>
        <w:snapToGrid/>
        <w:spacing w:line="360" w:lineRule="auto"/>
        <w:ind w:left="0" w:firstLine="488"/>
        <w:textAlignment w:val="auto"/>
        <w:rPr>
          <w:rFonts w:hint="default" w:ascii="Times New Roman" w:hAnsi="Times New Roman" w:eastAsia="宋体" w:cs="Times New Roman"/>
          <w:color w:val="auto"/>
          <w:spacing w:val="0"/>
          <w:w w:val="100"/>
          <w:position w:val="0"/>
          <w:sz w:val="24"/>
          <w:szCs w:val="24"/>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本项目运行期废气主要为管理所食堂油烟，管理房食堂基准灶头数为</w:t>
      </w:r>
      <w:r>
        <w:rPr>
          <w:rFonts w:hint="default" w:ascii="Times New Roman" w:hAnsi="Times New Roman" w:eastAsia="宋体" w:cs="Times New Roman"/>
          <w:color w:val="auto"/>
          <w:spacing w:val="0"/>
          <w:w w:val="100"/>
          <w:position w:val="0"/>
          <w:sz w:val="24"/>
          <w:szCs w:val="24"/>
          <w:u w:val="none" w:color="auto"/>
          <w:lang w:val="en-US" w:eastAsia="zh-CN"/>
        </w:rPr>
        <w:t>1</w:t>
      </w:r>
      <w:r>
        <w:rPr>
          <w:rFonts w:hint="eastAsia" w:ascii="Times New Roman" w:hAnsi="Times New Roman" w:eastAsia="宋体" w:cs="Times New Roman"/>
          <w:color w:val="auto"/>
          <w:spacing w:val="0"/>
          <w:w w:val="100"/>
          <w:position w:val="0"/>
          <w:sz w:val="24"/>
          <w:szCs w:val="24"/>
          <w:u w:val="none" w:color="auto"/>
          <w:lang w:val="en-US" w:eastAsia="zh-CN"/>
        </w:rPr>
        <w:t>，属于小型规模。水库管理人员不新增，食堂油烟经油烟净化装置处理，风量</w:t>
      </w:r>
      <w:r>
        <w:rPr>
          <w:rFonts w:hint="default" w:ascii="Times New Roman" w:hAnsi="Times New Roman" w:eastAsia="宋体" w:cs="Times New Roman"/>
          <w:color w:val="auto"/>
          <w:spacing w:val="0"/>
          <w:w w:val="100"/>
          <w:position w:val="0"/>
          <w:sz w:val="24"/>
          <w:szCs w:val="24"/>
          <w:u w:val="none" w:color="auto"/>
          <w:lang w:val="en-US" w:eastAsia="zh-CN"/>
        </w:rPr>
        <w:t>2000m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u w:val="none" w:color="auto"/>
          <w:lang w:val="en-US" w:eastAsia="zh-CN"/>
        </w:rPr>
        <w:t xml:space="preserve"> /h</w:t>
      </w:r>
      <w:r>
        <w:rPr>
          <w:rFonts w:hint="eastAsia" w:ascii="Times New Roman" w:hAnsi="Times New Roman" w:eastAsia="宋体" w:cs="Times New Roman"/>
          <w:color w:val="auto"/>
          <w:spacing w:val="0"/>
          <w:w w:val="100"/>
          <w:position w:val="0"/>
          <w:sz w:val="24"/>
          <w:szCs w:val="24"/>
          <w:u w:val="none" w:color="auto"/>
          <w:lang w:val="en-US" w:eastAsia="zh-CN"/>
        </w:rPr>
        <w:t>，灶头每天工作</w:t>
      </w:r>
      <w:r>
        <w:rPr>
          <w:rFonts w:hint="default" w:ascii="Times New Roman" w:hAnsi="Times New Roman" w:eastAsia="宋体" w:cs="Times New Roman"/>
          <w:color w:val="auto"/>
          <w:spacing w:val="0"/>
          <w:w w:val="100"/>
          <w:position w:val="0"/>
          <w:sz w:val="24"/>
          <w:szCs w:val="24"/>
          <w:u w:val="none" w:color="auto"/>
          <w:lang w:val="en-US" w:eastAsia="zh-CN"/>
        </w:rPr>
        <w:t>5</w:t>
      </w:r>
      <w:r>
        <w:rPr>
          <w:rFonts w:hint="eastAsia" w:ascii="Times New Roman" w:hAnsi="Times New Roman" w:eastAsia="宋体" w:cs="Times New Roman"/>
          <w:color w:val="auto"/>
          <w:spacing w:val="0"/>
          <w:w w:val="100"/>
          <w:position w:val="0"/>
          <w:sz w:val="24"/>
          <w:szCs w:val="24"/>
          <w:u w:val="none" w:color="auto"/>
          <w:lang w:val="en-US" w:eastAsia="zh-CN"/>
        </w:rPr>
        <w:t>小时，处理效率为≥</w:t>
      </w:r>
      <w:r>
        <w:rPr>
          <w:rFonts w:hint="default" w:ascii="Times New Roman" w:hAnsi="Times New Roman" w:eastAsia="宋体" w:cs="Times New Roman"/>
          <w:color w:val="auto"/>
          <w:spacing w:val="0"/>
          <w:w w:val="100"/>
          <w:position w:val="0"/>
          <w:sz w:val="24"/>
          <w:szCs w:val="24"/>
          <w:u w:val="none" w:color="auto"/>
          <w:lang w:val="en-US" w:eastAsia="zh-CN"/>
        </w:rPr>
        <w:t>60%</w:t>
      </w:r>
      <w:r>
        <w:rPr>
          <w:rFonts w:hint="eastAsia" w:ascii="Times New Roman" w:hAnsi="Times New Roman" w:eastAsia="宋体" w:cs="Times New Roman"/>
          <w:color w:val="auto"/>
          <w:spacing w:val="0"/>
          <w:w w:val="100"/>
          <w:position w:val="0"/>
          <w:sz w:val="24"/>
          <w:szCs w:val="24"/>
          <w:u w:val="none" w:color="auto"/>
          <w:lang w:val="en-US" w:eastAsia="zh-CN"/>
        </w:rPr>
        <w:t>，处理后排放浓度＜</w:t>
      </w:r>
      <w:r>
        <w:rPr>
          <w:rFonts w:hint="default" w:ascii="Times New Roman" w:hAnsi="Times New Roman" w:eastAsia="宋体" w:cs="Times New Roman"/>
          <w:color w:val="auto"/>
          <w:spacing w:val="0"/>
          <w:w w:val="100"/>
          <w:position w:val="0"/>
          <w:sz w:val="24"/>
          <w:szCs w:val="24"/>
          <w:u w:val="none" w:color="auto"/>
          <w:lang w:val="en-US" w:eastAsia="zh-CN"/>
        </w:rPr>
        <w:t>2mg/m</w:t>
      </w:r>
      <w:r>
        <w:rPr>
          <w:rFonts w:hint="default" w:ascii="Times New Roman" w:hAnsi="Times New Roman" w:eastAsia="宋体" w:cs="Times New Roman"/>
          <w:color w:val="auto"/>
          <w:spacing w:val="0"/>
          <w:w w:val="100"/>
          <w:position w:val="0"/>
          <w:sz w:val="24"/>
          <w:szCs w:val="24"/>
          <w:u w:val="none" w:color="auto"/>
          <w:vertAlign w:val="superscript"/>
          <w:lang w:val="en-US" w:eastAsia="zh-CN"/>
        </w:rPr>
        <w:t>3</w:t>
      </w:r>
      <w:r>
        <w:rPr>
          <w:rFonts w:hint="eastAsia" w:ascii="Times New Roman" w:hAnsi="Times New Roman" w:eastAsia="宋体" w:cs="Times New Roman"/>
          <w:color w:val="auto"/>
          <w:spacing w:val="0"/>
          <w:w w:val="100"/>
          <w:position w:val="0"/>
          <w:sz w:val="24"/>
          <w:szCs w:val="24"/>
          <w:u w:val="none" w:color="auto"/>
          <w:lang w:val="en-US" w:eastAsia="zh-CN"/>
        </w:rPr>
        <w:t>，满足《饮食业油烟排放标准（试行）》（</w:t>
      </w:r>
      <w:r>
        <w:rPr>
          <w:rFonts w:hint="default" w:ascii="Times New Roman" w:hAnsi="Times New Roman" w:eastAsia="宋体" w:cs="Times New Roman"/>
          <w:color w:val="auto"/>
          <w:spacing w:val="0"/>
          <w:w w:val="100"/>
          <w:position w:val="0"/>
          <w:sz w:val="24"/>
          <w:szCs w:val="24"/>
          <w:u w:val="none" w:color="auto"/>
          <w:lang w:val="en-US" w:eastAsia="zh-CN"/>
        </w:rPr>
        <w:t>GB18483-2001</w:t>
      </w:r>
      <w:r>
        <w:rPr>
          <w:rFonts w:hint="eastAsia" w:ascii="Times New Roman" w:hAnsi="Times New Roman" w:eastAsia="宋体" w:cs="Times New Roman"/>
          <w:color w:val="auto"/>
          <w:spacing w:val="0"/>
          <w:w w:val="100"/>
          <w:position w:val="0"/>
          <w:sz w:val="24"/>
          <w:szCs w:val="24"/>
          <w:u w:val="none" w:color="auto"/>
          <w:lang w:val="en-US" w:eastAsia="zh-CN"/>
        </w:rPr>
        <w:t>）要求</w:t>
      </w:r>
      <w:r>
        <w:rPr>
          <w:rFonts w:hint="default" w:ascii="Times New Roman" w:hAnsi="Times New Roman" w:eastAsia="宋体" w:cs="Times New Roman"/>
          <w:color w:val="auto"/>
          <w:spacing w:val="0"/>
          <w:w w:val="100"/>
          <w:position w:val="0"/>
          <w:sz w:val="24"/>
          <w:szCs w:val="24"/>
          <w:u w:val="none" w:color="auto"/>
        </w:rPr>
        <w:t>。</w:t>
      </w:r>
      <w:r>
        <w:rPr>
          <w:rFonts w:hint="eastAsia" w:ascii="Times New Roman" w:hAnsi="Times New Roman" w:eastAsia="宋体" w:cs="Times New Roman"/>
          <w:color w:val="auto"/>
          <w:spacing w:val="0"/>
          <w:w w:val="100"/>
          <w:position w:val="0"/>
          <w:sz w:val="24"/>
          <w:szCs w:val="24"/>
          <w:u w:val="none" w:color="auto"/>
          <w:lang w:eastAsia="zh-CN"/>
        </w:rPr>
        <w:t>北汊水库</w:t>
      </w:r>
      <w:r>
        <w:rPr>
          <w:rFonts w:hint="default" w:ascii="Times New Roman" w:hAnsi="Times New Roman" w:eastAsia="宋体" w:cs="Times New Roman"/>
          <w:color w:val="auto"/>
          <w:spacing w:val="0"/>
          <w:w w:val="100"/>
          <w:position w:val="0"/>
          <w:sz w:val="24"/>
          <w:szCs w:val="24"/>
          <w:u w:val="none" w:color="auto"/>
        </w:rPr>
        <w:t>所在区域植被茂密，大气污染少，大气环境容量大，油烟又是间断排放，故项目排放油烟对周边大气环境影响不大。</w:t>
      </w:r>
    </w:p>
    <w:p w14:paraId="6EB9C70E">
      <w:pPr>
        <w:pStyle w:val="4"/>
        <w:bidi w:val="0"/>
        <w:rPr>
          <w:rFonts w:hint="default" w:ascii="Times New Roman" w:hAnsi="Times New Roman" w:cs="Times New Roman"/>
          <w:color w:val="auto"/>
          <w:u w:val="none" w:color="auto"/>
        </w:rPr>
      </w:pPr>
      <w:bookmarkStart w:id="303" w:name="_Toc25987"/>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地表水环境影响分析</w:t>
      </w:r>
      <w:bookmarkEnd w:id="303"/>
    </w:p>
    <w:p w14:paraId="4036CBCB">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水文情势影响分析</w:t>
      </w:r>
    </w:p>
    <w:p w14:paraId="0176B2DD">
      <w:pPr>
        <w:keepNext w:val="0"/>
        <w:keepLines w:val="0"/>
        <w:pageBreakBefore w:val="0"/>
        <w:widowControl w:val="0"/>
        <w:kinsoku/>
        <w:wordWrap/>
        <w:overflowPunct/>
        <w:topLinePunct w:val="0"/>
        <w:autoSpaceDE/>
        <w:autoSpaceDN/>
        <w:bidi w:val="0"/>
        <w:adjustRightInd w:val="0"/>
        <w:snapToGrid/>
        <w:spacing w:line="360" w:lineRule="auto"/>
        <w:ind w:left="0" w:right="0" w:firstLine="0" w:firstLineChars="0"/>
        <w:jc w:val="left"/>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rPr>
        <w:t xml:space="preserve"> </w:t>
      </w:r>
      <w:r>
        <w:rPr>
          <w:rFonts w:hint="default" w:ascii="Times New Roman" w:hAnsi="Times New Roman" w:eastAsia="宋体" w:cs="Times New Roman"/>
          <w:color w:val="auto"/>
          <w:spacing w:val="0"/>
          <w:w w:val="100"/>
          <w:position w:val="0"/>
          <w:sz w:val="24"/>
          <w:szCs w:val="24"/>
          <w:u w:val="none" w:color="auto"/>
          <w:lang w:val="en-US" w:eastAsia="zh-CN"/>
        </w:rPr>
        <w:t xml:space="preserve">    </w:t>
      </w:r>
      <w:r>
        <w:rPr>
          <w:rFonts w:hint="default" w:ascii="Times New Roman" w:hAnsi="Times New Roman" w:eastAsia="宋体" w:cs="Times New Roman"/>
          <w:color w:val="auto"/>
          <w:spacing w:val="0"/>
          <w:w w:val="100"/>
          <w:position w:val="0"/>
          <w:sz w:val="24"/>
          <w:szCs w:val="24"/>
          <w:u w:val="none" w:color="auto"/>
        </w:rPr>
        <w:t>本工程是水库除险加固工程，不改变坝体位置，不改变水库设计正常蓄水位，不改变水库运行调度原则，本工程不进行增容，除险加固后，可保障水库蓄水位提高到正常蓄水位，水位变化不大，对库区的水温结构、流速等影响较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运营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期根据下游灌溉放水计划及生态流量放水要求，利用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水涵</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闸</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放水，能保证坝下河道最小生态流量的下泄</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123A3231">
      <w:pPr>
        <w:keepNext w:val="0"/>
        <w:keepLines w:val="0"/>
        <w:pageBreakBefore w:val="0"/>
        <w:widowControl w:val="0"/>
        <w:kinsoku/>
        <w:wordWrap/>
        <w:overflowPunct/>
        <w:topLinePunct w:val="0"/>
        <w:autoSpaceDE/>
        <w:autoSpaceDN/>
        <w:bidi w:val="0"/>
        <w:adjustRightInd w:val="0"/>
        <w:snapToGrid/>
        <w:spacing w:line="360" w:lineRule="auto"/>
        <w:ind w:left="0" w:right="0" w:firstLine="480" w:firstLineChars="200"/>
        <w:jc w:val="left"/>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综上所述，本项目主体工程在原址基础上进行除险加固，不改变水库设计正常蓄水位，不进行增容，不改变水库流量、水位等工程特性，除险加固工程后防洪调度运用原则与现状调度运用原则基本一致，因而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运行期对库区、上下游水文情势无明显影响。</w:t>
      </w:r>
      <w:r>
        <w:rPr>
          <w:rFonts w:hint="eastAsia" w:ascii="Times New Roman" w:hAnsi="Times New Roman" w:eastAsia="宋体" w:cs="Times New Roman"/>
          <w:color w:val="auto"/>
          <w:spacing w:val="0"/>
          <w:w w:val="100"/>
          <w:position w:val="0"/>
          <w:sz w:val="24"/>
          <w:szCs w:val="24"/>
          <w:u w:val="none" w:color="auto"/>
          <w:lang w:val="en-US" w:eastAsia="zh-CN"/>
        </w:rPr>
        <w:t xml:space="preserve"> </w:t>
      </w:r>
      <w:r>
        <w:rPr>
          <w:rFonts w:hint="default" w:ascii="Times New Roman" w:hAnsi="Times New Roman" w:eastAsia="宋体" w:cs="Times New Roman"/>
          <w:color w:val="auto"/>
          <w:spacing w:val="0"/>
          <w:w w:val="100"/>
          <w:position w:val="0"/>
          <w:sz w:val="24"/>
          <w:szCs w:val="24"/>
          <w:u w:val="none" w:color="auto"/>
        </w:rPr>
        <w:t xml:space="preserve"> </w:t>
      </w:r>
    </w:p>
    <w:p w14:paraId="4FFC6AFB">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水质影响分析</w:t>
      </w:r>
    </w:p>
    <w:p w14:paraId="4141B67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Times New Roman" w:cs="Times New Roman"/>
          <w:color w:val="auto"/>
          <w:spacing w:val="0"/>
          <w:w w:val="100"/>
          <w:position w:val="0"/>
          <w:sz w:val="24"/>
          <w:szCs w:val="24"/>
          <w:u w:val="none" w:color="auto"/>
          <w:lang w:val="en-US" w:eastAsia="zh-CN"/>
        </w:rPr>
      </w:pPr>
      <w:r>
        <w:rPr>
          <w:rFonts w:hint="default" w:ascii="Times New Roman" w:hAnsi="Times New Roman" w:eastAsia="Times New Roman" w:cs="Times New Roman"/>
          <w:color w:val="auto"/>
          <w:spacing w:val="0"/>
          <w:w w:val="100"/>
          <w:position w:val="0"/>
          <w:sz w:val="24"/>
          <w:szCs w:val="24"/>
          <w:u w:val="none" w:color="auto"/>
          <w:lang w:val="en-US" w:eastAsia="zh-CN"/>
        </w:rPr>
        <w:t>本项目对原有水库进行除险加固工程，属非污染生态影响项目</w:t>
      </w:r>
      <w:r>
        <w:rPr>
          <w:rFonts w:hint="eastAsia" w:ascii="Times New Roman" w:hAnsi="Times New Roman" w:eastAsia="Times New Roman" w:cs="Times New Roman"/>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本次除险加固工程完成后，水库运行本身不产生水污染物，运行期污废水主要为现有水库管理人员日常生活产生的生活污水，水库管理人员不变，运行期无新增废污水。水库已运行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余</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本项目实施后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运行期库区水质情况不会有明显变化，库区水体富营养化的程度不会增加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发生富营养化的几率较小</w:t>
      </w:r>
      <w:r>
        <w:rPr>
          <w:rFonts w:hint="default" w:ascii="Times New Roman" w:hAnsi="Times New Roman" w:eastAsia="Times New Roman" w:cs="Times New Roman"/>
          <w:color w:val="auto"/>
          <w:spacing w:val="0"/>
          <w:w w:val="100"/>
          <w:position w:val="0"/>
          <w:sz w:val="24"/>
          <w:szCs w:val="24"/>
          <w:u w:val="none" w:color="auto"/>
          <w:lang w:val="en-US" w:eastAsia="zh-CN"/>
        </w:rPr>
        <w:t>。</w:t>
      </w:r>
    </w:p>
    <w:p w14:paraId="3E4A75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Times New Roman" w:cs="Times New Roman"/>
          <w:color w:val="FF0000"/>
          <w:spacing w:val="0"/>
          <w:w w:val="100"/>
          <w:position w:val="0"/>
          <w:sz w:val="24"/>
          <w:szCs w:val="24"/>
          <w:u w:val="none" w:color="auto"/>
          <w:lang w:val="en-US" w:eastAsia="zh-CN"/>
        </w:rPr>
        <w:t xml:space="preserve"> </w:t>
      </w:r>
      <w:r>
        <w:rPr>
          <w:rFonts w:hint="eastAsia" w:ascii="Times New Roman" w:hAnsi="Times New Roman" w:eastAsia="宋体" w:cs="Times New Roman"/>
          <w:caps w:val="0"/>
          <w:smallCaps w:val="0"/>
          <w:color w:val="FF0000"/>
          <w:spacing w:val="0"/>
          <w:w w:val="100"/>
          <w:kern w:val="0"/>
          <w:position w:val="0"/>
          <w:sz w:val="24"/>
          <w:szCs w:val="24"/>
          <w:u w:val="none" w:color="auto"/>
          <w:lang w:val="en-US" w:eastAsia="zh-CN"/>
        </w:rPr>
        <w:t xml:space="preserve"> </w:t>
      </w:r>
    </w:p>
    <w:p w14:paraId="2512FD94">
      <w:pPr>
        <w:pStyle w:val="4"/>
        <w:bidi w:val="0"/>
        <w:rPr>
          <w:rFonts w:hint="default" w:ascii="Times New Roman" w:hAnsi="Times New Roman" w:cs="Times New Roman"/>
          <w:color w:val="auto"/>
          <w:u w:val="none" w:color="auto"/>
        </w:rPr>
      </w:pPr>
      <w:bookmarkStart w:id="304" w:name="_Toc3659"/>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地下水环境影响评价</w:t>
      </w:r>
      <w:bookmarkEnd w:id="304"/>
    </w:p>
    <w:p w14:paraId="096814E0">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对地下水水质的影响分析</w:t>
      </w:r>
    </w:p>
    <w:p w14:paraId="4CE0847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w:t>
      </w:r>
    </w:p>
    <w:p w14:paraId="5FFD500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根据同类项目类比可知，本工程管理人员生活污水若未能全部收集，或管网出现破损，或生活污水处理系统出现渗漏，将造成地下水污染。</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为防止地下水受污染，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管理人员生活污水处理设施和排水管道</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应</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采取可靠的防渗防漏措施，</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避免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对地下水水质造成影响。</w:t>
      </w:r>
    </w:p>
    <w:p w14:paraId="6DFDAFFE">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对地下水水位的影响分析</w:t>
      </w:r>
    </w:p>
    <w:p w14:paraId="77252D99">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次</w:t>
      </w:r>
      <w:r>
        <w:rPr>
          <w:rFonts w:hint="default" w:ascii="Times New Roman" w:hAnsi="Times New Roman" w:eastAsia="宋体" w:cs="Times New Roman"/>
          <w:caps w:val="0"/>
          <w:smallCaps w:val="0"/>
          <w:color w:val="auto"/>
          <w:spacing w:val="0"/>
          <w:w w:val="100"/>
          <w:kern w:val="0"/>
          <w:position w:val="0"/>
          <w:sz w:val="24"/>
          <w:szCs w:val="24"/>
          <w:u w:val="none" w:color="auto"/>
        </w:rPr>
        <w:t>除险加固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完成</w:t>
      </w:r>
      <w:r>
        <w:rPr>
          <w:rFonts w:hint="default" w:ascii="Times New Roman" w:hAnsi="Times New Roman" w:eastAsia="宋体" w:cs="Times New Roman"/>
          <w:caps w:val="0"/>
          <w:smallCaps w:val="0"/>
          <w:color w:val="auto"/>
          <w:spacing w:val="0"/>
          <w:w w:val="100"/>
          <w:kern w:val="0"/>
          <w:position w:val="0"/>
          <w:sz w:val="24"/>
          <w:szCs w:val="24"/>
          <w:u w:val="none" w:color="auto"/>
        </w:rPr>
        <w:t>后</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，水库</w:t>
      </w:r>
      <w:r>
        <w:rPr>
          <w:rFonts w:hint="default" w:ascii="Times New Roman" w:hAnsi="Times New Roman" w:eastAsia="宋体" w:cs="Times New Roman"/>
          <w:caps w:val="0"/>
          <w:smallCaps w:val="0"/>
          <w:color w:val="auto"/>
          <w:spacing w:val="0"/>
          <w:w w:val="100"/>
          <w:kern w:val="0"/>
          <w:position w:val="0"/>
          <w:sz w:val="24"/>
          <w:szCs w:val="24"/>
          <w:u w:val="none" w:color="auto"/>
        </w:rPr>
        <w:t>设计蓄水位不变，设计库容不发生变化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。水库运行多年，水库蓄水对当地地下水的补给作用相对稳定，且项目所在区域地下水的补给来源主要为大气降水。因此北汊水库除险加固工程实施后，不会对本项目区域</w:t>
      </w:r>
      <w:r>
        <w:rPr>
          <w:rFonts w:hint="default" w:ascii="Times New Roman" w:hAnsi="Times New Roman" w:eastAsia="宋体" w:cs="Times New Roman"/>
          <w:caps w:val="0"/>
          <w:smallCaps w:val="0"/>
          <w:color w:val="auto"/>
          <w:spacing w:val="0"/>
          <w:w w:val="100"/>
          <w:kern w:val="0"/>
          <w:position w:val="0"/>
          <w:sz w:val="24"/>
          <w:szCs w:val="24"/>
          <w:u w:val="none" w:color="auto"/>
        </w:rPr>
        <w:t>地下水流场或地下水水位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产生影响。</w:t>
      </w:r>
    </w:p>
    <w:p w14:paraId="595A774D">
      <w:pPr>
        <w:pStyle w:val="4"/>
        <w:bidi w:val="0"/>
        <w:rPr>
          <w:rFonts w:hint="default" w:ascii="Times New Roman" w:hAnsi="Times New Roman" w:cs="Times New Roman"/>
          <w:color w:val="auto"/>
          <w:u w:val="none" w:color="auto"/>
        </w:rPr>
      </w:pPr>
      <w:bookmarkStart w:id="305" w:name="_Toc27973"/>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声环境影响分析</w:t>
      </w:r>
      <w:bookmarkEnd w:id="305"/>
    </w:p>
    <w:p w14:paraId="71B4EF0C">
      <w:pPr>
        <w:keepNext w:val="0"/>
        <w:keepLines w:val="0"/>
        <w:pageBreakBefore w:val="0"/>
        <w:widowControl w:val="0"/>
        <w:overflowPunct/>
        <w:autoSpaceDE/>
        <w:autoSpaceDN/>
        <w:bidi w:val="0"/>
        <w:adjustRightInd/>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工程属非污染生态影响项目，水库除险加固建设完成后，运行期噪声影响主要仍为除险加固前的启闭机等运转过程中产生的噪声，不新增噪声污染源，与工程建设前无重大变化</w:t>
      </w:r>
      <w:r>
        <w:rPr>
          <w:rFonts w:hint="eastAsia" w:ascii="Times New Roman" w:hAnsi="Times New Roman" w:eastAsia="宋体" w:cs="Times New Roman"/>
          <w:color w:val="auto"/>
          <w:spacing w:val="0"/>
          <w:w w:val="100"/>
          <w:position w:val="0"/>
          <w:sz w:val="24"/>
          <w:szCs w:val="24"/>
          <w:u w:val="none" w:color="auto"/>
          <w:lang w:eastAsia="zh-CN"/>
        </w:rPr>
        <w:t>，不会对周边声环境造成较大不利影响</w:t>
      </w:r>
      <w:r>
        <w:rPr>
          <w:rFonts w:hint="default" w:ascii="Times New Roman" w:hAnsi="Times New Roman" w:eastAsia="宋体" w:cs="Times New Roman"/>
          <w:color w:val="auto"/>
          <w:spacing w:val="0"/>
          <w:w w:val="100"/>
          <w:position w:val="0"/>
          <w:sz w:val="24"/>
          <w:szCs w:val="24"/>
          <w:u w:val="none" w:color="auto"/>
        </w:rPr>
        <w:t>。</w:t>
      </w:r>
    </w:p>
    <w:p w14:paraId="0D2FD787">
      <w:pPr>
        <w:pStyle w:val="4"/>
        <w:bidi w:val="0"/>
        <w:rPr>
          <w:rFonts w:hint="default" w:ascii="Times New Roman" w:hAnsi="Times New Roman" w:cs="Times New Roman"/>
          <w:color w:val="auto"/>
          <w:u w:val="none" w:color="auto"/>
        </w:rPr>
      </w:pPr>
      <w:bookmarkStart w:id="306" w:name="_Toc22549"/>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固体废物影响分析</w:t>
      </w:r>
      <w:bookmarkEnd w:id="306"/>
    </w:p>
    <w:p w14:paraId="214C74DD">
      <w:pPr>
        <w:keepNext w:val="0"/>
        <w:keepLines w:val="0"/>
        <w:pageBreakBefore w:val="0"/>
        <w:widowControl w:val="0"/>
        <w:overflowPunct/>
        <w:autoSpaceDE/>
        <w:autoSpaceDN/>
        <w:bidi w:val="0"/>
        <w:adjustRightInd/>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水库运行期间产生的固体废物主要是水库管理人员产生的生活垃圾。本次除险加固工程完成后，管理人员维持原有人数，运营期不产生新增固体废物。水库管理人员为11人，</w:t>
      </w:r>
      <w:r>
        <w:rPr>
          <w:rFonts w:hint="default" w:ascii="Times New Roman" w:hAnsi="Times New Roman" w:eastAsia="宋体" w:cs="Times New Roman"/>
          <w:caps w:val="0"/>
          <w:smallCaps w:val="0"/>
          <w:color w:val="auto"/>
          <w:spacing w:val="0"/>
          <w:w w:val="100"/>
          <w:kern w:val="0"/>
          <w:position w:val="0"/>
          <w:sz w:val="24"/>
          <w:szCs w:val="24"/>
          <w:u w:val="none" w:color="auto"/>
        </w:rPr>
        <w:t>生活</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垃圾产生量按</w:t>
      </w:r>
      <w:r>
        <w:rPr>
          <w:rFonts w:hint="default" w:ascii="Times New Roman" w:hAnsi="Times New Roman" w:eastAsia="宋体" w:cs="Times New Roman"/>
          <w:caps w:val="0"/>
          <w:smallCaps w:val="0"/>
          <w:color w:val="auto"/>
          <w:spacing w:val="0"/>
          <w:w w:val="100"/>
          <w:kern w:val="0"/>
          <w:position w:val="0"/>
          <w:sz w:val="24"/>
          <w:szCs w:val="24"/>
          <w:u w:val="none" w:color="auto"/>
        </w:rPr>
        <w:t>1.0kg/d计</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，则生活垃圾产生量为0.0</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t</w:t>
      </w:r>
      <w:r>
        <w:rPr>
          <w:rFonts w:hint="default" w:ascii="Times New Roman" w:hAnsi="Times New Roman" w:eastAsia="宋体" w:cs="Times New Roman"/>
          <w:caps w:val="0"/>
          <w:smallCaps w:val="0"/>
          <w:color w:val="auto"/>
          <w:spacing w:val="0"/>
          <w:w w:val="100"/>
          <w:kern w:val="0"/>
          <w:position w:val="0"/>
          <w:sz w:val="24"/>
          <w:szCs w:val="24"/>
          <w:u w:val="none" w:color="auto"/>
        </w:rPr>
        <w:t>/d</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，统一收集后交由环卫部门清运处理</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不会对区域环境产生不利影响。</w:t>
      </w:r>
    </w:p>
    <w:p w14:paraId="169F7D4F">
      <w:pPr>
        <w:pStyle w:val="4"/>
        <w:bidi w:val="0"/>
        <w:rPr>
          <w:rFonts w:hint="default" w:ascii="Times New Roman" w:hAnsi="Times New Roman" w:cs="Times New Roman"/>
          <w:color w:val="auto"/>
          <w:u w:val="none" w:color="auto"/>
        </w:rPr>
      </w:pPr>
      <w:bookmarkStart w:id="307" w:name="_Toc1375"/>
      <w:r>
        <w:rPr>
          <w:rFonts w:hint="default" w:ascii="Times New Roman" w:hAnsi="Times New Roman" w:cs="Times New Roman"/>
          <w:color w:val="auto"/>
          <w:u w:val="none" w:color="auto"/>
          <w:lang w:val="en-US" w:eastAsia="zh-CN"/>
        </w:rPr>
        <w:t>营运期</w:t>
      </w:r>
      <w:r>
        <w:rPr>
          <w:rFonts w:hint="default" w:ascii="Times New Roman" w:hAnsi="Times New Roman" w:cs="Times New Roman"/>
          <w:color w:val="auto"/>
          <w:u w:val="none" w:color="auto"/>
        </w:rPr>
        <w:t>土壤环境影响分析</w:t>
      </w:r>
      <w:bookmarkEnd w:id="307"/>
    </w:p>
    <w:p w14:paraId="6E793518">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根据本次现状监测，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评价范围内的土壤</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无</w:t>
      </w:r>
      <w:r>
        <w:rPr>
          <w:rFonts w:hint="default" w:ascii="Times New Roman" w:hAnsi="Times New Roman" w:eastAsia="宋体" w:cs="Times New Roman"/>
          <w:color w:val="auto"/>
          <w:sz w:val="24"/>
          <w:highlight w:val="none"/>
          <w:u w:val="none" w:color="auto"/>
          <w:lang w:val="en-US" w:eastAsia="zh-CN"/>
        </w:rPr>
        <w:t>酸化</w:t>
      </w:r>
      <w:r>
        <w:rPr>
          <w:rFonts w:hint="eastAsia" w:ascii="Times New Roman" w:hAnsi="Times New Roman" w:eastAsia="宋体" w:cs="Times New Roman"/>
          <w:color w:val="auto"/>
          <w:sz w:val="24"/>
          <w:highlight w:val="none"/>
          <w:u w:val="none" w:color="auto"/>
          <w:lang w:val="en-US" w:eastAsia="zh-CN"/>
        </w:rPr>
        <w:t>或</w:t>
      </w:r>
      <w:r>
        <w:rPr>
          <w:rFonts w:hint="default" w:ascii="Times New Roman" w:hAnsi="Times New Roman" w:eastAsia="宋体" w:cs="Times New Roman"/>
          <w:color w:val="auto"/>
          <w:sz w:val="24"/>
          <w:highlight w:val="none"/>
          <w:u w:val="none" w:color="auto"/>
          <w:lang w:val="en-US" w:eastAsia="zh-CN"/>
        </w:rPr>
        <w:t>碱化</w:t>
      </w:r>
      <w:r>
        <w:rPr>
          <w:rFonts w:hint="eastAsia" w:ascii="Times New Roman" w:hAnsi="Times New Roman" w:eastAsia="宋体" w:cs="Times New Roman"/>
          <w:color w:val="auto"/>
          <w:sz w:val="24"/>
          <w:highlight w:val="none"/>
          <w:u w:val="none" w:color="auto"/>
          <w:lang w:val="en-US" w:eastAsia="zh-CN"/>
        </w:rPr>
        <w:t>，呈轻度</w:t>
      </w:r>
      <w:r>
        <w:rPr>
          <w:rFonts w:hint="default" w:ascii="Times New Roman" w:hAnsi="Times New Roman" w:eastAsia="宋体" w:cs="Times New Roman"/>
          <w:color w:val="auto"/>
          <w:sz w:val="24"/>
          <w:highlight w:val="none"/>
          <w:u w:val="none" w:color="auto"/>
          <w:lang w:val="en-US" w:eastAsia="zh-CN"/>
        </w:rPr>
        <w:t>盐化</w:t>
      </w:r>
      <w:r>
        <w:rPr>
          <w:rFonts w:hint="eastAsia" w:ascii="Times New Roman" w:hAnsi="Times New Roman" w:eastAsia="宋体" w:cs="Times New Roman"/>
          <w:color w:val="auto"/>
          <w:sz w:val="24"/>
          <w:highlight w:val="none"/>
          <w:u w:val="none" w:color="auto"/>
          <w:lang w:val="en-US" w:eastAsia="zh-CN"/>
        </w:rPr>
        <w:t>。同时</w:t>
      </w:r>
      <w:r>
        <w:rPr>
          <w:rFonts w:hint="default" w:ascii="Times New Roman" w:hAnsi="Times New Roman" w:eastAsia="宋体" w:cs="Times New Roman"/>
          <w:caps w:val="0"/>
          <w:smallCaps w:val="0"/>
          <w:color w:val="auto"/>
          <w:spacing w:val="0"/>
          <w:w w:val="100"/>
          <w:kern w:val="0"/>
          <w:position w:val="0"/>
          <w:sz w:val="24"/>
          <w:szCs w:val="24"/>
          <w:u w:val="none" w:color="auto"/>
        </w:rPr>
        <w:t>项目周边土壤各污染物浓度均满足《土壤环境质量标准  农用地土壤污染风险管控标准》（GB15618-2018）中限值要求。</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水库</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大坝</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指标均</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达到</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《土壤环境质量标准  建设用地土壤污染风险管控标准（试行）》（GB36600-2018）第二类用地筛选值。</w:t>
      </w:r>
    </w:p>
    <w:p w14:paraId="08012590">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项目对土壤环境的影响主要是生态影响，主要表现在水位发生变化</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，可能造成土壤盐碱化</w:t>
      </w:r>
      <w:r>
        <w:rPr>
          <w:rFonts w:hint="default" w:ascii="Times New Roman" w:hAnsi="Times New Roman" w:eastAsia="宋体" w:cs="Times New Roman"/>
          <w:caps w:val="0"/>
          <w:smallCaps w:val="0"/>
          <w:color w:val="auto"/>
          <w:spacing w:val="0"/>
          <w:w w:val="100"/>
          <w:kern w:val="0"/>
          <w:position w:val="0"/>
          <w:sz w:val="24"/>
          <w:szCs w:val="24"/>
          <w:u w:val="none" w:color="auto"/>
        </w:rPr>
        <w:t>。项目已运行多年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库区范围的土地利用现状没有发生大的改变，库岸两边仍然以种植农作物以及经济林木为主，植被覆盖率无大的改变，因此不会造成</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库区</w:t>
      </w:r>
      <w:r>
        <w:rPr>
          <w:rFonts w:hint="default" w:ascii="Times New Roman" w:hAnsi="Times New Roman" w:eastAsia="宋体" w:cs="Times New Roman"/>
          <w:caps w:val="0"/>
          <w:smallCaps w:val="0"/>
          <w:color w:val="auto"/>
          <w:spacing w:val="0"/>
          <w:w w:val="100"/>
          <w:kern w:val="0"/>
          <w:position w:val="0"/>
          <w:sz w:val="24"/>
          <w:szCs w:val="24"/>
          <w:u w:val="none" w:color="auto"/>
        </w:rPr>
        <w:t>盐渍化。在枯水季节调查期间，在库区范围内未发现水草丛生的沼泽化现象，不会造成河流沼泽化</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不会导致地下水位的大幅提高而产生土地浸没、引起沼泽化、</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加剧</w:t>
      </w:r>
      <w:r>
        <w:rPr>
          <w:rFonts w:hint="default" w:ascii="Times New Roman" w:hAnsi="Times New Roman" w:eastAsia="宋体" w:cs="Times New Roman"/>
          <w:caps w:val="0"/>
          <w:smallCaps w:val="0"/>
          <w:color w:val="auto"/>
          <w:spacing w:val="0"/>
          <w:w w:val="100"/>
          <w:kern w:val="0"/>
          <w:position w:val="0"/>
          <w:sz w:val="24"/>
          <w:szCs w:val="24"/>
          <w:u w:val="none" w:color="auto"/>
        </w:rPr>
        <w:t>盐碱化等土壤环境问题，不改变原有土壤生态功能。</w:t>
      </w:r>
    </w:p>
    <w:p w14:paraId="286AB293">
      <w:pPr>
        <w:pStyle w:val="4"/>
        <w:bidi w:val="0"/>
        <w:rPr>
          <w:rFonts w:hint="default" w:ascii="Times New Roman" w:hAnsi="Times New Roman" w:eastAsia="宋体" w:cs="Times New Roman"/>
          <w:b/>
          <w:caps w:val="0"/>
          <w:smallCaps w:val="0"/>
          <w:color w:val="auto"/>
          <w:spacing w:val="0"/>
          <w:w w:val="100"/>
          <w:position w:val="0"/>
          <w:sz w:val="28"/>
          <w:szCs w:val="28"/>
          <w:u w:val="none" w:color="auto"/>
        </w:rPr>
      </w:pPr>
      <w:bookmarkStart w:id="308" w:name="_Toc25985"/>
      <w:r>
        <w:rPr>
          <w:rFonts w:hint="default" w:ascii="Times New Roman" w:hAnsi="Times New Roman" w:eastAsia="宋体" w:cs="Times New Roman"/>
          <w:b/>
          <w:caps w:val="0"/>
          <w:smallCaps w:val="0"/>
          <w:color w:val="auto"/>
          <w:spacing w:val="0"/>
          <w:w w:val="100"/>
          <w:position w:val="0"/>
          <w:sz w:val="28"/>
          <w:szCs w:val="28"/>
          <w:u w:val="none" w:color="auto"/>
          <w:lang w:val="en-US" w:eastAsia="zh-CN"/>
        </w:rPr>
        <w:t>营运期</w:t>
      </w:r>
      <w:r>
        <w:rPr>
          <w:rStyle w:val="45"/>
          <w:rFonts w:hint="default" w:ascii="Times New Roman" w:hAnsi="Times New Roman" w:cs="Times New Roman"/>
          <w:b/>
          <w:bCs/>
          <w:color w:val="auto"/>
          <w:u w:val="none" w:color="auto"/>
        </w:rPr>
        <w:t>生</w:t>
      </w:r>
      <w:r>
        <w:rPr>
          <w:rFonts w:hint="default" w:ascii="Times New Roman" w:hAnsi="Times New Roman" w:eastAsia="宋体" w:cs="Times New Roman"/>
          <w:b/>
          <w:caps w:val="0"/>
          <w:smallCaps w:val="0"/>
          <w:color w:val="auto"/>
          <w:spacing w:val="0"/>
          <w:w w:val="100"/>
          <w:position w:val="0"/>
          <w:sz w:val="28"/>
          <w:szCs w:val="28"/>
          <w:u w:val="none" w:color="auto"/>
        </w:rPr>
        <w:t>态环境影响评价</w:t>
      </w:r>
      <w:bookmarkEnd w:id="308"/>
    </w:p>
    <w:p w14:paraId="085230C7">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对陆生生态影响分析</w:t>
      </w:r>
    </w:p>
    <w:p w14:paraId="7EF45A9D">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工程是非污染型项目，对陆生生态环境的影响来自于施工期的延续。工程完工后，临时占地清理后进行全面整地并恢复原地类，林地、荒草地栽植乔灌木、撒播草籽，恢复原来地类的生态功能，经过生态恢复整治，临时占地对陆生生态环境影响将逐渐恢复</w:t>
      </w:r>
      <w:r>
        <w:rPr>
          <w:rFonts w:hint="default" w:ascii="Times New Roman" w:hAnsi="Times New Roman" w:eastAsia="宋体" w:cs="Times New Roman"/>
          <w:caps w:val="0"/>
          <w:smallCaps w:val="0"/>
          <w:color w:val="auto"/>
          <w:spacing w:val="0"/>
          <w:w w:val="100"/>
          <w:kern w:val="0"/>
          <w:position w:val="0"/>
          <w:sz w:val="24"/>
          <w:szCs w:val="24"/>
          <w:u w:val="none" w:color="auto"/>
        </w:rPr>
        <w:t>，不会对周边景观造成</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不利</w:t>
      </w:r>
      <w:r>
        <w:rPr>
          <w:rFonts w:hint="default" w:ascii="Times New Roman" w:hAnsi="Times New Roman" w:eastAsia="宋体" w:cs="Times New Roman"/>
          <w:caps w:val="0"/>
          <w:smallCaps w:val="0"/>
          <w:color w:val="auto"/>
          <w:spacing w:val="0"/>
          <w:w w:val="100"/>
          <w:kern w:val="0"/>
          <w:position w:val="0"/>
          <w:sz w:val="24"/>
          <w:szCs w:val="24"/>
          <w:u w:val="none" w:color="auto"/>
        </w:rPr>
        <w:t>影响</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7A4C578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工程建成后，评价区内自然景观体系的生物量及生产力不会发生明显的变化，大坝加</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固</w:t>
      </w:r>
      <w:r>
        <w:rPr>
          <w:rFonts w:hint="default" w:ascii="Times New Roman" w:hAnsi="Times New Roman" w:eastAsia="宋体" w:cs="Times New Roman"/>
          <w:caps w:val="0"/>
          <w:smallCaps w:val="0"/>
          <w:color w:val="auto"/>
          <w:spacing w:val="0"/>
          <w:w w:val="100"/>
          <w:kern w:val="0"/>
          <w:position w:val="0"/>
          <w:sz w:val="24"/>
          <w:szCs w:val="24"/>
          <w:u w:val="none" w:color="auto"/>
        </w:rPr>
        <w:t>工程结束后，坝体及坝体周边基本恢复为原有生态类型。</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随着</w:t>
      </w:r>
      <w:r>
        <w:rPr>
          <w:rFonts w:hint="default" w:ascii="Times New Roman" w:hAnsi="Times New Roman" w:eastAsia="宋体" w:cs="Times New Roman"/>
          <w:caps w:val="0"/>
          <w:smallCaps w:val="0"/>
          <w:color w:val="auto"/>
          <w:spacing w:val="0"/>
          <w:w w:val="100"/>
          <w:kern w:val="0"/>
          <w:position w:val="0"/>
          <w:sz w:val="24"/>
          <w:szCs w:val="24"/>
          <w:u w:val="none" w:color="auto"/>
        </w:rPr>
        <w:t>人类活动的减少，原有施工中迁移的陆生动物将会逐渐回到原有的栖息地进行生活与觅食，陆生动物将会逐渐增多，恢复原有生境，基本不会对陆生动物造成影响。</w:t>
      </w:r>
    </w:p>
    <w:p w14:paraId="18347E52">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综上，本项目运营期对陆生生态影响甚微。</w:t>
      </w:r>
    </w:p>
    <w:p w14:paraId="56F25FB5">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2、对水生生态影响分析 </w:t>
      </w:r>
    </w:p>
    <w:p w14:paraId="5102939D">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工程对评价区水生生态系统的影响</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主要发生在施工期间，工程完建后水生生态系统将逐渐恢复至建设前状态。</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本工程是非污染型项目，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工程建设未改变</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的库容、流量、水位等特性，对库区和下游水域的水位、流速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、水温</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等水文特性影响较小；工程建设后未新增废污水，工程运行期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库区、上下游水生生境不会发生明显改变，水生生境基本维持原状。因此，工程运行期评价区水生生态系统不会发生明显变化，水生生物种类组成与工程建设前相似</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对鱼类群落基本无新增影响。 </w:t>
      </w:r>
    </w:p>
    <w:p w14:paraId="1455471C">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同时，北汊水库已运行多年，水生动植物已经适应了水库的运行规律，本项目运行期不改变以往水库运行规律，不产生新的生态影响。因此，本工程运行期对水生生态环境不会造成影响。</w:t>
      </w:r>
    </w:p>
    <w:p w14:paraId="2864C2E0">
      <w:pPr>
        <w:pStyle w:val="3"/>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 xml:space="preserve"> </w:t>
      </w:r>
      <w:bookmarkStart w:id="309" w:name="_Toc14729"/>
      <w:r>
        <w:rPr>
          <w:rFonts w:hint="default" w:ascii="Times New Roman" w:hAnsi="Times New Roman" w:cs="Times New Roman"/>
          <w:color w:val="auto"/>
          <w:u w:val="none" w:color="auto"/>
        </w:rPr>
        <w:t>环境风险分析</w:t>
      </w:r>
      <w:bookmarkEnd w:id="309"/>
    </w:p>
    <w:p w14:paraId="53BB8537">
      <w:pPr>
        <w:pStyle w:val="4"/>
        <w:bidi w:val="0"/>
        <w:rPr>
          <w:rFonts w:hint="default" w:ascii="Times New Roman" w:hAnsi="Times New Roman" w:cs="Times New Roman"/>
          <w:color w:val="auto"/>
          <w:u w:val="none" w:color="auto"/>
        </w:rPr>
      </w:pPr>
      <w:bookmarkStart w:id="310" w:name="_Toc6870"/>
      <w:r>
        <w:rPr>
          <w:rFonts w:hint="eastAsia" w:ascii="Times New Roman" w:hAnsi="Times New Roman" w:cs="Times New Roman"/>
          <w:color w:val="auto"/>
          <w:u w:val="none" w:color="auto"/>
          <w:lang w:eastAsia="zh-CN"/>
        </w:rPr>
        <w:t>风险调查</w:t>
      </w:r>
      <w:bookmarkEnd w:id="310"/>
    </w:p>
    <w:p w14:paraId="17C92527">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1、风险源调查</w:t>
      </w:r>
    </w:p>
    <w:p w14:paraId="30FB9BC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为水库除险加固工程项目，为生态影响类建设项目，不属于污染影响型，工程在施工与运营阶段涉及的有毒有害和易燃易爆危险物质相对较少。根据《建设项目环境风险评价技术导则》（HJ169-2018）附录B，本次风险评价的主要危险物质为柴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和隔油池收集的废油。本项目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施工场地不设置柴油储罐</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施工机械设备和施工交通运输车辆柴油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暂存量按</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油箱</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总</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容量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约20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00L计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，合1.68t；废机油约为0.5t。</w:t>
      </w:r>
    </w:p>
    <w:p w14:paraId="6971FA70">
      <w:pPr>
        <w:keepNext w:val="0"/>
        <w:keepLines w:val="0"/>
        <w:pageBreakBefore w:val="0"/>
        <w:widowControl w:val="0"/>
        <w:numPr>
          <w:ilvl w:val="0"/>
          <w:numId w:val="0"/>
        </w:numPr>
        <w:kinsoku w:val="0"/>
        <w:wordWrap w:val="0"/>
        <w:overflowPunct/>
        <w:topLinePunct/>
        <w:autoSpaceDE/>
        <w:autoSpaceDN/>
        <w:bidi w:val="0"/>
        <w:adjustRightInd w:val="0"/>
        <w:snapToGrid/>
        <w:spacing w:line="360" w:lineRule="auto"/>
        <w:ind w:leftChars="200"/>
        <w:textAlignment w:val="auto"/>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2、环境敏感目标调查</w:t>
      </w:r>
    </w:p>
    <w:p w14:paraId="3C4CB11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主要环境风险物质为柴油，可能的影响途径主要为泄露造成的地表水污染、地下水污染、土壤污染，以及火灾爆炸造成的次生环境污染，因此确定主要环境敏感目标为北汊水库及评价范围内的地下水敏感点、土壤敏感点及大气敏感点等。</w:t>
      </w:r>
    </w:p>
    <w:p w14:paraId="3B1BBA95">
      <w:pPr>
        <w:pStyle w:val="4"/>
        <w:bidi w:val="0"/>
        <w:rPr>
          <w:rFonts w:hint="default" w:ascii="Times New Roman" w:hAnsi="Times New Roman" w:cs="Times New Roman"/>
          <w:color w:val="auto"/>
          <w:u w:val="none" w:color="auto"/>
        </w:rPr>
      </w:pPr>
      <w:bookmarkStart w:id="311" w:name="_Toc28339"/>
      <w:r>
        <w:rPr>
          <w:rFonts w:hint="eastAsia" w:ascii="Times New Roman" w:hAnsi="Times New Roman" w:cs="Times New Roman"/>
          <w:color w:val="auto"/>
          <w:u w:val="none" w:color="auto"/>
          <w:lang w:eastAsia="zh-CN"/>
        </w:rPr>
        <w:t>环境风险潜势初判</w:t>
      </w:r>
      <w:bookmarkEnd w:id="311"/>
    </w:p>
    <w:p w14:paraId="7D74DD3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根据《建设项目环境风险评价导则》（HJ169-2018）附录C，计算所涉及的每种危险物质在厂界内的最大存在总量与其在附录B中对应临界量的比值Q。</w:t>
      </w:r>
    </w:p>
    <w:p w14:paraId="7CD1786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当只涉及一种危险物质时，计算该物质的总量与其临界量比值，即为Q；</w:t>
      </w:r>
    </w:p>
    <w:p w14:paraId="6D7EA37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当存在多种危险物质时，则下式计算物质总量与其临界量比值（Q）：</w:t>
      </w:r>
    </w:p>
    <w:p w14:paraId="4A76E9B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m:oMathPara>
        <m:oMath>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f>
            <m:fPr>
              <m:ctrlPr>
                <w:rPr>
                  <w:rFonts w:hint="default" w:ascii="Cambria Math" w:hAnsi="Cambria Math" w:eastAsia="宋体" w:cs="Times New Roman"/>
                  <w:caps w:val="0"/>
                  <w:smallCaps w:val="0"/>
                  <w:color w:val="auto"/>
                  <w:spacing w:val="0"/>
                  <w:w w:val="100"/>
                  <w:kern w:val="0"/>
                  <w:position w:val="0"/>
                  <w:sz w:val="24"/>
                  <w:szCs w:val="24"/>
                  <w:u w:val="none" w:color="auto"/>
                </w:rPr>
              </m:ctrlPr>
            </m:fPr>
            <m:num>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1</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num>
            <m:den>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1</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den>
          </m:f>
          <m:r>
            <m:rPr>
              <m:sty m:val="p"/>
            </m:rPr>
            <w:rPr>
              <w:rFonts w:hint="default" w:ascii="Cambria Math" w:hAnsi="Cambria Math" w:eastAsia="宋体" w:cs="Times New Roman"/>
              <w:caps w:val="0"/>
              <w:smallCaps w:val="0"/>
              <w:color w:val="auto"/>
              <w:spacing w:val="0"/>
              <w:w w:val="100"/>
              <w:kern w:val="0"/>
              <w:position w:val="0"/>
              <w:sz w:val="24"/>
              <w:szCs w:val="24"/>
              <w:u w:val="none" w:color="auto"/>
            </w:rPr>
            <m:t>+</m:t>
          </m:r>
          <m:f>
            <m:fPr>
              <m:ctrlPr>
                <w:rPr>
                  <w:rFonts w:hint="default" w:ascii="Cambria Math" w:hAnsi="Cambria Math" w:eastAsia="宋体" w:cs="Times New Roman"/>
                  <w:caps w:val="0"/>
                  <w:smallCaps w:val="0"/>
                  <w:color w:val="auto"/>
                  <w:spacing w:val="0"/>
                  <w:w w:val="100"/>
                  <w:kern w:val="0"/>
                  <w:position w:val="0"/>
                  <w:sz w:val="24"/>
                  <w:szCs w:val="24"/>
                  <w:u w:val="none" w:color="auto"/>
                </w:rPr>
              </m:ctrlPr>
            </m:fPr>
            <m:num>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2</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num>
            <m:den>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2</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den>
          </m:f>
          <m:r>
            <m:rPr>
              <m:sty m:val="p"/>
            </m:rPr>
            <w:rPr>
              <w:rFonts w:hint="default" w:ascii="Cambria Math" w:hAnsi="Cambria Math" w:eastAsia="宋体" w:cs="Times New Roman"/>
              <w:caps w:val="0"/>
              <w:smallCaps w:val="0"/>
              <w:color w:val="auto"/>
              <w:spacing w:val="0"/>
              <w:w w:val="100"/>
              <w:kern w:val="0"/>
              <w:position w:val="0"/>
              <w:sz w:val="24"/>
              <w:szCs w:val="24"/>
              <w:u w:val="none" w:color="auto"/>
            </w:rPr>
            <m:t>+…</m:t>
          </m:r>
          <m:f>
            <m:fPr>
              <m:ctrlPr>
                <w:rPr>
                  <w:rFonts w:hint="default" w:ascii="Cambria Math" w:hAnsi="Cambria Math" w:eastAsia="宋体" w:cs="Times New Roman"/>
                  <w:caps w:val="0"/>
                  <w:smallCaps w:val="0"/>
                  <w:color w:val="auto"/>
                  <w:spacing w:val="0"/>
                  <w:w w:val="100"/>
                  <w:kern w:val="0"/>
                  <w:position w:val="0"/>
                  <w:sz w:val="24"/>
                  <w:szCs w:val="24"/>
                  <w:u w:val="none" w:color="auto"/>
                </w:rPr>
              </m:ctrlPr>
            </m:fPr>
            <m:num>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n</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num>
            <m:den>
              <m:sSub>
                <m:sSubPr>
                  <m:ctrlPr>
                    <w:rPr>
                      <w:rFonts w:hint="default" w:ascii="Cambria Math" w:hAnsi="Cambria Math" w:eastAsia="宋体" w:cs="Times New Roman"/>
                      <w:caps w:val="0"/>
                      <w:smallCaps w:val="0"/>
                      <w:color w:val="auto"/>
                      <w:spacing w:val="0"/>
                      <w:w w:val="100"/>
                      <w:kern w:val="0"/>
                      <w:position w:val="0"/>
                      <w:sz w:val="24"/>
                      <w:szCs w:val="24"/>
                      <w:u w:val="none" w:color="auto"/>
                    </w:rPr>
                  </m:ctrlPr>
                </m:sSubPr>
                <m:e>
                  <m:r>
                    <m:rPr>
                      <m:sty m:val="p"/>
                    </m:rPr>
                    <w:rPr>
                      <w:rFonts w:hint="default" w:ascii="Cambria Math" w:hAnsi="Cambria Math" w:eastAsia="宋体" w:cs="Times New Roman"/>
                      <w:caps w:val="0"/>
                      <w:smallCaps w:val="0"/>
                      <w:color w:val="auto"/>
                      <w:spacing w:val="0"/>
                      <w:w w:val="100"/>
                      <w:kern w:val="0"/>
                      <w:position w:val="0"/>
                      <w:sz w:val="24"/>
                      <w:szCs w:val="24"/>
                      <w:u w:val="none" w:color="auto"/>
                    </w:rPr>
                    <m:t>Q</m:t>
                  </m:r>
                  <m:ctrlPr>
                    <w:rPr>
                      <w:rFonts w:hint="default" w:ascii="Cambria Math" w:hAnsi="Cambria Math" w:eastAsia="宋体" w:cs="Times New Roman"/>
                      <w:caps w:val="0"/>
                      <w:smallCaps w:val="0"/>
                      <w:color w:val="auto"/>
                      <w:spacing w:val="0"/>
                      <w:w w:val="100"/>
                      <w:kern w:val="0"/>
                      <w:position w:val="0"/>
                      <w:sz w:val="24"/>
                      <w:szCs w:val="24"/>
                      <w:u w:val="none" w:color="auto"/>
                    </w:rPr>
                  </m:ctrlPr>
                </m:e>
                <m:sub>
                  <m:r>
                    <m:rPr>
                      <m:sty m:val="p"/>
                    </m:rPr>
                    <w:rPr>
                      <w:rFonts w:hint="default" w:ascii="Cambria Math" w:hAnsi="Cambria Math" w:eastAsia="宋体" w:cs="Times New Roman"/>
                      <w:caps w:val="0"/>
                      <w:smallCaps w:val="0"/>
                      <w:color w:val="auto"/>
                      <w:spacing w:val="0"/>
                      <w:w w:val="100"/>
                      <w:kern w:val="0"/>
                      <w:position w:val="0"/>
                      <w:sz w:val="24"/>
                      <w:szCs w:val="24"/>
                      <w:u w:val="none" w:color="auto"/>
                    </w:rPr>
                    <m:t>n</m:t>
                  </m:r>
                  <m:ctrlPr>
                    <w:rPr>
                      <w:rFonts w:hint="default" w:ascii="Cambria Math" w:hAnsi="Cambria Math" w:eastAsia="宋体" w:cs="Times New Roman"/>
                      <w:caps w:val="0"/>
                      <w:smallCaps w:val="0"/>
                      <w:color w:val="auto"/>
                      <w:spacing w:val="0"/>
                      <w:w w:val="100"/>
                      <w:kern w:val="0"/>
                      <w:position w:val="0"/>
                      <w:sz w:val="24"/>
                      <w:szCs w:val="24"/>
                      <w:u w:val="none" w:color="auto"/>
                    </w:rPr>
                  </m:ctrlPr>
                </m:sub>
              </m:sSub>
              <m:ctrlPr>
                <w:rPr>
                  <w:rFonts w:hint="default" w:ascii="Cambria Math" w:hAnsi="Cambria Math" w:eastAsia="宋体" w:cs="Times New Roman"/>
                  <w:caps w:val="0"/>
                  <w:smallCaps w:val="0"/>
                  <w:color w:val="auto"/>
                  <w:spacing w:val="0"/>
                  <w:w w:val="100"/>
                  <w:kern w:val="0"/>
                  <w:position w:val="0"/>
                  <w:sz w:val="24"/>
                  <w:szCs w:val="24"/>
                  <w:u w:val="none" w:color="auto"/>
                </w:rPr>
              </m:ctrlPr>
            </m:den>
          </m:f>
        </m:oMath>
      </m:oMathPara>
    </w:p>
    <w:p w14:paraId="21E09B6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式中：</w:t>
      </w:r>
    </w:p>
    <w:p w14:paraId="07B3445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q1，q2，...，qn——每种危险物质的最大存在总量，t；</w:t>
      </w:r>
    </w:p>
    <w:p w14:paraId="76FCE0E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Q1，Q2，...，Qn——每种危险物质的临界量，t。</w:t>
      </w:r>
    </w:p>
    <w:p w14:paraId="322210A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当Q＜1时，该项目环境风险潜势为Ⅰ。</w:t>
      </w:r>
    </w:p>
    <w:p w14:paraId="796BA36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当Q≥1时，将Q值划分为：(1)1≤Q＜10；(2)10≤Q＜100；(3)Q≥100。</w:t>
      </w:r>
    </w:p>
    <w:p w14:paraId="23F0190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对照《建设项目环境风险评价导则》（HJ169-2018）附录B中的风险物质的临界量，确定本项目Q值如</w:t>
      </w:r>
      <w:r>
        <w:rPr>
          <w:rFonts w:hint="eastAsia" w:ascii="Times New Roman" w:hAnsi="Times New Roman" w:eastAsia="宋体" w:cs="Times New Roman"/>
          <w:caps w:val="0"/>
          <w:smallCaps w:val="0"/>
          <w:color w:val="auto"/>
          <w:spacing w:val="0"/>
          <w:w w:val="100"/>
          <w:kern w:val="0"/>
          <w:position w:val="0"/>
          <w:sz w:val="24"/>
          <w:szCs w:val="24"/>
          <w:u w:val="none" w:color="auto"/>
        </w:rPr>
        <w:t>下表</w:t>
      </w:r>
      <w:r>
        <w:rPr>
          <w:rFonts w:hint="default" w:ascii="Times New Roman" w:hAnsi="Times New Roman" w:eastAsia="宋体" w:cs="Times New Roman"/>
          <w:caps w:val="0"/>
          <w:smallCaps w:val="0"/>
          <w:color w:val="auto"/>
          <w:spacing w:val="0"/>
          <w:w w:val="100"/>
          <w:kern w:val="0"/>
          <w:position w:val="0"/>
          <w:sz w:val="24"/>
          <w:szCs w:val="24"/>
          <w:u w:val="none" w:color="auto"/>
        </w:rPr>
        <w:t>所示。</w:t>
      </w:r>
    </w:p>
    <w:p w14:paraId="2B54D881">
      <w:pPr>
        <w:pStyle w:val="20"/>
        <w:spacing w:line="240" w:lineRule="auto"/>
        <w:jc w:val="center"/>
        <w:outlineLvl w:val="9"/>
        <w:rPr>
          <w:rFonts w:hint="eastAsia" w:ascii="Times New Roman" w:hAnsi="Times New Roman" w:eastAsia="宋体" w:cs="Times New Roman"/>
          <w:b/>
          <w:bCs/>
          <w:smallCaps w:val="0"/>
          <w:color w:val="auto"/>
          <w:sz w:val="24"/>
          <w:szCs w:val="24"/>
          <w:u w:val="none" w:color="auto"/>
          <w:lang w:val="zh-CN" w:eastAsia="zh-CN"/>
        </w:rPr>
      </w:pPr>
      <w:r>
        <w:rPr>
          <w:rFonts w:hint="eastAsia" w:ascii="Times New Roman" w:hAnsi="Times New Roman" w:eastAsia="宋体" w:cs="Times New Roman"/>
          <w:b/>
          <w:bCs/>
          <w:smallCaps w:val="0"/>
          <w:color w:val="auto"/>
          <w:sz w:val="24"/>
          <w:szCs w:val="24"/>
          <w:u w:val="none" w:color="auto"/>
          <w:lang w:val="en-US" w:eastAsia="zh-CN"/>
        </w:rPr>
        <w:t xml:space="preserve"> </w:t>
      </w:r>
      <w:r>
        <w:rPr>
          <w:rFonts w:hint="eastAsia" w:ascii="Times New Roman" w:hAnsi="Times New Roman" w:eastAsia="宋体" w:cs="Times New Roman"/>
          <w:b/>
          <w:bCs/>
          <w:smallCaps w:val="0"/>
          <w:color w:val="auto"/>
          <w:sz w:val="24"/>
          <w:szCs w:val="24"/>
          <w:u w:val="none" w:color="auto"/>
          <w:lang w:val="zh-CN" w:eastAsia="zh-CN"/>
        </w:rPr>
        <w:t>表</w:t>
      </w:r>
      <w:r>
        <w:rPr>
          <w:rFonts w:hint="eastAsia" w:ascii="Times New Roman" w:hAnsi="Times New Roman" w:eastAsia="宋体" w:cs="Times New Roman"/>
          <w:b/>
          <w:bCs/>
          <w:smallCaps w:val="0"/>
          <w:color w:val="auto"/>
          <w:sz w:val="24"/>
          <w:szCs w:val="24"/>
          <w:u w:val="none" w:color="auto"/>
          <w:lang w:val="en-US" w:eastAsia="zh-CN"/>
        </w:rPr>
        <w:t>4.4</w:t>
      </w:r>
      <w:r>
        <w:rPr>
          <w:rFonts w:hint="eastAsia" w:ascii="Times New Roman" w:hAnsi="Times New Roman" w:eastAsia="宋体" w:cs="Times New Roman"/>
          <w:b/>
          <w:bCs/>
          <w:smallCaps w:val="0"/>
          <w:color w:val="auto"/>
          <w:sz w:val="24"/>
          <w:szCs w:val="24"/>
          <w:u w:val="none" w:color="auto"/>
          <w:lang w:val="zh-CN" w:eastAsia="zh-CN"/>
        </w:rPr>
        <w:t>-</w:t>
      </w:r>
      <w:r>
        <w:rPr>
          <w:rFonts w:hint="eastAsia" w:ascii="Times New Roman" w:hAnsi="Times New Roman" w:eastAsia="宋体" w:cs="Times New Roman"/>
          <w:b/>
          <w:bCs/>
          <w:smallCaps w:val="0"/>
          <w:color w:val="auto"/>
          <w:sz w:val="24"/>
          <w:szCs w:val="24"/>
          <w:u w:val="none" w:color="auto"/>
          <w:lang w:val="en-US" w:eastAsia="zh-CN"/>
        </w:rPr>
        <w:t xml:space="preserve">1  </w:t>
      </w:r>
      <w:r>
        <w:rPr>
          <w:rFonts w:hint="eastAsia" w:ascii="Times New Roman" w:hAnsi="Times New Roman" w:eastAsia="宋体" w:cs="Times New Roman"/>
          <w:b/>
          <w:bCs/>
          <w:smallCaps w:val="0"/>
          <w:color w:val="auto"/>
          <w:sz w:val="24"/>
          <w:szCs w:val="24"/>
          <w:u w:val="none" w:color="auto"/>
          <w:lang w:val="zh-CN" w:eastAsia="zh-CN"/>
        </w:rPr>
        <w:t>项目Q值计算表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17"/>
        <w:gridCol w:w="1526"/>
        <w:gridCol w:w="1276"/>
        <w:gridCol w:w="1800"/>
        <w:gridCol w:w="1336"/>
        <w:gridCol w:w="1675"/>
      </w:tblGrid>
      <w:tr w14:paraId="6FBB6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0" w:type="pct"/>
            <w:tcBorders>
              <w:tl2br w:val="nil"/>
              <w:tr2bl w:val="nil"/>
            </w:tcBorders>
            <w:noWrap w:val="0"/>
            <w:vAlign w:val="center"/>
          </w:tcPr>
          <w:p w14:paraId="4FD20DAE">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序号</w:t>
            </w:r>
          </w:p>
        </w:tc>
        <w:tc>
          <w:tcPr>
            <w:tcW w:w="916" w:type="pct"/>
            <w:tcBorders>
              <w:tl2br w:val="nil"/>
              <w:tr2bl w:val="nil"/>
            </w:tcBorders>
            <w:noWrap w:val="0"/>
            <w:vAlign w:val="center"/>
          </w:tcPr>
          <w:p w14:paraId="54ADB3B7">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危险物质名称</w:t>
            </w:r>
          </w:p>
        </w:tc>
        <w:tc>
          <w:tcPr>
            <w:tcW w:w="766" w:type="pct"/>
            <w:tcBorders>
              <w:tl2br w:val="nil"/>
              <w:tr2bl w:val="nil"/>
            </w:tcBorders>
            <w:noWrap w:val="0"/>
            <w:vAlign w:val="center"/>
          </w:tcPr>
          <w:p w14:paraId="015688F4">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CAS号</w:t>
            </w:r>
          </w:p>
        </w:tc>
        <w:tc>
          <w:tcPr>
            <w:tcW w:w="1080" w:type="pct"/>
            <w:tcBorders>
              <w:tl2br w:val="nil"/>
              <w:tr2bl w:val="nil"/>
            </w:tcBorders>
            <w:noWrap w:val="0"/>
            <w:vAlign w:val="center"/>
          </w:tcPr>
          <w:p w14:paraId="0C9DA6E1">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最大存在总量</w:t>
            </w:r>
            <w:r>
              <w:rPr>
                <w:rFonts w:hint="default" w:ascii="Times New Roman" w:hAnsi="Times New Roman" w:eastAsia="宋体" w:cs="Times New Roman"/>
                <w:i/>
                <w:iCs/>
                <w:color w:val="auto"/>
                <w:sz w:val="21"/>
                <w:szCs w:val="21"/>
                <w:u w:val="none" w:color="auto"/>
              </w:rPr>
              <w:t>q</w:t>
            </w:r>
            <w:r>
              <w:rPr>
                <w:rFonts w:hint="default" w:ascii="Times New Roman" w:hAnsi="Times New Roman" w:eastAsia="宋体" w:cs="Times New Roman"/>
                <w:i/>
                <w:iCs/>
                <w:color w:val="auto"/>
                <w:position w:val="-3"/>
                <w:sz w:val="21"/>
                <w:szCs w:val="21"/>
                <w:u w:val="none" w:color="auto"/>
              </w:rPr>
              <w:t>n</w:t>
            </w:r>
            <w:r>
              <w:rPr>
                <w:rFonts w:hint="default" w:ascii="Times New Roman" w:hAnsi="Times New Roman" w:eastAsia="宋体" w:cs="Times New Roman"/>
                <w:color w:val="auto"/>
                <w:sz w:val="21"/>
                <w:szCs w:val="21"/>
                <w:u w:val="none" w:color="auto"/>
              </w:rPr>
              <w:t>/t</w:t>
            </w:r>
          </w:p>
        </w:tc>
        <w:tc>
          <w:tcPr>
            <w:tcW w:w="801" w:type="pct"/>
            <w:tcBorders>
              <w:tl2br w:val="nil"/>
              <w:tr2bl w:val="nil"/>
            </w:tcBorders>
            <w:noWrap w:val="0"/>
            <w:vAlign w:val="center"/>
          </w:tcPr>
          <w:p w14:paraId="53E2350C">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临界量</w:t>
            </w:r>
            <w:r>
              <w:rPr>
                <w:rFonts w:hint="default" w:ascii="Times New Roman" w:hAnsi="Times New Roman" w:eastAsia="宋体" w:cs="Times New Roman"/>
                <w:i/>
                <w:iCs/>
                <w:color w:val="auto"/>
                <w:sz w:val="21"/>
                <w:szCs w:val="21"/>
                <w:u w:val="none" w:color="auto"/>
              </w:rPr>
              <w:t>Q</w:t>
            </w:r>
            <w:r>
              <w:rPr>
                <w:rFonts w:hint="default" w:ascii="Times New Roman" w:hAnsi="Times New Roman" w:eastAsia="宋体" w:cs="Times New Roman"/>
                <w:i/>
                <w:iCs/>
                <w:color w:val="auto"/>
                <w:position w:val="-3"/>
                <w:sz w:val="21"/>
                <w:szCs w:val="21"/>
                <w:u w:val="none" w:color="auto"/>
              </w:rPr>
              <w:t>n</w:t>
            </w:r>
            <w:r>
              <w:rPr>
                <w:rFonts w:hint="default" w:ascii="Times New Roman" w:hAnsi="Times New Roman" w:eastAsia="宋体" w:cs="Times New Roman"/>
                <w:i/>
                <w:iCs/>
                <w:color w:val="auto"/>
                <w:sz w:val="21"/>
                <w:szCs w:val="21"/>
                <w:u w:val="none" w:color="auto"/>
              </w:rPr>
              <w:t>/</w:t>
            </w:r>
            <w:r>
              <w:rPr>
                <w:rFonts w:hint="default" w:ascii="Times New Roman" w:hAnsi="Times New Roman" w:eastAsia="宋体" w:cs="Times New Roman"/>
                <w:color w:val="auto"/>
                <w:sz w:val="21"/>
                <w:szCs w:val="21"/>
                <w:u w:val="none" w:color="auto"/>
              </w:rPr>
              <w:t>t</w:t>
            </w:r>
          </w:p>
        </w:tc>
        <w:tc>
          <w:tcPr>
            <w:tcW w:w="1005" w:type="pct"/>
            <w:tcBorders>
              <w:tl2br w:val="nil"/>
              <w:tr2bl w:val="nil"/>
            </w:tcBorders>
            <w:noWrap w:val="0"/>
            <w:vAlign w:val="center"/>
          </w:tcPr>
          <w:p w14:paraId="2A6CAFB3">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该种危险物质</w:t>
            </w:r>
            <w:r>
              <w:rPr>
                <w:rFonts w:hint="default" w:ascii="Times New Roman" w:hAnsi="Times New Roman" w:eastAsia="宋体" w:cs="Times New Roman"/>
                <w:i/>
                <w:iCs/>
                <w:color w:val="auto"/>
                <w:sz w:val="21"/>
                <w:szCs w:val="21"/>
                <w:u w:val="none" w:color="auto"/>
              </w:rPr>
              <w:t>Q</w:t>
            </w:r>
            <w:r>
              <w:rPr>
                <w:rFonts w:hint="default" w:ascii="Times New Roman" w:hAnsi="Times New Roman" w:eastAsia="宋体" w:cs="Times New Roman"/>
                <w:color w:val="auto"/>
                <w:sz w:val="21"/>
                <w:szCs w:val="21"/>
                <w:u w:val="none" w:color="auto"/>
              </w:rPr>
              <w:t>值</w:t>
            </w:r>
          </w:p>
        </w:tc>
      </w:tr>
      <w:tr w14:paraId="38B88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0" w:type="pct"/>
            <w:tcBorders>
              <w:tl2br w:val="nil"/>
              <w:tr2bl w:val="nil"/>
            </w:tcBorders>
            <w:noWrap w:val="0"/>
            <w:vAlign w:val="center"/>
          </w:tcPr>
          <w:p w14:paraId="7251C5E6">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1</w:t>
            </w:r>
          </w:p>
        </w:tc>
        <w:tc>
          <w:tcPr>
            <w:tcW w:w="916" w:type="pct"/>
            <w:tcBorders>
              <w:tl2br w:val="nil"/>
              <w:tr2bl w:val="nil"/>
            </w:tcBorders>
            <w:noWrap w:val="0"/>
            <w:vAlign w:val="center"/>
          </w:tcPr>
          <w:p w14:paraId="79CE8701">
            <w:pPr>
              <w:keepNext w:val="0"/>
              <w:keepLines w:val="0"/>
              <w:widowControl w:val="0"/>
              <w:suppressLineNumbers w:val="0"/>
              <w:adjustRightInd w:val="0"/>
              <w:snapToGrid w:val="0"/>
              <w:spacing w:before="48" w:beforeLines="20" w:beforeAutospacing="0" w:after="48" w:afterLines="20" w:afterAutospacing="0"/>
              <w:ind w:left="0" w:right="0"/>
              <w:jc w:val="center"/>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柴油</w:t>
            </w:r>
          </w:p>
        </w:tc>
        <w:tc>
          <w:tcPr>
            <w:tcW w:w="766" w:type="pct"/>
            <w:tcBorders>
              <w:tl2br w:val="nil"/>
              <w:tr2bl w:val="nil"/>
            </w:tcBorders>
            <w:noWrap w:val="0"/>
            <w:vAlign w:val="center"/>
          </w:tcPr>
          <w:p w14:paraId="1E1E5394">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1080" w:type="pct"/>
            <w:tcBorders>
              <w:tl2br w:val="nil"/>
              <w:tr2bl w:val="nil"/>
            </w:tcBorders>
            <w:noWrap w:val="0"/>
            <w:vAlign w:val="center"/>
          </w:tcPr>
          <w:p w14:paraId="6CBC0D33">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1.68</w:t>
            </w:r>
          </w:p>
        </w:tc>
        <w:tc>
          <w:tcPr>
            <w:tcW w:w="801" w:type="pct"/>
            <w:tcBorders>
              <w:tl2br w:val="nil"/>
              <w:tr2bl w:val="nil"/>
            </w:tcBorders>
            <w:noWrap w:val="0"/>
            <w:vAlign w:val="center"/>
          </w:tcPr>
          <w:p w14:paraId="6D09167B">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2500</w:t>
            </w:r>
          </w:p>
        </w:tc>
        <w:tc>
          <w:tcPr>
            <w:tcW w:w="1005" w:type="pct"/>
            <w:tcBorders>
              <w:tl2br w:val="nil"/>
              <w:tr2bl w:val="nil"/>
            </w:tcBorders>
            <w:noWrap w:val="0"/>
            <w:vAlign w:val="center"/>
          </w:tcPr>
          <w:p w14:paraId="7690FFE4">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0.000</w:t>
            </w:r>
            <w:r>
              <w:rPr>
                <w:rFonts w:hint="default" w:ascii="Times New Roman" w:hAnsi="Times New Roman" w:eastAsia="宋体" w:cs="Times New Roman"/>
                <w:color w:val="auto"/>
                <w:sz w:val="21"/>
                <w:szCs w:val="21"/>
                <w:u w:val="none" w:color="auto"/>
                <w:lang w:val="en-US" w:eastAsia="zh-CN"/>
              </w:rPr>
              <w:t>672</w:t>
            </w:r>
          </w:p>
        </w:tc>
      </w:tr>
      <w:tr w14:paraId="4D926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0" w:type="pct"/>
            <w:tcBorders>
              <w:tl2br w:val="nil"/>
              <w:tr2bl w:val="nil"/>
            </w:tcBorders>
            <w:noWrap w:val="0"/>
            <w:vAlign w:val="center"/>
          </w:tcPr>
          <w:p w14:paraId="7EDD5A40">
            <w:pPr>
              <w:keepNext w:val="0"/>
              <w:keepLines w:val="0"/>
              <w:suppressLineNumbers w:val="0"/>
              <w:kinsoku w:val="0"/>
              <w:overflowPunct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916" w:type="pct"/>
            <w:tcBorders>
              <w:tl2br w:val="nil"/>
              <w:tr2bl w:val="nil"/>
            </w:tcBorders>
            <w:noWrap w:val="0"/>
            <w:vAlign w:val="center"/>
          </w:tcPr>
          <w:p w14:paraId="167BBE40">
            <w:pPr>
              <w:keepNext w:val="0"/>
              <w:keepLines w:val="0"/>
              <w:widowControl w:val="0"/>
              <w:suppressLineNumbers w:val="0"/>
              <w:adjustRightInd w:val="0"/>
              <w:snapToGrid w:val="0"/>
              <w:spacing w:before="48" w:beforeLines="20" w:beforeAutospacing="0" w:after="48" w:afterLines="20" w:afterAutospacing="0"/>
              <w:ind w:left="0" w:right="0"/>
              <w:jc w:val="center"/>
              <w:rPr>
                <w:rFonts w:hint="eastAsia" w:ascii="Times New Roman" w:hAnsi="Times New Roman" w:eastAsia="宋体" w:cs="Times New Roman"/>
                <w:color w:val="auto"/>
                <w:kern w:val="2"/>
                <w:sz w:val="21"/>
                <w:szCs w:val="21"/>
                <w:u w:val="none" w:color="auto"/>
                <w:lang w:eastAsia="zh-CN"/>
              </w:rPr>
            </w:pPr>
            <w:r>
              <w:rPr>
                <w:rFonts w:hint="eastAsia" w:ascii="Times New Roman" w:hAnsi="Times New Roman" w:eastAsia="宋体" w:cs="Times New Roman"/>
                <w:color w:val="auto"/>
                <w:kern w:val="2"/>
                <w:sz w:val="21"/>
                <w:szCs w:val="21"/>
                <w:u w:val="none" w:color="auto"/>
                <w:lang w:eastAsia="zh-CN"/>
              </w:rPr>
              <w:t>废油</w:t>
            </w:r>
          </w:p>
        </w:tc>
        <w:tc>
          <w:tcPr>
            <w:tcW w:w="766" w:type="pct"/>
            <w:tcBorders>
              <w:tl2br w:val="nil"/>
              <w:tr2bl w:val="nil"/>
            </w:tcBorders>
            <w:noWrap w:val="0"/>
            <w:vAlign w:val="center"/>
          </w:tcPr>
          <w:p w14:paraId="33315F96">
            <w:pPr>
              <w:keepNext w:val="0"/>
              <w:keepLines w:val="0"/>
              <w:suppressLineNumbers w:val="0"/>
              <w:autoSpaceDE w:val="0"/>
              <w:autoSpaceDN w:val="0"/>
              <w:adjustRightInd w:val="0"/>
              <w:spacing w:before="48" w:beforeLines="20" w:beforeAutospacing="0" w:after="48" w:afterLines="20" w:afterAutospacing="0"/>
              <w:ind w:left="0" w:right="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080" w:type="pct"/>
            <w:tcBorders>
              <w:tl2br w:val="nil"/>
              <w:tr2bl w:val="nil"/>
            </w:tcBorders>
            <w:noWrap w:val="0"/>
            <w:vAlign w:val="center"/>
          </w:tcPr>
          <w:p w14:paraId="218B2DC8">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0.5</w:t>
            </w:r>
          </w:p>
        </w:tc>
        <w:tc>
          <w:tcPr>
            <w:tcW w:w="801" w:type="pct"/>
            <w:tcBorders>
              <w:tl2br w:val="nil"/>
              <w:tr2bl w:val="nil"/>
            </w:tcBorders>
            <w:noWrap w:val="0"/>
            <w:vAlign w:val="center"/>
          </w:tcPr>
          <w:p w14:paraId="2C784279">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p>
        </w:tc>
        <w:tc>
          <w:tcPr>
            <w:tcW w:w="1005" w:type="pct"/>
            <w:tcBorders>
              <w:tl2br w:val="nil"/>
              <w:tr2bl w:val="nil"/>
            </w:tcBorders>
            <w:noWrap w:val="0"/>
            <w:vAlign w:val="center"/>
          </w:tcPr>
          <w:p w14:paraId="21E4416D">
            <w:pPr>
              <w:keepNext w:val="0"/>
              <w:keepLines w:val="0"/>
              <w:suppressLineNumbers w:val="0"/>
              <w:autoSpaceDE w:val="0"/>
              <w:autoSpaceDN w:val="0"/>
              <w:adjustRightInd w:val="0"/>
              <w:spacing w:before="48" w:beforeLines="20" w:beforeAutospacing="0" w:after="48" w:afterLines="2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0.01</w:t>
            </w:r>
          </w:p>
        </w:tc>
      </w:tr>
      <w:tr w14:paraId="7C4D0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94" w:type="pct"/>
            <w:gridSpan w:val="5"/>
            <w:tcBorders>
              <w:tl2br w:val="nil"/>
              <w:tr2bl w:val="nil"/>
            </w:tcBorders>
            <w:noWrap w:val="0"/>
            <w:vAlign w:val="center"/>
          </w:tcPr>
          <w:p w14:paraId="6EBFA88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合计</w:t>
            </w:r>
          </w:p>
        </w:tc>
        <w:tc>
          <w:tcPr>
            <w:tcW w:w="1005" w:type="pct"/>
            <w:tcBorders>
              <w:tl2br w:val="nil"/>
              <w:tr2bl w:val="nil"/>
            </w:tcBorders>
            <w:noWrap w:val="0"/>
            <w:vAlign w:val="center"/>
          </w:tcPr>
          <w:p w14:paraId="4E27B8E7">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0.010672</w:t>
            </w:r>
          </w:p>
        </w:tc>
      </w:tr>
    </w:tbl>
    <w:p w14:paraId="034036DA">
      <w:pPr>
        <w:keepNext w:val="0"/>
        <w:keepLines w:val="0"/>
        <w:pageBreakBefore w:val="0"/>
        <w:widowControl w:val="0"/>
        <w:kinsoku/>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因此，</w:t>
      </w:r>
      <w:r>
        <w:rPr>
          <w:rFonts w:hint="default" w:ascii="Times New Roman" w:hAnsi="Times New Roman" w:eastAsia="宋体" w:cs="Times New Roman"/>
          <w:caps w:val="0"/>
          <w:smallCaps w:val="0"/>
          <w:color w:val="auto"/>
          <w:spacing w:val="0"/>
          <w:w w:val="100"/>
          <w:kern w:val="0"/>
          <w:position w:val="0"/>
          <w:sz w:val="24"/>
          <w:szCs w:val="24"/>
          <w:u w:val="none" w:color="auto"/>
        </w:rPr>
        <w:t>本项目涉及的环境风险物质数量与临界量的比值Q=</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0.010672</w:t>
      </w:r>
      <w:r>
        <w:rPr>
          <w:rFonts w:hint="default" w:ascii="Times New Roman" w:hAnsi="Times New Roman" w:eastAsia="宋体" w:cs="Times New Roman"/>
          <w:caps w:val="0"/>
          <w:smallCaps w:val="0"/>
          <w:color w:val="auto"/>
          <w:spacing w:val="0"/>
          <w:w w:val="100"/>
          <w:kern w:val="0"/>
          <w:position w:val="0"/>
          <w:sz w:val="24"/>
          <w:szCs w:val="24"/>
          <w:u w:val="none" w:color="auto"/>
        </w:rPr>
        <w:t>&lt;1，项目环境风险潜势为</w:t>
      </w:r>
      <w:r>
        <w:rPr>
          <w:rFonts w:hint="eastAsia" w:ascii="Times New Roman" w:hAnsi="Times New Roman" w:eastAsia="宋体" w:cs="Times New Roman"/>
          <w:caps w:val="0"/>
          <w:smallCaps w:val="0"/>
          <w:color w:val="auto"/>
          <w:spacing w:val="0"/>
          <w:w w:val="100"/>
          <w:kern w:val="0"/>
          <w:position w:val="0"/>
          <w:sz w:val="24"/>
          <w:szCs w:val="24"/>
          <w:u w:val="none" w:color="auto"/>
        </w:rPr>
        <w:t>Ⅰ</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4235B69E">
      <w:pPr>
        <w:pStyle w:val="4"/>
        <w:bidi w:val="0"/>
        <w:rPr>
          <w:rFonts w:hint="default" w:ascii="Times New Roman" w:hAnsi="Times New Roman" w:cs="Times New Roman"/>
          <w:color w:val="auto"/>
          <w:u w:val="none" w:color="auto"/>
        </w:rPr>
      </w:pPr>
      <w:bookmarkStart w:id="312" w:name="_Toc7162"/>
      <w:r>
        <w:rPr>
          <w:rFonts w:hint="eastAsia" w:ascii="Times New Roman" w:hAnsi="Times New Roman" w:cs="Times New Roman"/>
          <w:color w:val="auto"/>
          <w:u w:val="none" w:color="auto"/>
          <w:lang w:eastAsia="zh-CN"/>
        </w:rPr>
        <w:t>评价等级</w:t>
      </w:r>
      <w:bookmarkEnd w:id="312"/>
    </w:p>
    <w:p w14:paraId="03522DD2">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rPr>
        <w:t>根据确定的项目环境风险潜势，按照</w:t>
      </w:r>
      <w:r>
        <w:rPr>
          <w:rFonts w:hint="default" w:ascii="Times New Roman" w:hAnsi="Times New Roman" w:eastAsia="宋体" w:cs="Times New Roman"/>
          <w:caps w:val="0"/>
          <w:smallCaps w:val="0"/>
          <w:color w:val="auto"/>
          <w:spacing w:val="0"/>
          <w:w w:val="100"/>
          <w:kern w:val="0"/>
          <w:position w:val="0"/>
          <w:sz w:val="24"/>
          <w:szCs w:val="24"/>
          <w:u w:val="none" w:color="auto"/>
        </w:rPr>
        <w:t>《建设项目环境风险评价导则》(HJ 169-2018)</w:t>
      </w:r>
      <w:r>
        <w:rPr>
          <w:rFonts w:hint="eastAsia" w:ascii="Times New Roman" w:hAnsi="Times New Roman" w:eastAsia="宋体" w:cs="Times New Roman"/>
          <w:caps w:val="0"/>
          <w:smallCaps w:val="0"/>
          <w:color w:val="auto"/>
          <w:spacing w:val="0"/>
          <w:w w:val="100"/>
          <w:kern w:val="0"/>
          <w:position w:val="0"/>
          <w:sz w:val="24"/>
          <w:szCs w:val="24"/>
          <w:u w:val="none" w:color="auto"/>
        </w:rPr>
        <w:t>中“4.3评价工作等级划分”，确定本项目环境风险评价工作等级为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简单分析</w:t>
      </w:r>
      <w:r>
        <w:rPr>
          <w:rFonts w:hint="eastAsia" w:ascii="Times New Roman" w:hAnsi="Times New Roman" w:eastAsia="宋体" w:cs="Times New Roman"/>
          <w:caps w:val="0"/>
          <w:smallCaps w:val="0"/>
          <w:color w:val="auto"/>
          <w:spacing w:val="0"/>
          <w:w w:val="100"/>
          <w:kern w:val="0"/>
          <w:position w:val="0"/>
          <w:sz w:val="24"/>
          <w:szCs w:val="24"/>
          <w:u w:val="none" w:color="auto"/>
        </w:rPr>
        <w:t>。</w:t>
      </w:r>
    </w:p>
    <w:p w14:paraId="00A89B22">
      <w:pPr>
        <w:pStyle w:val="4"/>
        <w:bidi w:val="0"/>
        <w:rPr>
          <w:rFonts w:hint="default" w:ascii="Times New Roman" w:hAnsi="Times New Roman" w:cs="Times New Roman"/>
          <w:color w:val="auto"/>
          <w:u w:val="none" w:color="auto"/>
        </w:rPr>
      </w:pPr>
      <w:bookmarkStart w:id="313" w:name="_Toc10496"/>
      <w:r>
        <w:rPr>
          <w:rFonts w:hint="default" w:ascii="Times New Roman" w:hAnsi="Times New Roman" w:cs="Times New Roman"/>
          <w:color w:val="auto"/>
          <w:u w:val="none" w:color="auto"/>
        </w:rPr>
        <w:t>环境风险识别</w:t>
      </w:r>
      <w:bookmarkEnd w:id="313"/>
    </w:p>
    <w:p w14:paraId="343FD657">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根据《建设项目环境风险评价技术导则》（</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HJ169-2018</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），环境风险识别内容主要为物质危险性识别、生产系统危险性识别和危险物质向环境转移的途径识别。 </w:t>
      </w:r>
    </w:p>
    <w:p w14:paraId="364BAF9B">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1、物质危险性识别 </w:t>
      </w:r>
    </w:p>
    <w:p w14:paraId="01788DF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物质危险性识别包括主要原辅材料、燃料、中间产品、副产品、最终产品、污染物、火灾和爆炸伴生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次生物等。 </w:t>
      </w:r>
    </w:p>
    <w:p w14:paraId="32EE500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本项目使用柴油作为施工机械、车辆的燃料，不设油库；本项目污染物主要为机械车辆维修冲洗含油废水经油水分离池处理后产生的废机油，主要环境风险为油料泄漏及其引发的火灾、爆炸事故。 </w:t>
      </w:r>
    </w:p>
    <w:p w14:paraId="0D178CFA">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2、生产系统危险性识别 </w:t>
      </w:r>
    </w:p>
    <w:p w14:paraId="0E914AC2">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生产系统危险性识别包括主要生产装置、储运装置、公用工程和辅助生产设施，以及环境保护设施等。 </w:t>
      </w:r>
    </w:p>
    <w:p w14:paraId="1CB11AA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本项目环保设施的潜在风险主要为污水处理设施未按正常情况运用，导致废水超标排放，进而对地下水、地表水、土壤造成一定影响。 </w:t>
      </w:r>
    </w:p>
    <w:p w14:paraId="0852F400">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、危险物质向环境转移的途径识别 </w:t>
      </w:r>
    </w:p>
    <w:p w14:paraId="6DF506C7">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危险物质向环境转移的途径识别包括分析危险物质特性及可能的环境风险类型，识别危险物质影响环境的途径，分析可能影响的环境敏感目标。 </w:t>
      </w:r>
    </w:p>
    <w:p w14:paraId="57A31AB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本项目存在的主要环境风险物质为柴油和废机油，在车辆运输过程中，有可能遇到或发生交通事故，造成油料泄漏甚至造成火灾、爆炸事故，从而污染周围生态环境和环境质量。</w:t>
      </w:r>
    </w:p>
    <w:p w14:paraId="2C61505F">
      <w:pPr>
        <w:pStyle w:val="4"/>
        <w:bidi w:val="0"/>
        <w:rPr>
          <w:rFonts w:hint="default" w:ascii="Times New Roman" w:hAnsi="Times New Roman" w:cs="Times New Roman"/>
          <w:color w:val="auto"/>
          <w:u w:val="none" w:color="auto"/>
        </w:rPr>
      </w:pPr>
      <w:bookmarkStart w:id="314" w:name="_Toc21779"/>
      <w:r>
        <w:rPr>
          <w:rFonts w:hint="default" w:ascii="Times New Roman" w:hAnsi="Times New Roman" w:cs="Times New Roman"/>
          <w:color w:val="auto"/>
          <w:u w:val="none" w:color="auto"/>
        </w:rPr>
        <w:t>环境风险分析</w:t>
      </w:r>
      <w:bookmarkEnd w:id="314"/>
    </w:p>
    <w:p w14:paraId="29F5870E">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施工期风险分析</w:t>
      </w:r>
    </w:p>
    <w:p w14:paraId="35DA4BB1">
      <w:pPr>
        <w:keepNext w:val="0"/>
        <w:keepLines w:val="0"/>
        <w:pageBreakBefore w:val="0"/>
        <w:widowControl w:val="0"/>
        <w:overflowPunct/>
        <w:autoSpaceDE/>
        <w:autoSpaceDN/>
        <w:bidi w:val="0"/>
        <w:snapToGrid/>
        <w:spacing w:line="360" w:lineRule="auto"/>
        <w:ind w:left="0" w:right="0" w:firstLine="481"/>
        <w:textAlignment w:val="auto"/>
        <w:rPr>
          <w:rFonts w:hint="eastAsia" w:ascii="Times New Roman" w:hAnsi="Times New Roman" w:eastAsia="宋体" w:cs="Times New Roman"/>
          <w:b/>
          <w:bCs/>
          <w:color w:val="auto"/>
          <w:spacing w:val="0"/>
          <w:w w:val="100"/>
          <w:position w:val="0"/>
          <w:sz w:val="24"/>
          <w:szCs w:val="24"/>
          <w:u w:val="none" w:color="auto"/>
          <w:lang w:val="en-US" w:eastAsia="zh-CN"/>
        </w:rPr>
      </w:pPr>
      <w:r>
        <w:rPr>
          <w:rFonts w:hint="eastAsia" w:ascii="Times New Roman" w:hAnsi="Times New Roman" w:eastAsia="宋体" w:cs="Times New Roman"/>
          <w:b/>
          <w:bCs/>
          <w:color w:val="auto"/>
          <w:spacing w:val="0"/>
          <w:w w:val="100"/>
          <w:position w:val="0"/>
          <w:sz w:val="24"/>
          <w:szCs w:val="24"/>
          <w:u w:val="none" w:color="auto"/>
          <w:lang w:val="en-US" w:eastAsia="zh-CN"/>
        </w:rPr>
        <w:t>1、溢油污染事故</w:t>
      </w:r>
    </w:p>
    <w:p w14:paraId="49051E67">
      <w:pPr>
        <w:keepNext w:val="0"/>
        <w:keepLines w:val="0"/>
        <w:pageBreakBefore w:val="0"/>
        <w:widowControl w:val="0"/>
        <w:overflowPunct/>
        <w:autoSpaceDE/>
        <w:autoSpaceDN/>
        <w:bidi w:val="0"/>
        <w:snapToGrid/>
        <w:spacing w:line="360" w:lineRule="auto"/>
        <w:ind w:left="0" w:right="0" w:firstLine="481"/>
        <w:textAlignment w:val="auto"/>
        <w:rPr>
          <w:rFonts w:hint="eastAsia" w:ascii="Times New Roman" w:hAnsi="Times New Roman" w:eastAsia="宋体" w:cs="Times New Roman"/>
          <w:color w:val="auto"/>
          <w:spacing w:val="0"/>
          <w:w w:val="100"/>
          <w:position w:val="0"/>
          <w:sz w:val="24"/>
          <w:szCs w:val="24"/>
          <w:u w:val="none" w:color="auto"/>
          <w:lang w:eastAsia="zh-CN"/>
        </w:rPr>
      </w:pPr>
      <w:r>
        <w:rPr>
          <w:rFonts w:hint="eastAsia" w:ascii="Times New Roman" w:hAnsi="Times New Roman" w:eastAsia="宋体" w:cs="Times New Roman"/>
          <w:color w:val="auto"/>
          <w:spacing w:val="0"/>
          <w:w w:val="10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1</w:t>
      </w:r>
      <w:r>
        <w:rPr>
          <w:rFonts w:hint="eastAsia" w:ascii="Times New Roman" w:hAnsi="Times New Roman" w:eastAsia="宋体" w:cs="Times New Roman"/>
          <w:color w:val="auto"/>
          <w:spacing w:val="0"/>
          <w:w w:val="100"/>
          <w:position w:val="0"/>
          <w:sz w:val="24"/>
          <w:szCs w:val="24"/>
          <w:u w:val="none" w:color="auto"/>
          <w:lang w:eastAsia="zh-CN"/>
        </w:rPr>
        <w:t>）泄漏风险分析</w:t>
      </w:r>
    </w:p>
    <w:p w14:paraId="53F72C64">
      <w:pPr>
        <w:keepNext w:val="0"/>
        <w:keepLines w:val="0"/>
        <w:pageBreakBefore w:val="0"/>
        <w:widowControl w:val="0"/>
        <w:overflowPunct/>
        <w:autoSpaceDE/>
        <w:autoSpaceDN/>
        <w:bidi w:val="0"/>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项目施工机械、车辆包括反铲挖掘机、推土机、自卸汽车等，施工机械在施工作业及行进过程中，一旦发生溢油污染事故，将对一定范围内的水域造成污染，还可能污染水库，对库区内的水生生物和以水库为用水的农业灌溉和生活用水影响较大。</w:t>
      </w:r>
      <w:r>
        <w:rPr>
          <w:rFonts w:hint="eastAsia" w:ascii="Times New Roman" w:hAnsi="Times New Roman" w:eastAsia="宋体" w:cs="Times New Roman"/>
          <w:color w:val="auto"/>
          <w:spacing w:val="0"/>
          <w:w w:val="100"/>
          <w:position w:val="0"/>
          <w:sz w:val="24"/>
          <w:szCs w:val="24"/>
          <w:u w:val="none" w:color="auto"/>
          <w:lang w:val="en-US" w:eastAsia="zh-CN"/>
        </w:rPr>
        <w:t xml:space="preserve">本项目废油属于危险废物，如若在储运过程中发生泄漏，可能污染北汊水库水体或周围土壤、地下水环境。 </w:t>
      </w:r>
    </w:p>
    <w:p w14:paraId="68E92D60">
      <w:pPr>
        <w:keepNext w:val="0"/>
        <w:keepLines w:val="0"/>
        <w:pageBreakBefore w:val="0"/>
        <w:widowControl w:val="0"/>
        <w:overflowPunct/>
        <w:autoSpaceDE/>
        <w:autoSpaceDN/>
        <w:bidi w:val="0"/>
        <w:snapToGrid/>
        <w:spacing w:line="360" w:lineRule="auto"/>
        <w:ind w:left="0" w:right="0" w:firstLine="481"/>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以油</w:t>
      </w:r>
      <w:r>
        <w:rPr>
          <w:rFonts w:hint="eastAsia" w:ascii="Times New Roman" w:hAnsi="Times New Roman" w:eastAsia="宋体" w:cs="Times New Roman"/>
          <w:color w:val="auto"/>
          <w:spacing w:val="0"/>
          <w:w w:val="100"/>
          <w:position w:val="0"/>
          <w:sz w:val="24"/>
          <w:szCs w:val="24"/>
          <w:u w:val="none" w:color="auto"/>
          <w:lang w:eastAsia="zh-CN"/>
        </w:rPr>
        <w:t>类</w:t>
      </w:r>
      <w:r>
        <w:rPr>
          <w:rFonts w:hint="default" w:ascii="Times New Roman" w:hAnsi="Times New Roman" w:eastAsia="宋体" w:cs="Times New Roman"/>
          <w:color w:val="auto"/>
          <w:spacing w:val="0"/>
          <w:w w:val="100"/>
          <w:position w:val="0"/>
          <w:sz w:val="24"/>
          <w:szCs w:val="24"/>
          <w:u w:val="none" w:color="auto"/>
        </w:rPr>
        <w:t>污染为例，其危害是由石油的化学成分、特性及其在库区内的存在形式决定。在油</w:t>
      </w:r>
      <w:r>
        <w:rPr>
          <w:rFonts w:hint="eastAsia" w:ascii="Times New Roman" w:hAnsi="Times New Roman" w:eastAsia="宋体" w:cs="Times New Roman"/>
          <w:color w:val="auto"/>
          <w:spacing w:val="0"/>
          <w:w w:val="100"/>
          <w:position w:val="0"/>
          <w:sz w:val="24"/>
          <w:szCs w:val="24"/>
          <w:u w:val="none" w:color="auto"/>
          <w:lang w:eastAsia="zh-CN"/>
        </w:rPr>
        <w:t>类</w:t>
      </w:r>
      <w:r>
        <w:rPr>
          <w:rFonts w:hint="default" w:ascii="Times New Roman" w:hAnsi="Times New Roman" w:eastAsia="宋体" w:cs="Times New Roman"/>
          <w:color w:val="auto"/>
          <w:spacing w:val="0"/>
          <w:w w:val="100"/>
          <w:position w:val="0"/>
          <w:sz w:val="24"/>
          <w:szCs w:val="24"/>
          <w:u w:val="none" w:color="auto"/>
        </w:rPr>
        <w:t>不同组分中，低沸点的芳香烃对一切生物均有毒性，而高沸点的芳香烃则是长效毒性，会对水生生物生命构成威胁，甚至死亡。</w:t>
      </w:r>
    </w:p>
    <w:p w14:paraId="40793BB4">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地表水</w:t>
      </w:r>
      <w:r>
        <w:rPr>
          <w:rFonts w:hint="default" w:ascii="Times New Roman" w:hAnsi="Times New Roman" w:eastAsia="宋体" w:cs="Times New Roman"/>
          <w:caps w:val="0"/>
          <w:smallCaps w:val="0"/>
          <w:color w:val="auto"/>
          <w:spacing w:val="0"/>
          <w:w w:val="100"/>
          <w:kern w:val="0"/>
          <w:position w:val="0"/>
          <w:sz w:val="24"/>
          <w:szCs w:val="24"/>
          <w:u w:val="none" w:color="auto"/>
        </w:rPr>
        <w:t>的影响</w:t>
      </w:r>
    </w:p>
    <w:p w14:paraId="654B7997">
      <w:pPr>
        <w:keepNext w:val="0"/>
        <w:keepLines w:val="0"/>
        <w:pageBreakBefore w:val="0"/>
        <w:widowControl w:val="0"/>
        <w:overflowPunct/>
        <w:autoSpaceDE/>
        <w:autoSpaceDN/>
        <w:bidi w:val="0"/>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石油类污染物大多数都不溶于水，在水表面随流和风漂流扩散。溢油油膜初期受重力作用在水表面扩展，然后油膜随水流和风漂移扩散，再其后发生蒸发、乳化和生物作用而衰减。其中初期阶段随水流和风漂移扩散对水域环境影响较为明显，</w:t>
      </w:r>
      <w:r>
        <w:rPr>
          <w:rFonts w:hint="eastAsia" w:ascii="Times New Roman" w:hAnsi="Times New Roman" w:eastAsia="宋体" w:cs="Times New Roman"/>
          <w:color w:val="auto"/>
          <w:spacing w:val="0"/>
          <w:w w:val="100"/>
          <w:position w:val="0"/>
          <w:sz w:val="24"/>
          <w:szCs w:val="24"/>
          <w:u w:val="none" w:color="auto"/>
          <w:lang w:eastAsia="zh-CN"/>
        </w:rPr>
        <w:t>北汊水库</w:t>
      </w:r>
      <w:r>
        <w:rPr>
          <w:rFonts w:hint="default" w:ascii="Times New Roman" w:hAnsi="Times New Roman" w:eastAsia="宋体" w:cs="Times New Roman"/>
          <w:color w:val="auto"/>
          <w:spacing w:val="0"/>
          <w:w w:val="100"/>
          <w:position w:val="0"/>
          <w:sz w:val="24"/>
          <w:szCs w:val="24"/>
          <w:u w:val="none" w:color="auto"/>
        </w:rPr>
        <w:t>水流流速缓慢，工程区域夏季盛吹东南季风，冬季则以东北季风为主，油膜漂移方向随风向外扩展，会对扩展范围内水质和鱼类等造成影响。</w:t>
      </w:r>
    </w:p>
    <w:p w14:paraId="4A47DEC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2）对</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水生生物</w:t>
      </w:r>
      <w:r>
        <w:rPr>
          <w:rFonts w:hint="default" w:ascii="Times New Roman" w:hAnsi="Times New Roman" w:eastAsia="宋体" w:cs="Times New Roman"/>
          <w:caps w:val="0"/>
          <w:smallCaps w:val="0"/>
          <w:color w:val="auto"/>
          <w:spacing w:val="0"/>
          <w:w w:val="100"/>
          <w:kern w:val="0"/>
          <w:position w:val="0"/>
          <w:sz w:val="24"/>
          <w:szCs w:val="24"/>
          <w:u w:val="none" w:color="auto"/>
        </w:rPr>
        <w:t>的影响</w:t>
      </w:r>
    </w:p>
    <w:p w14:paraId="26CB6C7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相关研究数据表明</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石油类</w:t>
      </w:r>
      <w:r>
        <w:rPr>
          <w:rFonts w:hint="default" w:ascii="Times New Roman" w:hAnsi="Times New Roman" w:eastAsia="宋体" w:cs="Times New Roman"/>
          <w:caps w:val="0"/>
          <w:smallCaps w:val="0"/>
          <w:color w:val="auto"/>
          <w:spacing w:val="0"/>
          <w:w w:val="100"/>
          <w:kern w:val="0"/>
          <w:position w:val="0"/>
          <w:sz w:val="24"/>
          <w:szCs w:val="24"/>
          <w:u w:val="none" w:color="auto"/>
        </w:rPr>
        <w:t>污染带瞬时高浓度排放（即事故性排放）可导致急性中毒死鱼事故，同时石油类在鱼体中积累和残留可引起鱼类慢性中毒而带来长效应的污染影响，这种影响不仅可随鱼类资源的变动，甚至会引起鱼类种质变异。鱼类一旦与油分子接触就会在短时间内发生油臭，从而影响其食用价值。以20号燃料油为例，石油类浓度0.01mg/L时，7天之内就能对大部分的鱼、虾产生油味，30天内会使绝大多数鱼类产生异味。</w:t>
      </w:r>
    </w:p>
    <w:p w14:paraId="0416B4EC">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实验证明石油会破坏浮游植物细胞，损坏叶绿素及干扰气体交换，从而妨碍它们的光合作用。这种破坏作用程度是取决于石油的类型、浓度及浮游植物的类型。国内外许多毒性实验结果表明，作为鱼、虾类饵料基础的浮游植物，对各类油类的耐受能力都很低。一般浮游植物石油急性中毒致死浓度为0.1～10.0mg/L，一般为1.0～3.6mg/L，对于更敏感的种类，油浓度低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0.1</w:t>
      </w:r>
      <w:r>
        <w:rPr>
          <w:rFonts w:hint="default" w:ascii="Times New Roman" w:hAnsi="Times New Roman" w:eastAsia="宋体" w:cs="Times New Roman"/>
          <w:caps w:val="0"/>
          <w:smallCaps w:val="0"/>
          <w:color w:val="auto"/>
          <w:spacing w:val="0"/>
          <w:w w:val="100"/>
          <w:kern w:val="0"/>
          <w:position w:val="0"/>
          <w:sz w:val="24"/>
          <w:szCs w:val="24"/>
          <w:u w:val="none" w:color="auto"/>
        </w:rPr>
        <w:t>mg/L时，也会妨碍细胞的分裂和生长的速率。</w:t>
      </w:r>
    </w:p>
    <w:p w14:paraId="49B04BE4">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浮游动物石油急性中毒致死浓度范围一般为0.1～15.0mg/L，而且不同浓度的石油类环境对橈足幼体的影响实验表明，永久性浮游动物幼体的敏感性大于阶段性，而它们各的幼体的敏感性又大于成体。</w:t>
      </w:r>
    </w:p>
    <w:p w14:paraId="6D663BC2">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综上所述，库区施工过程一旦发生溢油事故，</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综上所述，库区施工过程一旦发生溢油事故，污染因子石油类将会破坏水库生态平衡，造成水源地水质恶化，故必须严格落实各项风险防范措施和事故应急预案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，以避免溢油事故对周边环境</w:t>
      </w:r>
      <w:r>
        <w:rPr>
          <w:rFonts w:hint="default" w:ascii="Times New Roman" w:hAnsi="Times New Roman" w:eastAsia="宋体" w:cs="Times New Roman"/>
          <w:caps w:val="0"/>
          <w:smallCaps w:val="0"/>
          <w:color w:val="auto"/>
          <w:spacing w:val="0"/>
          <w:w w:val="100"/>
          <w:kern w:val="0"/>
          <w:position w:val="0"/>
          <w:sz w:val="24"/>
          <w:szCs w:val="24"/>
          <w:u w:val="none" w:color="auto"/>
        </w:rPr>
        <w:t>的影响。</w:t>
      </w:r>
    </w:p>
    <w:p w14:paraId="2552752D">
      <w:pPr>
        <w:pageBreakBefore w:val="0"/>
        <w:kinsoku w:val="0"/>
        <w:wordWrap w:val="0"/>
        <w:overflowPunct/>
        <w:topLinePunct/>
        <w:autoSpaceDE/>
        <w:autoSpaceDN/>
        <w:bidi w:val="0"/>
        <w:adjustRightInd w:val="0"/>
        <w:spacing w:line="360" w:lineRule="auto"/>
        <w:ind w:firstLine="480" w:firstLineChars="200"/>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）火灾、爆炸次生污染事故风险分析</w:t>
      </w:r>
    </w:p>
    <w:p w14:paraId="51A95B7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本项目柴油、废机油泄漏，易引发火灾、爆炸；如发生交通事故也可能引起火灾、爆炸事故，次生污染物会影响周围大气环境。</w:t>
      </w:r>
    </w:p>
    <w:p w14:paraId="05439252">
      <w:pPr>
        <w:pageBreakBefore w:val="0"/>
        <w:kinsoku w:val="0"/>
        <w:wordWrap w:val="0"/>
        <w:overflowPunct/>
        <w:topLinePunct/>
        <w:autoSpaceDE/>
        <w:autoSpaceDN/>
        <w:bidi w:val="0"/>
        <w:adjustRightInd w:val="0"/>
        <w:spacing w:line="500" w:lineRule="exact"/>
        <w:ind w:firstLine="482" w:firstLineChars="200"/>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 xml:space="preserve">2、废水事故排放 </w:t>
      </w:r>
    </w:p>
    <w:p w14:paraId="11FA24A1">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若工程施工时，未按环保措施要求施工，没有及时采取相应拦挡等措施防护，产生的施工废污水不慎进入水库将对附近水体水质产生不利影响；如若本项目废水处理设施出现破裂或设备故障，导致废污水未经处理或处理不达标外排，将影响周围环境质量。</w:t>
      </w:r>
    </w:p>
    <w:p w14:paraId="04146CAA">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营运期风险分析</w:t>
      </w:r>
    </w:p>
    <w:p w14:paraId="11E2F93A">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本次除险加固工程完工后，运行期环境风险主要为溢油污染事故。 </w:t>
      </w:r>
    </w:p>
    <w:p w14:paraId="25C163EE">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北汊水库及其上游修建了乡村公路及防汛公路，通行的车辆主要为农户的三轮车和小轿车。北汊水库风险源突发环境事件主要为车辆发生交通事故时，导致自身汽油或柴油泄漏、农药和化肥泄漏，其具体后果分析如下： </w:t>
      </w:r>
    </w:p>
    <w:p w14:paraId="26320B1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）环境风险物质泄漏未进入水体 </w:t>
      </w:r>
    </w:p>
    <w:p w14:paraId="0FB05D14">
      <w:pPr>
        <w:pageBreakBefore w:val="0"/>
        <w:kinsoku w:val="0"/>
        <w:wordWrap w:val="0"/>
        <w:overflowPunct/>
        <w:topLinePunct/>
        <w:autoSpaceDE/>
        <w:autoSpaceDN/>
        <w:bidi w:val="0"/>
        <w:adjustRightInd w:val="0"/>
        <w:spacing w:line="360" w:lineRule="auto"/>
        <w:ind w:firstLine="480" w:firstLineChars="200"/>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因交通事故导致交通工具自身的汽油、柴油泄漏，运输物资农药和化肥泄漏或其他有害物质，泄漏物未进入水体时，主要污染范围控制在事故发生地周边的路面及土壤，发生事故后，及时收集泄漏物以及被污染的土壤即可。  </w:t>
      </w:r>
    </w:p>
    <w:p w14:paraId="3686E98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）环境风险物质泄漏进入水体 </w:t>
      </w:r>
    </w:p>
    <w:p w14:paraId="49E341C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陆路交通工具发生交通事故，导致自身的汽油或柴油发生泄漏进入水体，将影响北汊水库水质及其水生生物。环水库道路发生交通事故导致汽油或柴油进入水体后，影响面积较广，故发生此类突发环境事件，立即采取措施，对泄漏的污染物进行拦截、吸附，防止污染面的进一步扩大。</w:t>
      </w:r>
    </w:p>
    <w:p w14:paraId="309076C5">
      <w:pPr>
        <w:pStyle w:val="4"/>
        <w:bidi w:val="0"/>
        <w:rPr>
          <w:rFonts w:hint="default" w:ascii="Times New Roman" w:hAnsi="Times New Roman" w:cs="Times New Roman"/>
          <w:color w:val="auto"/>
          <w:u w:val="none" w:color="auto"/>
        </w:rPr>
      </w:pPr>
      <w:bookmarkStart w:id="315" w:name="_Toc25175"/>
      <w:r>
        <w:rPr>
          <w:rFonts w:hint="default" w:ascii="Times New Roman" w:hAnsi="Times New Roman" w:cs="Times New Roman"/>
          <w:color w:val="auto"/>
          <w:u w:val="none" w:color="auto"/>
        </w:rPr>
        <w:t>风险防范措施</w:t>
      </w:r>
      <w:bookmarkEnd w:id="315"/>
    </w:p>
    <w:p w14:paraId="3F49BA7E">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施工期风险防范措施</w:t>
      </w:r>
    </w:p>
    <w:p w14:paraId="2D970D7A">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（1）合理安排施工作业面，减少各类施工车辆、机械碰撞几率，加强机械设备的检修维护。</w:t>
      </w:r>
    </w:p>
    <w:p w14:paraId="4F9436F3">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（2）工程施工前与防汛、气象等部门沟通，研究划定施工界限，获得施工许可；未经同意，不得擅自开工；加强施工质量和进度管理，严格按照既定的施工要求和施工进度进行施工，尽量避免雨季及汛期施工。</w:t>
      </w:r>
    </w:p>
    <w:p w14:paraId="77368D08">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（3）加强对施工机械设备操作人员和车辆驾驶人员的技术培训，提高施工人员的安全意识和环境保护意识，严格操作规程，避免人为操作失当引起溢油事故发生。</w:t>
      </w:r>
    </w:p>
    <w:p w14:paraId="0CAE2A17">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（4）建立防汛应急预案，施工期间如遇恶劣天气必须将工程车辆、机械及时撤离，保证设备及库区水质安全。</w:t>
      </w:r>
    </w:p>
    <w:p w14:paraId="22676E89">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（5）制定施工期溢油事故应急预案，预案应包括应急事故机构、应急救援队伍、应急设施及物质配备、应急报警系统、应急处理措施、应急培训计划等内容；施工场所张贴应急报警电话。</w:t>
      </w:r>
    </w:p>
    <w:p w14:paraId="299E0150">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（6）</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施工场地须配备一定的应急设备，如围油设备、消防设备（消油剂及喷洒装置）、收油设备（吸油毡）等。同时，建立应急救援队伍。当发生重大溢油事故时，本区内的应急队伍和设备不能满足应急反应需要时，应迅速请求上级部门支援。</w:t>
      </w:r>
    </w:p>
    <w:p w14:paraId="43DD5732">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营运期风险防范措施</w:t>
      </w:r>
    </w:p>
    <w:p w14:paraId="195C80DF">
      <w:pPr>
        <w:keepNext w:val="0"/>
        <w:keepLines w:val="0"/>
        <w:pageBreakBefore w:val="0"/>
        <w:widowControl w:val="0"/>
        <w:overflowPunct/>
        <w:autoSpaceDE/>
        <w:autoSpaceDN/>
        <w:bidi w:val="0"/>
        <w:snapToGrid/>
        <w:spacing w:line="360" w:lineRule="auto"/>
        <w:ind w:left="0" w:right="0" w:firstLine="486"/>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针对水质风险的特点，必须有针对性的设立长期水质、水量监测断面，做好运行期水质监测和水质预警预报系统。定期监测、定期发布水质监测信息。重视有毒、有害污染物的控制，</w:t>
      </w:r>
      <w:r>
        <w:rPr>
          <w:rFonts w:hint="eastAsia" w:ascii="Times New Roman" w:hAnsi="Times New Roman" w:eastAsia="宋体" w:cs="Times New Roman"/>
          <w:color w:val="auto"/>
          <w:spacing w:val="0"/>
          <w:w w:val="100"/>
          <w:position w:val="0"/>
          <w:sz w:val="24"/>
          <w:szCs w:val="24"/>
          <w:u w:val="none" w:color="auto"/>
          <w:lang w:eastAsia="zh-CN"/>
        </w:rPr>
        <w:t>加强</w:t>
      </w:r>
      <w:r>
        <w:rPr>
          <w:rFonts w:hint="default" w:ascii="Times New Roman" w:hAnsi="Times New Roman" w:eastAsia="宋体" w:cs="Times New Roman"/>
          <w:color w:val="auto"/>
          <w:spacing w:val="0"/>
          <w:w w:val="100"/>
          <w:position w:val="0"/>
          <w:sz w:val="24"/>
          <w:szCs w:val="24"/>
          <w:u w:val="none" w:color="auto"/>
        </w:rPr>
        <w:t>水质安全分析监测。</w:t>
      </w:r>
      <w:r>
        <w:rPr>
          <w:rFonts w:hint="eastAsia" w:ascii="Times New Roman" w:hAnsi="Times New Roman" w:eastAsia="宋体" w:cs="Times New Roman"/>
          <w:color w:val="auto"/>
          <w:spacing w:val="0"/>
          <w:w w:val="100"/>
          <w:position w:val="0"/>
          <w:sz w:val="24"/>
          <w:szCs w:val="24"/>
          <w:u w:val="none" w:color="auto"/>
          <w:lang w:eastAsia="zh-CN"/>
        </w:rPr>
        <w:t>同时</w:t>
      </w:r>
      <w:r>
        <w:rPr>
          <w:rFonts w:hint="default" w:ascii="Times New Roman" w:hAnsi="Times New Roman" w:eastAsia="宋体" w:cs="Times New Roman"/>
          <w:color w:val="auto"/>
          <w:spacing w:val="0"/>
          <w:w w:val="100"/>
          <w:position w:val="0"/>
          <w:sz w:val="24"/>
          <w:szCs w:val="24"/>
          <w:u w:val="none" w:color="auto"/>
        </w:rPr>
        <w:t>制定应急预案，明确救援队伍、应急物资和专家技术支持等，从而使突发事故带来的危害降到最低。</w:t>
      </w:r>
    </w:p>
    <w:p w14:paraId="3D01C7FC">
      <w:pPr>
        <w:pStyle w:val="4"/>
        <w:bidi w:val="0"/>
        <w:rPr>
          <w:rFonts w:hint="default" w:ascii="Times New Roman" w:hAnsi="Times New Roman" w:cs="Times New Roman"/>
          <w:color w:val="auto"/>
          <w:u w:val="none" w:color="auto"/>
        </w:rPr>
      </w:pPr>
      <w:bookmarkStart w:id="316" w:name="_Toc9537"/>
      <w:r>
        <w:rPr>
          <w:rFonts w:hint="default" w:ascii="Times New Roman" w:hAnsi="Times New Roman" w:cs="Times New Roman"/>
          <w:color w:val="auto"/>
          <w:u w:val="none" w:color="auto"/>
        </w:rPr>
        <w:t>环境风险应急预案</w:t>
      </w:r>
      <w:bookmarkEnd w:id="316"/>
    </w:p>
    <w:p w14:paraId="12A868AB">
      <w:pPr>
        <w:pageBreakBefore w:val="0"/>
        <w:kinsoku w:val="0"/>
        <w:wordWrap w:val="0"/>
        <w:overflowPunct/>
        <w:topLinePunct/>
        <w:autoSpaceDE/>
        <w:autoSpaceDN/>
        <w:bidi w:val="0"/>
        <w:spacing w:line="500" w:lineRule="exact"/>
        <w:ind w:firstLine="480" w:firstLineChars="200"/>
        <w:rPr>
          <w:rFonts w:hint="eastAsia"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）建设单位应成立应急领导小组，编制详尽的应急计划，统一应急行动，明确应急责任人和有关部门的职责，确保在最短的时间将事故控制，以减少对环境的破坏； </w:t>
      </w:r>
    </w:p>
    <w:p w14:paraId="56109233">
      <w:pPr>
        <w:pageBreakBefore w:val="0"/>
        <w:kinsoku w:val="0"/>
        <w:wordWrap w:val="0"/>
        <w:overflowPunct/>
        <w:topLinePunct/>
        <w:autoSpaceDE/>
        <w:autoSpaceDN/>
        <w:bidi w:val="0"/>
        <w:spacing w:line="500" w:lineRule="exact"/>
        <w:ind w:firstLine="480" w:firstLineChars="200"/>
        <w:rPr>
          <w:rFonts w:hint="eastAsia"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）应急培训计划：对相关应急人员应进行事故事故应急培训，使其具有相应的环保知识和应急事故处理的能力；定期进行相应的演练工作，主要是事故一旦发生后的应急救援工作； </w:t>
      </w:r>
    </w:p>
    <w:p w14:paraId="354FA21E">
      <w:pPr>
        <w:pageBreakBefore w:val="0"/>
        <w:kinsoku w:val="0"/>
        <w:wordWrap w:val="0"/>
        <w:overflowPunct/>
        <w:topLinePunct/>
        <w:autoSpaceDE/>
        <w:autoSpaceDN/>
        <w:bidi w:val="0"/>
        <w:spacing w:line="500" w:lineRule="exact"/>
        <w:ind w:firstLine="480" w:firstLineChars="200"/>
        <w:rPr>
          <w:rFonts w:hint="eastAsia"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）应急环境监测、抢险、救援及控制措施：委托相关资质单位对事故现场周围水质进行监测，对事故性质、参数与后果进行评估，为指挥部门提供决策依据； </w:t>
      </w:r>
    </w:p>
    <w:p w14:paraId="0D2F6B72">
      <w:pPr>
        <w:pageBreakBefore w:val="0"/>
        <w:kinsoku w:val="0"/>
        <w:wordWrap w:val="0"/>
        <w:overflowPunct/>
        <w:topLinePunct/>
        <w:autoSpaceDE/>
        <w:autoSpaceDN/>
        <w:bidi w:val="0"/>
        <w:spacing w:line="500" w:lineRule="exact"/>
        <w:ind w:firstLine="480" w:firstLineChars="200"/>
        <w:rPr>
          <w:rFonts w:hint="eastAsia"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4</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）人员紧急撤离、疏散、应急剂量控制、撤离组织计划：在事故现场，由领导小组领导，其他各个协调管理机构对现场进行处理，本项目建设单位主要进行协调和沟通工作，并负责工作的汇报； </w:t>
      </w:r>
    </w:p>
    <w:p w14:paraId="2F28189C">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5</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）事故应急救援关闭程序与恢复措施：现场处理完毕后，跟踪监测水质状况，并进行总结，汇报。 </w:t>
      </w:r>
    </w:p>
    <w:p w14:paraId="068D03B0">
      <w:pPr>
        <w:pStyle w:val="4"/>
        <w:bidi w:val="0"/>
        <w:rPr>
          <w:rFonts w:hint="default" w:ascii="Times New Roman" w:hAnsi="Times New Roman" w:cs="Times New Roman"/>
          <w:color w:val="auto"/>
          <w:u w:val="none" w:color="auto"/>
        </w:rPr>
      </w:pPr>
      <w:bookmarkStart w:id="317" w:name="_Toc32467"/>
      <w:r>
        <w:rPr>
          <w:rFonts w:hint="default" w:ascii="Times New Roman" w:hAnsi="Times New Roman" w:cs="Times New Roman"/>
          <w:color w:val="auto"/>
          <w:u w:val="none" w:color="auto"/>
        </w:rPr>
        <w:t>小结</w:t>
      </w:r>
      <w:bookmarkEnd w:id="317"/>
    </w:p>
    <w:p w14:paraId="291A3F41">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本项目风险物质主要为柴油、废机油，环境风险潜势为Ⅰ。本工程根据工程施工及运行特点、周围环境特点以及工程与周围环境之间的关系，施工期主要的环境风险为溢油污染风险、废水事故性排放、危险废物泄漏和火灾、爆炸次生污染事故；运行期主要的环境风险为溢油污染事故。经过风险分析和评价得出结论：项目事故风险水平较低，在进一步采取安全防范措施和事故应急措施后，基本满足国家有关环境保护和安全法规、标准的要求。 </w:t>
      </w:r>
    </w:p>
    <w:p w14:paraId="13199D54">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建设单位需按照要求制定相应的环境风险事故防范措施和事故应急预案，当发生风险事故时立即启动事故应急预案，确保事故不扩大，不会对周边环境造成较大危害。在严格采取安全防护和风险防范措施的条件下，保障工程安全施工、安全运行，风险处于环境可接受的水平。</w:t>
      </w:r>
    </w:p>
    <w:p w14:paraId="5CEA1FC2">
      <w:pPr>
        <w:keepNext w:val="0"/>
        <w:keepLines w:val="0"/>
        <w:pageBreakBefore w:val="0"/>
        <w:widowControl w:val="0"/>
        <w:kinsoku w:val="0"/>
        <w:wordWrap w:val="0"/>
        <w:overflowPunct/>
        <w:topLinePunct/>
        <w:autoSpaceDE/>
        <w:autoSpaceDN/>
        <w:bidi w:val="0"/>
        <w:adjustRightInd w:val="0"/>
        <w:snapToGrid/>
        <w:spacing w:line="360" w:lineRule="auto"/>
        <w:textAlignment w:val="auto"/>
        <w:rPr>
          <w:rFonts w:hint="default" w:ascii="Times New Roman" w:hAnsi="Times New Roman" w:eastAsia="宋体" w:cs="Times New Roman"/>
          <w:caps w:val="0"/>
          <w:smallCaps w:val="0"/>
          <w:color w:val="auto"/>
          <w:spacing w:val="0"/>
          <w:w w:val="100"/>
          <w:position w:val="0"/>
          <w:sz w:val="24"/>
          <w:szCs w:val="24"/>
          <w:u w:val="none" w:color="auto"/>
        </w:rPr>
        <w:sectPr>
          <w:headerReference r:id="rId13" w:type="default"/>
          <w:footerReference r:id="rId14" w:type="default"/>
          <w:pgSz w:w="11906" w:h="16838"/>
          <w:pgMar w:top="1440" w:right="1803" w:bottom="1440" w:left="1803"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75808CED">
      <w:pPr>
        <w:pStyle w:val="2"/>
        <w:bidi w:val="0"/>
        <w:rPr>
          <w:rFonts w:hint="default" w:ascii="Times New Roman" w:hAnsi="Times New Roman" w:cs="Times New Roman"/>
          <w:u w:val="none" w:color="auto"/>
        </w:rPr>
      </w:pPr>
      <w:bookmarkStart w:id="318" w:name="_Toc9186"/>
      <w:r>
        <w:rPr>
          <w:rFonts w:hint="default" w:ascii="Times New Roman" w:hAnsi="Times New Roman" w:cs="Times New Roman"/>
          <w:u w:val="none" w:color="auto"/>
        </w:rPr>
        <w:t>环境保护措施及其可行性论证</w:t>
      </w:r>
      <w:bookmarkEnd w:id="318"/>
    </w:p>
    <w:p w14:paraId="2B55731E">
      <w:pPr>
        <w:pStyle w:val="3"/>
        <w:bidi w:val="0"/>
        <w:rPr>
          <w:rFonts w:hint="default" w:ascii="Times New Roman" w:hAnsi="Times New Roman" w:cs="Times New Roman"/>
          <w:u w:val="none" w:color="auto"/>
          <w:lang w:val="en-US" w:eastAsia="zh-CN"/>
        </w:rPr>
      </w:pPr>
      <w:bookmarkStart w:id="319" w:name="_Toc5462"/>
      <w:r>
        <w:rPr>
          <w:rFonts w:hint="default" w:ascii="Times New Roman" w:hAnsi="Times New Roman" w:cs="Times New Roman"/>
          <w:u w:val="none" w:color="auto"/>
          <w:lang w:val="en-US" w:eastAsia="zh-CN"/>
        </w:rPr>
        <w:t>施工期环境保护措施</w:t>
      </w:r>
      <w:bookmarkEnd w:id="319"/>
    </w:p>
    <w:p w14:paraId="60BE6705">
      <w:pPr>
        <w:pStyle w:val="4"/>
        <w:bidi w:val="0"/>
        <w:rPr>
          <w:rFonts w:hint="default" w:ascii="Times New Roman" w:hAnsi="Times New Roman" w:cs="Times New Roman"/>
          <w:u w:val="none" w:color="auto"/>
          <w:lang w:val="en-US" w:eastAsia="zh-CN"/>
        </w:rPr>
      </w:pPr>
      <w:bookmarkStart w:id="320" w:name="_Toc32068"/>
      <w:r>
        <w:rPr>
          <w:rFonts w:hint="default" w:ascii="Times New Roman" w:hAnsi="Times New Roman" w:cs="Times New Roman"/>
          <w:u w:val="none" w:color="auto"/>
          <w:lang w:val="en-US" w:eastAsia="zh-CN"/>
        </w:rPr>
        <w:t>施工期大气环境保护措施</w:t>
      </w:r>
      <w:bookmarkEnd w:id="320"/>
    </w:p>
    <w:p w14:paraId="7291D49B">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（1）施工区扬尘控制</w:t>
      </w:r>
    </w:p>
    <w:p w14:paraId="528EF3F6">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1）在局部时段对附近敏感目标扬尘影响较大的施工区周围设置连续的围挡，重要部位和主要路段围挡高度不低于2.5米，一般路段围挡高度不低于1.8米。围挡统一采用钢结构多孔面板式或者装配式夹芯板围挡。应在工地围挡上均匀设置给水管及水雾喷头，施工作业期间，可根据作业实际情况每天两次开启喷淋系统各进行30分钟以上喷淋降尘（雨天除外），特殊情况下按环保部门要求增加喷淋频次。</w:t>
      </w:r>
    </w:p>
    <w:p w14:paraId="5C5FD26B">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2）</w:t>
      </w:r>
      <w:r>
        <w:rPr>
          <w:rFonts w:hint="eastAsia" w:ascii="Times New Roman" w:hAnsi="Times New Roman" w:eastAsia="宋体" w:cs="Times New Roman"/>
          <w:color w:val="000000"/>
          <w:sz w:val="24"/>
          <w:u w:val="none" w:color="auto"/>
          <w:lang w:eastAsia="zh-CN"/>
        </w:rPr>
        <w:t>灰浆</w:t>
      </w:r>
      <w:r>
        <w:rPr>
          <w:rFonts w:hint="default" w:ascii="Times New Roman" w:hAnsi="Times New Roman" w:eastAsia="宋体" w:cs="Times New Roman"/>
          <w:color w:val="000000"/>
          <w:sz w:val="24"/>
          <w:u w:val="none" w:color="auto"/>
        </w:rPr>
        <w:t>拌和系统在</w:t>
      </w:r>
      <w:r>
        <w:rPr>
          <w:rFonts w:hint="eastAsia" w:ascii="Times New Roman" w:hAnsi="Times New Roman" w:eastAsia="宋体" w:cs="Times New Roman"/>
          <w:color w:val="000000"/>
          <w:sz w:val="24"/>
          <w:u w:val="none" w:color="auto"/>
          <w:lang w:val="en-US" w:eastAsia="zh-CN"/>
        </w:rPr>
        <w:t>搅拌机周边设置半封闭围挡，并增设喷雾除尘装置</w:t>
      </w:r>
      <w:r>
        <w:rPr>
          <w:rFonts w:hint="default" w:ascii="Times New Roman" w:hAnsi="Times New Roman" w:eastAsia="宋体" w:cs="Times New Roman"/>
          <w:color w:val="000000"/>
          <w:sz w:val="24"/>
          <w:u w:val="none" w:color="auto"/>
        </w:rPr>
        <w:t>。</w:t>
      </w:r>
    </w:p>
    <w:p w14:paraId="07CB4F0D">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3）在堆料场、渣场、土石方开挖、拆除作业区等多扬尘的施工作业面配备人员及洒水车等降尘设备进行定期洒水，在无雨日每天洒水3～5次，洒水面积需尽量覆盖所有干燥裸露面。</w:t>
      </w:r>
    </w:p>
    <w:p w14:paraId="552FE17A">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4）为避免施工</w:t>
      </w:r>
      <w:r>
        <w:rPr>
          <w:rFonts w:hint="eastAsia" w:ascii="Times New Roman" w:hAnsi="Times New Roman" w:eastAsia="宋体" w:cs="Times New Roman"/>
          <w:caps w:val="0"/>
          <w:smallCaps w:val="0"/>
          <w:sz w:val="24"/>
          <w:szCs w:val="21"/>
          <w:u w:val="none" w:color="auto"/>
          <w:lang w:val="en-US" w:eastAsia="zh-CN"/>
        </w:rPr>
        <w:t>临建设施区</w:t>
      </w:r>
      <w:r>
        <w:rPr>
          <w:rFonts w:hint="default" w:ascii="Times New Roman" w:hAnsi="Times New Roman" w:eastAsia="宋体" w:cs="Times New Roman"/>
          <w:color w:val="000000"/>
          <w:sz w:val="24"/>
          <w:u w:val="none" w:color="auto"/>
        </w:rPr>
        <w:t>和施工区在物料装卸、堆存以及场地内汽车行使等过程中会产生扬尘，需在场地内定期洒水，并加强洒水频率，在无雨日每天洒水3～5次，洒水面积需尽量覆盖所有干燥区域。</w:t>
      </w:r>
    </w:p>
    <w:p w14:paraId="1C66267A">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5）施工弃渣应及时清运至</w:t>
      </w:r>
      <w:r>
        <w:rPr>
          <w:rFonts w:hint="eastAsia" w:ascii="Times New Roman" w:hAnsi="Times New Roman" w:eastAsia="宋体" w:cs="Times New Roman"/>
          <w:color w:val="000000"/>
          <w:sz w:val="24"/>
          <w:u w:val="none" w:color="auto"/>
          <w:lang w:eastAsia="zh-CN"/>
        </w:rPr>
        <w:t>弃土场</w:t>
      </w:r>
      <w:r>
        <w:rPr>
          <w:rFonts w:hint="default" w:ascii="Times New Roman" w:hAnsi="Times New Roman" w:eastAsia="宋体" w:cs="Times New Roman"/>
          <w:color w:val="000000"/>
          <w:sz w:val="24"/>
          <w:u w:val="none" w:color="auto"/>
        </w:rPr>
        <w:t>处理，并及时做好</w:t>
      </w:r>
      <w:r>
        <w:rPr>
          <w:rFonts w:hint="eastAsia" w:ascii="Times New Roman" w:hAnsi="Times New Roman" w:eastAsia="宋体" w:cs="Times New Roman"/>
          <w:color w:val="000000"/>
          <w:sz w:val="24"/>
          <w:u w:val="none" w:color="auto"/>
          <w:lang w:eastAsia="zh-CN"/>
        </w:rPr>
        <w:t>弃土场</w:t>
      </w:r>
      <w:r>
        <w:rPr>
          <w:rFonts w:hint="default" w:ascii="Times New Roman" w:hAnsi="Times New Roman" w:eastAsia="宋体" w:cs="Times New Roman"/>
          <w:color w:val="000000"/>
          <w:sz w:val="24"/>
          <w:u w:val="none" w:color="auto"/>
        </w:rPr>
        <w:t>的水土保持措施。</w:t>
      </w:r>
    </w:p>
    <w:p w14:paraId="4CDAAE23">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6）物料堆积过程中，堆积边坡的角度不宜过大，</w:t>
      </w:r>
      <w:r>
        <w:rPr>
          <w:rFonts w:hint="eastAsia" w:ascii="Times New Roman" w:hAnsi="Times New Roman" w:eastAsia="宋体" w:cs="Times New Roman"/>
          <w:color w:val="000000"/>
          <w:sz w:val="24"/>
          <w:u w:val="none" w:color="auto"/>
          <w:lang w:eastAsia="zh-CN"/>
        </w:rPr>
        <w:t>弃土场</w:t>
      </w:r>
      <w:r>
        <w:rPr>
          <w:rFonts w:hint="default" w:ascii="Times New Roman" w:hAnsi="Times New Roman" w:eastAsia="宋体" w:cs="Times New Roman"/>
          <w:color w:val="000000"/>
          <w:sz w:val="24"/>
          <w:u w:val="none" w:color="auto"/>
        </w:rPr>
        <w:t>应及时夯实；晴朗多风天气应对露天临时堆放的土料适当加湿或表面覆盖，减少风力起尘量。</w:t>
      </w:r>
    </w:p>
    <w:p w14:paraId="526621B6">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（2）道路扬尘控制</w:t>
      </w:r>
    </w:p>
    <w:p w14:paraId="19A42205">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1）在施工道路区域设置限速标志，车速不得超过25km/h，以减少起尘量，防止车速过快产生扬尘污染大气环境。</w:t>
      </w:r>
    </w:p>
    <w:p w14:paraId="12C3A8E9">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2）在物资运输过程中注意防止扬尘污染。装载多尘物料时，应对物料适当加湿或用帆布覆盖，运送散装水泥车辆的储罐应保持良好密封状态，经常清洗运输车辆。运输车辆驶出施工区时，应对车辆轮胎、底盘等容易夹带泥土的部位进行冲洗。</w:t>
      </w:r>
    </w:p>
    <w:p w14:paraId="41310E9D">
      <w:pPr>
        <w:bidi w:val="0"/>
        <w:spacing w:line="360" w:lineRule="auto"/>
        <w:ind w:firstLine="480" w:firstLineChars="200"/>
        <w:rPr>
          <w:rFonts w:hint="default" w:ascii="Times New Roman" w:hAnsi="Times New Roman" w:eastAsia="宋体" w:cs="Times New Roman"/>
          <w:color w:val="000000"/>
          <w:sz w:val="24"/>
          <w:u w:val="none" w:color="auto"/>
        </w:rPr>
      </w:pPr>
      <w:r>
        <w:rPr>
          <w:rFonts w:hint="default" w:ascii="Times New Roman" w:hAnsi="Times New Roman" w:eastAsia="宋体" w:cs="Times New Roman"/>
          <w:color w:val="000000"/>
          <w:sz w:val="24"/>
          <w:u w:val="none" w:color="auto"/>
        </w:rPr>
        <w:t>3）施工阶段对汽车行驶路面勤清扫，可以较好地减少扬尘排放量。对施工道路进行洒水，在无雨日1天洒水3～5次，在干燥大风天气情况下洒水频率加密。</w:t>
      </w:r>
    </w:p>
    <w:p w14:paraId="2115BE8C">
      <w:pPr>
        <w:pStyle w:val="38"/>
        <w:spacing w:after="0" w:line="360" w:lineRule="auto"/>
        <w:ind w:left="0" w:leftChars="0" w:firstLine="480"/>
        <w:rPr>
          <w:rFonts w:hint="default" w:ascii="Times New Roman" w:hAnsi="Times New Roman" w:eastAsia="宋体" w:cs="Times New Roman"/>
          <w:bCs/>
          <w:color w:val="auto"/>
          <w:sz w:val="24"/>
          <w:highlight w:val="none"/>
          <w:u w:val="none" w:color="auto"/>
          <w:lang w:val="en-US" w:eastAsia="zh-CN"/>
        </w:rPr>
      </w:pPr>
      <w:r>
        <w:rPr>
          <w:rFonts w:hint="default" w:ascii="Times New Roman" w:hAnsi="Times New Roman" w:eastAsia="宋体" w:cs="Times New Roman"/>
          <w:color w:val="000000"/>
          <w:sz w:val="24"/>
          <w:u w:val="none" w:color="auto"/>
        </w:rPr>
        <w:t>4）</w:t>
      </w:r>
      <w:r>
        <w:rPr>
          <w:rFonts w:hint="default" w:ascii="Times New Roman" w:hAnsi="Times New Roman" w:eastAsia="宋体" w:cs="Times New Roman"/>
          <w:bCs/>
          <w:color w:val="auto"/>
          <w:sz w:val="24"/>
          <w:highlight w:val="none"/>
          <w:u w:val="none" w:color="auto"/>
          <w:lang w:val="en-US" w:eastAsia="zh-CN"/>
        </w:rPr>
        <w:t>加强施工管理，坚持文明装卸。合理安排施工车辆行驶路线，尽量避开居民集中区，控制施工车辆行驶速度，路经居民区集中区域应减缓行驶车速。</w:t>
      </w:r>
    </w:p>
    <w:p w14:paraId="19FB12B3">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olor w:val="000000"/>
          <w:sz w:val="24"/>
          <w:u w:val="none" w:color="auto"/>
        </w:rPr>
        <w:t>（3）</w:t>
      </w:r>
      <w:r>
        <w:rPr>
          <w:rFonts w:hint="default" w:ascii="Times New Roman" w:hAnsi="Times New Roman" w:eastAsia="宋体" w:cs="Times New Roman"/>
          <w:caps w:val="0"/>
          <w:smallCaps w:val="0"/>
          <w:color w:val="auto"/>
          <w:spacing w:val="0"/>
          <w:w w:val="100"/>
          <w:position w:val="0"/>
          <w:sz w:val="24"/>
          <w:szCs w:val="24"/>
          <w:u w:val="none" w:color="auto"/>
        </w:rPr>
        <w:t>燃油施工机械废气控制</w:t>
      </w:r>
    </w:p>
    <w:p w14:paraId="7AB76450">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position w:val="0"/>
          <w:sz w:val="24"/>
          <w:szCs w:val="24"/>
          <w:u w:val="none" w:color="auto"/>
        </w:rPr>
        <w:t>施工机械和运输工具</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优先选用</w:t>
      </w:r>
      <w:r>
        <w:rPr>
          <w:rFonts w:hint="default" w:ascii="Times New Roman" w:hAnsi="Times New Roman" w:eastAsia="宋体" w:cs="Times New Roman"/>
          <w:caps w:val="0"/>
          <w:smallCaps w:val="0"/>
          <w:color w:val="auto"/>
          <w:spacing w:val="0"/>
          <w:w w:val="100"/>
          <w:position w:val="0"/>
          <w:sz w:val="24"/>
          <w:szCs w:val="24"/>
          <w:u w:val="none" w:color="auto"/>
        </w:rPr>
        <w:t>符合国家有关卫生标准的施工机械和运输车辆</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p>
    <w:p w14:paraId="7642D8A5">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u w:val="none" w:color="auto"/>
        </w:rPr>
        <w:t>施工现场应合理布置运输车辆行驶路线，保证行驶速度，减少怠速时间，以减少机动车尾气的排放；</w:t>
      </w:r>
    </w:p>
    <w:p w14:paraId="21E1FBA8">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position w:val="0"/>
          <w:sz w:val="24"/>
          <w:szCs w:val="24"/>
          <w:u w:val="none" w:color="auto"/>
        </w:rPr>
        <w:t>对车辆的尾气排放进行监督管理，严格执行有关汽车排污监管办法、汽车排放监测制度；</w:t>
      </w:r>
    </w:p>
    <w:p w14:paraId="4651A5E7">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position w:val="0"/>
          <w:sz w:val="24"/>
          <w:szCs w:val="24"/>
          <w:u w:val="none" w:color="auto"/>
        </w:rPr>
        <w:t>加强对施工机械，运输车辆的维修保养，禁止施工机械超负荷工作和运输车辆超载；不得使用劣质燃料。</w:t>
      </w:r>
    </w:p>
    <w:p w14:paraId="21C660CD">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position w:val="0"/>
          <w:sz w:val="24"/>
          <w:szCs w:val="24"/>
          <w:u w:val="none" w:color="auto"/>
        </w:rPr>
        <w:t>）管理措施</w:t>
      </w:r>
    </w:p>
    <w:p w14:paraId="74B40FA9">
      <w:pPr>
        <w:pageBreakBefore w:val="0"/>
        <w:kinsoku w:val="0"/>
        <w:wordWrap w:val="0"/>
        <w:overflowPunct/>
        <w:topLinePunct/>
        <w:autoSpaceDE/>
        <w:autoSpaceDN/>
        <w:bidi w:val="0"/>
        <w:spacing w:line="360" w:lineRule="auto"/>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 xml:space="preserve">1）施工期间，若因具体情况需暂停施工的，建筑工程停工期达1个月以上的，施工单位应当对工地内的裸露地面采取硬化、覆盖等防止扬尘污染的措施；若停工期超过6个月的，应当实施场地临时绿化措施。 </w:t>
      </w:r>
    </w:p>
    <w:p w14:paraId="1AFDCB09">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2）施工场地内应设专员负责扬尘控制措施的实施和监督，应有专人负责逸散性材料、垃圾、渣土、裸地等密闭、覆盖、洒水作业以及车辆清洗作业等，并记录扬尘措施的实施情况。</w:t>
      </w:r>
    </w:p>
    <w:p w14:paraId="1F0B610A">
      <w:pPr>
        <w:pStyle w:val="4"/>
        <w:bidi w:val="0"/>
        <w:rPr>
          <w:rFonts w:hint="default" w:ascii="Times New Roman" w:hAnsi="Times New Roman" w:cs="Times New Roman"/>
          <w:u w:val="none" w:color="auto"/>
          <w:lang w:val="en-US" w:eastAsia="zh-CN"/>
        </w:rPr>
      </w:pPr>
      <w:bookmarkStart w:id="321" w:name="_Toc13833"/>
      <w:r>
        <w:rPr>
          <w:rFonts w:hint="default" w:ascii="Times New Roman" w:hAnsi="Times New Roman" w:cs="Times New Roman"/>
          <w:u w:val="none" w:color="auto"/>
          <w:lang w:val="en-US" w:eastAsia="zh-CN"/>
        </w:rPr>
        <w:t>施工期地表水环境保护措施</w:t>
      </w:r>
      <w:bookmarkEnd w:id="321"/>
    </w:p>
    <w:p w14:paraId="769641A3">
      <w:pPr>
        <w:keepNext w:val="0"/>
        <w:keepLines w:val="0"/>
        <w:pageBreakBefore w:val="0"/>
        <w:widowControl w:val="0"/>
        <w:overflow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FF0000"/>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施工期水污染源主要有施工废水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和</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施工人员的生活污水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，其中</w:t>
      </w:r>
      <w:r>
        <w:rPr>
          <w:rFonts w:hint="default" w:ascii="Times New Roman" w:hAnsi="Times New Roman" w:eastAsia="宋体" w:cs="Times New Roman"/>
          <w:color w:val="000000"/>
          <w:kern w:val="0"/>
          <w:sz w:val="24"/>
          <w:szCs w:val="24"/>
          <w:u w:val="none" w:color="auto"/>
          <w:lang w:val="en-US" w:eastAsia="zh-CN" w:bidi="ar"/>
        </w:rPr>
        <w:t>施工废水主要包括</w:t>
      </w:r>
      <w:r>
        <w:rPr>
          <w:rFonts w:hint="eastAsia" w:ascii="Times New Roman" w:hAnsi="Times New Roman" w:eastAsia="宋体" w:cs="Times New Roman"/>
          <w:color w:val="000000"/>
          <w:kern w:val="0"/>
          <w:sz w:val="24"/>
          <w:szCs w:val="24"/>
          <w:u w:val="none" w:color="auto"/>
          <w:lang w:val="en-US" w:eastAsia="zh-CN" w:bidi="ar"/>
        </w:rPr>
        <w:t>混凝土养护废水</w:t>
      </w:r>
      <w:r>
        <w:rPr>
          <w:rFonts w:hint="default" w:ascii="Times New Roman" w:hAnsi="Times New Roman" w:eastAsia="宋体" w:cs="Times New Roman"/>
          <w:color w:val="000000"/>
          <w:kern w:val="0"/>
          <w:sz w:val="24"/>
          <w:szCs w:val="24"/>
          <w:u w:val="none" w:color="auto"/>
          <w:lang w:val="en-US" w:eastAsia="zh-CN" w:bidi="ar"/>
        </w:rPr>
        <w:t>、机械设备冲洗</w:t>
      </w:r>
      <w:r>
        <w:rPr>
          <w:rFonts w:hint="eastAsia" w:ascii="Times New Roman" w:hAnsi="Times New Roman" w:eastAsia="宋体" w:cs="Times New Roman"/>
          <w:color w:val="000000"/>
          <w:kern w:val="0"/>
          <w:sz w:val="24"/>
          <w:szCs w:val="24"/>
          <w:u w:val="none" w:color="auto"/>
          <w:lang w:val="en-US" w:eastAsia="zh-CN" w:bidi="ar"/>
        </w:rPr>
        <w:t>含油</w:t>
      </w:r>
      <w:r>
        <w:rPr>
          <w:rFonts w:hint="default" w:ascii="Times New Roman" w:hAnsi="Times New Roman" w:eastAsia="宋体" w:cs="Times New Roman"/>
          <w:color w:val="000000"/>
          <w:kern w:val="0"/>
          <w:sz w:val="24"/>
          <w:szCs w:val="24"/>
          <w:u w:val="none" w:color="auto"/>
          <w:lang w:val="en-US" w:eastAsia="zh-CN" w:bidi="ar"/>
        </w:rPr>
        <w:t>废水、灌浆施工废水</w:t>
      </w:r>
      <w:r>
        <w:rPr>
          <w:rFonts w:hint="eastAsia" w:ascii="Times New Roman" w:hAnsi="Times New Roman" w:eastAsia="宋体" w:cs="Times New Roman"/>
          <w:color w:val="000000"/>
          <w:kern w:val="0"/>
          <w:sz w:val="24"/>
          <w:szCs w:val="24"/>
          <w:u w:val="none" w:color="auto"/>
          <w:lang w:val="en-US" w:eastAsia="zh-CN" w:bidi="ar"/>
        </w:rPr>
        <w:t>和</w:t>
      </w:r>
      <w:r>
        <w:rPr>
          <w:rFonts w:hint="default" w:ascii="Times New Roman" w:hAnsi="Times New Roman" w:eastAsia="宋体" w:cs="Times New Roman"/>
          <w:color w:val="000000"/>
          <w:kern w:val="0"/>
          <w:sz w:val="24"/>
          <w:szCs w:val="24"/>
          <w:u w:val="none" w:color="auto"/>
          <w:lang w:val="en-US" w:eastAsia="zh-CN" w:bidi="ar"/>
        </w:rPr>
        <w:t>基坑排水</w:t>
      </w:r>
      <w:r>
        <w:rPr>
          <w:rFonts w:hint="eastAsia" w:ascii="Times New Roman" w:hAnsi="Times New Roman" w:eastAsia="宋体" w:cs="Times New Roman"/>
          <w:color w:val="000000"/>
          <w:kern w:val="0"/>
          <w:sz w:val="24"/>
          <w:szCs w:val="24"/>
          <w:u w:val="none" w:color="auto"/>
          <w:lang w:val="en-US" w:eastAsia="zh-CN" w:bidi="ar"/>
        </w:rPr>
        <w:t>废水</w:t>
      </w:r>
      <w:r>
        <w:rPr>
          <w:rFonts w:hint="default" w:ascii="Times New Roman" w:hAnsi="Times New Roman" w:eastAsia="宋体" w:cs="Times New Roman"/>
          <w:color w:val="auto"/>
          <w:spacing w:val="0"/>
          <w:w w:val="100"/>
          <w:position w:val="0"/>
          <w:sz w:val="24"/>
          <w:szCs w:val="24"/>
          <w:u w:val="none" w:color="auto"/>
        </w:rPr>
        <w:t>等，主要污染物为</w:t>
      </w:r>
      <w:r>
        <w:rPr>
          <w:rFonts w:hint="default" w:ascii="Times New Roman" w:hAnsi="Times New Roman" w:eastAsia="Times New Roman" w:cs="Times New Roman"/>
          <w:color w:val="auto"/>
          <w:spacing w:val="0"/>
          <w:w w:val="100"/>
          <w:position w:val="0"/>
          <w:sz w:val="24"/>
          <w:szCs w:val="24"/>
          <w:u w:val="none" w:color="auto"/>
        </w:rPr>
        <w:t>SS</w:t>
      </w:r>
      <w:r>
        <w:rPr>
          <w:rFonts w:hint="default" w:ascii="Times New Roman" w:hAnsi="Times New Roman" w:eastAsia="宋体" w:cs="Times New Roman"/>
          <w:color w:val="auto"/>
          <w:spacing w:val="0"/>
          <w:w w:val="100"/>
          <w:position w:val="0"/>
          <w:sz w:val="24"/>
          <w:szCs w:val="24"/>
          <w:u w:val="none" w:color="auto"/>
        </w:rPr>
        <w:t>和</w:t>
      </w:r>
      <w:r>
        <w:rPr>
          <w:rFonts w:hint="default" w:ascii="Times New Roman" w:hAnsi="Times New Roman" w:eastAsia="宋体" w:cs="Times New Roman"/>
          <w:color w:val="auto"/>
          <w:spacing w:val="0"/>
          <w:w w:val="100"/>
          <w:position w:val="0"/>
          <w:sz w:val="24"/>
          <w:szCs w:val="24"/>
          <w:u w:val="none" w:color="auto"/>
          <w:lang w:eastAsia="zh-CN"/>
        </w:rPr>
        <w:t>石</w:t>
      </w:r>
      <w:r>
        <w:rPr>
          <w:rFonts w:hint="default" w:ascii="Times New Roman" w:hAnsi="Times New Roman" w:eastAsia="宋体" w:cs="Times New Roman"/>
          <w:color w:val="auto"/>
          <w:spacing w:val="0"/>
          <w:w w:val="100"/>
          <w:position w:val="0"/>
          <w:sz w:val="24"/>
          <w:szCs w:val="24"/>
          <w:u w:val="none" w:color="auto"/>
        </w:rPr>
        <w:t>油类。</w:t>
      </w:r>
    </w:p>
    <w:p w14:paraId="33C92F90">
      <w:pPr>
        <w:keepNext w:val="0"/>
        <w:keepLines w:val="0"/>
        <w:pageBreakBefore w:val="0"/>
        <w:widowControl w:val="0"/>
        <w:overflow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kern w:val="0"/>
          <w:sz w:val="24"/>
          <w:szCs w:val="24"/>
          <w:u w:val="none" w:color="auto"/>
          <w:lang w:val="en-US" w:eastAsia="zh-CN" w:bidi="ar"/>
        </w:rPr>
      </w:pPr>
      <w:r>
        <w:rPr>
          <w:rFonts w:hint="default" w:ascii="Times New Roman" w:hAnsi="Times New Roman" w:eastAsia="宋体" w:cs="Times New Roman"/>
          <w:color w:val="000000"/>
          <w:kern w:val="0"/>
          <w:sz w:val="24"/>
          <w:szCs w:val="24"/>
          <w:u w:val="none" w:color="auto"/>
          <w:lang w:val="en-US" w:eastAsia="zh-CN" w:bidi="ar"/>
        </w:rPr>
        <w:t>（1）施工期生产废水处理措施</w:t>
      </w:r>
    </w:p>
    <w:p w14:paraId="5883ABF9">
      <w:pPr>
        <w:spacing w:line="360" w:lineRule="auto"/>
        <w:ind w:left="14" w:firstLine="480"/>
        <w:jc w:val="both"/>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kern w:val="0"/>
          <w:sz w:val="24"/>
          <w:szCs w:val="24"/>
          <w:u w:val="none" w:color="auto"/>
          <w:lang w:val="en-US" w:eastAsia="zh-CN" w:bidi="ar"/>
        </w:rPr>
        <w:t>①</w:t>
      </w:r>
      <w:r>
        <w:rPr>
          <w:rFonts w:hint="default" w:ascii="Times New Roman" w:hAnsi="Times New Roman" w:eastAsia="宋体" w:cs="Times New Roman"/>
          <w:color w:val="000000" w:themeColor="text1"/>
          <w:sz w:val="24"/>
          <w:szCs w:val="24"/>
          <w:u w:val="none" w:color="auto"/>
          <w14:textFill>
            <w14:solidFill>
              <w14:schemeClr w14:val="tx1"/>
            </w14:solidFill>
          </w14:textFill>
        </w:rPr>
        <w:t>基坑废水</w:t>
      </w:r>
      <w:r>
        <w:rPr>
          <w:rFonts w:hint="default" w:ascii="Times New Roman" w:hAnsi="Times New Roman" w:eastAsia="宋体" w:cs="Times New Roman"/>
          <w:color w:val="000000"/>
          <w:kern w:val="0"/>
          <w:sz w:val="24"/>
          <w:szCs w:val="24"/>
          <w:u w:val="none" w:color="auto"/>
          <w:lang w:val="en-US" w:eastAsia="zh-CN" w:bidi="ar"/>
        </w:rPr>
        <w:t>处理措施</w:t>
      </w:r>
    </w:p>
    <w:p w14:paraId="482AFEB1">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基坑排水包括初期基坑排水及经常性基坑排水两部分。初期基坑排水与水库水质基本相同，不会增加对水库水质的污染水质。经常性基坑排含混凝土浇筑和养护形成的碱性水，</w:t>
      </w:r>
      <w:r>
        <w:rPr>
          <w:rFonts w:hint="default" w:ascii="Times New Roman" w:hAnsi="Times New Roman" w:eastAsia="宋体" w:cs="Times New Roman"/>
          <w:color w:val="000000"/>
          <w:kern w:val="0"/>
          <w:sz w:val="24"/>
          <w:szCs w:val="24"/>
          <w:u w:val="none" w:color="auto"/>
          <w:lang w:val="en-US" w:eastAsia="zh-CN" w:bidi="ar"/>
        </w:rPr>
        <w:t>pH</w:t>
      </w:r>
      <w:r>
        <w:rPr>
          <w:rFonts w:hint="eastAsia" w:ascii="Times New Roman" w:hAnsi="Times New Roman" w:eastAsia="宋体" w:cs="Times New Roman"/>
          <w:color w:val="000000"/>
          <w:kern w:val="0"/>
          <w:sz w:val="24"/>
          <w:szCs w:val="24"/>
          <w:u w:val="none" w:color="auto"/>
          <w:lang w:val="en-US" w:eastAsia="zh-CN" w:bidi="ar"/>
        </w:rPr>
        <w:t>值在</w:t>
      </w:r>
      <w:r>
        <w:rPr>
          <w:rFonts w:hint="default" w:ascii="Times New Roman" w:hAnsi="Times New Roman" w:eastAsia="宋体" w:cs="Times New Roman"/>
          <w:color w:val="000000"/>
          <w:kern w:val="0"/>
          <w:sz w:val="24"/>
          <w:szCs w:val="24"/>
          <w:u w:val="none" w:color="auto"/>
          <w:lang w:val="en-US" w:eastAsia="zh-CN" w:bidi="ar"/>
        </w:rPr>
        <w:t>11</w:t>
      </w:r>
      <w:r>
        <w:rPr>
          <w:rFonts w:hint="eastAsia" w:ascii="Times New Roman" w:hAnsi="Times New Roman" w:eastAsia="宋体" w:cs="Times New Roman"/>
          <w:color w:val="000000"/>
          <w:kern w:val="0"/>
          <w:sz w:val="24"/>
          <w:szCs w:val="24"/>
          <w:u w:val="none" w:color="auto"/>
          <w:lang w:val="en-US" w:eastAsia="zh-CN" w:bidi="ar"/>
        </w:rPr>
        <w:t>左右，悬浮物浓度约</w:t>
      </w:r>
      <w:r>
        <w:rPr>
          <w:rFonts w:hint="default" w:ascii="Times New Roman" w:hAnsi="Times New Roman" w:eastAsia="宋体" w:cs="Times New Roman"/>
          <w:color w:val="000000"/>
          <w:kern w:val="0"/>
          <w:sz w:val="24"/>
          <w:szCs w:val="24"/>
          <w:u w:val="none" w:color="auto"/>
          <w:lang w:val="en-US" w:eastAsia="zh-CN" w:bidi="ar"/>
        </w:rPr>
        <w:t>2000mg/L</w:t>
      </w:r>
      <w:r>
        <w:rPr>
          <w:rFonts w:hint="eastAsia" w:ascii="Times New Roman" w:hAnsi="Times New Roman" w:eastAsia="宋体" w:cs="Times New Roman"/>
          <w:color w:val="000000"/>
          <w:kern w:val="0"/>
          <w:sz w:val="24"/>
          <w:szCs w:val="24"/>
          <w:u w:val="none" w:color="auto"/>
          <w:lang w:val="en-US" w:eastAsia="zh-CN" w:bidi="ar"/>
        </w:rPr>
        <w:t>。本工程基坑排水主要产生于输水涵及进水涵进口围堰基坑。</w:t>
      </w:r>
    </w:p>
    <w:p w14:paraId="07D53C56">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本工程拟采用向基坑集水区投加絮凝剂，静置沉淀</w:t>
      </w:r>
      <w:r>
        <w:rPr>
          <w:rFonts w:hint="default" w:ascii="Times New Roman" w:hAnsi="Times New Roman" w:eastAsia="宋体" w:cs="Times New Roman"/>
          <w:color w:val="000000"/>
          <w:kern w:val="0"/>
          <w:sz w:val="24"/>
          <w:szCs w:val="24"/>
          <w:u w:val="none" w:color="auto"/>
          <w:lang w:val="en-US" w:eastAsia="zh-CN" w:bidi="ar"/>
        </w:rPr>
        <w:t>2h</w:t>
      </w:r>
      <w:r>
        <w:rPr>
          <w:rFonts w:hint="eastAsia" w:ascii="Times New Roman" w:hAnsi="Times New Roman" w:eastAsia="宋体" w:cs="Times New Roman"/>
          <w:color w:val="000000"/>
          <w:kern w:val="0"/>
          <w:sz w:val="24"/>
          <w:szCs w:val="24"/>
          <w:u w:val="none" w:color="auto"/>
          <w:lang w:val="en-US" w:eastAsia="zh-CN" w:bidi="ar"/>
        </w:rPr>
        <w:t>后，用清水泵抽出，剩余污泥及时人工清除。因绿矾和聚丙烯酰胺的混合物对碱性高的</w:t>
      </w:r>
      <w:r>
        <w:rPr>
          <w:rFonts w:hint="default" w:ascii="Times New Roman" w:hAnsi="Times New Roman" w:eastAsia="宋体" w:cs="Times New Roman"/>
          <w:color w:val="000000"/>
          <w:kern w:val="0"/>
          <w:sz w:val="24"/>
          <w:szCs w:val="24"/>
          <w:u w:val="none" w:color="auto"/>
          <w:lang w:val="en-US" w:eastAsia="zh-CN" w:bidi="ar"/>
        </w:rPr>
        <w:t>SS</w:t>
      </w:r>
      <w:r>
        <w:rPr>
          <w:rFonts w:hint="eastAsia" w:ascii="Times New Roman" w:hAnsi="Times New Roman" w:eastAsia="宋体" w:cs="Times New Roman"/>
          <w:color w:val="000000"/>
          <w:kern w:val="0"/>
          <w:sz w:val="24"/>
          <w:szCs w:val="24"/>
          <w:u w:val="none" w:color="auto"/>
          <w:lang w:val="en-US" w:eastAsia="zh-CN" w:bidi="ar"/>
        </w:rPr>
        <w:t>、石油类废水处理效果较好，推荐采用该种絮凝剂处理基坑排水。为了保证其上层清液中悬浮物和</w:t>
      </w:r>
      <w:r>
        <w:rPr>
          <w:rFonts w:hint="default" w:ascii="Times New Roman" w:hAnsi="Times New Roman" w:eastAsia="宋体" w:cs="Times New Roman"/>
          <w:color w:val="000000"/>
          <w:kern w:val="0"/>
          <w:sz w:val="24"/>
          <w:szCs w:val="24"/>
          <w:u w:val="none" w:color="auto"/>
          <w:lang w:val="en-US" w:eastAsia="zh-CN" w:bidi="ar"/>
        </w:rPr>
        <w:t>pH</w:t>
      </w:r>
      <w:r>
        <w:rPr>
          <w:rFonts w:hint="eastAsia" w:ascii="Times New Roman" w:hAnsi="Times New Roman" w:eastAsia="宋体" w:cs="Times New Roman"/>
          <w:color w:val="000000"/>
          <w:kern w:val="0"/>
          <w:sz w:val="24"/>
          <w:szCs w:val="24"/>
          <w:u w:val="none" w:color="auto"/>
          <w:lang w:val="en-US" w:eastAsia="zh-CN" w:bidi="ar"/>
        </w:rPr>
        <w:t>浓度不影响处理效果，在抽水时控制水泵的深度，保持水泵在上层清液部分；控制投药量，保证出水水质。处理流程见图5</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1</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w:t>
      </w:r>
    </w:p>
    <w:p w14:paraId="1F1D1DD6">
      <w:pPr>
        <w:keepNext w:val="0"/>
        <w:keepLines w:val="0"/>
        <w:widowControl/>
        <w:suppressLineNumbers w:val="0"/>
        <w:spacing w:line="360" w:lineRule="auto"/>
        <w:ind w:firstLine="420" w:firstLineChars="200"/>
        <w:jc w:val="center"/>
      </w:pPr>
      <w:r>
        <w:rPr>
          <w:sz w:val="21"/>
        </w:rPr>
        <mc:AlternateContent>
          <mc:Choice Requires="wps">
            <w:drawing>
              <wp:anchor distT="0" distB="0" distL="114300" distR="114300" simplePos="0" relativeHeight="251670528" behindDoc="0" locked="0" layoutInCell="1" allowOverlap="1">
                <wp:simplePos x="0" y="0"/>
                <wp:positionH relativeFrom="column">
                  <wp:posOffset>3342005</wp:posOffset>
                </wp:positionH>
                <wp:positionV relativeFrom="paragraph">
                  <wp:posOffset>1830705</wp:posOffset>
                </wp:positionV>
                <wp:extent cx="1148715" cy="407035"/>
                <wp:effectExtent l="0" t="0" r="9525" b="4445"/>
                <wp:wrapNone/>
                <wp:docPr id="22" name="文本框 22"/>
                <wp:cNvGraphicFramePr/>
                <a:graphic xmlns:a="http://schemas.openxmlformats.org/drawingml/2006/main">
                  <a:graphicData uri="http://schemas.microsoft.com/office/word/2010/wordprocessingShape">
                    <wps:wsp>
                      <wps:cNvSpPr txBox="1"/>
                      <wps:spPr>
                        <a:xfrm>
                          <a:off x="4349750" y="5611495"/>
                          <a:ext cx="1148715" cy="407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FA752B">
                            <w:pPr>
                              <w:rPr>
                                <w:rFonts w:hint="eastAsia" w:ascii="宋体" w:hAnsi="宋体" w:eastAsia="宋体" w:cs="宋体"/>
                                <w:sz w:val="24"/>
                                <w:szCs w:val="24"/>
                                <w:lang w:eastAsia="zh-CN"/>
                              </w:rPr>
                            </w:pPr>
                            <w:r>
                              <w:rPr>
                                <w:rFonts w:hint="eastAsia" w:ascii="宋体" w:hAnsi="宋体" w:eastAsia="宋体" w:cs="宋体"/>
                                <w:sz w:val="24"/>
                                <w:szCs w:val="24"/>
                                <w:lang w:eastAsia="zh-CN"/>
                              </w:rPr>
                              <w:t>泥渣外运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15pt;margin-top:144.15pt;height:32.05pt;width:90.45pt;z-index:251670528;mso-width-relative:page;mso-height-relative:page;" fillcolor="#FFFFFF [3201]" filled="t" stroked="f" coordsize="21600,21600" o:gfxdata="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10;yEfJ1wAAAAsBAAAPAAAAAAAAAAEAIAAAACIAAABkcnMvZG93bnJldi54bWxQSwECFAAUAAAACACH&#10;TuJAKREVIl4CAACdBAAADgAAAAAAAAABACAAAAAmAQAAZHJzL2Uyb0RvYy54bWxQSwUGAAAAAAYA&#10;BgBZAQAA9gUAAAAA&#10;">
                <v:fill on="t" focussize="0,0"/>
                <v:stroke on="f" weight="0.5pt"/>
                <v:imagedata o:title=""/>
                <o:lock v:ext="edit" aspectratio="f"/>
                <v:textbox>
                  <w:txbxContent>
                    <w:p w14:paraId="61FA752B">
                      <w:pPr>
                        <w:rPr>
                          <w:rFonts w:hint="eastAsia" w:ascii="宋体" w:hAnsi="宋体" w:eastAsia="宋体" w:cs="宋体"/>
                          <w:sz w:val="24"/>
                          <w:szCs w:val="24"/>
                          <w:lang w:eastAsia="zh-CN"/>
                        </w:rPr>
                      </w:pPr>
                      <w:r>
                        <w:rPr>
                          <w:rFonts w:hint="eastAsia" w:ascii="宋体" w:hAnsi="宋体" w:eastAsia="宋体" w:cs="宋体"/>
                          <w:sz w:val="24"/>
                          <w:szCs w:val="24"/>
                          <w:lang w:eastAsia="zh-CN"/>
                        </w:rPr>
                        <w:t>泥渣外运</w:t>
                      </w:r>
                    </w:p>
                  </w:txbxContent>
                </v:textbox>
              </v:shape>
            </w:pict>
          </mc:Fallback>
        </mc:AlternateContent>
      </w:r>
      <w:r>
        <w:drawing>
          <wp:inline distT="0" distB="0" distL="114300" distR="114300">
            <wp:extent cx="3402965" cy="1792605"/>
            <wp:effectExtent l="0" t="0" r="10795" b="571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64">
                      <a:lum bright="-12000" contrast="24000"/>
                    </a:blip>
                    <a:stretch>
                      <a:fillRect/>
                    </a:stretch>
                  </pic:blipFill>
                  <pic:spPr>
                    <a:xfrm>
                      <a:off x="0" y="0"/>
                      <a:ext cx="3402965" cy="1792605"/>
                    </a:xfrm>
                    <a:prstGeom prst="rect">
                      <a:avLst/>
                    </a:prstGeom>
                    <a:noFill/>
                    <a:ln>
                      <a:noFill/>
                    </a:ln>
                  </pic:spPr>
                </pic:pic>
              </a:graphicData>
            </a:graphic>
          </wp:inline>
        </w:drawing>
      </w:r>
    </w:p>
    <w:p w14:paraId="62B5287A">
      <w:pPr>
        <w:keepNext w:val="0"/>
        <w:keepLines w:val="0"/>
        <w:widowControl/>
        <w:suppressLineNumbers w:val="0"/>
        <w:spacing w:line="360" w:lineRule="auto"/>
        <w:ind w:firstLine="420" w:firstLineChars="200"/>
        <w:jc w:val="center"/>
        <w:rPr>
          <w:rFonts w:hint="default" w:eastAsiaTheme="minorEastAsia"/>
          <w:b/>
          <w:bCs/>
          <w:lang w:val="en-US" w:eastAsia="zh-CN"/>
        </w:rPr>
      </w:pPr>
      <w:r>
        <w:rPr>
          <w:rFonts w:hint="eastAsia"/>
          <w:b/>
          <w:bCs/>
          <w:lang w:eastAsia="zh-CN"/>
        </w:rPr>
        <w:t>图</w:t>
      </w:r>
      <w:r>
        <w:rPr>
          <w:rFonts w:hint="eastAsia" w:ascii="Times New Roman" w:hAnsi="Times New Roman" w:eastAsia="宋体" w:cs="Times New Roman"/>
          <w:b/>
          <w:bCs/>
          <w:color w:val="000000"/>
          <w:kern w:val="0"/>
          <w:sz w:val="24"/>
          <w:szCs w:val="24"/>
          <w:u w:val="none" w:color="auto"/>
          <w:lang w:val="en-US" w:eastAsia="zh-CN" w:bidi="ar"/>
        </w:rPr>
        <w:t>5</w:t>
      </w:r>
      <w:r>
        <w:rPr>
          <w:rFonts w:hint="default" w:ascii="Times New Roman" w:hAnsi="Times New Roman" w:eastAsia="宋体" w:cs="Times New Roman"/>
          <w:b/>
          <w:bCs/>
          <w:color w:val="000000"/>
          <w:kern w:val="0"/>
          <w:sz w:val="24"/>
          <w:szCs w:val="24"/>
          <w:u w:val="none" w:color="auto"/>
          <w:lang w:val="en-US" w:eastAsia="zh-CN" w:bidi="ar"/>
        </w:rPr>
        <w:t>.</w:t>
      </w:r>
      <w:r>
        <w:rPr>
          <w:rFonts w:hint="eastAsia" w:ascii="Times New Roman" w:hAnsi="Times New Roman" w:eastAsia="宋体" w:cs="Times New Roman"/>
          <w:b/>
          <w:bCs/>
          <w:color w:val="000000"/>
          <w:kern w:val="0"/>
          <w:sz w:val="24"/>
          <w:szCs w:val="24"/>
          <w:u w:val="none" w:color="auto"/>
          <w:lang w:val="en-US" w:eastAsia="zh-CN" w:bidi="ar"/>
        </w:rPr>
        <w:t>1</w:t>
      </w:r>
      <w:r>
        <w:rPr>
          <w:rFonts w:hint="default" w:ascii="Times New Roman" w:hAnsi="Times New Roman" w:eastAsia="宋体" w:cs="Times New Roman"/>
          <w:b/>
          <w:bCs/>
          <w:color w:val="000000"/>
          <w:kern w:val="0"/>
          <w:sz w:val="24"/>
          <w:szCs w:val="24"/>
          <w:u w:val="none" w:color="auto"/>
          <w:lang w:val="en-US" w:eastAsia="zh-CN" w:bidi="ar"/>
        </w:rPr>
        <w:t>-1</w:t>
      </w:r>
      <w:r>
        <w:rPr>
          <w:rFonts w:hint="eastAsia" w:ascii="Times New Roman" w:hAnsi="Times New Roman" w:eastAsia="宋体" w:cs="Times New Roman"/>
          <w:b/>
          <w:bCs/>
          <w:color w:val="000000"/>
          <w:kern w:val="0"/>
          <w:sz w:val="24"/>
          <w:szCs w:val="24"/>
          <w:u w:val="none" w:color="auto"/>
          <w:lang w:val="en-US" w:eastAsia="zh-CN" w:bidi="ar"/>
        </w:rPr>
        <w:t xml:space="preserve">  基坑废水处理工艺流程图</w:t>
      </w:r>
    </w:p>
    <w:p w14:paraId="42B3EF2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eastAsia="宋体" w:cs="Times New Roman"/>
          <w:color w:val="000000"/>
          <w:kern w:val="0"/>
          <w:sz w:val="24"/>
          <w:szCs w:val="24"/>
          <w:u w:val="none" w:color="auto"/>
          <w:lang w:val="en-US" w:eastAsia="zh-CN" w:bidi="ar"/>
        </w:rPr>
        <w:t>本项目拟在进水涵进口和输水涵进口围堰各设</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套沉淀池，</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套</w:t>
      </w:r>
      <w:r>
        <w:rPr>
          <w:rFonts w:hint="default" w:ascii="Times New Roman" w:hAnsi="Times New Roman" w:eastAsia="宋体" w:cs="Times New Roman"/>
          <w:color w:val="000000"/>
          <w:kern w:val="0"/>
          <w:sz w:val="24"/>
          <w:szCs w:val="24"/>
          <w:u w:val="none" w:color="auto"/>
          <w:lang w:val="en-US" w:eastAsia="zh-CN" w:bidi="ar"/>
        </w:rPr>
        <w:t>2</w:t>
      </w:r>
      <w:r>
        <w:rPr>
          <w:rFonts w:hint="eastAsia" w:ascii="Times New Roman" w:hAnsi="Times New Roman" w:eastAsia="宋体" w:cs="Times New Roman"/>
          <w:color w:val="000000"/>
          <w:kern w:val="0"/>
          <w:sz w:val="24"/>
          <w:szCs w:val="24"/>
          <w:u w:val="none" w:color="auto"/>
          <w:lang w:val="en-US" w:eastAsia="zh-CN" w:bidi="ar"/>
        </w:rPr>
        <w:t>池。沉淀池为砖混结构，对池底及表面进行硬化。基坑沉淀池尺寸为：3000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3000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2000mm，回用水池尺寸为：3000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3000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2000mm。基坑废水经沉淀处理后</w:t>
      </w:r>
      <w:r>
        <w:rPr>
          <w:rFonts w:hint="default" w:ascii="Times New Roman" w:hAnsi="Times New Roman" w:eastAsia="宋体" w:cs="Times New Roman"/>
          <w:color w:val="auto"/>
          <w:spacing w:val="0"/>
          <w:w w:val="100"/>
          <w:position w:val="0"/>
          <w:sz w:val="24"/>
          <w:szCs w:val="24"/>
          <w:u w:val="none" w:color="auto"/>
        </w:rPr>
        <w:t>回用于施工道路和施工区内洒水降尘、车辆清洗等，不外排</w:t>
      </w:r>
      <w:r>
        <w:rPr>
          <w:rFonts w:hint="default" w:ascii="Times New Roman" w:hAnsi="Times New Roman" w:eastAsia="宋体" w:cs="Times New Roman"/>
          <w:color w:val="auto"/>
          <w:spacing w:val="0"/>
          <w:w w:val="100"/>
          <w:position w:val="0"/>
          <w:sz w:val="24"/>
          <w:szCs w:val="24"/>
          <w:u w:val="none" w:color="auto"/>
          <w:lang w:eastAsia="zh-CN"/>
        </w:rPr>
        <w:t>。</w:t>
      </w:r>
    </w:p>
    <w:p w14:paraId="5684476F">
      <w:pPr>
        <w:spacing w:line="360" w:lineRule="auto"/>
        <w:ind w:left="-63" w:firstLine="480" w:firstLineChars="200"/>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val="en-US" w:eastAsia="zh-CN"/>
        </w:rPr>
        <w:t xml:space="preserve">基坑经常性排水采用沉淀池处理在国内水电站项目中应用广泛，处理后废水中主要污染物（pH、SS）能够满足回用要求；该方案工艺简单，基建投资少，运行管理与维护方便、简单，费用低。因此，该处理方案是可行的。 </w:t>
      </w:r>
    </w:p>
    <w:p w14:paraId="5A78307C">
      <w:pPr>
        <w:spacing w:line="360" w:lineRule="auto"/>
        <w:ind w:left="-63" w:firstLine="480" w:firstLineChars="200"/>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t>②</w:t>
      </w:r>
      <w:r>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t>灌浆施工废水</w:t>
      </w:r>
      <w:r>
        <w:rPr>
          <w:rFonts w:hint="default" w:ascii="Times New Roman" w:hAnsi="Times New Roman" w:eastAsia="宋体" w:cs="Times New Roman"/>
          <w:color w:val="000000"/>
          <w:kern w:val="0"/>
          <w:sz w:val="24"/>
          <w:szCs w:val="24"/>
          <w:u w:val="none" w:color="auto"/>
          <w:lang w:val="en-US" w:eastAsia="zh-CN" w:bidi="ar"/>
        </w:rPr>
        <w:t>处理措施</w:t>
      </w:r>
    </w:p>
    <w:p w14:paraId="159025B3">
      <w:pPr>
        <w:spacing w:line="360" w:lineRule="auto"/>
        <w:ind w:left="-63" w:firstLine="480" w:firstLineChars="200"/>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auto"/>
          <w:spacing w:val="0"/>
          <w:w w:val="100"/>
          <w:position w:val="0"/>
          <w:sz w:val="24"/>
          <w:szCs w:val="24"/>
          <w:u w:val="none" w:color="auto"/>
          <w:lang w:eastAsia="zh-CN"/>
        </w:rPr>
        <w:t>施工时制浆池内的泥浆通过导流管</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在各导墙槽内循环输送</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返上来的泥浆泵至制浆池内暂存后循环使用。</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灌浆施工场地设置截排水沟，出口处设置集水集浆池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收集</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后</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经沉淀池处理回用</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，严禁施工废水流入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区</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沉淀池设计停留时间4h，砖混结构，对池底及表面进行硬化</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沉淀池设计规模5</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000</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000</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2000</w:t>
      </w:r>
      <w:r>
        <w:rPr>
          <w:rFonts w:hint="eastAsia" w:ascii="Times New Roman" w:hAnsi="Times New Roman" w:eastAsia="宋体" w:cs="Times New Roman"/>
          <w:color w:val="000000"/>
          <w:kern w:val="0"/>
          <w:sz w:val="24"/>
          <w:szCs w:val="24"/>
          <w:u w:val="none" w:color="auto"/>
          <w:lang w:val="en-US" w:eastAsia="zh-CN" w:bidi="ar"/>
        </w:rPr>
        <w:t>m</w:t>
      </w:r>
      <w:r>
        <w:rPr>
          <w:rFonts w:hint="eastAsia" w:ascii="Times New Roman" w:hAnsi="Times New Roman" w:eastAsia="宋体" w:cs="Times New Roman"/>
          <w:color w:val="auto"/>
          <w:spacing w:val="0"/>
          <w:w w:val="100"/>
          <w:position w:val="0"/>
          <w:sz w:val="24"/>
          <w:szCs w:val="24"/>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。废水处理后上清液进入蓄水池，用于施工场地洒水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不外排</w:t>
      </w:r>
      <w:r>
        <w:rPr>
          <w:rFonts w:hint="default" w:ascii="Times New Roman" w:hAnsi="Times New Roman" w:eastAsia="宋体" w:cs="Times New Roman"/>
          <w:color w:val="000000" w:themeColor="text1"/>
          <w:sz w:val="24"/>
          <w:szCs w:val="24"/>
          <w:u w:val="none" w:color="auto"/>
          <w14:textFill>
            <w14:solidFill>
              <w14:schemeClr w14:val="tx1"/>
            </w14:solidFill>
          </w14:textFill>
        </w:rPr>
        <w:t>。</w:t>
      </w:r>
    </w:p>
    <w:p w14:paraId="2AE8F918">
      <w:pPr>
        <w:spacing w:line="360" w:lineRule="auto"/>
        <w:ind w:left="-63" w:firstLine="480" w:firstLineChars="200"/>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color="auto"/>
          <w14:textFill>
            <w14:solidFill>
              <w14:schemeClr w14:val="tx1"/>
            </w14:solidFill>
          </w14:textFill>
        </w:rPr>
        <w:instrText xml:space="preserve"> = 3 \* GB3 </w:instrText>
      </w:r>
      <w:r>
        <w:rPr>
          <w:rFonts w:hint="default" w:ascii="Times New Roman" w:hAnsi="Times New Roman" w:eastAsia="宋体" w:cs="Times New Roman"/>
          <w:color w:val="000000" w:themeColor="text1"/>
          <w:sz w:val="24"/>
          <w:szCs w:val="24"/>
          <w:u w:val="none" w:color="auto"/>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color="auto"/>
          <w14:textFill>
            <w14:solidFill>
              <w14:schemeClr w14:val="tx1"/>
            </w14:solidFill>
          </w14:textFill>
        </w:rPr>
        <w:t>③</w:t>
      </w:r>
      <w:r>
        <w:rPr>
          <w:rFonts w:hint="default" w:ascii="Times New Roman" w:hAnsi="Times New Roman" w:eastAsia="宋体" w:cs="Times New Roman"/>
          <w:color w:val="000000" w:themeColor="text1"/>
          <w:sz w:val="24"/>
          <w:szCs w:val="24"/>
          <w:u w:val="none" w:color="auto"/>
          <w14:textFill>
            <w14:solidFill>
              <w14:schemeClr w14:val="tx1"/>
            </w14:solidFill>
          </w14:textFill>
        </w:rPr>
        <w:fldChar w:fldCharType="end"/>
      </w:r>
      <w: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t>含油</w:t>
      </w:r>
      <w:r>
        <w:rPr>
          <w:rFonts w:hint="default" w:ascii="Times New Roman" w:hAnsi="Times New Roman" w:eastAsia="宋体" w:cs="Times New Roman"/>
          <w:color w:val="000000" w:themeColor="text1"/>
          <w:sz w:val="24"/>
          <w:szCs w:val="24"/>
          <w:u w:val="none" w:color="auto"/>
          <w14:textFill>
            <w14:solidFill>
              <w14:schemeClr w14:val="tx1"/>
            </w14:solidFill>
          </w14:textFill>
        </w:rPr>
        <w:t>废水</w:t>
      </w:r>
      <w:r>
        <w:rPr>
          <w:rFonts w:hint="default" w:ascii="Times New Roman" w:hAnsi="Times New Roman" w:eastAsia="宋体" w:cs="Times New Roman"/>
          <w:color w:val="000000"/>
          <w:kern w:val="0"/>
          <w:sz w:val="24"/>
          <w:szCs w:val="24"/>
          <w:u w:val="none" w:color="auto"/>
          <w:lang w:val="en-US" w:eastAsia="zh-CN" w:bidi="ar"/>
        </w:rPr>
        <w:t>处理措施</w:t>
      </w:r>
    </w:p>
    <w:p w14:paraId="36BB3F74">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针对含油废水排放的特点，拟在机械停放场设置</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处含油废水处理系统，高峰期需定期清洗的施工机械约有</w:t>
      </w:r>
      <w:r>
        <w:rPr>
          <w:rFonts w:hint="default" w:ascii="Times New Roman" w:hAnsi="Times New Roman" w:eastAsia="宋体" w:cs="Times New Roman"/>
          <w:color w:val="000000"/>
          <w:kern w:val="0"/>
          <w:sz w:val="24"/>
          <w:szCs w:val="24"/>
          <w:u w:val="none" w:color="auto"/>
          <w:lang w:val="en-US" w:eastAsia="zh-CN" w:bidi="ar"/>
        </w:rPr>
        <w:t>52</w:t>
      </w:r>
      <w:r>
        <w:rPr>
          <w:rFonts w:hint="eastAsia" w:ascii="Times New Roman" w:hAnsi="Times New Roman" w:eastAsia="宋体" w:cs="Times New Roman"/>
          <w:color w:val="000000"/>
          <w:kern w:val="0"/>
          <w:sz w:val="24"/>
          <w:szCs w:val="24"/>
          <w:u w:val="none" w:color="auto"/>
          <w:lang w:val="en-US" w:eastAsia="zh-CN" w:bidi="ar"/>
        </w:rPr>
        <w:t>辆（台），施工机械车辆定期冲洗将产生一定的含油废水，产生量约为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4.68</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/d</w:t>
      </w:r>
      <w:r>
        <w:rPr>
          <w:rFonts w:hint="eastAsia" w:ascii="Times New Roman" w:hAnsi="Times New Roman" w:eastAsia="宋体" w:cs="Times New Roman"/>
          <w:color w:val="000000"/>
          <w:kern w:val="0"/>
          <w:sz w:val="24"/>
          <w:szCs w:val="24"/>
          <w:u w:val="none" w:color="auto"/>
          <w:lang w:val="en-US" w:eastAsia="zh-CN" w:bidi="ar"/>
        </w:rPr>
        <w:t>，主要污染物为石油类和悬浮物，其中</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石油类浓度约为100mg/L，悬浮物浓度约为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000mg/L</w:t>
      </w:r>
      <w:r>
        <w:rPr>
          <w:rFonts w:hint="eastAsia" w:ascii="Times New Roman" w:hAnsi="Times New Roman" w:eastAsia="宋体" w:cs="Times New Roman"/>
          <w:color w:val="000000"/>
          <w:kern w:val="0"/>
          <w:sz w:val="24"/>
          <w:szCs w:val="24"/>
          <w:u w:val="none" w:color="auto"/>
          <w:lang w:val="en-US" w:eastAsia="zh-CN" w:bidi="ar"/>
        </w:rPr>
        <w:t>。</w:t>
      </w:r>
    </w:p>
    <w:p w14:paraId="11B62A11">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北汊水库工程施工区含油废水由布设于机械维修场周围的排水沟收集，汇集于隔油沉淀池。经隔油池进行油水初级分离，上层浮油由浮油回收机回收，下层含油乳化油的液体进入气浮装置。一个工作日所产生的含油废水经收集后，在夜间由污水泵抽至气浮装置进行深度处理，即在气浮分离室进行渣水分离。定期由刮渣机刮入浮渣槽，清水由集水管引出进入后续处理构筑物，其中部分清水，则经回流水泵加压，进入压力溶气罐；经多介质过滤器过滤，水质可满足中水回用水要求。处理工艺流程见图5</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1</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2。</w:t>
      </w:r>
    </w:p>
    <w:p w14:paraId="07B1A6FC">
      <w:pPr>
        <w:keepNext w:val="0"/>
        <w:keepLines w:val="0"/>
        <w:widowControl/>
        <w:suppressLineNumbers w:val="0"/>
        <w:spacing w:line="360" w:lineRule="auto"/>
        <w:jc w:val="left"/>
        <w:rPr>
          <w:rFonts w:hint="eastAsia" w:ascii="Times New Roman" w:hAnsi="Times New Roman" w:eastAsia="宋体" w:cs="Times New Roman"/>
          <w:color w:val="000000"/>
          <w:kern w:val="0"/>
          <w:sz w:val="24"/>
          <w:szCs w:val="24"/>
          <w:u w:val="none" w:color="auto"/>
          <w:lang w:val="en-US" w:eastAsia="zh-CN" w:bidi="ar"/>
        </w:rPr>
      </w:pPr>
      <w:r>
        <w:drawing>
          <wp:inline distT="0" distB="0" distL="114300" distR="114300">
            <wp:extent cx="5511800" cy="1419860"/>
            <wp:effectExtent l="0" t="0" r="508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5">
                      <a:lum bright="-12000" contrast="30000"/>
                    </a:blip>
                    <a:stretch>
                      <a:fillRect/>
                    </a:stretch>
                  </pic:blipFill>
                  <pic:spPr>
                    <a:xfrm>
                      <a:off x="0" y="0"/>
                      <a:ext cx="5511800" cy="1419860"/>
                    </a:xfrm>
                    <a:prstGeom prst="rect">
                      <a:avLst/>
                    </a:prstGeom>
                    <a:noFill/>
                    <a:ln>
                      <a:noFill/>
                    </a:ln>
                  </pic:spPr>
                </pic:pic>
              </a:graphicData>
            </a:graphic>
          </wp:inline>
        </w:drawing>
      </w:r>
    </w:p>
    <w:p w14:paraId="7DE5B414">
      <w:pPr>
        <w:keepNext w:val="0"/>
        <w:keepLines w:val="0"/>
        <w:widowControl/>
        <w:suppressLineNumbers w:val="0"/>
        <w:spacing w:line="360" w:lineRule="auto"/>
        <w:jc w:val="center"/>
        <w:rPr>
          <w:rFonts w:hint="eastAsia" w:ascii="Times New Roman" w:hAnsi="Times New Roman" w:eastAsia="宋体" w:cs="Times New Roman"/>
          <w:b/>
          <w:bCs/>
          <w:color w:val="000000"/>
          <w:kern w:val="0"/>
          <w:sz w:val="24"/>
          <w:szCs w:val="24"/>
          <w:u w:val="none" w:color="auto"/>
          <w:lang w:val="en-US" w:eastAsia="zh-CN" w:bidi="ar"/>
        </w:rPr>
      </w:pPr>
      <w:r>
        <w:rPr>
          <w:rFonts w:hint="eastAsia"/>
          <w:b/>
          <w:bCs/>
          <w:lang w:eastAsia="zh-CN"/>
        </w:rPr>
        <w:t>图</w:t>
      </w:r>
      <w:r>
        <w:rPr>
          <w:rFonts w:hint="eastAsia" w:ascii="Times New Roman" w:hAnsi="Times New Roman" w:eastAsia="宋体" w:cs="Times New Roman"/>
          <w:b/>
          <w:bCs/>
          <w:color w:val="000000"/>
          <w:kern w:val="0"/>
          <w:sz w:val="24"/>
          <w:szCs w:val="24"/>
          <w:u w:val="none" w:color="auto"/>
          <w:lang w:val="en-US" w:eastAsia="zh-CN" w:bidi="ar"/>
        </w:rPr>
        <w:t>5</w:t>
      </w:r>
      <w:r>
        <w:rPr>
          <w:rFonts w:hint="default" w:ascii="Times New Roman" w:hAnsi="Times New Roman" w:eastAsia="宋体" w:cs="Times New Roman"/>
          <w:b/>
          <w:bCs/>
          <w:color w:val="000000"/>
          <w:kern w:val="0"/>
          <w:sz w:val="24"/>
          <w:szCs w:val="24"/>
          <w:u w:val="none" w:color="auto"/>
          <w:lang w:val="en-US" w:eastAsia="zh-CN" w:bidi="ar"/>
        </w:rPr>
        <w:t>.</w:t>
      </w:r>
      <w:r>
        <w:rPr>
          <w:rFonts w:hint="eastAsia" w:ascii="Times New Roman" w:hAnsi="Times New Roman" w:eastAsia="宋体" w:cs="Times New Roman"/>
          <w:b/>
          <w:bCs/>
          <w:color w:val="000000"/>
          <w:kern w:val="0"/>
          <w:sz w:val="24"/>
          <w:szCs w:val="24"/>
          <w:u w:val="none" w:color="auto"/>
          <w:lang w:val="en-US" w:eastAsia="zh-CN" w:bidi="ar"/>
        </w:rPr>
        <w:t>1</w:t>
      </w:r>
      <w:r>
        <w:rPr>
          <w:rFonts w:hint="default" w:ascii="Times New Roman" w:hAnsi="Times New Roman" w:eastAsia="宋体" w:cs="Times New Roman"/>
          <w:b/>
          <w:bCs/>
          <w:color w:val="000000"/>
          <w:kern w:val="0"/>
          <w:sz w:val="24"/>
          <w:szCs w:val="24"/>
          <w:u w:val="none" w:color="auto"/>
          <w:lang w:val="en-US" w:eastAsia="zh-CN" w:bidi="ar"/>
        </w:rPr>
        <w:t>-</w:t>
      </w:r>
      <w:r>
        <w:rPr>
          <w:rFonts w:hint="eastAsia" w:ascii="Times New Roman" w:hAnsi="Times New Roman" w:eastAsia="宋体" w:cs="Times New Roman"/>
          <w:b/>
          <w:bCs/>
          <w:color w:val="000000"/>
          <w:kern w:val="0"/>
          <w:sz w:val="24"/>
          <w:szCs w:val="24"/>
          <w:u w:val="none" w:color="auto"/>
          <w:lang w:val="en-US" w:eastAsia="zh-CN" w:bidi="ar"/>
        </w:rPr>
        <w:t>2  含油废水处理工艺流程图</w:t>
      </w:r>
    </w:p>
    <w:p w14:paraId="06C1EF7C">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隔油池排水沟断面为梯形，用浆砌石衬砌，隔油池基体由开挖筑成，四壁及池底先铺防渗膜，再用砖砌，并以水泥砂浆抹面，最后内衬树脂防腐涂料。隔油池池底挡板由砖砌构成，池壁挡板为钢板，池壁预先埋槽钢。</w:t>
      </w:r>
    </w:p>
    <w:p w14:paraId="56749F7D">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隔油沉淀池设计处理规模为</w:t>
      </w:r>
      <w:r>
        <w:rPr>
          <w:rFonts w:hint="default" w:ascii="Times New Roman" w:hAnsi="Times New Roman" w:eastAsia="宋体" w:cs="Times New Roman"/>
          <w:color w:val="000000"/>
          <w:kern w:val="0"/>
          <w:sz w:val="24"/>
          <w:szCs w:val="24"/>
          <w:u w:val="none" w:color="auto"/>
          <w:lang w:val="en-US" w:eastAsia="zh-CN" w:bidi="ar"/>
        </w:rPr>
        <w:t>6.0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/d</w:t>
      </w:r>
      <w:r>
        <w:rPr>
          <w:rFonts w:hint="eastAsia" w:ascii="Times New Roman" w:hAnsi="Times New Roman" w:eastAsia="宋体" w:cs="Times New Roman"/>
          <w:color w:val="000000"/>
          <w:kern w:val="0"/>
          <w:sz w:val="24"/>
          <w:szCs w:val="24"/>
          <w:u w:val="none" w:color="auto"/>
          <w:lang w:val="en-US" w:eastAsia="zh-CN" w:bidi="ar"/>
        </w:rPr>
        <w:t>，共布设1座隔油沉淀池，设计停留时间</w:t>
      </w:r>
      <w:r>
        <w:rPr>
          <w:rFonts w:hint="default" w:ascii="Times New Roman" w:hAnsi="Times New Roman" w:eastAsia="宋体" w:cs="Times New Roman"/>
          <w:color w:val="000000"/>
          <w:kern w:val="0"/>
          <w:sz w:val="24"/>
          <w:szCs w:val="24"/>
          <w:u w:val="none" w:color="auto"/>
          <w:lang w:val="en-US" w:eastAsia="zh-CN" w:bidi="ar"/>
        </w:rPr>
        <w:t>4h</w:t>
      </w:r>
      <w:r>
        <w:rPr>
          <w:rFonts w:hint="eastAsia" w:ascii="Times New Roman" w:hAnsi="Times New Roman" w:eastAsia="宋体" w:cs="Times New Roman"/>
          <w:color w:val="000000"/>
          <w:kern w:val="0"/>
          <w:sz w:val="24"/>
          <w:szCs w:val="24"/>
          <w:u w:val="none" w:color="auto"/>
          <w:lang w:val="en-US" w:eastAsia="zh-CN" w:bidi="ar"/>
        </w:rPr>
        <w:t>，砖混结构，对池底及表面进行硬化，隔油池、沉淀池、蓄水池尺寸均为：2000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1500</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2000mm。处理后的含油废水进入蓄水池，回用于施工场地洒水降尘。蓄水池配置水泵</w:t>
      </w:r>
      <w:r>
        <w:rPr>
          <w:rFonts w:hint="default" w:ascii="Times New Roman" w:hAnsi="Times New Roman" w:eastAsia="宋体" w:cs="Times New Roman"/>
          <w:color w:val="000000"/>
          <w:kern w:val="0"/>
          <w:sz w:val="24"/>
          <w:szCs w:val="24"/>
          <w:u w:val="none" w:color="auto"/>
          <w:lang w:val="en-US" w:eastAsia="zh-CN" w:bidi="ar"/>
        </w:rPr>
        <w:t>2</w:t>
      </w:r>
      <w:r>
        <w:rPr>
          <w:rFonts w:hint="eastAsia" w:ascii="Times New Roman" w:hAnsi="Times New Roman" w:eastAsia="宋体" w:cs="Times New Roman"/>
          <w:color w:val="000000"/>
          <w:kern w:val="0"/>
          <w:sz w:val="24"/>
          <w:szCs w:val="24"/>
          <w:u w:val="none" w:color="auto"/>
          <w:lang w:val="en-US" w:eastAsia="zh-CN" w:bidi="ar"/>
        </w:rPr>
        <w:t>台，</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用</w:t>
      </w:r>
      <w:r>
        <w:rPr>
          <w:rFonts w:hint="default" w:ascii="Times New Roman" w:hAnsi="Times New Roman" w:eastAsia="宋体" w:cs="Times New Roman"/>
          <w:color w:val="000000"/>
          <w:kern w:val="0"/>
          <w:sz w:val="24"/>
          <w:szCs w:val="24"/>
          <w:u w:val="none" w:color="auto"/>
          <w:lang w:val="en-US" w:eastAsia="zh-CN" w:bidi="ar"/>
        </w:rPr>
        <w:t>1</w:t>
      </w:r>
      <w:r>
        <w:rPr>
          <w:rFonts w:hint="eastAsia" w:ascii="Times New Roman" w:hAnsi="Times New Roman" w:eastAsia="宋体" w:cs="Times New Roman"/>
          <w:color w:val="000000"/>
          <w:kern w:val="0"/>
          <w:sz w:val="24"/>
          <w:szCs w:val="24"/>
          <w:u w:val="none" w:color="auto"/>
          <w:lang w:val="en-US" w:eastAsia="zh-CN" w:bidi="ar"/>
        </w:rPr>
        <w:t>备。</w:t>
      </w:r>
    </w:p>
    <w:p w14:paraId="0B0DF68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该处理系统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设计处理规模可满足含油废水处理要求，</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对机械汽车停放场冲洗废水进行处理后可大大降低废水中悬浮物浓度，可用于场地洒水。该处理系统投资少，运行管理与维护方便，维护简单，费用低。因此，该处理方案是可行的。</w:t>
      </w:r>
    </w:p>
    <w:p w14:paraId="19688EA2">
      <w:pPr>
        <w:keepNext w:val="0"/>
        <w:keepLines w:val="0"/>
        <w:pageBreakBefore w:val="0"/>
        <w:widowControl w:val="0"/>
        <w:kinsoku w:val="0"/>
        <w:wordWrap w:val="0"/>
        <w:overflowPunct/>
        <w:topLine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pPr>
      <w:r>
        <w:rPr>
          <w:rFonts w:hint="default" w:ascii="Times New Roman" w:hAnsi="Times New Roman" w:eastAsia="宋体" w:cs="Times New Roman"/>
          <w:caps w:val="0"/>
          <w:smallCaps w:val="0"/>
          <w:color w:val="auto"/>
          <w:spacing w:val="0"/>
          <w:w w:val="100"/>
          <w:position w:val="0"/>
          <w:sz w:val="24"/>
          <w:szCs w:val="24"/>
          <w:highlight w:val="none"/>
          <w:u w:val="none" w:color="auto"/>
        </w:rPr>
        <w:t>（</w:t>
      </w:r>
      <w:r>
        <w:rPr>
          <w:rFonts w:hint="eastAsia" w:ascii="Times New Roman" w:hAnsi="Times New Roman" w:eastAsia="宋体" w:cs="Times New Roman"/>
          <w:caps w:val="0"/>
          <w:smallCaps w:val="0"/>
          <w:color w:val="auto"/>
          <w:spacing w:val="0"/>
          <w:w w:val="100"/>
          <w:position w:val="0"/>
          <w:sz w:val="24"/>
          <w:szCs w:val="24"/>
          <w:highlight w:val="none"/>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4"/>
          <w:highlight w:val="none"/>
          <w:u w:val="none" w:color="auto"/>
        </w:rPr>
        <w:t>）</w:t>
      </w:r>
      <w:r>
        <w:rPr>
          <w:rFonts w:hint="default" w:ascii="Times New Roman" w:hAnsi="Times New Roman" w:eastAsia="宋体" w:cs="Times New Roman"/>
          <w:caps w:val="0"/>
          <w:smallCaps w:val="0"/>
          <w:color w:val="auto"/>
          <w:spacing w:val="0"/>
          <w:w w:val="100"/>
          <w:position w:val="0"/>
          <w:sz w:val="24"/>
          <w:szCs w:val="24"/>
          <w:highlight w:val="none"/>
          <w:u w:val="none" w:color="auto"/>
          <w:lang w:eastAsia="zh-CN"/>
        </w:rPr>
        <w:t>施工期生活污水</w:t>
      </w:r>
      <w:r>
        <w:rPr>
          <w:rFonts w:hint="default" w:ascii="Times New Roman" w:hAnsi="Times New Roman" w:eastAsia="宋体" w:cs="Times New Roman"/>
          <w:color w:val="000000"/>
          <w:kern w:val="0"/>
          <w:sz w:val="24"/>
          <w:szCs w:val="24"/>
          <w:u w:val="none" w:color="auto"/>
          <w:lang w:val="en-US" w:eastAsia="zh-CN" w:bidi="ar"/>
        </w:rPr>
        <w:t>处理措施</w:t>
      </w:r>
    </w:p>
    <w:p w14:paraId="3F375D1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FF0000"/>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本项目施工现场不设置施工营地，也无工地食堂和工地宿舍，施工人员分散租用附近民房，生活污水利用周边</w:t>
      </w:r>
      <w:r>
        <w:rPr>
          <w:rFonts w:hint="eastAsia" w:ascii="Times New Roman" w:hAnsi="Times New Roman" w:eastAsia="宋体" w:cs="Times New Roman"/>
          <w:color w:val="auto"/>
          <w:spacing w:val="0"/>
          <w:w w:val="100"/>
          <w:position w:val="0"/>
          <w:sz w:val="24"/>
          <w:szCs w:val="24"/>
          <w:u w:val="none" w:color="auto"/>
          <w:lang w:val="en-US" w:eastAsia="zh-CN"/>
        </w:rPr>
        <w:t>居民化粪池处理后用于田地施肥，不外排</w:t>
      </w:r>
      <w:r>
        <w:rPr>
          <w:rFonts w:hint="default" w:ascii="Times New Roman" w:hAnsi="Times New Roman" w:eastAsia="宋体" w:cs="Times New Roman"/>
          <w:color w:val="auto"/>
          <w:spacing w:val="0"/>
          <w:w w:val="100"/>
          <w:position w:val="0"/>
          <w:sz w:val="24"/>
          <w:szCs w:val="24"/>
          <w:u w:val="none" w:color="auto"/>
          <w:lang w:val="en-US" w:eastAsia="zh-CN"/>
        </w:rPr>
        <w:t>。</w:t>
      </w:r>
    </w:p>
    <w:p w14:paraId="4138EB01">
      <w:pPr>
        <w:pStyle w:val="4"/>
        <w:bidi w:val="0"/>
        <w:rPr>
          <w:rFonts w:hint="default" w:ascii="Times New Roman" w:hAnsi="Times New Roman" w:eastAsia="宋体" w:cs="Times New Roman"/>
          <w:b/>
          <w:caps w:val="0"/>
          <w:smallCaps w:val="0"/>
          <w:color w:val="auto"/>
          <w:spacing w:val="0"/>
          <w:w w:val="100"/>
          <w:position w:val="0"/>
          <w:sz w:val="24"/>
          <w:szCs w:val="24"/>
          <w:u w:val="none" w:color="auto"/>
        </w:rPr>
      </w:pPr>
      <w:bookmarkStart w:id="322" w:name="_Toc2492"/>
      <w:r>
        <w:rPr>
          <w:rFonts w:hint="default" w:ascii="Times New Roman" w:hAnsi="Times New Roman" w:eastAsia="宋体" w:cs="Times New Roman"/>
          <w:b/>
          <w:caps w:val="0"/>
          <w:smallCaps w:val="0"/>
          <w:color w:val="auto"/>
          <w:spacing w:val="0"/>
          <w:w w:val="100"/>
          <w:position w:val="0"/>
          <w:sz w:val="24"/>
          <w:szCs w:val="24"/>
          <w:u w:val="none" w:color="auto"/>
          <w:lang w:val="en-US" w:eastAsia="zh-CN"/>
        </w:rPr>
        <w:t>施工期</w:t>
      </w:r>
      <w:r>
        <w:rPr>
          <w:rFonts w:hint="default" w:ascii="Times New Roman" w:hAnsi="Times New Roman" w:eastAsia="宋体" w:cs="Times New Roman"/>
          <w:b/>
          <w:caps w:val="0"/>
          <w:smallCaps w:val="0"/>
          <w:color w:val="auto"/>
          <w:spacing w:val="0"/>
          <w:w w:val="100"/>
          <w:position w:val="0"/>
          <w:sz w:val="24"/>
          <w:szCs w:val="24"/>
          <w:u w:val="none" w:color="auto"/>
        </w:rPr>
        <w:t>地下水环境保护措施</w:t>
      </w:r>
      <w:bookmarkEnd w:id="322"/>
    </w:p>
    <w:p w14:paraId="66733D8D">
      <w:pPr>
        <w:keepNext w:val="0"/>
        <w:keepLines w:val="0"/>
        <w:pageBreakBefore w:val="0"/>
        <w:widowControl w:val="0"/>
        <w:kinsoku w:val="0"/>
        <w:wordWrap w:val="0"/>
        <w:overflowPunct/>
        <w:topLine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对于废水污染防治措施，除严格去落实以上针对地表水污染的防治措施外，对地下水提出下面的防治措施。防止地下水污染的主要措施是切断污染物进入地下水环境的途径。对本项目而言，为防止项目施工期废水对地下水环境造成污染，采取以下措施：</w:t>
      </w:r>
    </w:p>
    <w:p w14:paraId="6A9D5CA7">
      <w:pPr>
        <w:keepNext w:val="0"/>
        <w:keepLines w:val="0"/>
        <w:pageBreakBefore w:val="0"/>
        <w:widowControl w:val="0"/>
        <w:overflow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rPr>
        <w:t>)按照本环评提出的各项废污水处理措施，确保工程施工过程中各废污水的处理和回用，各项废污水处理构筑物(如沉淀池、隔油池等)应做好防渗措施，防止污染物入渗影响地下水水质。</w:t>
      </w:r>
    </w:p>
    <w:p w14:paraId="38530EAA">
      <w:pPr>
        <w:keepNext w:val="0"/>
        <w:keepLines w:val="0"/>
        <w:pageBreakBefore w:val="0"/>
        <w:widowControl w:val="0"/>
        <w:overflow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2</w:t>
      </w:r>
      <w:r>
        <w:rPr>
          <w:rFonts w:hint="default" w:ascii="Times New Roman" w:hAnsi="Times New Roman" w:eastAsia="宋体" w:cs="Times New Roman"/>
          <w:color w:val="auto"/>
          <w:spacing w:val="0"/>
          <w:w w:val="100"/>
          <w:position w:val="0"/>
          <w:sz w:val="24"/>
          <w:szCs w:val="24"/>
          <w:u w:val="none" w:color="auto"/>
        </w:rPr>
        <w:t>)严禁雨季施工污废水乱排、乱放。根据各工程段降雨特征和工地实际情况设置好排水设施，制定雨季具体排水方案，避免雨季排水不畅</w:t>
      </w:r>
      <w:r>
        <w:rPr>
          <w:rFonts w:hint="default" w:ascii="Times New Roman" w:hAnsi="Times New Roman" w:eastAsia="宋体" w:cs="Times New Roman"/>
          <w:color w:val="auto"/>
          <w:spacing w:val="0"/>
          <w:w w:val="100"/>
          <w:position w:val="0"/>
          <w:sz w:val="24"/>
          <w:szCs w:val="24"/>
          <w:u w:val="none" w:color="auto"/>
          <w:lang w:eastAsia="zh-CN"/>
        </w:rPr>
        <w:t>渗入</w:t>
      </w:r>
      <w:r>
        <w:rPr>
          <w:rFonts w:hint="default" w:ascii="Times New Roman" w:hAnsi="Times New Roman" w:eastAsia="宋体" w:cs="Times New Roman"/>
          <w:color w:val="auto"/>
          <w:spacing w:val="0"/>
          <w:w w:val="100"/>
          <w:position w:val="0"/>
          <w:sz w:val="24"/>
          <w:szCs w:val="24"/>
          <w:u w:val="none" w:color="auto"/>
        </w:rPr>
        <w:t>土壤等事故发生。</w:t>
      </w:r>
    </w:p>
    <w:p w14:paraId="27991769">
      <w:pPr>
        <w:keepNext w:val="0"/>
        <w:keepLines w:val="0"/>
        <w:pageBreakBefore w:val="0"/>
        <w:widowControl w:val="0"/>
        <w:overflow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color w:val="auto"/>
          <w:spacing w:val="0"/>
          <w:w w:val="100"/>
          <w:position w:val="0"/>
          <w:sz w:val="24"/>
          <w:szCs w:val="24"/>
          <w:u w:val="none" w:color="auto"/>
        </w:rPr>
        <w:t>3</w:t>
      </w:r>
      <w:r>
        <w:rPr>
          <w:rFonts w:hint="default" w:ascii="Times New Roman" w:hAnsi="Times New Roman" w:eastAsia="宋体" w:cs="Times New Roman"/>
          <w:color w:val="auto"/>
          <w:spacing w:val="0"/>
          <w:w w:val="100"/>
          <w:position w:val="0"/>
          <w:sz w:val="24"/>
          <w:szCs w:val="24"/>
          <w:u w:val="none" w:color="auto"/>
        </w:rPr>
        <w:t>)工程使用的燃油</w:t>
      </w:r>
      <w:r>
        <w:rPr>
          <w:rFonts w:hint="default" w:ascii="Times New Roman" w:hAnsi="Times New Roman" w:eastAsia="宋体" w:cs="Times New Roman"/>
          <w:color w:val="auto"/>
          <w:spacing w:val="0"/>
          <w:w w:val="100"/>
          <w:position w:val="0"/>
          <w:sz w:val="24"/>
          <w:szCs w:val="24"/>
          <w:u w:val="none" w:color="auto"/>
          <w:lang w:val="en-US" w:eastAsia="zh-CN"/>
        </w:rPr>
        <w:t>机械设备</w:t>
      </w:r>
      <w:r>
        <w:rPr>
          <w:rFonts w:hint="default" w:ascii="Times New Roman" w:hAnsi="Times New Roman" w:eastAsia="宋体" w:cs="Times New Roman"/>
          <w:color w:val="auto"/>
          <w:spacing w:val="0"/>
          <w:w w:val="100"/>
          <w:position w:val="0"/>
          <w:sz w:val="24"/>
          <w:szCs w:val="24"/>
          <w:u w:val="none" w:color="auto"/>
          <w:lang w:eastAsia="zh-CN"/>
        </w:rPr>
        <w:t>安排</w:t>
      </w:r>
      <w:r>
        <w:rPr>
          <w:rFonts w:hint="default" w:ascii="Times New Roman" w:hAnsi="Times New Roman" w:eastAsia="宋体" w:cs="Times New Roman"/>
          <w:color w:val="auto"/>
          <w:spacing w:val="0"/>
          <w:w w:val="100"/>
          <w:position w:val="0"/>
          <w:sz w:val="24"/>
          <w:szCs w:val="24"/>
          <w:u w:val="none" w:color="auto"/>
        </w:rPr>
        <w:t>专人负责</w:t>
      </w:r>
      <w:r>
        <w:rPr>
          <w:rFonts w:hint="default" w:ascii="Times New Roman" w:hAnsi="Times New Roman" w:eastAsia="宋体" w:cs="Times New Roman"/>
          <w:color w:val="auto"/>
          <w:spacing w:val="0"/>
          <w:w w:val="100"/>
          <w:position w:val="0"/>
          <w:sz w:val="24"/>
          <w:szCs w:val="24"/>
          <w:u w:val="none" w:color="auto"/>
          <w:lang w:val="en-US" w:eastAsia="zh-CN"/>
        </w:rPr>
        <w:t>管理，及时保养</w:t>
      </w:r>
      <w:r>
        <w:rPr>
          <w:rFonts w:hint="default" w:ascii="Times New Roman" w:hAnsi="Times New Roman" w:eastAsia="宋体" w:cs="Times New Roman"/>
          <w:color w:val="auto"/>
          <w:spacing w:val="0"/>
          <w:w w:val="100"/>
          <w:position w:val="0"/>
          <w:sz w:val="24"/>
          <w:szCs w:val="24"/>
          <w:u w:val="none" w:color="auto"/>
        </w:rPr>
        <w:t>，防止跑、冒、滴、漏污染土壤和水体；加强交通运输管理，减少交通事故发生，避免油料泄漏污染</w:t>
      </w:r>
      <w:r>
        <w:rPr>
          <w:rFonts w:hint="default" w:ascii="Times New Roman" w:hAnsi="Times New Roman" w:eastAsia="宋体" w:cs="Times New Roman"/>
          <w:color w:val="auto"/>
          <w:spacing w:val="0"/>
          <w:w w:val="100"/>
          <w:position w:val="0"/>
          <w:sz w:val="24"/>
          <w:szCs w:val="24"/>
          <w:u w:val="none" w:color="auto"/>
          <w:lang w:eastAsia="zh-CN"/>
        </w:rPr>
        <w:t>地下水</w:t>
      </w:r>
      <w:r>
        <w:rPr>
          <w:rFonts w:hint="default" w:ascii="Times New Roman" w:hAnsi="Times New Roman" w:eastAsia="宋体" w:cs="Times New Roman"/>
          <w:color w:val="auto"/>
          <w:spacing w:val="0"/>
          <w:w w:val="100"/>
          <w:position w:val="0"/>
          <w:sz w:val="24"/>
          <w:szCs w:val="24"/>
          <w:u w:val="none" w:color="auto"/>
        </w:rPr>
        <w:t>。</w:t>
      </w:r>
    </w:p>
    <w:p w14:paraId="3236436A">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position w:val="0"/>
          <w:sz w:val="24"/>
          <w:szCs w:val="24"/>
          <w:u w:val="none" w:color="auto"/>
        </w:rPr>
        <w:t>）施工期各类固体废物应分类收集，做好收集管理工作，并做到及时清运处理；禁止利用生活垃圾和弃土等固体废物回填沟、坑等，对现场固体废物堆放应做好防渗漏处理，避免因雨淋或渗滤液渗漏引起地下水污染。</w:t>
      </w:r>
    </w:p>
    <w:p w14:paraId="78B5F80A">
      <w:pPr>
        <w:pStyle w:val="4"/>
        <w:bidi w:val="0"/>
        <w:rPr>
          <w:rFonts w:hint="default" w:ascii="Times New Roman" w:hAnsi="Times New Roman" w:cs="Times New Roman"/>
          <w:u w:val="none" w:color="auto"/>
        </w:rPr>
      </w:pPr>
      <w:bookmarkStart w:id="323" w:name="_Toc26004"/>
      <w:r>
        <w:rPr>
          <w:rFonts w:hint="default" w:ascii="Times New Roman" w:hAnsi="Times New Roman" w:cs="Times New Roman"/>
          <w:u w:val="none" w:color="auto"/>
          <w:lang w:eastAsia="zh-CN"/>
        </w:rPr>
        <w:t>施工期</w:t>
      </w:r>
      <w:r>
        <w:rPr>
          <w:rFonts w:hint="default" w:ascii="Times New Roman" w:hAnsi="Times New Roman" w:cs="Times New Roman"/>
          <w:u w:val="none" w:color="auto"/>
        </w:rPr>
        <w:t>声环境保护措施</w:t>
      </w:r>
      <w:bookmarkEnd w:id="323"/>
    </w:p>
    <w:p w14:paraId="04D27B5E">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（1）交通噪声控制</w:t>
      </w:r>
    </w:p>
    <w:p w14:paraId="423E5939">
      <w:pPr>
        <w:keepNext w:val="0"/>
        <w:keepLines w:val="0"/>
        <w:pageBreakBefore w:val="0"/>
        <w:widowControl w:val="0"/>
        <w:kinsoku w:val="0"/>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为减少交通噪声污染采取以下控制措施：</w:t>
      </w:r>
    </w:p>
    <w:p w14:paraId="4ACF6B97">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①在进场公路和场内交通道路，限制使用噪声大的车辆，控制车流量和行车速度，当车辆行驶至周边居民点时，降低车速和禁止使用高音嗽叭。</w:t>
      </w:r>
    </w:p>
    <w:p w14:paraId="33BEA918">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②加强进场公路交通运输管理，为防止进场公路（主要为</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物料运输</w:t>
      </w:r>
      <w:r>
        <w:rPr>
          <w:rFonts w:hint="default" w:ascii="Times New Roman" w:hAnsi="Times New Roman" w:eastAsia="宋体" w:cs="Times New Roman"/>
          <w:caps w:val="0"/>
          <w:smallCaps w:val="0"/>
          <w:color w:val="auto"/>
          <w:spacing w:val="0"/>
          <w:w w:val="100"/>
          <w:position w:val="0"/>
          <w:sz w:val="24"/>
          <w:szCs w:val="24"/>
          <w:u w:val="none" w:color="auto"/>
        </w:rPr>
        <w:t>进入施工区）产生的交通噪声夜间对沿线居民点的干扰，建设期实行交通管制，夜间严格控制大、中型车辆进入进场公路，对小型车辆进入该进场公路按设计车速进行限制。</w:t>
      </w:r>
    </w:p>
    <w:p w14:paraId="33EF7703">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③加强道路的养护和车辆的维护保养，降低噪声源。</w:t>
      </w:r>
    </w:p>
    <w:p w14:paraId="4E34EC34">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④使用的车辆必须符合《汽车定置噪声限值》（GB16170-1996）和《机动车辆允许噪声》（GB1495-79），并尽量选用低噪声车辆。</w:t>
      </w:r>
    </w:p>
    <w:p w14:paraId="553571D5">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⑤加强对施工运输车辆的管理。集中的施工车辆使用应该避开夜间；对驾驶员应该宣传、教育和监督，杜绝超载、超速、减少鸣笛，并加强车辆维修，防止车况不良导致的高噪声。</w:t>
      </w:r>
    </w:p>
    <w:p w14:paraId="26F14CFA">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（2）施工设备控制</w:t>
      </w:r>
    </w:p>
    <w:p w14:paraId="0F2985D1">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①</w:t>
      </w:r>
      <w:r>
        <w:rPr>
          <w:rFonts w:hint="default" w:ascii="Times New Roman" w:hAnsi="Times New Roman" w:eastAsia="宋体" w:cs="Times New Roman"/>
          <w:caps w:val="0"/>
          <w:smallCaps w:val="0"/>
          <w:color w:val="auto"/>
          <w:spacing w:val="0"/>
          <w:w w:val="100"/>
          <w:position w:val="0"/>
          <w:sz w:val="24"/>
          <w:szCs w:val="24"/>
          <w:u w:val="none" w:color="auto"/>
          <w:lang w:eastAsia="zh-CN"/>
        </w:rPr>
        <w:t>钢筋加工</w:t>
      </w:r>
      <w:r>
        <w:rPr>
          <w:rFonts w:hint="default" w:ascii="Times New Roman" w:hAnsi="Times New Roman" w:eastAsia="宋体" w:cs="Times New Roman"/>
          <w:caps w:val="0"/>
          <w:smallCaps w:val="0"/>
          <w:color w:val="auto"/>
          <w:spacing w:val="0"/>
          <w:w w:val="100"/>
          <w:position w:val="0"/>
          <w:sz w:val="24"/>
          <w:szCs w:val="24"/>
          <w:u w:val="none" w:color="auto"/>
        </w:rPr>
        <w:t>等</w:t>
      </w:r>
      <w:r>
        <w:rPr>
          <w:rFonts w:hint="default" w:ascii="Times New Roman" w:hAnsi="Times New Roman" w:eastAsia="宋体" w:cs="Times New Roman"/>
          <w:caps w:val="0"/>
          <w:smallCaps w:val="0"/>
          <w:color w:val="auto"/>
          <w:spacing w:val="0"/>
          <w:w w:val="100"/>
          <w:position w:val="0"/>
          <w:sz w:val="24"/>
          <w:szCs w:val="24"/>
          <w:u w:val="none" w:color="auto"/>
          <w:lang w:eastAsia="zh-CN"/>
        </w:rPr>
        <w:t>高噪声生产区</w:t>
      </w:r>
      <w:r>
        <w:rPr>
          <w:rFonts w:hint="default" w:ascii="Times New Roman" w:hAnsi="Times New Roman" w:eastAsia="宋体" w:cs="Times New Roman"/>
          <w:caps w:val="0"/>
          <w:smallCaps w:val="0"/>
          <w:color w:val="auto"/>
          <w:spacing w:val="0"/>
          <w:w w:val="100"/>
          <w:position w:val="0"/>
          <w:sz w:val="24"/>
          <w:szCs w:val="24"/>
          <w:u w:val="none" w:color="auto"/>
        </w:rPr>
        <w:t>尽可能用多孔性吸声材料建立隔声屏障、隔声罩和隔声间。</w:t>
      </w:r>
    </w:p>
    <w:p w14:paraId="3A9EBD7D">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②施工机械设备应安放稳固，并与地面保持良好接触，有条件的应使用减振机座。</w:t>
      </w:r>
    </w:p>
    <w:p w14:paraId="0E1AFB88">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③</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从源头控制污染源，选择符合噪声标准机械设备、优先采取先进低噪声施工技术，加强噪声源控制。</w:t>
      </w:r>
    </w:p>
    <w:p w14:paraId="13D625D4">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④优化施工布置。在施工</w:t>
      </w:r>
      <w:r>
        <w:rPr>
          <w:rFonts w:hint="eastAsia" w:ascii="Times New Roman" w:hAnsi="Times New Roman" w:eastAsia="宋体" w:cs="Times New Roman"/>
          <w:caps w:val="0"/>
          <w:smallCaps w:val="0"/>
          <w:color w:val="auto"/>
          <w:spacing w:val="0"/>
          <w:w w:val="100"/>
          <w:position w:val="0"/>
          <w:sz w:val="24"/>
          <w:szCs w:val="24"/>
          <w:u w:val="none" w:color="auto"/>
          <w:lang w:eastAsia="zh-CN"/>
        </w:rPr>
        <w:t>加工区</w:t>
      </w:r>
      <w:r>
        <w:rPr>
          <w:rFonts w:hint="default" w:ascii="Times New Roman" w:hAnsi="Times New Roman" w:eastAsia="宋体" w:cs="Times New Roman"/>
          <w:caps w:val="0"/>
          <w:smallCaps w:val="0"/>
          <w:color w:val="auto"/>
          <w:spacing w:val="0"/>
          <w:w w:val="100"/>
          <w:position w:val="0"/>
          <w:sz w:val="24"/>
          <w:szCs w:val="24"/>
          <w:u w:val="none" w:color="auto"/>
        </w:rPr>
        <w:t>、仓库场界范围内，</w:t>
      </w:r>
      <w:bookmarkStart w:id="324" w:name="_Hlk496705448"/>
      <w:r>
        <w:rPr>
          <w:rFonts w:hint="default" w:ascii="Times New Roman" w:hAnsi="Times New Roman" w:eastAsia="宋体" w:cs="Times New Roman"/>
          <w:caps w:val="0"/>
          <w:smallCaps w:val="0"/>
          <w:color w:val="auto"/>
          <w:spacing w:val="0"/>
          <w:w w:val="100"/>
          <w:position w:val="0"/>
          <w:sz w:val="24"/>
          <w:szCs w:val="24"/>
          <w:u w:val="none" w:color="auto"/>
        </w:rPr>
        <w:t>将噪声影响较大的机械设备尽量布置在远离居民点的一侧</w:t>
      </w:r>
      <w:bookmarkEnd w:id="324"/>
      <w:r>
        <w:rPr>
          <w:rFonts w:hint="default" w:ascii="Times New Roman" w:hAnsi="Times New Roman" w:eastAsia="宋体" w:cs="Times New Roman"/>
          <w:caps w:val="0"/>
          <w:smallCaps w:val="0"/>
          <w:color w:val="auto"/>
          <w:spacing w:val="0"/>
          <w:w w:val="100"/>
          <w:position w:val="0"/>
          <w:sz w:val="24"/>
          <w:szCs w:val="24"/>
          <w:u w:val="none" w:color="auto"/>
        </w:rPr>
        <w:t>，在靠近居民点一侧用于材料设备停放。</w:t>
      </w:r>
    </w:p>
    <w:p w14:paraId="7916CC32">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⑤</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合理安排施工时间，</w:t>
      </w:r>
      <w:r>
        <w:rPr>
          <w:rFonts w:hint="default" w:ascii="Times New Roman" w:hAnsi="Times New Roman" w:eastAsia="宋体" w:cs="Times New Roman"/>
          <w:caps w:val="0"/>
          <w:smallCaps w:val="0"/>
          <w:color w:val="auto"/>
          <w:spacing w:val="0"/>
          <w:w w:val="100"/>
          <w:position w:val="0"/>
          <w:sz w:val="24"/>
          <w:szCs w:val="24"/>
          <w:u w:val="none" w:color="auto"/>
        </w:rPr>
        <w:t>禁止夜间施工。若因工艺需要必须在晚上施工，应上报当地生态环境主管部门批准同意，并在施工前公告。</w:t>
      </w:r>
    </w:p>
    <w:p w14:paraId="7E5D2C2A">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fldChar w:fldCharType="begin"/>
      </w:r>
      <w:r>
        <w:rPr>
          <w:rFonts w:hint="default" w:ascii="Times New Roman" w:hAnsi="Times New Roman" w:eastAsia="宋体" w:cs="Times New Roman"/>
          <w:caps w:val="0"/>
          <w:smallCaps w:val="0"/>
          <w:color w:val="auto"/>
          <w:spacing w:val="0"/>
          <w:w w:val="100"/>
          <w:position w:val="0"/>
          <w:sz w:val="24"/>
          <w:szCs w:val="24"/>
          <w:u w:val="none" w:color="auto"/>
        </w:rPr>
        <w:instrText xml:space="preserve"> = 6 \* GB3 \* MERGEFORMAT </w:instrText>
      </w:r>
      <w:r>
        <w:rPr>
          <w:rFonts w:hint="default" w:ascii="Times New Roman" w:hAnsi="Times New Roman" w:eastAsia="宋体" w:cs="Times New Roman"/>
          <w:caps w:val="0"/>
          <w:smallCaps w:val="0"/>
          <w:color w:val="auto"/>
          <w:spacing w:val="0"/>
          <w:w w:val="100"/>
          <w:position w:val="0"/>
          <w:sz w:val="24"/>
          <w:szCs w:val="24"/>
          <w:u w:val="none" w:color="auto"/>
        </w:rPr>
        <w:fldChar w:fldCharType="separate"/>
      </w:r>
      <w:r>
        <w:rPr>
          <w:rFonts w:hint="default" w:ascii="Times New Roman" w:hAnsi="Times New Roman" w:cs="Times New Roman"/>
          <w:color w:val="auto"/>
          <w:u w:val="none" w:color="auto"/>
        </w:rPr>
        <w:t>⑥</w:t>
      </w:r>
      <w:r>
        <w:rPr>
          <w:rFonts w:hint="default" w:ascii="Times New Roman" w:hAnsi="Times New Roman" w:eastAsia="宋体" w:cs="Times New Roman"/>
          <w:caps w:val="0"/>
          <w:smallCaps w:val="0"/>
          <w:color w:val="auto"/>
          <w:spacing w:val="0"/>
          <w:w w:val="100"/>
          <w:position w:val="0"/>
          <w:sz w:val="24"/>
          <w:szCs w:val="24"/>
          <w:u w:val="none" w:color="auto"/>
        </w:rPr>
        <w:fldChar w:fldCharType="end"/>
      </w:r>
      <w:r>
        <w:rPr>
          <w:rFonts w:hint="default" w:ascii="Times New Roman" w:hAnsi="Times New Roman" w:eastAsia="宋体" w:cs="Times New Roman"/>
          <w:caps w:val="0"/>
          <w:smallCaps w:val="0"/>
          <w:color w:val="auto"/>
          <w:spacing w:val="0"/>
          <w:w w:val="100"/>
          <w:position w:val="0"/>
          <w:sz w:val="24"/>
          <w:szCs w:val="24"/>
          <w:u w:val="none" w:color="auto"/>
        </w:rPr>
        <w:t>加强施工设备的维护保养</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rPr>
        <w:t>发生故障应及时维修，保持润滑、紧固各部件，减少运行振动噪声。</w:t>
      </w:r>
    </w:p>
    <w:p w14:paraId="41E2C91B">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fldChar w:fldCharType="begin"/>
      </w:r>
      <w:r>
        <w:rPr>
          <w:rFonts w:hint="default" w:ascii="Times New Roman" w:hAnsi="Times New Roman" w:eastAsia="宋体" w:cs="Times New Roman"/>
          <w:caps w:val="0"/>
          <w:smallCaps w:val="0"/>
          <w:color w:val="auto"/>
          <w:spacing w:val="0"/>
          <w:w w:val="100"/>
          <w:position w:val="0"/>
          <w:sz w:val="24"/>
          <w:szCs w:val="24"/>
          <w:u w:val="none" w:color="auto"/>
        </w:rPr>
        <w:instrText xml:space="preserve"> = 7 \* GB3 \* MERGEFORMAT </w:instrText>
      </w:r>
      <w:r>
        <w:rPr>
          <w:rFonts w:hint="default" w:ascii="Times New Roman" w:hAnsi="Times New Roman" w:eastAsia="宋体" w:cs="Times New Roman"/>
          <w:caps w:val="0"/>
          <w:smallCaps w:val="0"/>
          <w:color w:val="auto"/>
          <w:spacing w:val="0"/>
          <w:w w:val="100"/>
          <w:position w:val="0"/>
          <w:sz w:val="24"/>
          <w:szCs w:val="24"/>
          <w:u w:val="none" w:color="auto"/>
        </w:rPr>
        <w:fldChar w:fldCharType="separate"/>
      </w:r>
      <w:r>
        <w:rPr>
          <w:rFonts w:hint="default" w:ascii="Times New Roman" w:hAnsi="Times New Roman" w:cs="Times New Roman"/>
          <w:color w:val="auto"/>
          <w:u w:val="none" w:color="auto"/>
        </w:rPr>
        <w:t>⑦</w:t>
      </w:r>
      <w:r>
        <w:rPr>
          <w:rFonts w:hint="default" w:ascii="Times New Roman" w:hAnsi="Times New Roman" w:eastAsia="宋体" w:cs="Times New Roman"/>
          <w:caps w:val="0"/>
          <w:smallCaps w:val="0"/>
          <w:color w:val="auto"/>
          <w:spacing w:val="0"/>
          <w:w w:val="100"/>
          <w:position w:val="0"/>
          <w:sz w:val="24"/>
          <w:szCs w:val="24"/>
          <w:u w:val="none" w:color="auto"/>
        </w:rPr>
        <w:fldChar w:fldCharType="end"/>
      </w:r>
      <w:r>
        <w:rPr>
          <w:rFonts w:hint="default" w:ascii="Times New Roman" w:hAnsi="Times New Roman" w:eastAsia="宋体" w:cs="Times New Roman"/>
          <w:caps w:val="0"/>
          <w:smallCaps w:val="0"/>
          <w:color w:val="auto"/>
          <w:spacing w:val="0"/>
          <w:w w:val="100"/>
          <w:position w:val="0"/>
          <w:sz w:val="24"/>
          <w:szCs w:val="24"/>
          <w:u w:val="none" w:color="auto"/>
        </w:rPr>
        <w:t>加强施工管理、文明施工，杜绝施工机械在运行过程中因维护不当而产生的其他噪声。</w:t>
      </w:r>
    </w:p>
    <w:p w14:paraId="2750FC9A">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FF0000"/>
          <w:spacing w:val="0"/>
          <w:w w:val="10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position w:val="0"/>
          <w:sz w:val="24"/>
          <w:szCs w:val="24"/>
          <w:u w:val="none" w:color="auto"/>
        </w:rPr>
        <w:t>（3）敏感目标保护措施</w:t>
      </w:r>
    </w:p>
    <w:p w14:paraId="08982485">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针对</w:t>
      </w:r>
      <w:r>
        <w:rPr>
          <w:rFonts w:hint="eastAsia" w:ascii="Times New Roman" w:hAnsi="Times New Roman" w:eastAsia="宋体" w:cs="Times New Roman"/>
          <w:caps w:val="0"/>
          <w:smallCaps w:val="0"/>
          <w:color w:val="auto"/>
          <w:spacing w:val="0"/>
          <w:w w:val="100"/>
          <w:position w:val="0"/>
          <w:sz w:val="24"/>
          <w:szCs w:val="24"/>
          <w:u w:val="none" w:color="auto"/>
          <w:lang w:eastAsia="zh-CN"/>
        </w:rPr>
        <w:t>运输</w:t>
      </w:r>
      <w:r>
        <w:rPr>
          <w:rFonts w:hint="default" w:ascii="Times New Roman" w:hAnsi="Times New Roman" w:eastAsia="宋体" w:cs="Times New Roman"/>
          <w:caps w:val="0"/>
          <w:smallCaps w:val="0"/>
          <w:color w:val="auto"/>
          <w:spacing w:val="0"/>
          <w:w w:val="100"/>
          <w:position w:val="0"/>
          <w:sz w:val="24"/>
          <w:szCs w:val="24"/>
          <w:u w:val="none" w:color="auto"/>
        </w:rPr>
        <w:t>道路</w:t>
      </w:r>
      <w:r>
        <w:rPr>
          <w:rFonts w:hint="eastAsia" w:ascii="Times New Roman" w:hAnsi="Times New Roman" w:eastAsia="宋体" w:cs="Times New Roman"/>
          <w:caps w:val="0"/>
          <w:smallCaps w:val="0"/>
          <w:color w:val="auto"/>
          <w:spacing w:val="0"/>
          <w:w w:val="100"/>
          <w:position w:val="0"/>
          <w:sz w:val="24"/>
          <w:szCs w:val="24"/>
          <w:u w:val="none" w:color="auto"/>
          <w:lang w:eastAsia="zh-CN"/>
        </w:rPr>
        <w:t>、施工道路沿线</w:t>
      </w:r>
      <w:r>
        <w:rPr>
          <w:rFonts w:hint="default" w:ascii="Times New Roman" w:hAnsi="Times New Roman" w:eastAsia="宋体" w:cs="Times New Roman"/>
          <w:caps w:val="0"/>
          <w:smallCaps w:val="0"/>
          <w:color w:val="auto"/>
          <w:spacing w:val="0"/>
          <w:w w:val="100"/>
          <w:position w:val="0"/>
          <w:sz w:val="24"/>
          <w:szCs w:val="24"/>
          <w:u w:val="none" w:color="auto"/>
        </w:rPr>
        <w:t>居民</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及施工区周边居民</w:t>
      </w:r>
      <w:r>
        <w:rPr>
          <w:rFonts w:hint="default" w:ascii="Times New Roman" w:hAnsi="Times New Roman" w:eastAsia="宋体" w:cs="Times New Roman"/>
          <w:caps w:val="0"/>
          <w:smallCaps w:val="0"/>
          <w:color w:val="auto"/>
          <w:spacing w:val="0"/>
          <w:w w:val="100"/>
          <w:position w:val="0"/>
          <w:sz w:val="24"/>
          <w:szCs w:val="24"/>
          <w:u w:val="none" w:color="auto"/>
        </w:rPr>
        <w:t>等环境敏感目标的影响特点，在采取上述噪声控制措施的基础上，提出如下环境保护措施：加强与敏感点人群的沟通，施工前应在敏感点张贴公示，争取获得谅解。公示内容包括工程名称、施工单位、施工时间安排，建设单位及主要联系人的名称与联系方式。对公众提出的环境影响投诉及时予以反馈与解决。夜间施工往往会造成较严重的噪声污染，因此应该合理安排施工进度，尽量减少夜间施工，尤其注意避免夜间进行高噪声施工。如果需要夜间施工，必须获得环保主管部门的认可，并公示周边公众。</w:t>
      </w:r>
    </w:p>
    <w:p w14:paraId="14E5DD35">
      <w:pPr>
        <w:pStyle w:val="4"/>
        <w:bidi w:val="0"/>
        <w:rPr>
          <w:rFonts w:hint="default" w:ascii="Times New Roman" w:hAnsi="Times New Roman" w:cs="Times New Roman"/>
          <w:u w:val="none" w:color="auto"/>
        </w:rPr>
      </w:pPr>
      <w:bookmarkStart w:id="325" w:name="_Toc6758"/>
      <w:r>
        <w:rPr>
          <w:rFonts w:hint="default" w:ascii="Times New Roman" w:hAnsi="Times New Roman" w:cs="Times New Roman"/>
          <w:u w:val="none" w:color="auto"/>
        </w:rPr>
        <w:t>固体废物保护措施</w:t>
      </w:r>
      <w:bookmarkEnd w:id="325"/>
    </w:p>
    <w:p w14:paraId="0C0E1BF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Times New Roman" w:cs="Times New Roman"/>
          <w:b w:val="0"/>
          <w:bCs w:val="0"/>
          <w:color w:val="auto"/>
          <w:spacing w:val="0"/>
          <w:w w:val="100"/>
          <w:position w:val="0"/>
          <w:sz w:val="24"/>
          <w:szCs w:val="24"/>
          <w:u w:val="none" w:color="auto"/>
        </w:rPr>
        <w:t>1</w:t>
      </w:r>
      <w:r>
        <w:rPr>
          <w:rFonts w:hint="default" w:ascii="Times New Roman" w:hAnsi="Times New Roman" w:eastAsia="宋体"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eastAsia="zh-CN"/>
        </w:rPr>
        <w:t>工程弃</w:t>
      </w:r>
      <w:r>
        <w:rPr>
          <w:rFonts w:hint="default" w:ascii="Times New Roman" w:hAnsi="Times New Roman" w:eastAsia="宋体" w:cs="Times New Roman"/>
          <w:color w:val="auto"/>
          <w:spacing w:val="0"/>
          <w:w w:val="100"/>
          <w:position w:val="0"/>
          <w:sz w:val="24"/>
          <w:szCs w:val="24"/>
          <w:u w:val="none" w:color="auto"/>
          <w:lang w:val="en-US" w:eastAsia="zh-CN"/>
        </w:rPr>
        <w:t>土</w:t>
      </w:r>
    </w:p>
    <w:p w14:paraId="0A930F5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本工程产生弃土</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/石</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量约为</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1.336万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。项目弃</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全部运至</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运至侯家岭弃土场回填</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，施工弃渣严禁向水库和河道内倾倒。</w:t>
      </w:r>
    </w:p>
    <w:p w14:paraId="2E5CCBD2">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w:t>
      </w:r>
      <w:r>
        <w:rPr>
          <w:rFonts w:hint="default" w:ascii="Times New Roman" w:hAnsi="Times New Roman" w:eastAsia="宋体" w:cs="Times New Roman"/>
          <w:color w:val="auto"/>
          <w:spacing w:val="0"/>
          <w:w w:val="100"/>
          <w:position w:val="0"/>
          <w:sz w:val="24"/>
          <w:szCs w:val="24"/>
          <w:u w:val="none" w:color="auto"/>
          <w:lang w:eastAsia="zh-CN"/>
        </w:rPr>
        <w:t>拆除的设备</w:t>
      </w:r>
    </w:p>
    <w:p w14:paraId="276351C8">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本工程对金属结构及设备拆除后</w:t>
      </w:r>
      <w:r>
        <w:rPr>
          <w:rFonts w:hint="default" w:ascii="Times New Roman" w:hAnsi="Times New Roman" w:eastAsia="宋体" w:cs="Times New Roman"/>
          <w:color w:val="auto"/>
          <w:spacing w:val="0"/>
          <w:w w:val="100"/>
          <w:position w:val="0"/>
          <w:sz w:val="24"/>
          <w:szCs w:val="24"/>
          <w:u w:val="none" w:color="auto"/>
          <w:lang w:eastAsia="zh-CN"/>
        </w:rPr>
        <w:t>外售</w:t>
      </w:r>
      <w:r>
        <w:rPr>
          <w:rFonts w:hint="default" w:ascii="Times New Roman" w:hAnsi="Times New Roman" w:eastAsia="宋体" w:cs="Times New Roman"/>
          <w:color w:val="auto"/>
          <w:spacing w:val="0"/>
          <w:w w:val="100"/>
          <w:position w:val="0"/>
          <w:sz w:val="24"/>
          <w:szCs w:val="24"/>
          <w:u w:val="none" w:color="auto"/>
        </w:rPr>
        <w:t>进行资源回收</w:t>
      </w:r>
      <w:r>
        <w:rPr>
          <w:rFonts w:hint="default" w:ascii="Times New Roman" w:hAnsi="Times New Roman" w:eastAsia="宋体" w:cs="Times New Roman"/>
          <w:color w:val="auto"/>
          <w:spacing w:val="0"/>
          <w:w w:val="100"/>
          <w:position w:val="0"/>
          <w:sz w:val="24"/>
          <w:szCs w:val="24"/>
          <w:u w:val="none" w:color="auto"/>
          <w:lang w:eastAsia="zh-CN"/>
        </w:rPr>
        <w:t>利用</w:t>
      </w:r>
      <w:r>
        <w:rPr>
          <w:rFonts w:hint="default" w:ascii="Times New Roman" w:hAnsi="Times New Roman" w:eastAsia="宋体" w:cs="Times New Roman"/>
          <w:color w:val="auto"/>
          <w:spacing w:val="0"/>
          <w:w w:val="100"/>
          <w:position w:val="0"/>
          <w:sz w:val="24"/>
          <w:szCs w:val="24"/>
          <w:u w:val="none" w:color="auto"/>
        </w:rPr>
        <w:t>。</w:t>
      </w:r>
    </w:p>
    <w:p w14:paraId="392CAA33">
      <w:pPr>
        <w:pageBreakBefore w:val="0"/>
        <w:kinsoku w:val="0"/>
        <w:wordWrap w:val="0"/>
        <w:overflowPunct/>
        <w:topLinePunct/>
        <w:autoSpaceDE/>
        <w:autoSpaceDN/>
        <w:bidi w:val="0"/>
        <w:adjustRightInd w:val="0"/>
        <w:spacing w:line="500" w:lineRule="exact"/>
        <w:ind w:firstLine="480" w:firstLineChars="200"/>
        <w:rPr>
          <w:rFonts w:hint="eastAsia" w:ascii="Times New Roman" w:hAnsi="Times New Roman" w:eastAsia="宋体" w:cs="Times New Roman"/>
          <w:caps w:val="0"/>
          <w:smallCaps w:val="0"/>
          <w:color w:val="FF0000"/>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建筑垃圾</w:t>
      </w:r>
    </w:p>
    <w:p w14:paraId="046924E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根据工程设计方案，砌体和混凝土拆除工程量约为</w:t>
      </w:r>
      <w:r>
        <w:rPr>
          <w:rFonts w:hint="eastAsia" w:ascii="Times New Roman" w:hAnsi="Times New Roman" w:eastAsia="宋体" w:cs="Times New Roman"/>
          <w:color w:val="auto"/>
          <w:spacing w:val="0"/>
          <w:w w:val="100"/>
          <w:position w:val="0"/>
          <w:sz w:val="24"/>
          <w:szCs w:val="24"/>
          <w:u w:val="none" w:color="auto"/>
          <w:lang w:val="en-US" w:eastAsia="zh-CN"/>
        </w:rPr>
        <w:t>0.873万</w:t>
      </w:r>
      <w:r>
        <w:rPr>
          <w:rFonts w:hint="default" w:ascii="Times New Roman" w:hAnsi="Times New Roman" w:eastAsia="宋体" w:cs="Times New Roman"/>
          <w:caps w:val="0"/>
          <w:smallCaps w:val="0"/>
          <w:color w:val="auto"/>
          <w:spacing w:val="0"/>
          <w:w w:val="100"/>
          <w:kern w:val="0"/>
          <w:position w:val="0"/>
          <w:sz w:val="24"/>
          <w:szCs w:val="24"/>
          <w:u w:val="none" w:color="auto"/>
        </w:rPr>
        <w:t>m</w:t>
      </w:r>
      <w:r>
        <w:rPr>
          <w:rFonts w:hint="default" w:ascii="Times New Roman" w:hAnsi="Times New Roman" w:eastAsia="宋体" w:cs="Times New Roman"/>
          <w:caps w:val="0"/>
          <w:smallCaps w:val="0"/>
          <w:color w:val="auto"/>
          <w:spacing w:val="0"/>
          <w:w w:val="100"/>
          <w:kern w:val="0"/>
          <w:position w:val="0"/>
          <w:sz w:val="24"/>
          <w:szCs w:val="24"/>
          <w:u w:val="none" w:color="auto"/>
          <w:vertAlign w:val="superscript"/>
        </w:rPr>
        <w:t>3</w:t>
      </w:r>
      <w:r>
        <w:rPr>
          <w:rFonts w:hint="default" w:ascii="Times New Roman" w:hAnsi="Times New Roman" w:eastAsia="宋体" w:cs="Times New Roman"/>
          <w:color w:val="auto"/>
          <w:spacing w:val="0"/>
          <w:w w:val="100"/>
          <w:position w:val="0"/>
          <w:sz w:val="24"/>
          <w:szCs w:val="24"/>
          <w:u w:val="none" w:color="auto"/>
          <w:lang w:val="en-US" w:eastAsia="zh-CN"/>
        </w:rPr>
        <w:t>，收集后</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交由专业渣土公司</w:t>
      </w:r>
      <w:r>
        <w:rPr>
          <w:rFonts w:hint="default"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运至</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vertAlign w:val="baseline"/>
          <w:lang w:val="en-US" w:eastAsia="zh-CN"/>
        </w:rPr>
        <w:t>城管部门指定地点处理处置，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严禁向水库和河道内倾倒</w:t>
      </w:r>
      <w:r>
        <w:rPr>
          <w:rFonts w:hint="default" w:ascii="Times New Roman" w:hAnsi="Times New Roman" w:eastAsia="宋体" w:cs="Times New Roman"/>
          <w:color w:val="auto"/>
          <w:spacing w:val="0"/>
          <w:w w:val="100"/>
          <w:position w:val="0"/>
          <w:sz w:val="24"/>
          <w:szCs w:val="24"/>
          <w:u w:val="none" w:color="auto"/>
          <w:lang w:val="en-US" w:eastAsia="zh-CN"/>
        </w:rPr>
        <w:t>。</w:t>
      </w:r>
    </w:p>
    <w:p w14:paraId="09B5183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eastAsia" w:ascii="Times New Roman" w:hAnsi="Times New Roman" w:eastAsia="宋体" w:cs="Times New Roman"/>
          <w:color w:val="auto"/>
          <w:spacing w:val="0"/>
          <w:w w:val="100"/>
          <w:position w:val="0"/>
          <w:sz w:val="24"/>
          <w:szCs w:val="24"/>
          <w:u w:val="none" w:color="auto"/>
          <w:lang w:val="en-US" w:eastAsia="zh-CN"/>
        </w:rPr>
        <w:t>（4）</w:t>
      </w:r>
      <w:r>
        <w:rPr>
          <w:rFonts w:hint="default" w:ascii="Times New Roman" w:hAnsi="Times New Roman" w:eastAsia="宋体" w:cs="Times New Roman"/>
          <w:color w:val="auto"/>
          <w:spacing w:val="0"/>
          <w:w w:val="100"/>
          <w:position w:val="0"/>
          <w:sz w:val="24"/>
          <w:szCs w:val="24"/>
          <w:u w:val="none" w:color="auto"/>
          <w:lang w:val="en-US" w:eastAsia="zh-CN"/>
        </w:rPr>
        <w:t>沉淀池收集的污泥</w:t>
      </w:r>
    </w:p>
    <w:p w14:paraId="58FCE2E5">
      <w:pPr>
        <w:pageBreakBefore w:val="0"/>
        <w:kinsoku w:val="0"/>
        <w:wordWrap w:val="0"/>
        <w:overflowPunct/>
        <w:topLinePunct/>
        <w:autoSpaceDE/>
        <w:autoSpaceDN/>
        <w:bidi w:val="0"/>
        <w:adjustRightInd w:val="0"/>
        <w:spacing w:line="500" w:lineRule="exact"/>
        <w:ind w:firstLine="480" w:firstLineChars="200"/>
        <w:rPr>
          <w:u w:val="none" w:color="auto"/>
        </w:rPr>
      </w:pPr>
      <w:r>
        <w:rPr>
          <w:rFonts w:hint="default" w:ascii="Times New Roman" w:hAnsi="Times New Roman" w:eastAsia="宋体" w:cs="Times New Roman"/>
          <w:sz w:val="24"/>
          <w:szCs w:val="24"/>
          <w:u w:val="none" w:color="auto"/>
          <w:lang w:val="en-US" w:eastAsia="zh-CN"/>
        </w:rPr>
        <w:t>沉淀池会产生污泥、泥渣</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施工期污泥产生量约为15t。</w:t>
      </w:r>
      <w:r>
        <w:rPr>
          <w:rFonts w:hint="eastAsia" w:ascii="Times New Roman" w:hAnsi="Times New Roman" w:eastAsia="宋体" w:cs="Times New Roman"/>
          <w:sz w:val="24"/>
          <w:szCs w:val="24"/>
          <w:u w:val="none" w:color="auto"/>
          <w:lang w:val="en-US" w:eastAsia="zh-CN"/>
        </w:rPr>
        <w:t>各</w:t>
      </w:r>
      <w:r>
        <w:rPr>
          <w:rFonts w:hint="eastAsia" w:ascii="宋体" w:hAnsi="宋体" w:eastAsia="宋体" w:cs="宋体"/>
          <w:color w:val="000000"/>
          <w:kern w:val="0"/>
          <w:sz w:val="24"/>
          <w:szCs w:val="24"/>
          <w:u w:val="none" w:color="auto"/>
          <w:lang w:val="en-US" w:eastAsia="zh-CN" w:bidi="ar"/>
        </w:rPr>
        <w:t>沉淀池收集的污泥定期人工清理，经收集后外售砖厂制砖。</w:t>
      </w:r>
    </w:p>
    <w:p w14:paraId="57E858A4">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生活垃圾</w:t>
      </w:r>
    </w:p>
    <w:p w14:paraId="66C883F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项目施工期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生活垃圾</w:t>
      </w:r>
      <w:r>
        <w:rPr>
          <w:rFonts w:hint="default" w:ascii="Times New Roman" w:hAnsi="Times New Roman" w:eastAsia="宋体" w:cs="Times New Roman"/>
          <w:caps w:val="0"/>
          <w:smallCaps w:val="0"/>
          <w:color w:val="auto"/>
          <w:spacing w:val="0"/>
          <w:w w:val="100"/>
          <w:kern w:val="0"/>
          <w:position w:val="0"/>
          <w:sz w:val="24"/>
          <w:szCs w:val="24"/>
          <w:u w:val="none" w:color="auto"/>
        </w:rPr>
        <w:t>产生量为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0.16t</w:t>
      </w:r>
      <w:r>
        <w:rPr>
          <w:rFonts w:hint="default" w:ascii="Times New Roman" w:hAnsi="Times New Roman" w:eastAsia="宋体" w:cs="Times New Roman"/>
          <w:caps w:val="0"/>
          <w:smallCaps w:val="0"/>
          <w:color w:val="auto"/>
          <w:spacing w:val="0"/>
          <w:w w:val="100"/>
          <w:kern w:val="0"/>
          <w:position w:val="0"/>
          <w:sz w:val="24"/>
          <w:szCs w:val="24"/>
          <w:u w:val="none" w:color="auto"/>
        </w:rPr>
        <w:t>/d，施工场地设置垃圾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桶</w:t>
      </w:r>
      <w:r>
        <w:rPr>
          <w:rFonts w:hint="default" w:ascii="Times New Roman" w:hAnsi="Times New Roman" w:eastAsia="宋体" w:cs="Times New Roman"/>
          <w:caps w:val="0"/>
          <w:smallCaps w:val="0"/>
          <w:color w:val="auto"/>
          <w:spacing w:val="0"/>
          <w:w w:val="100"/>
          <w:kern w:val="0"/>
          <w:position w:val="0"/>
          <w:sz w:val="24"/>
          <w:szCs w:val="24"/>
          <w:u w:val="none" w:color="auto"/>
        </w:rPr>
        <w:t>，生活垃圾集中收集，定时清运处理。</w:t>
      </w:r>
    </w:p>
    <w:p w14:paraId="4401A15C">
      <w:pPr>
        <w:pageBreakBefore w:val="0"/>
        <w:numPr>
          <w:ilvl w:val="0"/>
          <w:numId w:val="23"/>
        </w:numPr>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olor w:val="auto"/>
          <w:spacing w:val="0"/>
          <w:w w:val="100"/>
          <w:position w:val="0"/>
          <w:sz w:val="24"/>
          <w:szCs w:val="24"/>
          <w:u w:val="none" w:color="auto"/>
          <w:lang w:eastAsia="zh-CN"/>
        </w:rPr>
      </w:pPr>
      <w:r>
        <w:rPr>
          <w:rFonts w:hint="default" w:ascii="Times New Roman" w:hAnsi="Times New Roman" w:eastAsia="宋体" w:cs="Times New Roman"/>
          <w:color w:val="auto"/>
          <w:spacing w:val="0"/>
          <w:w w:val="100"/>
          <w:position w:val="0"/>
          <w:sz w:val="24"/>
          <w:szCs w:val="24"/>
          <w:u w:val="none" w:color="auto"/>
          <w:lang w:eastAsia="zh-CN"/>
        </w:rPr>
        <w:t>废油</w:t>
      </w:r>
    </w:p>
    <w:p w14:paraId="0DFE588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工程施工期间，对隔油沉淀池定期清理将产生一定量废油，废油产生量约为0.5t/a</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废油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用储油桶暂存于危废暂存仓库内，</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及时</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交由</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有资质的单位处理处置。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危险废物暂存仓库设置于水库管理所，按照《危险废物贮存污染控制标准》（GB18597-2023）的相关要求设置，地面做好防渗，</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并张贴危废标识、标牌及相关警示标语。同时应严格按照危险废物规范化管理台账要求，认真登记危险废物产生、贮存、利用、处置、转移等各环节地点建立的相关台账，按时、详细、准确记录各环节危险废物相关数据，管理台账要</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妥善</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保管。</w:t>
      </w:r>
    </w:p>
    <w:p w14:paraId="41CB3C02">
      <w:pPr>
        <w:pStyle w:val="4"/>
        <w:bidi w:val="0"/>
        <w:rPr>
          <w:rFonts w:hint="default" w:ascii="Times New Roman" w:hAnsi="Times New Roman" w:cs="Times New Roman"/>
          <w:color w:val="auto"/>
          <w:u w:val="none" w:color="auto"/>
        </w:rPr>
      </w:pPr>
      <w:bookmarkStart w:id="326" w:name="_Toc31565"/>
      <w:r>
        <w:rPr>
          <w:rFonts w:hint="default" w:ascii="Times New Roman" w:hAnsi="Times New Roman" w:cs="Times New Roman"/>
          <w:color w:val="auto"/>
          <w:u w:val="none" w:color="auto"/>
          <w:lang w:val="en-US" w:eastAsia="zh-CN"/>
        </w:rPr>
        <w:t>生</w:t>
      </w:r>
      <w:r>
        <w:rPr>
          <w:rFonts w:hint="default" w:ascii="Times New Roman" w:hAnsi="Times New Roman" w:cs="Times New Roman"/>
          <w:color w:val="auto"/>
          <w:u w:val="none" w:color="auto"/>
        </w:rPr>
        <w:t>态保护措施</w:t>
      </w:r>
      <w:bookmarkEnd w:id="326"/>
    </w:p>
    <w:p w14:paraId="37FBF2A3">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bookmarkStart w:id="327" w:name="_Toc478721151"/>
      <w:bookmarkStart w:id="328" w:name="_Toc472409866"/>
      <w:r>
        <w:rPr>
          <w:rFonts w:hint="default" w:ascii="Times New Roman" w:hAnsi="Times New Roman" w:eastAsia="宋体" w:cs="Times New Roman"/>
          <w:caps w:val="0"/>
          <w:smallCaps w:val="0"/>
          <w:snapToGrid/>
          <w:color w:val="auto"/>
          <w:spacing w:val="0"/>
          <w:kern w:val="0"/>
          <w:sz w:val="24"/>
          <w:szCs w:val="24"/>
          <w:highlight w:val="none"/>
          <w:u w:val="none" w:color="auto"/>
        </w:rPr>
        <w:t>针对评价区生态现状及生态功能分区，结合工程可能对区域生物及生态环境带来的不利影响，提出一系列切实可行的保护和恢复措施，以减小由于工程建设对区域生态的不利影响，达到积极的保护、恢复及改善作用。</w:t>
      </w:r>
    </w:p>
    <w:p w14:paraId="1EEAEDDF">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水生生态保护</w:t>
      </w:r>
    </w:p>
    <w:p w14:paraId="4A50C652">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合理安排施工时序，3-8月是鱼类产卵高峰期，从减缓对鱼类资源影响的角度出发，在鱼类繁殖期避免在水域范围内进行施工作业，以减少对鱼类繁殖的影响；为减缓施工噪声对鱼类的影响，采用消声设备，进一步降低水下噪声的影响；各类施工废水分类收集、处理后回用，禁止将含油废水外排入库；施工材料的堆放要远离水体，并做好防雨遮雨设施，防止随地表径流进入水体；施工弃渣和生活垃圾等应集中收集处理，禁止排入水库及下游河流，严禁在库区及邻近渠道倾倒、堆放施工固体废物，以减缓污水和固体废弃物对</w:t>
      </w:r>
      <w:r>
        <w:rPr>
          <w:rFonts w:hint="eastAsia" w:ascii="Times New Roman" w:hAnsi="Times New Roman" w:eastAsia="宋体" w:cs="Times New Roman"/>
          <w:caps w:val="0"/>
          <w:smallCaps w:val="0"/>
          <w:snapToGrid/>
          <w:color w:val="auto"/>
          <w:spacing w:val="0"/>
          <w:kern w:val="0"/>
          <w:sz w:val="24"/>
          <w:szCs w:val="24"/>
          <w:highlight w:val="none"/>
          <w:u w:val="none" w:color="auto"/>
          <w:lang w:eastAsia="zh-CN"/>
        </w:rPr>
        <w:t>北汊水库</w:t>
      </w:r>
      <w:r>
        <w:rPr>
          <w:rFonts w:hint="default" w:ascii="Times New Roman" w:hAnsi="Times New Roman" w:eastAsia="宋体" w:cs="Times New Roman"/>
          <w:caps w:val="0"/>
          <w:smallCaps w:val="0"/>
          <w:snapToGrid/>
          <w:color w:val="auto"/>
          <w:spacing w:val="0"/>
          <w:kern w:val="0"/>
          <w:sz w:val="24"/>
          <w:szCs w:val="24"/>
          <w:highlight w:val="none"/>
          <w:u w:val="none" w:color="auto"/>
        </w:rPr>
        <w:t>生态环境的影响。在施工区域设立警示牌，加强对施工及管理人员环保知识的宣传教育，树立良好环境保护意识；加强监管，严禁施工人员随意捕捉野生动植物和水生生物。在工程施工期应有专业人员负责环保工作，落实各项环保措施，并对工程施工行为的监督和管理。</w:t>
      </w:r>
    </w:p>
    <w:p w14:paraId="4B4EDF6E">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1、减缓措施</w:t>
      </w:r>
    </w:p>
    <w:p w14:paraId="76F0FC41">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加强监管，严格按环保要求施工，生活污水和施工废水、生活垃圾与其他固体废弃物等按环保要求严禁直接排放入水库及下游河道，防止污染破坏水生生境。</w:t>
      </w:r>
    </w:p>
    <w:p w14:paraId="6A3C2B31">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在工程施工区设置水生生物保护警示牌，增强施工人员的环保意识，严禁施工人员下水捕捞以及炸鱼、毒鱼、电力捕鱼等行为。</w:t>
      </w:r>
    </w:p>
    <w:p w14:paraId="251C0CC3">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2、管理措施</w:t>
      </w:r>
    </w:p>
    <w:p w14:paraId="23220FB0">
      <w:pPr>
        <w:spacing w:line="360" w:lineRule="auto"/>
        <w:ind w:firstLine="480" w:firstLineChars="200"/>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加强施工期渔业资源监测，及时掌握库区及下游河道渔业资源的动态变化情况。建立鱼类及时救护机制，施工中如发现有受困或受伤保护野生动物，应立即停止施工，并通报渔政部门进行处理。</w:t>
      </w:r>
    </w:p>
    <w:p w14:paraId="65463A11">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陆生生态保护</w:t>
      </w:r>
    </w:p>
    <w:p w14:paraId="795D1688">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陆生植物保护措施</w:t>
      </w:r>
    </w:p>
    <w:p w14:paraId="0CD59EB1">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1、避让措施</w:t>
      </w:r>
    </w:p>
    <w:p w14:paraId="36C6CFD5">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1）优化工程设计</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rPr>
        <w:t>在保证安全的前提下，尽可能减少坝肩边坡开挖对植被的破坏，并尽可能给植被恢复提供立地条件；合理利用</w:t>
      </w:r>
      <w:r>
        <w:rPr>
          <w:rFonts w:hint="eastAsia" w:ascii="Times New Roman" w:hAnsi="Times New Roman" w:eastAsia="宋体" w:cs="Times New Roman"/>
          <w:caps w:val="0"/>
          <w:smallCaps w:val="0"/>
          <w:snapToGrid/>
          <w:color w:val="auto"/>
          <w:spacing w:val="0"/>
          <w:kern w:val="0"/>
          <w:sz w:val="24"/>
          <w:szCs w:val="24"/>
          <w:highlight w:val="none"/>
          <w:u w:val="none" w:color="auto"/>
          <w:lang w:eastAsia="zh-CN"/>
        </w:rPr>
        <w:t>土石方</w:t>
      </w:r>
      <w:r>
        <w:rPr>
          <w:rFonts w:hint="default" w:ascii="Times New Roman" w:hAnsi="Times New Roman" w:eastAsia="宋体" w:cs="Times New Roman"/>
          <w:caps w:val="0"/>
          <w:smallCaps w:val="0"/>
          <w:snapToGrid/>
          <w:color w:val="auto"/>
          <w:spacing w:val="0"/>
          <w:kern w:val="0"/>
          <w:sz w:val="24"/>
          <w:szCs w:val="24"/>
          <w:highlight w:val="none"/>
          <w:u w:val="none" w:color="auto"/>
        </w:rPr>
        <w:t>在下游填筑出永久场地，用于布置坝区绿化。</w:t>
      </w:r>
    </w:p>
    <w:p w14:paraId="64287C83">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2）优化施工方案，项目临时中转堆存场等工程的设置要在最大限度上做到挖填平衡，减少土石方远距离调运，尽可能地减轻在施工过程中因土石方运输造成的扬尘污染以及雨季施工潜在的水土流失等对植被的破坏。</w:t>
      </w:r>
    </w:p>
    <w:p w14:paraId="7C0504C8">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3）优化施工时序，评价区农田生态系统多分布于</w:t>
      </w:r>
      <w:r>
        <w:rPr>
          <w:rFonts w:hint="eastAsia" w:ascii="Times New Roman" w:hAnsi="Times New Roman" w:eastAsia="宋体" w:cs="Times New Roman"/>
          <w:caps w:val="0"/>
          <w:smallCaps w:val="0"/>
          <w:snapToGrid/>
          <w:color w:val="auto"/>
          <w:spacing w:val="0"/>
          <w:kern w:val="0"/>
          <w:sz w:val="24"/>
          <w:szCs w:val="24"/>
          <w:highlight w:val="none"/>
          <w:u w:val="none" w:color="auto"/>
          <w:lang w:eastAsia="zh-CN"/>
        </w:rPr>
        <w:t>大</w:t>
      </w:r>
      <w:r>
        <w:rPr>
          <w:rFonts w:hint="default" w:ascii="Times New Roman" w:hAnsi="Times New Roman" w:eastAsia="宋体" w:cs="Times New Roman"/>
          <w:caps w:val="0"/>
          <w:smallCaps w:val="0"/>
          <w:snapToGrid/>
          <w:color w:val="auto"/>
          <w:spacing w:val="0"/>
          <w:kern w:val="0"/>
          <w:sz w:val="24"/>
          <w:szCs w:val="24"/>
          <w:highlight w:val="none"/>
          <w:u w:val="none" w:color="auto"/>
        </w:rPr>
        <w:t>坝下，优化施工时序，在坝下施工时建议在农作物收获后施工。</w:t>
      </w:r>
    </w:p>
    <w:p w14:paraId="5C250597">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2、减缓措施</w:t>
      </w:r>
    </w:p>
    <w:p w14:paraId="48AFB68E">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rPr>
      </w:pPr>
      <w:r>
        <w:rPr>
          <w:rFonts w:hint="eastAsia" w:ascii="宋体" w:hAnsi="宋体" w:eastAsia="宋体" w:cs="宋体"/>
          <w:caps w:val="0"/>
          <w:smallCaps w:val="0"/>
          <w:snapToGrid/>
          <w:color w:val="auto"/>
          <w:spacing w:val="0"/>
          <w:kern w:val="0"/>
          <w:sz w:val="24"/>
          <w:szCs w:val="24"/>
          <w:highlight w:val="none"/>
          <w:u w:val="none"/>
        </w:rPr>
        <w:t>1）加强森林资源保护。防止在评价区森林资源的滥砍乱伐和过量采伐林木及毁林开荒等不良现象发生，保护和培育现有森林。</w:t>
      </w:r>
    </w:p>
    <w:p w14:paraId="58965D30">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rPr>
      </w:pPr>
      <w:r>
        <w:rPr>
          <w:rFonts w:hint="eastAsia" w:ascii="宋体" w:hAnsi="宋体" w:eastAsia="宋体" w:cs="宋体"/>
          <w:caps w:val="0"/>
          <w:smallCaps w:val="0"/>
          <w:snapToGrid/>
          <w:color w:val="auto"/>
          <w:spacing w:val="0"/>
          <w:kern w:val="0"/>
          <w:sz w:val="24"/>
          <w:szCs w:val="24"/>
          <w:highlight w:val="none"/>
          <w:u w:val="none"/>
        </w:rPr>
        <w:t>2）划定施工活动范围，加强施工监理工作。确保施工人员在征地范围内活动，从而减轻非施工因素对周围植物及植被的占用与压踏。</w:t>
      </w:r>
    </w:p>
    <w:p w14:paraId="2FE713DE">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rPr>
      </w:pPr>
      <w:r>
        <w:rPr>
          <w:rFonts w:hint="eastAsia" w:ascii="宋体" w:hAnsi="宋体" w:eastAsia="宋体" w:cs="宋体"/>
          <w:caps w:val="0"/>
          <w:smallCaps w:val="0"/>
          <w:snapToGrid/>
          <w:color w:val="auto"/>
          <w:spacing w:val="0"/>
          <w:kern w:val="0"/>
          <w:sz w:val="24"/>
          <w:szCs w:val="24"/>
          <w:highlight w:val="none"/>
          <w:u w:val="none"/>
        </w:rPr>
        <w:t>3）设置警示牌，施工期间，在</w:t>
      </w:r>
      <w:r>
        <w:rPr>
          <w:rFonts w:hint="eastAsia" w:ascii="宋体" w:hAnsi="宋体" w:eastAsia="宋体" w:cs="宋体"/>
          <w:caps w:val="0"/>
          <w:smallCaps w:val="0"/>
          <w:snapToGrid/>
          <w:color w:val="auto"/>
          <w:spacing w:val="0"/>
          <w:kern w:val="0"/>
          <w:sz w:val="24"/>
          <w:szCs w:val="24"/>
          <w:highlight w:val="none"/>
          <w:u w:val="none"/>
          <w:lang w:eastAsia="zh-CN"/>
        </w:rPr>
        <w:t>大坝、防汛公路</w:t>
      </w:r>
      <w:r>
        <w:rPr>
          <w:rFonts w:hint="eastAsia" w:ascii="宋体" w:hAnsi="宋体" w:eastAsia="宋体" w:cs="宋体"/>
          <w:caps w:val="0"/>
          <w:smallCaps w:val="0"/>
          <w:snapToGrid/>
          <w:color w:val="auto"/>
          <w:spacing w:val="0"/>
          <w:kern w:val="0"/>
          <w:sz w:val="24"/>
          <w:szCs w:val="24"/>
          <w:highlight w:val="none"/>
          <w:u w:val="none"/>
        </w:rPr>
        <w:t>及施工工厂等人为活动较为频繁的区域以及涉及</w:t>
      </w:r>
      <w:r>
        <w:rPr>
          <w:rFonts w:hint="eastAsia" w:ascii="宋体" w:hAnsi="宋体" w:eastAsia="宋体" w:cs="宋体"/>
          <w:caps w:val="0"/>
          <w:smallCaps w:val="0"/>
          <w:snapToGrid/>
          <w:color w:val="auto"/>
          <w:spacing w:val="0"/>
          <w:kern w:val="0"/>
          <w:sz w:val="24"/>
          <w:szCs w:val="24"/>
          <w:highlight w:val="none"/>
          <w:u w:val="none"/>
          <w:lang w:eastAsia="zh-CN"/>
        </w:rPr>
        <w:t>湿地公园</w:t>
      </w:r>
      <w:r>
        <w:rPr>
          <w:rFonts w:hint="eastAsia" w:ascii="宋体" w:hAnsi="宋体" w:eastAsia="宋体" w:cs="宋体"/>
          <w:caps w:val="0"/>
          <w:smallCaps w:val="0"/>
          <w:snapToGrid/>
          <w:color w:val="auto"/>
          <w:spacing w:val="0"/>
          <w:kern w:val="0"/>
          <w:sz w:val="24"/>
          <w:szCs w:val="24"/>
          <w:highlight w:val="none"/>
          <w:u w:val="none"/>
        </w:rPr>
        <w:t>地段设置生态保护警示牌。警示牌上标明工程施工区范围，禁止越界施工占地或砍伐林木，尽量减少占地对植被和生态敏感区的破坏。</w:t>
      </w:r>
    </w:p>
    <w:p w14:paraId="55D6E8B7">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rPr>
      </w:pPr>
      <w:r>
        <w:rPr>
          <w:rFonts w:hint="eastAsia" w:ascii="宋体" w:hAnsi="宋体" w:eastAsia="宋体" w:cs="宋体"/>
          <w:caps w:val="0"/>
          <w:smallCaps w:val="0"/>
          <w:snapToGrid/>
          <w:color w:val="auto"/>
          <w:spacing w:val="0"/>
          <w:kern w:val="0"/>
          <w:sz w:val="24"/>
          <w:szCs w:val="24"/>
          <w:highlight w:val="none"/>
          <w:u w:val="none"/>
        </w:rPr>
        <w:t>4）防止外来入侵种的扩散。加大宣传力度，对外来入侵植物的危害以及传播途径向施工人员进行宣传。</w:t>
      </w:r>
    </w:p>
    <w:p w14:paraId="73768B2A">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rPr>
      </w:pPr>
      <w:r>
        <w:rPr>
          <w:rFonts w:hint="eastAsia" w:ascii="宋体" w:hAnsi="宋体" w:eastAsia="宋体" w:cs="宋体"/>
          <w:caps w:val="0"/>
          <w:smallCaps w:val="0"/>
          <w:snapToGrid/>
          <w:color w:val="auto"/>
          <w:spacing w:val="0"/>
          <w:kern w:val="0"/>
          <w:sz w:val="24"/>
          <w:szCs w:val="24"/>
          <w:highlight w:val="none"/>
          <w:u w:val="none"/>
        </w:rPr>
        <w:t>5）加强宣传教育活动，强化对现有生态的保护。施工前印发生态保护手册，加强对施工人员的法律和生态保护知识的宣传教育，强化生态保护意识。</w:t>
      </w:r>
    </w:p>
    <w:p w14:paraId="60986443">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color="auto"/>
        </w:rPr>
      </w:pPr>
      <w:r>
        <w:rPr>
          <w:rFonts w:hint="eastAsia" w:ascii="宋体" w:hAnsi="宋体" w:eastAsia="宋体" w:cs="宋体"/>
          <w:caps w:val="0"/>
          <w:smallCaps w:val="0"/>
          <w:snapToGrid/>
          <w:color w:val="auto"/>
          <w:spacing w:val="0"/>
          <w:kern w:val="0"/>
          <w:sz w:val="24"/>
          <w:szCs w:val="24"/>
          <w:highlight w:val="none"/>
          <w:u w:val="none"/>
        </w:rPr>
        <w:t>6）加强植物检疫。在施工建设过程中要加强包装材料的检疫工作，防止森林病虫害的爆发</w:t>
      </w:r>
      <w:r>
        <w:rPr>
          <w:rFonts w:hint="eastAsia" w:ascii="宋体" w:hAnsi="宋体" w:eastAsia="宋体" w:cs="宋体"/>
          <w:caps w:val="0"/>
          <w:smallCaps w:val="0"/>
          <w:snapToGrid/>
          <w:color w:val="auto"/>
          <w:spacing w:val="0"/>
          <w:kern w:val="0"/>
          <w:sz w:val="24"/>
          <w:szCs w:val="24"/>
          <w:highlight w:val="none"/>
          <w:u w:val="none" w:color="auto"/>
        </w:rPr>
        <w:t>。</w:t>
      </w:r>
    </w:p>
    <w:p w14:paraId="7905CE97">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3、恢复与补偿措施</w:t>
      </w:r>
    </w:p>
    <w:p w14:paraId="22997EDA">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施工结束后，应结合水土保持植物措施，对各施工迹地实施植被修复措施。</w:t>
      </w:r>
    </w:p>
    <w:p w14:paraId="442F5BD3">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1</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）植被修复原则</w:t>
      </w:r>
    </w:p>
    <w:p w14:paraId="7FB9150F">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1</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）保护原有生态系统的原则</w:t>
      </w:r>
    </w:p>
    <w:p w14:paraId="4A6D9CD0">
      <w:pPr>
        <w:tabs>
          <w:tab w:val="left" w:pos="1021"/>
        </w:tabs>
        <w:spacing w:line="360" w:lineRule="auto"/>
        <w:ind w:firstLine="480" w:firstLineChars="200"/>
        <w:rPr>
          <w:rFonts w:hint="eastAsia" w:ascii="宋体" w:hAnsi="宋体" w:eastAsia="宋体" w:cs="宋体"/>
          <w:caps w:val="0"/>
          <w:smallCaps w:val="0"/>
          <w:snapToGrid/>
          <w:color w:val="auto"/>
          <w:spacing w:val="0"/>
          <w:kern w:val="0"/>
          <w:sz w:val="24"/>
          <w:szCs w:val="24"/>
          <w:highlight w:val="none"/>
          <w:u w:val="none" w:color="auto"/>
        </w:rPr>
      </w:pPr>
      <w:r>
        <w:rPr>
          <w:rFonts w:hint="eastAsia" w:ascii="宋体" w:hAnsi="宋体" w:eastAsia="宋体" w:cs="宋体"/>
          <w:caps w:val="0"/>
          <w:smallCaps w:val="0"/>
          <w:snapToGrid/>
          <w:color w:val="auto"/>
          <w:spacing w:val="0"/>
          <w:kern w:val="0"/>
          <w:sz w:val="24"/>
          <w:szCs w:val="24"/>
          <w:highlight w:val="none"/>
          <w:u w:val="none"/>
        </w:rPr>
        <w:t>评价区地貌以丘陵山地为主，区域自然植被以次生林为主。本项目建设不可避免的会占用区域内的林地、耕地、草地等，原区域内植被破坏，生态系统结构及功能受到影响。因此在植被修复过程中，必须尽量保护施工占地区域原有体系的生态环境，尽量发展以竹林、阔叶林植被为主体的生态系统。</w:t>
      </w:r>
    </w:p>
    <w:p w14:paraId="5C1C8703">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pP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2</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）保护生物多样性的原则</w:t>
      </w:r>
    </w:p>
    <w:p w14:paraId="009212D5">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植被修复措施不仅考虑植被覆盖率，而且需要在利用当地原有物种的情况下，尽量使物种多样化，避免单一。在保证物种多样性的前提下，防止外来入侵种的扩散。</w:t>
      </w:r>
    </w:p>
    <w:p w14:paraId="7FF27E1D">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3）景观优化的原则</w:t>
      </w:r>
    </w:p>
    <w:p w14:paraId="0C9E3F5F">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植被恢复时，应与景观美化相结合，在恢复原有植被、生态系统的同时，尽量与提升景观质量相结合。</w:t>
      </w:r>
    </w:p>
    <w:p w14:paraId="452707B1">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lang w:val="en-US" w:eastAsia="zh-CN"/>
        </w:rPr>
        <w:t>2</w:t>
      </w:r>
      <w:r>
        <w:rPr>
          <w:rFonts w:hint="default" w:ascii="Times New Roman" w:hAnsi="Times New Roman" w:eastAsia="宋体" w:cs="Times New Roman"/>
          <w:caps w:val="0"/>
          <w:smallCaps w:val="0"/>
          <w:snapToGrid/>
          <w:color w:val="auto"/>
          <w:spacing w:val="0"/>
          <w:kern w:val="0"/>
          <w:sz w:val="24"/>
          <w:szCs w:val="24"/>
          <w:highlight w:val="none"/>
          <w:u w:val="none" w:color="auto"/>
          <w:lang w:eastAsia="zh-CN"/>
        </w:rPr>
        <w:t>）</w:t>
      </w:r>
      <w:r>
        <w:rPr>
          <w:rFonts w:hint="default" w:ascii="Times New Roman" w:hAnsi="Times New Roman" w:eastAsia="宋体" w:cs="Times New Roman"/>
          <w:caps w:val="0"/>
          <w:smallCaps w:val="0"/>
          <w:snapToGrid/>
          <w:color w:val="auto"/>
          <w:spacing w:val="0"/>
          <w:kern w:val="0"/>
          <w:sz w:val="24"/>
          <w:szCs w:val="24"/>
          <w:highlight w:val="none"/>
          <w:u w:val="none" w:color="auto"/>
        </w:rPr>
        <w:t>恢复植物的选择</w:t>
      </w:r>
    </w:p>
    <w:p w14:paraId="76769372">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1）选择的原则</w:t>
      </w:r>
    </w:p>
    <w:p w14:paraId="4E817568">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begin"/>
      </w:r>
      <w:r>
        <w:rPr>
          <w:rFonts w:hint="default" w:ascii="Times New Roman" w:hAnsi="Times New Roman" w:eastAsia="宋体" w:cs="Times New Roman"/>
          <w:caps w:val="0"/>
          <w:smallCaps w:val="0"/>
          <w:snapToGrid/>
          <w:color w:val="auto"/>
          <w:spacing w:val="0"/>
          <w:kern w:val="0"/>
          <w:sz w:val="24"/>
          <w:szCs w:val="24"/>
          <w:highlight w:val="none"/>
          <w:u w:val="none" w:color="auto"/>
        </w:rPr>
        <w:instrText xml:space="preserve"> = 1 \* GB3 \* MERGEFORMAT </w:instrText>
      </w: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separate"/>
      </w:r>
      <w:r>
        <w:rPr>
          <w:rFonts w:hint="default" w:ascii="Times New Roman" w:hAnsi="Times New Roman" w:cs="Times New Roman"/>
          <w:color w:val="auto"/>
          <w:u w:val="none" w:color="auto"/>
        </w:rPr>
        <w:t>①</w:t>
      </w: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end"/>
      </w:r>
      <w:r>
        <w:rPr>
          <w:rFonts w:hint="default" w:ascii="Times New Roman" w:hAnsi="Times New Roman" w:eastAsia="宋体" w:cs="Times New Roman"/>
          <w:caps w:val="0"/>
          <w:smallCaps w:val="0"/>
          <w:snapToGrid/>
          <w:color w:val="auto"/>
          <w:spacing w:val="0"/>
          <w:kern w:val="0"/>
          <w:sz w:val="24"/>
          <w:szCs w:val="24"/>
          <w:highlight w:val="none"/>
          <w:u w:val="none" w:color="auto"/>
        </w:rPr>
        <w:t>生态适应性原则：植物生态习性必须与当地条件相适应。评价区属亚热带大陆性季风气候区，属中低山地貌，所发育的地带性植被是亚热带常绿阔叶林，区域植被恢复时需选择适应亚热带大陆性季风气候环境的植物。</w:t>
      </w:r>
    </w:p>
    <w:p w14:paraId="64E152FD">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begin"/>
      </w:r>
      <w:r>
        <w:rPr>
          <w:rFonts w:hint="default" w:ascii="Times New Roman" w:hAnsi="Times New Roman" w:eastAsia="宋体" w:cs="Times New Roman"/>
          <w:caps w:val="0"/>
          <w:smallCaps w:val="0"/>
          <w:snapToGrid/>
          <w:color w:val="auto"/>
          <w:spacing w:val="0"/>
          <w:kern w:val="0"/>
          <w:sz w:val="24"/>
          <w:szCs w:val="24"/>
          <w:highlight w:val="none"/>
          <w:u w:val="none" w:color="auto"/>
        </w:rPr>
        <w:instrText xml:space="preserve"> = 2 \* GB3 \* MERGEFORMAT </w:instrText>
      </w: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separate"/>
      </w:r>
      <w:r>
        <w:rPr>
          <w:rFonts w:hint="default" w:ascii="Times New Roman" w:hAnsi="Times New Roman" w:cs="Times New Roman"/>
          <w:color w:val="auto"/>
          <w:u w:val="none" w:color="auto"/>
        </w:rPr>
        <w:t>②</w:t>
      </w:r>
      <w:r>
        <w:rPr>
          <w:rFonts w:hint="default" w:ascii="Times New Roman" w:hAnsi="Times New Roman" w:eastAsia="宋体" w:cs="Times New Roman"/>
          <w:caps w:val="0"/>
          <w:smallCaps w:val="0"/>
          <w:snapToGrid/>
          <w:color w:val="auto"/>
          <w:spacing w:val="0"/>
          <w:kern w:val="0"/>
          <w:sz w:val="24"/>
          <w:szCs w:val="24"/>
          <w:highlight w:val="none"/>
          <w:u w:val="none" w:color="auto"/>
        </w:rPr>
        <w:fldChar w:fldCharType="end"/>
      </w:r>
      <w:r>
        <w:rPr>
          <w:rFonts w:hint="default" w:ascii="Times New Roman" w:hAnsi="Times New Roman" w:eastAsia="宋体" w:cs="Times New Roman"/>
          <w:caps w:val="0"/>
          <w:smallCaps w:val="0"/>
          <w:snapToGrid/>
          <w:color w:val="auto"/>
          <w:spacing w:val="0"/>
          <w:kern w:val="0"/>
          <w:sz w:val="24"/>
          <w:szCs w:val="24"/>
          <w:highlight w:val="none"/>
          <w:u w:val="none" w:color="auto"/>
        </w:rPr>
        <w:t>本土植物优先原则：乡土树种对植被恢复具有重要作用，其能快速融于周边生态环境，减轻对景观的影响，并可阻止外来物种入侵。由于乡土种在当地食物链中已经形成相对稳定的结构，与生境建立了和谐的关系，其适应性强、生长快、自我繁殖和更新能力强，有利于保护生物多样性和维持当地生态平衡。</w:t>
      </w:r>
    </w:p>
    <w:p w14:paraId="68FDC3DF">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2）恢复植物的选择</w:t>
      </w:r>
    </w:p>
    <w:p w14:paraId="6C3A0679">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eastAsia" w:ascii="宋体" w:hAnsi="宋体" w:eastAsia="宋体" w:cs="宋体"/>
          <w:caps w:val="0"/>
          <w:smallCaps w:val="0"/>
          <w:snapToGrid/>
          <w:color w:val="auto"/>
          <w:spacing w:val="0"/>
          <w:kern w:val="0"/>
          <w:sz w:val="24"/>
          <w:szCs w:val="24"/>
          <w:highlight w:val="none"/>
          <w:u w:val="none"/>
        </w:rPr>
        <w:t>根据评价区生态环境特点及区域植被分布特征，植被恢复时乔木树种应尽量选择</w:t>
      </w:r>
      <w:r>
        <w:rPr>
          <w:rFonts w:hint="eastAsia" w:ascii="宋体" w:hAnsi="宋体" w:eastAsia="宋体" w:cs="宋体"/>
          <w:caps w:val="0"/>
          <w:smallCaps w:val="0"/>
          <w:snapToGrid/>
          <w:color w:val="auto"/>
          <w:spacing w:val="0"/>
          <w:kern w:val="0"/>
          <w:sz w:val="24"/>
          <w:szCs w:val="24"/>
          <w:highlight w:val="none"/>
          <w:u w:val="none"/>
          <w:lang w:val="en-US" w:eastAsia="zh-CN"/>
        </w:rPr>
        <w:t>杉木</w:t>
      </w:r>
      <w:r>
        <w:rPr>
          <w:rFonts w:hint="eastAsia" w:ascii="宋体" w:hAnsi="宋体" w:eastAsia="宋体" w:cs="宋体"/>
          <w:caps w:val="0"/>
          <w:smallCaps w:val="0"/>
          <w:snapToGrid/>
          <w:color w:val="auto"/>
          <w:spacing w:val="0"/>
          <w:kern w:val="0"/>
          <w:sz w:val="24"/>
          <w:szCs w:val="24"/>
          <w:highlight w:val="none"/>
          <w:u w:val="none"/>
        </w:rPr>
        <w:t>、樟树等，灌木尽量选择檵木、盐肤木等，草本植物尽量选择</w:t>
      </w:r>
      <w:r>
        <w:rPr>
          <w:rFonts w:hint="eastAsia" w:ascii="宋体" w:hAnsi="宋体" w:eastAsia="宋体" w:cs="宋体"/>
          <w:caps w:val="0"/>
          <w:smallCaps w:val="0"/>
          <w:snapToGrid/>
          <w:color w:val="auto"/>
          <w:spacing w:val="0"/>
          <w:kern w:val="0"/>
          <w:sz w:val="24"/>
          <w:szCs w:val="24"/>
          <w:highlight w:val="none"/>
          <w:u w:val="none"/>
          <w:lang w:val="en-US" w:eastAsia="zh-CN"/>
        </w:rPr>
        <w:t>葛</w:t>
      </w:r>
      <w:r>
        <w:rPr>
          <w:rFonts w:hint="eastAsia" w:ascii="宋体" w:hAnsi="宋体" w:eastAsia="宋体" w:cs="宋体"/>
          <w:caps w:val="0"/>
          <w:smallCaps w:val="0"/>
          <w:snapToGrid/>
          <w:color w:val="auto"/>
          <w:spacing w:val="0"/>
          <w:kern w:val="0"/>
          <w:sz w:val="24"/>
          <w:szCs w:val="24"/>
          <w:highlight w:val="none"/>
          <w:u w:val="none"/>
        </w:rPr>
        <w:t>、芒等，这些植物皆为评价区常见种，其适应性强，生长快，可起到较好的水土保持作用</w:t>
      </w:r>
      <w:r>
        <w:rPr>
          <w:rFonts w:hint="default" w:ascii="Times New Roman" w:hAnsi="Times New Roman" w:eastAsia="宋体" w:cs="Times New Roman"/>
          <w:caps w:val="0"/>
          <w:smallCaps w:val="0"/>
          <w:snapToGrid/>
          <w:color w:val="auto"/>
          <w:spacing w:val="0"/>
          <w:kern w:val="0"/>
          <w:sz w:val="24"/>
          <w:szCs w:val="24"/>
          <w:highlight w:val="none"/>
          <w:u w:val="none" w:color="auto"/>
        </w:rPr>
        <w:t>。</w:t>
      </w:r>
    </w:p>
    <w:p w14:paraId="3680F69F">
      <w:pPr>
        <w:bidi w:val="0"/>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4、管理措施</w:t>
      </w:r>
    </w:p>
    <w:p w14:paraId="05FF52C1">
      <w:pPr>
        <w:tabs>
          <w:tab w:val="left" w:pos="1021"/>
        </w:tabs>
        <w:spacing w:line="360" w:lineRule="auto"/>
        <w:ind w:firstLine="480" w:firstLineChars="200"/>
        <w:rPr>
          <w:rFonts w:hint="eastAsia"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1）加强宣传教育活动。施工前印发环境保护手册，组织专家对施工人员及附近居民等进行环保宣传教育，提高施工人员及附近居民对环境的保护意识。坚决制止评价区植被的滥砍乱伐、过量采伐、毁林开荒等不良现象发生，保护和培育现有森林资源。</w:t>
      </w:r>
    </w:p>
    <w:p w14:paraId="0F6CC769">
      <w:pPr>
        <w:tabs>
          <w:tab w:val="left" w:pos="1021"/>
        </w:tabs>
        <w:spacing w:line="360" w:lineRule="auto"/>
        <w:ind w:firstLine="480" w:firstLineChars="200"/>
        <w:rPr>
          <w:rFonts w:hint="eastAsia" w:ascii="Times New Roman" w:hAnsi="Times New Roman" w:eastAsia="宋体" w:cs="Times New Roman"/>
          <w:caps w:val="0"/>
          <w:smallCaps w:val="0"/>
          <w:snapToGrid/>
          <w:color w:val="auto"/>
          <w:spacing w:val="0"/>
          <w:kern w:val="0"/>
          <w:sz w:val="24"/>
          <w:szCs w:val="24"/>
          <w:highlight w:val="none"/>
          <w:u w:val="none"/>
        </w:rPr>
      </w:pPr>
      <w:r>
        <w:rPr>
          <w:rFonts w:hint="eastAsia" w:ascii="Times New Roman" w:hAnsi="Times New Roman" w:eastAsia="宋体" w:cs="Times New Roman"/>
          <w:caps w:val="0"/>
          <w:smallCaps w:val="0"/>
          <w:snapToGrid/>
          <w:color w:val="auto"/>
          <w:spacing w:val="0"/>
          <w:kern w:val="0"/>
          <w:sz w:val="24"/>
          <w:szCs w:val="24"/>
          <w:highlight w:val="none"/>
          <w:u w:val="none"/>
        </w:rPr>
        <w:t>2）加强施工监理工作，强化对现有植被的管理。施工前划定施工活动范围，确保施工人员在征地范围内活动；施工过程中，加强对施工人员的管理，严格限制施工人员的活动范围，严禁越界施工破坏区域植被及生态环境。</w:t>
      </w:r>
    </w:p>
    <w:p w14:paraId="30165DE2">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eastAsia" w:ascii="Times New Roman" w:hAnsi="Times New Roman" w:eastAsia="宋体" w:cs="Times New Roman"/>
          <w:caps w:val="0"/>
          <w:smallCaps w:val="0"/>
          <w:snapToGrid/>
          <w:color w:val="auto"/>
          <w:spacing w:val="0"/>
          <w:kern w:val="0"/>
          <w:sz w:val="24"/>
          <w:szCs w:val="24"/>
          <w:highlight w:val="none"/>
          <w:u w:val="none"/>
        </w:rPr>
        <w:t>3）工程施工期、运营期都应对植物的影响进行监测或调查。施工过程中若发现，及时上报主管部门，并根据其所处位置及受影响程度，采取迁地移栽或就地保护等措施。运营期主要监测生境的变化，植被的变化以及生态系统整体性变化。通过监测，加强对生态的管理，在工程管理机构，应设置生态环境管理人员，建立各种管理及报告制度，开展对工程影响区的环境教育，提高施工人员和管理人员环境意识。通过动态监测和完善管理，使生态向良性或有利方向发展</w:t>
      </w:r>
      <w:r>
        <w:rPr>
          <w:rFonts w:hint="default" w:ascii="Times New Roman" w:hAnsi="Times New Roman" w:eastAsia="宋体" w:cs="Times New Roman"/>
          <w:caps w:val="0"/>
          <w:smallCaps w:val="0"/>
          <w:snapToGrid/>
          <w:color w:val="auto"/>
          <w:spacing w:val="0"/>
          <w:kern w:val="0"/>
          <w:sz w:val="24"/>
          <w:szCs w:val="24"/>
          <w:highlight w:val="none"/>
          <w:u w:val="none" w:color="auto"/>
        </w:rPr>
        <w:t>。</w:t>
      </w:r>
    </w:p>
    <w:p w14:paraId="0389EEF4">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5、对古树名木的保护措施</w:t>
      </w:r>
    </w:p>
    <w:p w14:paraId="0E0DE20C">
      <w:pPr>
        <w:tabs>
          <w:tab w:val="left" w:pos="1021"/>
        </w:tabs>
        <w:spacing w:line="360" w:lineRule="auto"/>
        <w:ind w:firstLine="480" w:firstLineChars="200"/>
        <w:rPr>
          <w:rFonts w:hint="default" w:ascii="Times New Roman" w:hAnsi="Times New Roman" w:eastAsia="宋体" w:cs="Times New Roman"/>
          <w:color w:val="auto"/>
          <w:kern w:val="0"/>
          <w:sz w:val="24"/>
          <w:szCs w:val="24"/>
          <w:highlight w:val="none"/>
          <w:u w:val="none" w:color="auto"/>
        </w:rPr>
      </w:pPr>
      <w:r>
        <w:rPr>
          <w:rFonts w:hint="eastAsia" w:ascii="Times New Roman" w:hAnsi="Times New Roman" w:eastAsia="宋体" w:cs="Times New Roman"/>
          <w:caps w:val="0"/>
          <w:smallCaps w:val="0"/>
          <w:color w:val="auto"/>
          <w:kern w:val="0"/>
          <w:sz w:val="24"/>
          <w:szCs w:val="24"/>
          <w:highlight w:val="none"/>
          <w:u w:val="none"/>
          <w:lang w:val="en-US" w:eastAsia="zh-CN"/>
        </w:rPr>
        <w:t>评价区发现的2株香樟古树，因严格实施原址保护，禁止人为砍伐、破坏生境。同时加强宣传，增强员工的保护意识，避免意外砍伐</w:t>
      </w:r>
      <w:r>
        <w:rPr>
          <w:rFonts w:hint="default" w:ascii="Times New Roman" w:hAnsi="Times New Roman" w:eastAsia="宋体" w:cs="Times New Roman"/>
          <w:caps w:val="0"/>
          <w:smallCaps w:val="0"/>
          <w:color w:val="auto"/>
          <w:kern w:val="0"/>
          <w:sz w:val="24"/>
          <w:szCs w:val="24"/>
          <w:highlight w:val="none"/>
          <w:u w:val="none" w:color="auto"/>
          <w:lang w:val="en-US" w:eastAsia="zh-CN"/>
        </w:rPr>
        <w:t>。</w:t>
      </w:r>
    </w:p>
    <w:p w14:paraId="374F6EEF">
      <w:pPr>
        <w:pStyle w:val="9"/>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陆生动物保护措施</w:t>
      </w:r>
    </w:p>
    <w:p w14:paraId="50FD7EDC">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1、避让措施</w:t>
      </w:r>
    </w:p>
    <w:p w14:paraId="264E23DD">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eastAsia" w:ascii="Times New Roman" w:hAnsi="Times New Roman" w:eastAsia="宋体" w:cs="Times New Roman"/>
          <w:caps w:val="0"/>
          <w:smallCaps w:val="0"/>
          <w:snapToGrid/>
          <w:color w:val="auto"/>
          <w:spacing w:val="0"/>
          <w:kern w:val="0"/>
          <w:sz w:val="24"/>
          <w:szCs w:val="24"/>
          <w:highlight w:val="none"/>
          <w:u w:val="none"/>
        </w:rPr>
        <w:t>根据现场调查，在评价区内繁殖的鸟类</w:t>
      </w:r>
      <w:r>
        <w:rPr>
          <w:rFonts w:hint="eastAsia" w:ascii="Times New Roman" w:hAnsi="Times New Roman" w:eastAsia="宋体" w:cs="Times New Roman"/>
          <w:caps w:val="0"/>
          <w:smallCaps w:val="0"/>
          <w:snapToGrid/>
          <w:color w:val="auto"/>
          <w:spacing w:val="0"/>
          <w:kern w:val="0"/>
          <w:sz w:val="24"/>
          <w:szCs w:val="24"/>
          <w:highlight w:val="none"/>
          <w:u w:val="none"/>
          <w:lang w:eastAsia="zh-CN"/>
        </w:rPr>
        <w:t>6</w:t>
      </w:r>
      <w:r>
        <w:rPr>
          <w:rFonts w:hint="eastAsia" w:ascii="Times New Roman" w:hAnsi="Times New Roman" w:eastAsia="宋体" w:cs="Times New Roman"/>
          <w:caps w:val="0"/>
          <w:smallCaps w:val="0"/>
          <w:snapToGrid/>
          <w:color w:val="auto"/>
          <w:spacing w:val="0"/>
          <w:kern w:val="0"/>
          <w:sz w:val="24"/>
          <w:szCs w:val="24"/>
          <w:highlight w:val="none"/>
          <w:u w:val="none"/>
          <w:lang w:val="en-US" w:eastAsia="zh-CN"/>
        </w:rPr>
        <w:t>0</w:t>
      </w:r>
      <w:r>
        <w:rPr>
          <w:rFonts w:hint="eastAsia" w:ascii="Times New Roman" w:hAnsi="Times New Roman" w:eastAsia="宋体" w:cs="Times New Roman"/>
          <w:caps w:val="0"/>
          <w:smallCaps w:val="0"/>
          <w:snapToGrid/>
          <w:color w:val="auto"/>
          <w:spacing w:val="0"/>
          <w:kern w:val="0"/>
          <w:sz w:val="24"/>
          <w:szCs w:val="24"/>
          <w:highlight w:val="none"/>
          <w:u w:val="none"/>
        </w:rPr>
        <w:t>种，占比</w:t>
      </w:r>
      <w:r>
        <w:rPr>
          <w:rFonts w:hint="eastAsia" w:ascii="Times New Roman" w:hAnsi="Times New Roman" w:eastAsia="宋体" w:cs="Times New Roman"/>
          <w:caps w:val="0"/>
          <w:smallCaps w:val="0"/>
          <w:snapToGrid/>
          <w:color w:val="auto"/>
          <w:spacing w:val="0"/>
          <w:kern w:val="0"/>
          <w:sz w:val="24"/>
          <w:szCs w:val="24"/>
          <w:highlight w:val="none"/>
          <w:u w:val="none"/>
          <w:lang w:eastAsia="zh-CN"/>
        </w:rPr>
        <w:t>6</w:t>
      </w:r>
      <w:r>
        <w:rPr>
          <w:rFonts w:hint="eastAsia" w:ascii="Times New Roman" w:hAnsi="Times New Roman" w:eastAsia="宋体" w:cs="Times New Roman"/>
          <w:caps w:val="0"/>
          <w:smallCaps w:val="0"/>
          <w:snapToGrid/>
          <w:color w:val="auto"/>
          <w:spacing w:val="0"/>
          <w:kern w:val="0"/>
          <w:sz w:val="24"/>
          <w:szCs w:val="24"/>
          <w:highlight w:val="none"/>
          <w:u w:val="none"/>
          <w:lang w:val="en-US" w:eastAsia="zh-CN"/>
        </w:rPr>
        <w:t>3.83</w:t>
      </w:r>
      <w:r>
        <w:rPr>
          <w:rFonts w:hint="eastAsia" w:ascii="Times New Roman" w:hAnsi="Times New Roman" w:eastAsia="宋体" w:cs="Times New Roman"/>
          <w:caps w:val="0"/>
          <w:smallCaps w:val="0"/>
          <w:snapToGrid/>
          <w:color w:val="auto"/>
          <w:spacing w:val="0"/>
          <w:kern w:val="0"/>
          <w:sz w:val="24"/>
          <w:szCs w:val="24"/>
          <w:highlight w:val="none"/>
          <w:u w:val="none"/>
        </w:rPr>
        <w:t>%，主要繁殖期为3~7月，主要营巢于林地内，工程施工破坏洲滩植被，会对区域鸟类繁殖造成一定影响。建议毁坏林地时施工避开区域鸟类主要繁殖期。区域冬候鸟主要为雁鸭类，活动于</w:t>
      </w:r>
      <w:r>
        <w:rPr>
          <w:rFonts w:hint="eastAsia" w:ascii="Times New Roman" w:hAnsi="Times New Roman" w:eastAsia="宋体" w:cs="Times New Roman"/>
          <w:caps w:val="0"/>
          <w:smallCaps w:val="0"/>
          <w:snapToGrid/>
          <w:color w:val="auto"/>
          <w:spacing w:val="0"/>
          <w:kern w:val="0"/>
          <w:sz w:val="24"/>
          <w:szCs w:val="24"/>
          <w:highlight w:val="none"/>
          <w:u w:val="none"/>
          <w:lang w:eastAsia="zh-CN"/>
        </w:rPr>
        <w:t>北汊水库</w:t>
      </w:r>
      <w:r>
        <w:rPr>
          <w:rFonts w:hint="eastAsia" w:ascii="Times New Roman" w:hAnsi="Times New Roman" w:eastAsia="宋体" w:cs="Times New Roman"/>
          <w:caps w:val="0"/>
          <w:smallCaps w:val="0"/>
          <w:snapToGrid/>
          <w:color w:val="auto"/>
          <w:spacing w:val="0"/>
          <w:kern w:val="0"/>
          <w:sz w:val="24"/>
          <w:szCs w:val="24"/>
          <w:highlight w:val="none"/>
          <w:u w:val="none"/>
        </w:rPr>
        <w:t>，栖息时间为11~翌年3月。建议合理安排工期，主体工程施工避开区域冬候鸟栖息时间</w:t>
      </w:r>
      <w:r>
        <w:rPr>
          <w:rFonts w:hint="default" w:ascii="Times New Roman" w:hAnsi="Times New Roman" w:eastAsia="宋体" w:cs="Times New Roman"/>
          <w:caps w:val="0"/>
          <w:smallCaps w:val="0"/>
          <w:snapToGrid/>
          <w:color w:val="auto"/>
          <w:spacing w:val="0"/>
          <w:kern w:val="0"/>
          <w:sz w:val="24"/>
          <w:szCs w:val="24"/>
          <w:highlight w:val="none"/>
          <w:u w:val="none" w:color="auto"/>
        </w:rPr>
        <w:t>。</w:t>
      </w:r>
    </w:p>
    <w:p w14:paraId="0F1594E5">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2、减缓措施</w:t>
      </w:r>
    </w:p>
    <w:p w14:paraId="402E457A">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1）施工期间项目建设单位组织生态环保宣传教育，提高施工人员的保护意识，严禁捕猎野生动物。施工人员必须遵守《中华人民共和国野生动物保护法》，严禁在施工区及其周围捕猎野生动物，特别是国家级、省级重点保护动物，在施工时严禁对其进行猎捕，严禁施工人员捕杀野生动物。</w:t>
      </w:r>
    </w:p>
    <w:p w14:paraId="28BA73BC">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2）施工单位合理设置工程施工时段和方式，防止噪声对野生动物的惊扰。野生鸟类和哺乳类大多是早晨、黄昏或夜间外出觅食，正午是鸟类休息时间。为了减少工程施工噪声对野生动物的惊扰，应做好施工方式和时间的计划，并力求避免在晨昏和正午的噪声影响等。</w:t>
      </w:r>
    </w:p>
    <w:p w14:paraId="71844D19">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（3）由于</w:t>
      </w:r>
      <w:r>
        <w:rPr>
          <w:rFonts w:hint="eastAsia" w:ascii="Times New Roman" w:hAnsi="Times New Roman" w:eastAsia="宋体" w:cs="Times New Roman"/>
          <w:caps w:val="0"/>
          <w:smallCaps w:val="0"/>
          <w:snapToGrid/>
          <w:color w:val="auto"/>
          <w:spacing w:val="0"/>
          <w:kern w:val="0"/>
          <w:sz w:val="24"/>
          <w:szCs w:val="24"/>
          <w:highlight w:val="none"/>
          <w:u w:val="none" w:color="auto"/>
          <w:lang w:eastAsia="zh-CN"/>
        </w:rPr>
        <w:t>北汊水库</w:t>
      </w:r>
      <w:r>
        <w:rPr>
          <w:rFonts w:hint="default" w:ascii="Times New Roman" w:hAnsi="Times New Roman" w:eastAsia="宋体" w:cs="Times New Roman"/>
          <w:caps w:val="0"/>
          <w:smallCaps w:val="0"/>
          <w:snapToGrid/>
          <w:color w:val="auto"/>
          <w:spacing w:val="0"/>
          <w:kern w:val="0"/>
          <w:sz w:val="24"/>
          <w:szCs w:val="24"/>
          <w:highlight w:val="none"/>
          <w:u w:val="none" w:color="auto"/>
        </w:rPr>
        <w:t>中有不少游禽、涉禽及两栖爬行类活动，所以施工单位要加强对施工人员的各类卫生管理（如个人卫生、粪便和生活污水），施工废水应经过处理达标后回用于施工或绿化。</w:t>
      </w:r>
    </w:p>
    <w:p w14:paraId="77929645">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（4）主体工程工时需要不断观察周围水域，不断改进施工方案，减少污染，尽量减少对河床的扰动。</w:t>
      </w:r>
    </w:p>
    <w:p w14:paraId="33BA72A3">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3、修复措施</w:t>
      </w:r>
    </w:p>
    <w:p w14:paraId="39C5B7AB">
      <w:p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及时对临时工程进行拆除，并进行植被恢复，削减工程占地对区域野生动物生境占用的影响。</w:t>
      </w:r>
    </w:p>
    <w:p w14:paraId="40D042A4">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4、管理措施</w:t>
      </w:r>
    </w:p>
    <w:p w14:paraId="18A5DE57">
      <w:pPr>
        <w:numPr>
          <w:ilvl w:val="0"/>
          <w:numId w:val="25"/>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加强对工程施工人员的生态教育和野生动物保护教育，加强宣传力度。采用在工程施工营造地分发宣传资料和制作重点保护野生动物板报、日常工作会议中重点告示的方式宣传《中华人民共和国野生动物保护法》、《森林和野生动物类型自然保护区管理办法》、《中华人民共和国陆生野生动物保护实施条例》等相关法律法规及条例，提高施工和管理人员的保护意识，严禁捕猎野生动物的行为。</w:t>
      </w:r>
    </w:p>
    <w:p w14:paraId="6F3DFD8A">
      <w:pPr>
        <w:numPr>
          <w:ilvl w:val="0"/>
          <w:numId w:val="0"/>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（2）加强宣传教育活动，提高工作人员及区域居民的环境保护意识，严禁将生活废水直接排入水域，削减施工对水环境的污染。</w:t>
      </w:r>
    </w:p>
    <w:p w14:paraId="4A09F3C5">
      <w:pPr>
        <w:numPr>
          <w:ilvl w:val="0"/>
          <w:numId w:val="0"/>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（3）施工单位强对施工器械的检查力度，防止施工器械“跑、冒、滴、漏”油的事故发生。</w:t>
      </w:r>
    </w:p>
    <w:p w14:paraId="0239F64F">
      <w:pPr>
        <w:numPr>
          <w:ilvl w:val="0"/>
          <w:numId w:val="0"/>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（4）施工和施工完成后，业主单位委托具有相关资质的单位积极开展对项目区域内的湿地鸟类进行监测，分析冬候鸟的变化趋势，掌握保护措施的实际效果，用于改善湿地鸟类的保护措施。</w:t>
      </w:r>
    </w:p>
    <w:p w14:paraId="39609AA5">
      <w:pPr>
        <w:numPr>
          <w:ilvl w:val="0"/>
          <w:numId w:val="0"/>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（5）自然疫源性疾病的传播者（部分鼠类），施工人员生活垃圾的堆放可能引来鼠类聚集，施工单位需要重视施工区域人、畜的防疫工作。</w:t>
      </w:r>
    </w:p>
    <w:p w14:paraId="7A28246A">
      <w:pPr>
        <w:bidi w:val="0"/>
        <w:spacing w:line="360" w:lineRule="auto"/>
        <w:ind w:firstLine="482" w:firstLineChars="200"/>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5、对重要动物的保护措施</w:t>
      </w:r>
    </w:p>
    <w:p w14:paraId="2014D7C1">
      <w:pPr>
        <w:numPr>
          <w:ilvl w:val="0"/>
          <w:numId w:val="0"/>
        </w:numPr>
        <w:tabs>
          <w:tab w:val="left" w:pos="1021"/>
        </w:tabs>
        <w:spacing w:line="360" w:lineRule="auto"/>
        <w:ind w:firstLine="480" w:firstLineChars="200"/>
        <w:rPr>
          <w:rFonts w:hint="default" w:ascii="Times New Roman" w:hAnsi="Times New Roman" w:eastAsia="宋体" w:cs="Times New Roman"/>
          <w:caps w:val="0"/>
          <w:smallCaps w:val="0"/>
          <w:snapToGrid/>
          <w:color w:val="auto"/>
          <w:spacing w:val="0"/>
          <w:kern w:val="0"/>
          <w:sz w:val="24"/>
          <w:szCs w:val="24"/>
          <w:highlight w:val="none"/>
          <w:u w:val="none" w:color="auto"/>
        </w:rPr>
      </w:pPr>
      <w:r>
        <w:rPr>
          <w:rFonts w:hint="default" w:ascii="Times New Roman" w:hAnsi="Times New Roman" w:eastAsia="宋体" w:cs="Times New Roman"/>
          <w:caps w:val="0"/>
          <w:smallCaps w:val="0"/>
          <w:snapToGrid/>
          <w:color w:val="auto"/>
          <w:spacing w:val="0"/>
          <w:kern w:val="0"/>
          <w:sz w:val="24"/>
          <w:szCs w:val="24"/>
          <w:highlight w:val="none"/>
          <w:u w:val="none" w:color="auto"/>
        </w:rPr>
        <w:t>施工期，工程施工严格控制征地范围；选用低噪音设备，禁止正午和晨昏进行高噪声活动；</w:t>
      </w:r>
      <w:r>
        <w:rPr>
          <w:rFonts w:hint="eastAsia" w:ascii="Times New Roman" w:hAnsi="Times New Roman" w:eastAsia="宋体" w:cs="Times New Roman"/>
          <w:caps w:val="0"/>
          <w:smallCaps w:val="0"/>
          <w:snapToGrid/>
          <w:color w:val="auto"/>
          <w:spacing w:val="0"/>
          <w:kern w:val="0"/>
          <w:sz w:val="24"/>
          <w:szCs w:val="24"/>
          <w:highlight w:val="none"/>
          <w:u w:val="none" w:color="auto"/>
          <w:lang w:eastAsia="zh-CN"/>
        </w:rPr>
        <w:t>产噪较大的</w:t>
      </w:r>
      <w:r>
        <w:rPr>
          <w:rFonts w:hint="default" w:ascii="Times New Roman" w:hAnsi="Times New Roman" w:eastAsia="宋体" w:cs="Times New Roman"/>
          <w:caps w:val="0"/>
          <w:smallCaps w:val="0"/>
          <w:snapToGrid/>
          <w:color w:val="auto"/>
          <w:spacing w:val="0"/>
          <w:kern w:val="0"/>
          <w:sz w:val="24"/>
          <w:szCs w:val="24"/>
          <w:highlight w:val="none"/>
          <w:u w:val="none" w:color="auto"/>
        </w:rPr>
        <w:t>施工避开冬候鸟栖息时间；加强动物的监测，及时掌握重点保护动物分布范围、数量、种类、栖息生境等。加强与地方野生动物保护部门的联系，在工程实施期间，若发现受伤的野生动物及时上报。</w:t>
      </w:r>
    </w:p>
    <w:bookmarkEnd w:id="327"/>
    <w:bookmarkEnd w:id="328"/>
    <w:p w14:paraId="60C6E212">
      <w:pPr>
        <w:pStyle w:val="5"/>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生态敏感区的保护措施</w:t>
      </w:r>
    </w:p>
    <w:p w14:paraId="66A88786">
      <w:pPr>
        <w:spacing w:line="360" w:lineRule="auto"/>
        <w:ind w:firstLine="480" w:firstLineChars="200"/>
        <w:rPr>
          <w:rFonts w:hint="default" w:ascii="Times New Roman" w:hAnsi="Times New Roman" w:eastAsia="宋体" w:cs="Times New Roman"/>
          <w:caps w:val="0"/>
          <w:smallCaps w:val="0"/>
          <w:color w:val="auto"/>
          <w:kern w:val="0"/>
          <w:sz w:val="24"/>
          <w:szCs w:val="21"/>
          <w:u w:val="none"/>
          <w:lang w:val="en-US" w:eastAsia="zh-CN"/>
        </w:rPr>
      </w:pPr>
      <w:r>
        <w:rPr>
          <w:rFonts w:hint="default" w:ascii="Times New Roman" w:hAnsi="Times New Roman" w:eastAsia="宋体" w:cs="Times New Roman"/>
          <w:caps w:val="0"/>
          <w:smallCaps w:val="0"/>
          <w:color w:val="auto"/>
          <w:kern w:val="0"/>
          <w:sz w:val="24"/>
          <w:szCs w:val="21"/>
          <w:u w:val="none"/>
          <w:lang w:val="en-US" w:eastAsia="zh-CN"/>
        </w:rPr>
        <w:t>工程涉及到</w:t>
      </w:r>
      <w:r>
        <w:rPr>
          <w:rFonts w:hint="eastAsia" w:ascii="Times New Roman" w:hAnsi="Times New Roman" w:eastAsia="宋体" w:cs="Times New Roman"/>
          <w:caps w:val="0"/>
          <w:smallCaps w:val="0"/>
          <w:color w:val="auto"/>
          <w:kern w:val="0"/>
          <w:sz w:val="24"/>
          <w:szCs w:val="21"/>
          <w:u w:val="none"/>
          <w:lang w:val="en-US" w:eastAsia="zh-CN"/>
        </w:rPr>
        <w:t>湖南华容东湖国家湿地公园</w:t>
      </w:r>
      <w:r>
        <w:rPr>
          <w:rFonts w:hint="default" w:ascii="Times New Roman" w:hAnsi="Times New Roman" w:eastAsia="宋体" w:cs="Times New Roman"/>
          <w:caps w:val="0"/>
          <w:smallCaps w:val="0"/>
          <w:color w:val="auto"/>
          <w:kern w:val="0"/>
          <w:sz w:val="24"/>
          <w:szCs w:val="21"/>
          <w:u w:val="none"/>
          <w:lang w:val="en-US" w:eastAsia="zh-CN"/>
        </w:rPr>
        <w:t>，相关优化、减缓措施正在进一步研究论证，工程将在维护生态敏感区结构与功能稳定，确保不因工程建设导致区域生态环境质量下降的基础上推进。</w:t>
      </w:r>
    </w:p>
    <w:p w14:paraId="0FF8E8D7">
      <w:pPr>
        <w:spacing w:line="360" w:lineRule="auto"/>
        <w:ind w:firstLine="480" w:firstLineChars="200"/>
        <w:outlineLvl w:val="2"/>
        <w:rPr>
          <w:rFonts w:hint="default" w:ascii="Times New Roman" w:hAnsi="Times New Roman" w:eastAsia="宋体" w:cs="Times New Roman"/>
          <w:color w:val="auto"/>
          <w:kern w:val="0"/>
          <w:sz w:val="24"/>
          <w:szCs w:val="21"/>
          <w:u w:val="none"/>
          <w:lang w:val="en-US" w:eastAsia="zh-CN"/>
        </w:rPr>
      </w:pPr>
      <w:bookmarkStart w:id="329" w:name="_Toc4400"/>
      <w:r>
        <w:rPr>
          <w:rFonts w:hint="default" w:ascii="Times New Roman" w:hAnsi="Times New Roman" w:eastAsia="宋体" w:cs="Times New Roman"/>
          <w:color w:val="auto"/>
          <w:kern w:val="0"/>
          <w:sz w:val="24"/>
          <w:szCs w:val="21"/>
          <w:u w:val="none"/>
          <w:lang w:val="en-US" w:eastAsia="zh-CN"/>
        </w:rPr>
        <w:t>（1）优化工程方案</w:t>
      </w:r>
      <w:bookmarkEnd w:id="329"/>
    </w:p>
    <w:p w14:paraId="5E94EE58">
      <w:pPr>
        <w:spacing w:line="360" w:lineRule="auto"/>
        <w:ind w:firstLine="480" w:firstLineChars="200"/>
        <w:rPr>
          <w:rFonts w:hint="default" w:ascii="Times New Roman" w:hAnsi="Times New Roman" w:eastAsia="宋体" w:cs="Times New Roman"/>
          <w:color w:val="auto"/>
          <w:kern w:val="0"/>
          <w:sz w:val="24"/>
          <w:szCs w:val="21"/>
          <w:u w:val="none"/>
          <w:lang w:val="en-US" w:eastAsia="zh-CN"/>
        </w:rPr>
      </w:pPr>
      <w:r>
        <w:rPr>
          <w:rFonts w:hint="default" w:ascii="Times New Roman" w:hAnsi="Times New Roman" w:eastAsia="宋体" w:cs="Times New Roman"/>
          <w:color w:val="auto"/>
          <w:kern w:val="0"/>
          <w:sz w:val="24"/>
          <w:szCs w:val="21"/>
          <w:u w:val="none"/>
          <w:lang w:val="en-US" w:eastAsia="zh-CN"/>
        </w:rPr>
        <w:t>加强与主管部门沟通，就本项目建设征求有关意见和建议，进一步优化比选工程方案，妥善处理工程建设与</w:t>
      </w:r>
      <w:r>
        <w:rPr>
          <w:rFonts w:hint="eastAsia" w:ascii="Times New Roman" w:hAnsi="Times New Roman" w:eastAsia="宋体" w:cs="Times New Roman"/>
          <w:color w:val="auto"/>
          <w:kern w:val="0"/>
          <w:sz w:val="24"/>
          <w:szCs w:val="21"/>
          <w:u w:val="none"/>
          <w:lang w:val="en-US" w:eastAsia="zh-CN"/>
        </w:rPr>
        <w:t>湿地公园</w:t>
      </w:r>
      <w:r>
        <w:rPr>
          <w:rFonts w:hint="default" w:ascii="Times New Roman" w:hAnsi="Times New Roman" w:eastAsia="宋体" w:cs="Times New Roman"/>
          <w:color w:val="auto"/>
          <w:kern w:val="0"/>
          <w:sz w:val="24"/>
          <w:szCs w:val="21"/>
          <w:u w:val="none"/>
          <w:lang w:val="en-US" w:eastAsia="zh-CN"/>
        </w:rPr>
        <w:t>的关系。</w:t>
      </w:r>
    </w:p>
    <w:p w14:paraId="3DFA3E57">
      <w:pPr>
        <w:spacing w:line="360" w:lineRule="auto"/>
        <w:ind w:firstLine="480" w:firstLineChars="200"/>
        <w:outlineLvl w:val="2"/>
        <w:rPr>
          <w:rFonts w:hint="default" w:ascii="Times New Roman" w:hAnsi="Times New Roman" w:eastAsia="宋体" w:cs="Times New Roman"/>
          <w:color w:val="auto"/>
          <w:kern w:val="0"/>
          <w:sz w:val="24"/>
          <w:szCs w:val="21"/>
          <w:u w:val="none"/>
          <w:lang w:val="en-US" w:eastAsia="zh-CN"/>
        </w:rPr>
      </w:pPr>
      <w:bookmarkStart w:id="330" w:name="_Toc16820"/>
      <w:r>
        <w:rPr>
          <w:rFonts w:hint="default" w:ascii="Times New Roman" w:hAnsi="Times New Roman" w:eastAsia="宋体" w:cs="Times New Roman"/>
          <w:color w:val="auto"/>
          <w:kern w:val="0"/>
          <w:sz w:val="24"/>
          <w:szCs w:val="21"/>
          <w:u w:val="none"/>
          <w:lang w:val="en-US" w:eastAsia="zh-CN"/>
        </w:rPr>
        <w:t>（2）加强对重点保护动植物的保护宣传</w:t>
      </w:r>
      <w:bookmarkEnd w:id="330"/>
    </w:p>
    <w:p w14:paraId="15E3D11B">
      <w:pPr>
        <w:spacing w:line="360" w:lineRule="auto"/>
        <w:ind w:firstLine="480" w:firstLineChars="200"/>
        <w:rPr>
          <w:rFonts w:hint="default" w:ascii="Times New Roman" w:hAnsi="Times New Roman" w:eastAsia="宋体" w:cs="Times New Roman"/>
          <w:color w:val="auto"/>
          <w:kern w:val="0"/>
          <w:sz w:val="24"/>
          <w:szCs w:val="21"/>
          <w:u w:val="none"/>
          <w:lang w:val="en-US" w:eastAsia="zh-CN"/>
        </w:rPr>
      </w:pPr>
      <w:r>
        <w:rPr>
          <w:rFonts w:hint="default" w:ascii="Times New Roman" w:hAnsi="Times New Roman" w:eastAsia="宋体" w:cs="Times New Roman"/>
          <w:color w:val="auto"/>
          <w:kern w:val="0"/>
          <w:sz w:val="24"/>
          <w:szCs w:val="21"/>
          <w:u w:val="none"/>
          <w:lang w:val="en-US" w:eastAsia="zh-CN"/>
        </w:rPr>
        <w:t>给施工人员发放宣传手册，宣传中华人民共和国野生动物保护法，自然保护区条例等相关法规，以及</w:t>
      </w:r>
      <w:r>
        <w:rPr>
          <w:rFonts w:hint="eastAsia" w:ascii="Times New Roman" w:hAnsi="Times New Roman" w:eastAsia="宋体" w:cs="Times New Roman"/>
          <w:color w:val="auto"/>
          <w:kern w:val="0"/>
          <w:sz w:val="24"/>
          <w:szCs w:val="21"/>
          <w:u w:val="none"/>
          <w:lang w:val="en-US" w:eastAsia="zh-CN"/>
        </w:rPr>
        <w:t>湿地公园</w:t>
      </w:r>
      <w:r>
        <w:rPr>
          <w:rFonts w:hint="default" w:ascii="Times New Roman" w:hAnsi="Times New Roman" w:eastAsia="宋体" w:cs="Times New Roman"/>
          <w:color w:val="auto"/>
          <w:kern w:val="0"/>
          <w:sz w:val="24"/>
          <w:szCs w:val="21"/>
          <w:u w:val="none"/>
          <w:lang w:val="en-US" w:eastAsia="zh-CN"/>
        </w:rPr>
        <w:t>的基本情况等。</w:t>
      </w:r>
    </w:p>
    <w:p w14:paraId="31272D28">
      <w:pPr>
        <w:spacing w:line="360" w:lineRule="auto"/>
        <w:ind w:firstLine="480" w:firstLineChars="200"/>
        <w:outlineLvl w:val="2"/>
        <w:rPr>
          <w:rFonts w:hint="default" w:ascii="Times New Roman" w:hAnsi="Times New Roman" w:eastAsia="宋体" w:cs="Times New Roman"/>
          <w:color w:val="auto"/>
          <w:kern w:val="0"/>
          <w:sz w:val="24"/>
          <w:szCs w:val="21"/>
          <w:u w:val="none"/>
          <w:lang w:val="en-US" w:eastAsia="zh-CN"/>
        </w:rPr>
      </w:pPr>
      <w:bookmarkStart w:id="331" w:name="_Toc17873"/>
      <w:r>
        <w:rPr>
          <w:rFonts w:hint="default" w:ascii="Times New Roman" w:hAnsi="Times New Roman" w:eastAsia="宋体" w:cs="Times New Roman"/>
          <w:color w:val="auto"/>
          <w:kern w:val="0"/>
          <w:sz w:val="24"/>
          <w:szCs w:val="21"/>
          <w:u w:val="none"/>
          <w:lang w:val="en-US" w:eastAsia="zh-CN"/>
        </w:rPr>
        <w:t>（3）施工期巡视及临时救护</w:t>
      </w:r>
      <w:bookmarkEnd w:id="331"/>
    </w:p>
    <w:p w14:paraId="463E01D7">
      <w:pPr>
        <w:spacing w:line="360" w:lineRule="auto"/>
        <w:ind w:firstLine="480" w:firstLineChars="200"/>
        <w:rPr>
          <w:rFonts w:hint="default" w:ascii="Times New Roman" w:hAnsi="Times New Roman" w:eastAsia="宋体" w:cs="Times New Roman"/>
          <w:color w:val="auto"/>
          <w:kern w:val="0"/>
          <w:sz w:val="24"/>
          <w:szCs w:val="21"/>
          <w:u w:val="none"/>
          <w:lang w:val="en-US" w:eastAsia="zh-CN"/>
        </w:rPr>
      </w:pPr>
      <w:r>
        <w:rPr>
          <w:rFonts w:hint="default" w:ascii="Times New Roman" w:hAnsi="Times New Roman" w:eastAsia="宋体" w:cs="Times New Roman"/>
          <w:color w:val="auto"/>
          <w:kern w:val="0"/>
          <w:sz w:val="24"/>
          <w:szCs w:val="21"/>
          <w:u w:val="none"/>
          <w:lang w:val="en-US" w:eastAsia="zh-CN"/>
        </w:rPr>
        <w:t>由施工方聘请专业人员对施工区域进行巡视，若发现有重点保护动物出没时，应停止施工，采取无伤害措施将保护动物驱离施工现场，必要时采取救助措施。</w:t>
      </w:r>
    </w:p>
    <w:p w14:paraId="372C689A">
      <w:pPr>
        <w:spacing w:line="360" w:lineRule="auto"/>
        <w:ind w:firstLine="480" w:firstLineChars="200"/>
        <w:outlineLvl w:val="2"/>
        <w:rPr>
          <w:rFonts w:hint="default" w:ascii="Times New Roman" w:hAnsi="Times New Roman" w:eastAsia="宋体" w:cs="Times New Roman"/>
          <w:color w:val="auto"/>
          <w:kern w:val="0"/>
          <w:sz w:val="24"/>
          <w:szCs w:val="21"/>
          <w:u w:val="none"/>
          <w:lang w:val="en-US" w:eastAsia="zh-CN"/>
        </w:rPr>
      </w:pPr>
      <w:bookmarkStart w:id="332" w:name="_Toc29681"/>
      <w:r>
        <w:rPr>
          <w:rFonts w:hint="default" w:ascii="Times New Roman" w:hAnsi="Times New Roman" w:eastAsia="宋体" w:cs="Times New Roman"/>
          <w:color w:val="auto"/>
          <w:kern w:val="0"/>
          <w:sz w:val="24"/>
          <w:szCs w:val="21"/>
          <w:u w:val="none"/>
          <w:lang w:val="en-US" w:eastAsia="zh-CN"/>
        </w:rPr>
        <w:t>（4）设置护栏和拦网</w:t>
      </w:r>
      <w:bookmarkEnd w:id="332"/>
    </w:p>
    <w:p w14:paraId="031BA88E">
      <w:pPr>
        <w:spacing w:line="360" w:lineRule="auto"/>
        <w:ind w:firstLine="480" w:firstLineChars="200"/>
        <w:rPr>
          <w:rFonts w:hint="default" w:ascii="Times New Roman" w:hAnsi="Times New Roman" w:eastAsia="宋体" w:cs="Times New Roman"/>
          <w:color w:val="auto"/>
          <w:kern w:val="0"/>
          <w:sz w:val="24"/>
          <w:szCs w:val="21"/>
          <w:u w:val="none" w:color="auto"/>
          <w:lang w:val="en-US" w:eastAsia="zh-CN"/>
        </w:rPr>
      </w:pPr>
      <w:r>
        <w:rPr>
          <w:rFonts w:hint="default" w:ascii="Times New Roman" w:hAnsi="Times New Roman" w:eastAsia="宋体" w:cs="Times New Roman"/>
          <w:color w:val="auto"/>
          <w:kern w:val="0"/>
          <w:sz w:val="24"/>
          <w:szCs w:val="21"/>
          <w:u w:val="none"/>
          <w:lang w:val="en-US" w:eastAsia="zh-CN"/>
        </w:rPr>
        <w:t>加强施工期管理，在位于</w:t>
      </w:r>
      <w:r>
        <w:rPr>
          <w:rFonts w:hint="eastAsia" w:ascii="Times New Roman" w:hAnsi="Times New Roman" w:eastAsia="宋体" w:cs="Times New Roman"/>
          <w:color w:val="auto"/>
          <w:kern w:val="0"/>
          <w:sz w:val="24"/>
          <w:szCs w:val="21"/>
          <w:u w:val="none"/>
          <w:lang w:val="en-US" w:eastAsia="zh-CN"/>
        </w:rPr>
        <w:t>湿地公园</w:t>
      </w:r>
      <w:r>
        <w:rPr>
          <w:rFonts w:hint="default" w:ascii="Times New Roman" w:hAnsi="Times New Roman" w:eastAsia="宋体" w:cs="Times New Roman"/>
          <w:color w:val="auto"/>
          <w:kern w:val="0"/>
          <w:sz w:val="24"/>
          <w:szCs w:val="21"/>
          <w:u w:val="none"/>
          <w:lang w:val="en-US" w:eastAsia="zh-CN"/>
        </w:rPr>
        <w:t>的施工区设置护栏和拦网，减缓施工活动对</w:t>
      </w:r>
      <w:r>
        <w:rPr>
          <w:rFonts w:hint="eastAsia" w:ascii="Times New Roman" w:hAnsi="Times New Roman" w:eastAsia="宋体" w:cs="Times New Roman"/>
          <w:color w:val="auto"/>
          <w:kern w:val="0"/>
          <w:sz w:val="24"/>
          <w:szCs w:val="21"/>
          <w:u w:val="none"/>
          <w:lang w:val="en-US" w:eastAsia="zh-CN"/>
        </w:rPr>
        <w:t>湿地公园</w:t>
      </w:r>
      <w:r>
        <w:rPr>
          <w:rFonts w:hint="default" w:ascii="Times New Roman" w:hAnsi="Times New Roman" w:eastAsia="宋体" w:cs="Times New Roman"/>
          <w:color w:val="auto"/>
          <w:kern w:val="0"/>
          <w:sz w:val="24"/>
          <w:szCs w:val="21"/>
          <w:u w:val="none"/>
          <w:lang w:val="en-US" w:eastAsia="zh-CN"/>
        </w:rPr>
        <w:t>的影响。</w:t>
      </w:r>
    </w:p>
    <w:p w14:paraId="3E8C45EA">
      <w:pPr>
        <w:pStyle w:val="5"/>
        <w:bidi w:val="0"/>
        <w:rPr>
          <w:rFonts w:hint="default"/>
          <w:color w:val="auto"/>
          <w:u w:val="none" w:color="auto"/>
          <w:lang w:val="en-US" w:eastAsia="zh-CN"/>
        </w:rPr>
      </w:pPr>
      <w:r>
        <w:rPr>
          <w:rFonts w:hint="default"/>
          <w:color w:val="auto"/>
          <w:u w:val="none" w:color="auto"/>
          <w:lang w:val="en-US" w:eastAsia="zh-CN"/>
        </w:rPr>
        <w:t>生态保护红线相关保护措施</w:t>
      </w:r>
    </w:p>
    <w:p w14:paraId="6B8CC2DE">
      <w:pPr>
        <w:spacing w:line="360" w:lineRule="auto"/>
        <w:ind w:firstLine="480" w:firstLineChars="200"/>
        <w:rPr>
          <w:rFonts w:hint="eastAsia" w:ascii="Times New Roman" w:hAnsi="Times New Roman" w:eastAsia="宋体" w:cs="Times New Roman"/>
          <w:color w:val="auto"/>
          <w:kern w:val="0"/>
          <w:sz w:val="24"/>
          <w:szCs w:val="21"/>
          <w:u w:val="none" w:color="auto"/>
          <w:lang w:val="en-US" w:eastAsia="zh-CN"/>
        </w:rPr>
      </w:pPr>
      <w:r>
        <w:rPr>
          <w:rFonts w:hint="eastAsia" w:ascii="Times New Roman" w:hAnsi="Times New Roman" w:eastAsia="宋体" w:cs="Times New Roman"/>
          <w:color w:val="auto"/>
          <w:kern w:val="0"/>
          <w:sz w:val="24"/>
          <w:szCs w:val="21"/>
          <w:u w:val="none" w:color="auto"/>
          <w:lang w:val="en-US" w:eastAsia="zh-CN"/>
        </w:rPr>
        <w:t>（1）优化施工时序和施工方案，尽量少的占用生态保护红线区域，选择在枯水期施工，避免对水体的扰动。</w:t>
      </w:r>
    </w:p>
    <w:p w14:paraId="2BF7C0DF">
      <w:pPr>
        <w:spacing w:line="360" w:lineRule="auto"/>
        <w:ind w:firstLine="480" w:firstLineChars="200"/>
        <w:rPr>
          <w:rFonts w:hint="eastAsia" w:ascii="Times New Roman" w:hAnsi="Times New Roman" w:eastAsia="宋体" w:cs="Times New Roman"/>
          <w:color w:val="auto"/>
          <w:kern w:val="0"/>
          <w:sz w:val="24"/>
          <w:szCs w:val="21"/>
          <w:u w:val="none" w:color="auto"/>
          <w:lang w:val="en-US" w:eastAsia="zh-CN"/>
        </w:rPr>
      </w:pPr>
      <w:r>
        <w:rPr>
          <w:rFonts w:hint="eastAsia" w:ascii="Times New Roman" w:hAnsi="Times New Roman" w:eastAsia="宋体" w:cs="Times New Roman"/>
          <w:color w:val="auto"/>
          <w:kern w:val="0"/>
          <w:sz w:val="24"/>
          <w:szCs w:val="21"/>
          <w:u w:val="none" w:color="auto"/>
          <w:lang w:val="en-US" w:eastAsia="zh-CN"/>
        </w:rPr>
        <w:t>（2）施工材料远离水域堆放，最好选择在背水面堆放，并设置遮盖和挡护措施，避免对水域的影响。</w:t>
      </w:r>
    </w:p>
    <w:p w14:paraId="6B15C31C">
      <w:pPr>
        <w:spacing w:line="360" w:lineRule="auto"/>
        <w:ind w:firstLine="480" w:firstLineChars="200"/>
        <w:rPr>
          <w:rFonts w:hint="default" w:ascii="Times New Roman" w:hAnsi="Times New Roman" w:eastAsia="宋体" w:cs="Times New Roman"/>
          <w:color w:val="auto"/>
          <w:kern w:val="0"/>
          <w:sz w:val="24"/>
          <w:szCs w:val="21"/>
          <w:u w:val="none" w:color="auto"/>
          <w:lang w:val="en-US" w:eastAsia="zh-CN"/>
        </w:rPr>
      </w:pPr>
      <w:r>
        <w:rPr>
          <w:rFonts w:hint="eastAsia" w:ascii="Times New Roman" w:hAnsi="Times New Roman" w:eastAsia="宋体" w:cs="Times New Roman"/>
          <w:color w:val="auto"/>
          <w:kern w:val="0"/>
          <w:sz w:val="24"/>
          <w:szCs w:val="21"/>
          <w:u w:val="none" w:color="auto"/>
          <w:lang w:val="en-US" w:eastAsia="zh-CN"/>
        </w:rPr>
        <w:t>（3）</w:t>
      </w:r>
      <w:r>
        <w:rPr>
          <w:rFonts w:hint="default" w:ascii="Times New Roman" w:hAnsi="Times New Roman" w:eastAsia="宋体" w:cs="Times New Roman"/>
          <w:color w:val="auto"/>
          <w:kern w:val="0"/>
          <w:sz w:val="24"/>
          <w:szCs w:val="21"/>
          <w:u w:val="none" w:color="auto"/>
          <w:lang w:val="en-US" w:eastAsia="zh-CN"/>
        </w:rPr>
        <w:t>为了保护生态红线内的生态环境，施工期间在靠近生态保护红线区域施工时设置提示标语，施工期间禁止越过红线施工。</w:t>
      </w:r>
    </w:p>
    <w:p w14:paraId="5439E070">
      <w:pPr>
        <w:spacing w:line="360" w:lineRule="auto"/>
        <w:ind w:firstLine="480" w:firstLineChars="200"/>
        <w:rPr>
          <w:rFonts w:hint="default" w:ascii="Times New Roman" w:hAnsi="Times New Roman" w:eastAsia="宋体" w:cs="Times New Roman"/>
          <w:color w:val="auto"/>
          <w:kern w:val="0"/>
          <w:sz w:val="24"/>
          <w:szCs w:val="21"/>
          <w:u w:val="none" w:color="auto"/>
          <w:lang w:val="en-US" w:eastAsia="zh-CN"/>
        </w:rPr>
      </w:pPr>
      <w:r>
        <w:rPr>
          <w:rFonts w:hint="eastAsia" w:ascii="Times New Roman" w:hAnsi="Times New Roman" w:eastAsia="宋体" w:cs="Times New Roman"/>
          <w:color w:val="auto"/>
          <w:kern w:val="0"/>
          <w:sz w:val="24"/>
          <w:szCs w:val="21"/>
          <w:u w:val="none" w:color="auto"/>
          <w:lang w:val="en-US" w:eastAsia="zh-CN"/>
        </w:rPr>
        <w:t>（4）</w:t>
      </w:r>
      <w:r>
        <w:rPr>
          <w:rFonts w:hint="default" w:ascii="Times New Roman" w:hAnsi="Times New Roman" w:eastAsia="宋体" w:cs="Times New Roman"/>
          <w:color w:val="auto"/>
          <w:kern w:val="0"/>
          <w:sz w:val="24"/>
          <w:szCs w:val="21"/>
          <w:u w:val="none" w:color="auto"/>
          <w:lang w:val="en-US" w:eastAsia="zh-CN"/>
        </w:rPr>
        <w:t>加强施工管理及施工人员培训，防止对施工期周边分布的生态保护红线造成破坏。</w:t>
      </w:r>
    </w:p>
    <w:p w14:paraId="69045005">
      <w:pPr>
        <w:pStyle w:val="3"/>
        <w:bidi w:val="0"/>
        <w:rPr>
          <w:rFonts w:hint="default" w:ascii="Times New Roman" w:hAnsi="Times New Roman" w:cs="Times New Roman"/>
          <w:color w:val="auto"/>
          <w:u w:val="none" w:color="auto"/>
        </w:rPr>
      </w:pPr>
      <w:bookmarkStart w:id="333" w:name="_Toc2008"/>
      <w:r>
        <w:rPr>
          <w:rFonts w:hint="default" w:ascii="Times New Roman" w:hAnsi="Times New Roman" w:cs="Times New Roman"/>
          <w:color w:val="auto"/>
          <w:u w:val="none" w:color="auto"/>
        </w:rPr>
        <w:t>营运期环境保护措施</w:t>
      </w:r>
      <w:bookmarkEnd w:id="333"/>
    </w:p>
    <w:p w14:paraId="6FDD0AAD">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cs="Times New Roman"/>
          <w:color w:val="auto"/>
          <w:spacing w:val="0"/>
          <w:w w:val="100"/>
          <w:position w:val="0"/>
          <w:u w:val="none" w:color="auto"/>
        </w:rPr>
      </w:pPr>
      <w:r>
        <w:rPr>
          <w:rFonts w:hint="default" w:ascii="Times New Roman" w:hAnsi="Times New Roman" w:eastAsia="宋体" w:cs="Times New Roman"/>
          <w:color w:val="auto"/>
          <w:spacing w:val="0"/>
          <w:w w:val="100"/>
          <w:position w:val="0"/>
          <w:sz w:val="24"/>
          <w:szCs w:val="24"/>
          <w:u w:val="none" w:color="auto"/>
        </w:rPr>
        <w:t>工程属非污染生态影响项目， 项目运行后本身不产生污染物， 项目不新增管理人员，产生</w:t>
      </w:r>
      <w:r>
        <w:rPr>
          <w:rFonts w:hint="default" w:ascii="Times New Roman" w:hAnsi="Times New Roman" w:eastAsia="宋体" w:cs="Times New Roman"/>
          <w:color w:val="auto"/>
          <w:spacing w:val="0"/>
          <w:w w:val="100"/>
          <w:position w:val="0"/>
          <w:sz w:val="24"/>
          <w:szCs w:val="24"/>
          <w:u w:val="none" w:color="auto"/>
          <w:lang w:eastAsia="zh-CN"/>
        </w:rPr>
        <w:t>的</w:t>
      </w:r>
      <w:r>
        <w:rPr>
          <w:rFonts w:hint="default" w:ascii="Times New Roman" w:hAnsi="Times New Roman" w:eastAsia="宋体" w:cs="Times New Roman"/>
          <w:color w:val="auto"/>
          <w:spacing w:val="0"/>
          <w:w w:val="100"/>
          <w:position w:val="0"/>
          <w:sz w:val="24"/>
          <w:szCs w:val="24"/>
          <w:u w:val="none" w:color="auto"/>
        </w:rPr>
        <w:t>污染物主要为</w:t>
      </w:r>
      <w:r>
        <w:rPr>
          <w:rFonts w:hint="default" w:ascii="Times New Roman" w:hAnsi="Times New Roman" w:eastAsia="宋体" w:cs="Times New Roman"/>
          <w:color w:val="auto"/>
          <w:spacing w:val="0"/>
          <w:w w:val="100"/>
          <w:position w:val="0"/>
          <w:sz w:val="24"/>
          <w:szCs w:val="24"/>
          <w:u w:val="none" w:color="auto"/>
          <w:lang w:eastAsia="zh-CN"/>
        </w:rPr>
        <w:t>水库</w:t>
      </w:r>
      <w:r>
        <w:rPr>
          <w:rFonts w:hint="default" w:ascii="Times New Roman" w:hAnsi="Times New Roman" w:eastAsia="宋体" w:cs="Times New Roman"/>
          <w:color w:val="auto"/>
          <w:spacing w:val="0"/>
          <w:w w:val="100"/>
          <w:position w:val="0"/>
          <w:sz w:val="24"/>
          <w:szCs w:val="24"/>
          <w:u w:val="none" w:color="auto"/>
        </w:rPr>
        <w:t>管理人员的生活污水、生活垃圾以及食堂油烟。</w:t>
      </w:r>
    </w:p>
    <w:p w14:paraId="0B840BAB">
      <w:pPr>
        <w:pStyle w:val="4"/>
        <w:bidi w:val="0"/>
        <w:rPr>
          <w:rFonts w:hint="default" w:ascii="Times New Roman" w:hAnsi="Times New Roman" w:cs="Times New Roman"/>
          <w:color w:val="auto"/>
          <w:u w:val="none" w:color="auto"/>
        </w:rPr>
      </w:pPr>
      <w:bookmarkStart w:id="334" w:name="_Toc18488"/>
      <w:r>
        <w:rPr>
          <w:rFonts w:hint="default" w:ascii="Times New Roman" w:hAnsi="Times New Roman" w:cs="Times New Roman"/>
          <w:color w:val="auto"/>
          <w:u w:val="none" w:color="auto"/>
        </w:rPr>
        <w:t>环境空气保护措施</w:t>
      </w:r>
      <w:bookmarkEnd w:id="334"/>
    </w:p>
    <w:p w14:paraId="7268B740">
      <w:pPr>
        <w:keepNext w:val="0"/>
        <w:keepLines w:val="0"/>
        <w:pageBreakBefore w:val="0"/>
        <w:widowControl w:val="0"/>
        <w:tabs>
          <w:tab w:val="left" w:pos="247"/>
        </w:tabs>
        <w:overflowPunct/>
        <w:autoSpaceDE/>
        <w:autoSpaceDN/>
        <w:bidi w:val="0"/>
        <w:adjustRightInd/>
        <w:snapToGrid/>
        <w:spacing w:line="360" w:lineRule="auto"/>
        <w:ind w:left="0" w:right="0" w:firstLine="484"/>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lang w:eastAsia="zh-CN"/>
        </w:rPr>
        <w:t>水库</w:t>
      </w:r>
      <w:r>
        <w:rPr>
          <w:rFonts w:hint="default" w:ascii="Times New Roman" w:hAnsi="Times New Roman" w:eastAsia="宋体" w:cs="Times New Roman"/>
          <w:caps w:val="0"/>
          <w:smallCaps w:val="0"/>
          <w:color w:val="auto"/>
          <w:spacing w:val="0"/>
          <w:w w:val="100"/>
          <w:position w:val="0"/>
          <w:sz w:val="24"/>
          <w:szCs w:val="24"/>
          <w:u w:val="none" w:color="auto"/>
        </w:rPr>
        <w:t>营运期</w:t>
      </w:r>
      <w:r>
        <w:rPr>
          <w:rFonts w:hint="default" w:ascii="Times New Roman" w:hAnsi="Times New Roman" w:eastAsia="宋体" w:cs="Times New Roman"/>
          <w:caps w:val="0"/>
          <w:smallCaps w:val="0"/>
          <w:color w:val="auto"/>
          <w:spacing w:val="0"/>
          <w:w w:val="100"/>
          <w:position w:val="0"/>
          <w:sz w:val="24"/>
          <w:szCs w:val="24"/>
          <w:u w:val="none" w:color="auto"/>
          <w:lang w:eastAsia="zh-CN"/>
        </w:rPr>
        <w:t>本身</w:t>
      </w:r>
      <w:r>
        <w:rPr>
          <w:rFonts w:hint="default" w:ascii="Times New Roman" w:hAnsi="Times New Roman" w:eastAsia="宋体" w:cs="Times New Roman"/>
          <w:caps w:val="0"/>
          <w:smallCaps w:val="0"/>
          <w:color w:val="auto"/>
          <w:spacing w:val="0"/>
          <w:w w:val="100"/>
          <w:position w:val="0"/>
          <w:sz w:val="24"/>
          <w:szCs w:val="24"/>
          <w:u w:val="none" w:color="auto"/>
        </w:rPr>
        <w:t>无废气产生</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运行期间废气主要来源为食堂油烟，食堂配套油烟净化器装置，风机风量</w:t>
      </w:r>
      <w:r>
        <w:rPr>
          <w:rFonts w:hint="default" w:ascii="Times New Roman" w:hAnsi="Times New Roman" w:eastAsia="宋体" w:cs="Times New Roman"/>
          <w:color w:val="auto"/>
          <w:spacing w:val="0"/>
          <w:w w:val="100"/>
          <w:position w:val="0"/>
          <w:sz w:val="24"/>
          <w:szCs w:val="24"/>
          <w:u w:val="none" w:color="auto"/>
          <w:lang w:val="en-US" w:eastAsia="zh-CN"/>
        </w:rPr>
        <w:t>1</w:t>
      </w:r>
      <w:r>
        <w:rPr>
          <w:rFonts w:hint="default" w:ascii="Times New Roman" w:hAnsi="Times New Roman" w:eastAsia="Times New Roman" w:cs="Times New Roman"/>
          <w:color w:val="auto"/>
          <w:spacing w:val="0"/>
          <w:w w:val="100"/>
          <w:position w:val="0"/>
          <w:sz w:val="24"/>
          <w:szCs w:val="24"/>
          <w:u w:val="none" w:color="auto"/>
        </w:rPr>
        <w:t>000m</w:t>
      </w:r>
      <w:r>
        <w:rPr>
          <w:rFonts w:hint="default" w:ascii="Times New Roman" w:hAnsi="Times New Roman" w:eastAsia="宋体" w:cs="Times New Roman"/>
          <w:color w:val="auto"/>
          <w:spacing w:val="0"/>
          <w:w w:val="100"/>
          <w:position w:val="0"/>
          <w:sz w:val="24"/>
          <w:szCs w:val="24"/>
          <w:u w:val="none" w:color="auto"/>
        </w:rPr>
        <w:t>³</w:t>
      </w:r>
      <w:r>
        <w:rPr>
          <w:rFonts w:hint="default" w:ascii="Times New Roman" w:hAnsi="Times New Roman" w:eastAsia="Times New Roman" w:cs="Times New Roman"/>
          <w:color w:val="auto"/>
          <w:spacing w:val="0"/>
          <w:w w:val="100"/>
          <w:position w:val="0"/>
          <w:sz w:val="24"/>
          <w:szCs w:val="24"/>
          <w:u w:val="none" w:color="auto"/>
        </w:rPr>
        <w:t>/h</w:t>
      </w:r>
      <w:r>
        <w:rPr>
          <w:rFonts w:hint="default" w:ascii="Times New Roman" w:hAnsi="Times New Roman" w:eastAsia="宋体" w:cs="Times New Roman"/>
          <w:color w:val="auto"/>
          <w:spacing w:val="0"/>
          <w:w w:val="100"/>
          <w:position w:val="0"/>
          <w:sz w:val="24"/>
          <w:szCs w:val="24"/>
          <w:u w:val="none" w:color="auto"/>
        </w:rPr>
        <w:t>，净化效率≥</w:t>
      </w:r>
      <w:r>
        <w:rPr>
          <w:rFonts w:hint="default" w:ascii="Times New Roman" w:hAnsi="Times New Roman" w:eastAsia="宋体" w:cs="Times New Roman"/>
          <w:color w:val="auto"/>
          <w:spacing w:val="0"/>
          <w:w w:val="100"/>
          <w:position w:val="0"/>
          <w:sz w:val="24"/>
          <w:szCs w:val="24"/>
          <w:u w:val="none" w:color="auto"/>
          <w:lang w:val="en-US" w:eastAsia="zh-CN"/>
        </w:rPr>
        <w:t>60</w:t>
      </w:r>
      <w:r>
        <w:rPr>
          <w:rFonts w:hint="default" w:ascii="Times New Roman" w:hAnsi="Times New Roman" w:eastAsia="Times New Roman" w:cs="Times New Roman"/>
          <w:color w:val="auto"/>
          <w:spacing w:val="0"/>
          <w:w w:val="10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rPr>
        <w:t>，油烟排放浓度小于《饮食业油烟排放标准 (试行)》(</w:t>
      </w:r>
      <w:r>
        <w:rPr>
          <w:rFonts w:hint="default" w:ascii="Times New Roman" w:hAnsi="Times New Roman" w:eastAsia="Times New Roman" w:cs="Times New Roman"/>
          <w:color w:val="auto"/>
          <w:spacing w:val="0"/>
          <w:w w:val="100"/>
          <w:position w:val="0"/>
          <w:sz w:val="24"/>
          <w:szCs w:val="24"/>
          <w:u w:val="none" w:color="auto"/>
        </w:rPr>
        <w:t>GB18483-2001</w:t>
      </w:r>
      <w:r>
        <w:rPr>
          <w:rFonts w:hint="default" w:ascii="Times New Roman" w:hAnsi="Times New Roman" w:eastAsia="宋体" w:cs="Times New Roman"/>
          <w:color w:val="auto"/>
          <w:spacing w:val="0"/>
          <w:w w:val="100"/>
          <w:position w:val="0"/>
          <w:sz w:val="24"/>
          <w:szCs w:val="24"/>
          <w:u w:val="none" w:color="auto"/>
        </w:rPr>
        <w:t>)中</w:t>
      </w:r>
      <w:r>
        <w:rPr>
          <w:rFonts w:hint="default" w:ascii="Times New Roman" w:hAnsi="Times New Roman" w:eastAsia="Times New Roman" w:cs="Times New Roman"/>
          <w:color w:val="auto"/>
          <w:spacing w:val="0"/>
          <w:w w:val="100"/>
          <w:position w:val="0"/>
          <w:sz w:val="24"/>
          <w:szCs w:val="24"/>
          <w:u w:val="none" w:color="auto"/>
        </w:rPr>
        <w:t>2.0 mg/m</w:t>
      </w:r>
      <w:r>
        <w:rPr>
          <w:rFonts w:hint="default" w:ascii="Times New Roman" w:hAnsi="Times New Roman" w:eastAsia="宋体" w:cs="Times New Roman"/>
          <w:color w:val="auto"/>
          <w:spacing w:val="0"/>
          <w:w w:val="100"/>
          <w:position w:val="0"/>
          <w:sz w:val="24"/>
          <w:szCs w:val="24"/>
          <w:u w:val="none" w:color="auto"/>
        </w:rPr>
        <w:t>³的标准，食堂油烟对环境空气影响不大。</w:t>
      </w:r>
    </w:p>
    <w:p w14:paraId="60D15ECC">
      <w:pPr>
        <w:pStyle w:val="4"/>
        <w:bidi w:val="0"/>
        <w:rPr>
          <w:rFonts w:hint="default" w:ascii="Times New Roman" w:hAnsi="Times New Roman" w:cs="Times New Roman"/>
          <w:color w:val="auto"/>
          <w:u w:val="none" w:color="auto"/>
        </w:rPr>
      </w:pPr>
      <w:bookmarkStart w:id="335" w:name="_Toc19977"/>
      <w:r>
        <w:rPr>
          <w:rFonts w:hint="default" w:ascii="Times New Roman" w:hAnsi="Times New Roman" w:cs="Times New Roman"/>
          <w:color w:val="auto"/>
          <w:u w:val="none" w:color="auto"/>
        </w:rPr>
        <w:t>地表水环境保护措施</w:t>
      </w:r>
      <w:bookmarkEnd w:id="335"/>
    </w:p>
    <w:p w14:paraId="6930058B">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eastAsia" w:ascii="Times New Roman" w:hAnsi="Times New Roman" w:eastAsia="宋体" w:cs="Times New Roman"/>
          <w:color w:val="000000"/>
          <w:kern w:val="0"/>
          <w:sz w:val="24"/>
          <w:szCs w:val="24"/>
          <w:u w:val="none" w:color="auto"/>
          <w:lang w:val="en-US" w:eastAsia="zh-CN" w:bidi="ar"/>
        </w:rPr>
        <w:t>运营期水库管理所生活污水经化粪池处理后用于周边田地施肥，不外排。</w:t>
      </w:r>
    </w:p>
    <w:p w14:paraId="1DFDC293">
      <w:pPr>
        <w:pStyle w:val="4"/>
        <w:bidi w:val="0"/>
        <w:rPr>
          <w:rFonts w:hint="default" w:ascii="Times New Roman" w:hAnsi="Times New Roman" w:cs="Times New Roman"/>
          <w:u w:val="none" w:color="auto"/>
        </w:rPr>
      </w:pPr>
      <w:bookmarkStart w:id="336" w:name="_Toc30260"/>
      <w:r>
        <w:rPr>
          <w:rFonts w:hint="default" w:ascii="Times New Roman" w:hAnsi="Times New Roman" w:cs="Times New Roman"/>
          <w:u w:val="none" w:color="auto"/>
        </w:rPr>
        <w:t>声环境保护措施</w:t>
      </w:r>
      <w:bookmarkEnd w:id="336"/>
    </w:p>
    <w:p w14:paraId="1590107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水库营运期产生的噪声主要是</w:t>
      </w:r>
      <w:r>
        <w:rPr>
          <w:rFonts w:hint="default" w:ascii="Times New Roman" w:hAnsi="Times New Roman" w:eastAsia="宋体" w:cs="Times New Roman"/>
          <w:caps w:val="0"/>
          <w:smallCaps w:val="0"/>
          <w:color w:val="auto"/>
          <w:spacing w:val="0"/>
          <w:w w:val="100"/>
          <w:position w:val="0"/>
          <w:sz w:val="24"/>
          <w:szCs w:val="24"/>
          <w:u w:val="none" w:color="auto"/>
          <w:lang w:eastAsia="zh-CN"/>
        </w:rPr>
        <w:t>启闭机和备用</w:t>
      </w:r>
      <w:r>
        <w:rPr>
          <w:rFonts w:hint="default" w:ascii="Times New Roman" w:hAnsi="Times New Roman" w:eastAsia="宋体" w:cs="Times New Roman"/>
          <w:caps w:val="0"/>
          <w:smallCaps w:val="0"/>
          <w:color w:val="auto"/>
          <w:spacing w:val="0"/>
          <w:w w:val="100"/>
          <w:position w:val="0"/>
          <w:sz w:val="24"/>
          <w:szCs w:val="24"/>
          <w:u w:val="none" w:color="auto"/>
        </w:rPr>
        <w:t>发电</w:t>
      </w:r>
      <w:r>
        <w:rPr>
          <w:rFonts w:hint="default" w:ascii="Times New Roman" w:hAnsi="Times New Roman" w:eastAsia="宋体" w:cs="Times New Roman"/>
          <w:caps w:val="0"/>
          <w:smallCaps w:val="0"/>
          <w:color w:val="auto"/>
          <w:spacing w:val="0"/>
          <w:w w:val="100"/>
          <w:position w:val="0"/>
          <w:sz w:val="24"/>
          <w:szCs w:val="24"/>
          <w:u w:val="none" w:color="auto"/>
          <w:lang w:eastAsia="zh-CN"/>
        </w:rPr>
        <w:t>机</w:t>
      </w:r>
      <w:r>
        <w:rPr>
          <w:rFonts w:hint="default" w:ascii="Times New Roman" w:hAnsi="Times New Roman" w:eastAsia="宋体" w:cs="Times New Roman"/>
          <w:caps w:val="0"/>
          <w:smallCaps w:val="0"/>
          <w:color w:val="auto"/>
          <w:spacing w:val="0"/>
          <w:w w:val="100"/>
          <w:position w:val="0"/>
          <w:sz w:val="24"/>
          <w:szCs w:val="24"/>
          <w:u w:val="none" w:color="auto"/>
        </w:rPr>
        <w:t>，设备均设置在建筑内，通过墙体隔声，可有效降低噪声影响。</w:t>
      </w:r>
    </w:p>
    <w:p w14:paraId="7C4B807E">
      <w:pPr>
        <w:pStyle w:val="4"/>
        <w:bidi w:val="0"/>
        <w:rPr>
          <w:rFonts w:hint="default" w:ascii="Times New Roman" w:hAnsi="Times New Roman" w:cs="Times New Roman"/>
          <w:u w:val="none" w:color="auto"/>
        </w:rPr>
      </w:pPr>
      <w:bookmarkStart w:id="337" w:name="_Toc25997"/>
      <w:r>
        <w:rPr>
          <w:rFonts w:hint="default" w:ascii="Times New Roman" w:hAnsi="Times New Roman" w:cs="Times New Roman"/>
          <w:u w:val="none" w:color="auto"/>
        </w:rPr>
        <w:t>固体废物环境保护措施</w:t>
      </w:r>
      <w:bookmarkEnd w:id="337"/>
    </w:p>
    <w:p w14:paraId="104BC30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项目营运期产生的固体废物主要为管理人员的生活垃圾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垃圾桶集中收集</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后交由环卫部门定期清运</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处理</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4D36556E">
      <w:pPr>
        <w:pStyle w:val="4"/>
        <w:bidi w:val="0"/>
        <w:rPr>
          <w:rFonts w:hint="default" w:ascii="Times New Roman" w:hAnsi="Times New Roman" w:cs="Times New Roman"/>
          <w:u w:val="none" w:color="auto"/>
        </w:rPr>
      </w:pPr>
      <w:bookmarkStart w:id="338" w:name="bookmark663"/>
      <w:bookmarkStart w:id="339" w:name="bookmark662"/>
      <w:bookmarkStart w:id="340" w:name="_Toc25066"/>
      <w:r>
        <w:rPr>
          <w:rFonts w:hint="default" w:ascii="Times New Roman" w:hAnsi="Times New Roman" w:cs="Times New Roman"/>
          <w:u w:val="none" w:color="auto"/>
        </w:rPr>
        <w:t>地下水、土壤环境保护措施</w:t>
      </w:r>
      <w:bookmarkEnd w:id="338"/>
      <w:bookmarkEnd w:id="339"/>
      <w:bookmarkEnd w:id="340"/>
    </w:p>
    <w:p w14:paraId="5592A8B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本工程为生态影响型项目，在严格执行相关环境保护措施的前提下，不会对地下水水位造成影响、污染地下水水质，不会对加剧土壤的酸化或引起碱化或盐化影响。因此，地下水、土壤环境保护措施主要为源头控制措施，具体包括： </w:t>
      </w:r>
    </w:p>
    <w:p w14:paraId="17BEF9E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）运行期各类污废水、固体废物应按本报告书要求进行处理和处置，避免污染工程周边地下水、土壤环境。 </w:t>
      </w:r>
    </w:p>
    <w:p w14:paraId="1B7BCDC9">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）对工程区内临时用地进行表土剥离，并集中堆置防护用于后期植被恢复。   （</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）加强机械设备的维护保养，杜绝机械设备油类的跑、冒、滴、漏对土壤环境和地下水的污染。</w:t>
      </w:r>
    </w:p>
    <w:p w14:paraId="425BA9B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）加强水库</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管理所及</w:t>
      </w:r>
      <w:r>
        <w:rPr>
          <w:rFonts w:hint="default" w:ascii="Times New Roman" w:hAnsi="Times New Roman" w:eastAsia="宋体" w:cs="Times New Roman"/>
          <w:caps w:val="0"/>
          <w:smallCaps w:val="0"/>
          <w:color w:val="auto"/>
          <w:spacing w:val="0"/>
          <w:w w:val="100"/>
          <w:kern w:val="0"/>
          <w:position w:val="0"/>
          <w:sz w:val="24"/>
          <w:szCs w:val="24"/>
          <w:u w:val="none" w:color="auto"/>
        </w:rPr>
        <w:t>周边的农村生活污水和生活垃圾管理，</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避免对地下水和土壤造成污染</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2E47E78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rPr>
        <w:t>）库区周边做好农田水利建设，加强植被覆盖率，减少水土流失。</w:t>
      </w:r>
    </w:p>
    <w:p w14:paraId="709ED25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caps w:val="0"/>
          <w:smallCaps w:val="0"/>
          <w:color w:val="auto"/>
          <w:spacing w:val="0"/>
          <w:w w:val="100"/>
          <w:kern w:val="0"/>
          <w:position w:val="0"/>
          <w:sz w:val="24"/>
          <w:szCs w:val="24"/>
          <w:u w:val="none" w:color="auto"/>
        </w:rPr>
        <w:t>）合理灌溉。主要是控制库区周边农田灌溉水对地下的过量补给，将地下水位限制在临界深度以下。严格控制灌溉定额，改善灌溉方法。</w:t>
      </w:r>
    </w:p>
    <w:p w14:paraId="2A0DE784">
      <w:pPr>
        <w:pStyle w:val="4"/>
        <w:bidi w:val="0"/>
        <w:rPr>
          <w:rFonts w:hint="default" w:ascii="Times New Roman" w:hAnsi="Times New Roman" w:cs="Times New Roman"/>
          <w:u w:val="none" w:color="auto"/>
        </w:rPr>
      </w:pPr>
      <w:bookmarkStart w:id="341" w:name="bookmark669"/>
      <w:bookmarkStart w:id="342" w:name="bookmark668"/>
      <w:bookmarkStart w:id="343" w:name="_Toc18375"/>
      <w:r>
        <w:rPr>
          <w:rFonts w:hint="default" w:ascii="Times New Roman" w:hAnsi="Times New Roman" w:cs="Times New Roman"/>
          <w:u w:val="none" w:color="auto"/>
        </w:rPr>
        <w:t>生态环境保护措施</w:t>
      </w:r>
      <w:bookmarkEnd w:id="341"/>
      <w:bookmarkEnd w:id="342"/>
      <w:bookmarkEnd w:id="343"/>
    </w:p>
    <w:p w14:paraId="20EC56F8">
      <w:pPr>
        <w:pStyle w:val="5"/>
        <w:bidi w:val="0"/>
        <w:rPr>
          <w:rFonts w:hint="default" w:ascii="Times New Roman" w:hAnsi="Times New Roman" w:cs="Times New Roman"/>
          <w:u w:val="none" w:color="auto"/>
        </w:rPr>
      </w:pPr>
      <w:r>
        <w:rPr>
          <w:rFonts w:hint="default" w:ascii="Times New Roman" w:hAnsi="Times New Roman" w:cs="Times New Roman"/>
          <w:u w:val="none" w:color="auto"/>
        </w:rPr>
        <w:t>陆生</w:t>
      </w:r>
      <w:r>
        <w:rPr>
          <w:rFonts w:hint="eastAsia" w:ascii="Times New Roman" w:hAnsi="Times New Roman" w:cs="Times New Roman"/>
          <w:u w:val="none" w:color="auto"/>
          <w:lang w:eastAsia="zh-CN"/>
        </w:rPr>
        <w:t>生态</w:t>
      </w:r>
      <w:r>
        <w:rPr>
          <w:rFonts w:hint="default" w:ascii="Times New Roman" w:hAnsi="Times New Roman" w:cs="Times New Roman"/>
          <w:u w:val="none" w:color="auto"/>
        </w:rPr>
        <w:t xml:space="preserve">保护措施 </w:t>
      </w:r>
    </w:p>
    <w:p w14:paraId="06A7F2F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加强保护野生物种资源的宣传教育，提高民众保护野生动物的意识及法纪观念，严禁狩猎</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滥捕乱杀，对违禁者要依法追究责任。</w:t>
      </w:r>
    </w:p>
    <w:p w14:paraId="1E958CC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）加</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强绿化</w:t>
      </w:r>
      <w:r>
        <w:rPr>
          <w:rFonts w:hint="default" w:ascii="Times New Roman" w:hAnsi="Times New Roman" w:eastAsia="宋体" w:cs="Times New Roman"/>
          <w:caps w:val="0"/>
          <w:smallCaps w:val="0"/>
          <w:color w:val="auto"/>
          <w:spacing w:val="0"/>
          <w:w w:val="100"/>
          <w:kern w:val="0"/>
          <w:position w:val="0"/>
          <w:sz w:val="24"/>
          <w:szCs w:val="24"/>
          <w:u w:val="none" w:color="auto"/>
        </w:rPr>
        <w:t>，提高植物覆盖率，为野生动物提供适宜的生境。</w:t>
      </w:r>
    </w:p>
    <w:p w14:paraId="3840FC88">
      <w:pPr>
        <w:pStyle w:val="5"/>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水生</w:t>
      </w:r>
      <w:r>
        <w:rPr>
          <w:rFonts w:hint="eastAsia" w:ascii="Times New Roman" w:hAnsi="Times New Roman" w:cs="Times New Roman"/>
          <w:color w:val="auto"/>
          <w:u w:val="none" w:color="auto"/>
          <w:lang w:eastAsia="zh-CN"/>
        </w:rPr>
        <w:t>生态</w:t>
      </w:r>
      <w:r>
        <w:rPr>
          <w:rFonts w:hint="default" w:ascii="Times New Roman" w:hAnsi="Times New Roman" w:cs="Times New Roman"/>
          <w:color w:val="auto"/>
          <w:u w:val="none" w:color="auto"/>
        </w:rPr>
        <w:t>保护措施</w:t>
      </w:r>
    </w:p>
    <w:p w14:paraId="2AD11191">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严禁炸鱼、毒鱼、电鱼以及其它捕鱼作业等严重损害水产资源</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破坏</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水生</w:t>
      </w:r>
      <w:r>
        <w:rPr>
          <w:rFonts w:hint="default" w:ascii="Times New Roman" w:hAnsi="Times New Roman" w:eastAsia="宋体" w:cs="Times New Roman"/>
          <w:caps w:val="0"/>
          <w:smallCaps w:val="0"/>
          <w:color w:val="auto"/>
          <w:spacing w:val="0"/>
          <w:w w:val="100"/>
          <w:kern w:val="0"/>
          <w:position w:val="0"/>
          <w:sz w:val="24"/>
          <w:szCs w:val="24"/>
          <w:u w:val="none" w:color="auto"/>
        </w:rPr>
        <w:t>生态的违法活动。</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定期向水库投放当地原有鱼类的鱼苗，作为鱼类资源损失的生物补偿。</w:t>
      </w:r>
      <w:r>
        <w:rPr>
          <w:rFonts w:hint="default" w:ascii="Times New Roman" w:hAnsi="Times New Roman" w:eastAsia="宋体" w:cs="Times New Roman"/>
          <w:caps w:val="0"/>
          <w:smallCaps w:val="0"/>
          <w:color w:val="auto"/>
          <w:spacing w:val="0"/>
          <w:w w:val="100"/>
          <w:kern w:val="0"/>
          <w:position w:val="0"/>
          <w:sz w:val="24"/>
          <w:szCs w:val="24"/>
          <w:u w:val="none" w:color="auto"/>
        </w:rPr>
        <w:t>严禁在</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库区内</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投饵</w:t>
      </w:r>
      <w:r>
        <w:rPr>
          <w:rFonts w:hint="default" w:ascii="Times New Roman" w:hAnsi="Times New Roman" w:eastAsia="宋体" w:cs="Times New Roman"/>
          <w:caps w:val="0"/>
          <w:smallCaps w:val="0"/>
          <w:color w:val="auto"/>
          <w:spacing w:val="0"/>
          <w:w w:val="100"/>
          <w:kern w:val="0"/>
          <w:position w:val="0"/>
          <w:sz w:val="24"/>
          <w:szCs w:val="24"/>
          <w:u w:val="none" w:color="auto"/>
        </w:rPr>
        <w:t>养殖，防止水体受到污染。</w:t>
      </w:r>
    </w:p>
    <w:p w14:paraId="5061787B">
      <w:pPr>
        <w:keepNext w:val="0"/>
        <w:keepLines w:val="0"/>
        <w:pageBreakBefore w:val="0"/>
        <w:widowControl w:val="0"/>
        <w:kinsoku w:val="0"/>
        <w:wordWrap w:val="0"/>
        <w:overflowPunct/>
        <w:topLinePunct/>
        <w:autoSpaceDE/>
        <w:autoSpaceDN/>
        <w:bidi w:val="0"/>
        <w:adjustRightInd w:val="0"/>
        <w:snapToGrid/>
        <w:spacing w:line="360" w:lineRule="auto"/>
        <w:ind w:firstLine="643" w:firstLineChars="200"/>
        <w:textAlignment w:val="auto"/>
        <w:rPr>
          <w:rFonts w:hint="default" w:ascii="Times New Roman" w:hAnsi="Times New Roman" w:eastAsia="宋体" w:cs="Times New Roman"/>
          <w:b/>
          <w:caps w:val="0"/>
          <w:smallCaps w:val="0"/>
          <w:color w:val="FF0000"/>
          <w:spacing w:val="0"/>
          <w:w w:val="100"/>
          <w:position w:val="0"/>
          <w:sz w:val="32"/>
          <w:szCs w:val="32"/>
          <w:u w:val="none" w:color="auto"/>
        </w:rPr>
        <w:sectPr>
          <w:headerReference r:id="rId15" w:type="default"/>
          <w:footerReference r:id="rId16" w:type="default"/>
          <w:pgSz w:w="11906" w:h="16838"/>
          <w:pgMar w:top="1440" w:right="1803" w:bottom="1440" w:left="1803"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2EDD21D8">
      <w:pPr>
        <w:pStyle w:val="2"/>
        <w:bidi w:val="0"/>
        <w:rPr>
          <w:rFonts w:hint="default" w:ascii="Times New Roman" w:hAnsi="Times New Roman" w:cs="Times New Roman"/>
          <w:u w:val="none" w:color="auto"/>
        </w:rPr>
      </w:pPr>
      <w:bookmarkStart w:id="344" w:name="_Toc5824"/>
      <w:r>
        <w:rPr>
          <w:rFonts w:hint="default" w:ascii="Times New Roman" w:hAnsi="Times New Roman" w:cs="Times New Roman"/>
          <w:u w:val="none" w:color="auto"/>
        </w:rPr>
        <w:t>环境</w:t>
      </w:r>
      <w:r>
        <w:rPr>
          <w:rFonts w:hint="default" w:ascii="Times New Roman" w:hAnsi="Times New Roman" w:cs="Times New Roman"/>
          <w:u w:val="none" w:color="auto"/>
          <w:lang w:val="en-US" w:eastAsia="zh-CN"/>
        </w:rPr>
        <w:t>影响</w:t>
      </w:r>
      <w:r>
        <w:rPr>
          <w:rFonts w:hint="default" w:ascii="Times New Roman" w:hAnsi="Times New Roman" w:cs="Times New Roman"/>
          <w:u w:val="none" w:color="auto"/>
        </w:rPr>
        <w:t>经济损益分析</w:t>
      </w:r>
      <w:bookmarkEnd w:id="344"/>
    </w:p>
    <w:p w14:paraId="5C3626B0">
      <w:pPr>
        <w:spacing w:before="216" w:line="340" w:lineRule="auto"/>
        <w:ind w:left="22" w:right="228" w:firstLine="480"/>
        <w:rPr>
          <w:rFonts w:hint="default" w:ascii="Times New Roman" w:hAnsi="Times New Roman" w:cs="Times New Roman"/>
          <w:caps w:val="0"/>
          <w:smallCaps w:val="0"/>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环境影响经济损益分析目的是通过对项目建成后产生的正负两方面影响的分析评价， 对项目建成运营后的整体效益进行综合分析， 评价项目的总体效益并论证项目建设的可行性。其中，正方面影响主要体现在社会效益、经济效益上，负方面影响主要体现在环境效益上。</w:t>
      </w:r>
      <w:r>
        <w:rPr>
          <w:rFonts w:hint="default" w:ascii="Times New Roman" w:hAnsi="Times New Roman" w:eastAsia="宋体" w:cs="Times New Roman"/>
          <w:caps w:val="0"/>
          <w:smallCaps w:val="0"/>
          <w:color w:val="auto"/>
          <w:spacing w:val="0"/>
          <w:w w:val="100"/>
          <w:kern w:val="0"/>
          <w:position w:val="0"/>
          <w:sz w:val="24"/>
          <w:szCs w:val="24"/>
          <w:u w:val="none" w:color="auto"/>
        </w:rPr>
        <w:t>项目以供水为主，属于公益性的非污染类项目，具有较好的经济效益。由于水利水电工程对环境的影响是多方面的，且多为公益性项目，环境影响经济损益分析难度很大，很多因素难以进行货币量化计算，只能作定性的描述。根据本工程的实际情况，本次对项目的环境影响经济分析运用定量结合定性的方法进行。</w:t>
      </w:r>
    </w:p>
    <w:p w14:paraId="3C32CECD">
      <w:pPr>
        <w:pStyle w:val="3"/>
        <w:bidi w:val="0"/>
        <w:rPr>
          <w:rFonts w:hint="default" w:ascii="Times New Roman" w:hAnsi="Times New Roman" w:cs="Times New Roman"/>
          <w:color w:val="auto"/>
          <w:u w:val="none" w:color="auto"/>
        </w:rPr>
      </w:pPr>
      <w:bookmarkStart w:id="345" w:name="_Toc13271"/>
      <w:r>
        <w:rPr>
          <w:rFonts w:hint="default" w:ascii="Times New Roman" w:hAnsi="Times New Roman" w:cs="Times New Roman"/>
          <w:color w:val="auto"/>
          <w:u w:val="none" w:color="auto"/>
        </w:rPr>
        <w:t>环境保护投资估算</w:t>
      </w:r>
      <w:bookmarkEnd w:id="345"/>
    </w:p>
    <w:p w14:paraId="29B69263">
      <w:pPr>
        <w:pStyle w:val="4"/>
        <w:bidi w:val="0"/>
        <w:rPr>
          <w:rFonts w:hint="default" w:ascii="Times New Roman" w:hAnsi="Times New Roman" w:cs="Times New Roman"/>
          <w:u w:val="none" w:color="auto"/>
        </w:rPr>
      </w:pPr>
      <w:bookmarkStart w:id="346" w:name="_Toc23419"/>
      <w:r>
        <w:rPr>
          <w:rFonts w:hint="default" w:ascii="Times New Roman" w:hAnsi="Times New Roman" w:cs="Times New Roman"/>
          <w:u w:val="none" w:color="auto"/>
          <w:lang w:eastAsia="zh-CN"/>
        </w:rPr>
        <w:t>估算</w:t>
      </w:r>
      <w:r>
        <w:rPr>
          <w:rFonts w:hint="default" w:ascii="Times New Roman" w:hAnsi="Times New Roman" w:cs="Times New Roman"/>
          <w:u w:val="none" w:color="auto"/>
        </w:rPr>
        <w:t>原则</w:t>
      </w:r>
      <w:bookmarkEnd w:id="346"/>
    </w:p>
    <w:p w14:paraId="05668FC5">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谁污染，谁负责，谁开发，谁保护”原则。既保护环境又为主体工程服务，以及为减轻或消除因工程新建对环境造成的不利影响等，需采取的环境保护、环境监测和环境工程管理等措施，其所需投资，应根据其项目的依附性质，列入工程环境保护投资。</w:t>
      </w:r>
    </w:p>
    <w:p w14:paraId="0DEC9E32">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“突出重点”原则。对项目影响较大、公众关注、保护等级较高的环境因子进行重点保护，在经费上予以优先考虑。</w:t>
      </w:r>
    </w:p>
    <w:p w14:paraId="59C391D1">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“功能恢复”原则。对于因工程新建对环境造成不利影响需采取的补偿措施； 凡结合迁、改建提高标准或扩大规模增加的投资，应由地方政府或有关部门、产权所有者自行承担。</w:t>
      </w:r>
    </w:p>
    <w:p w14:paraId="2A43F5DF">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“一次性补偿”原则。对工程所造成的难以恢复、改建的环境影响对象和生态与环境损失，可采取替代补偿和生态恢复措施，或按有关补偿标准给予一次性合理补偿。</w:t>
      </w:r>
    </w:p>
    <w:p w14:paraId="5A5B4A9B">
      <w:pPr>
        <w:pStyle w:val="4"/>
        <w:bidi w:val="0"/>
        <w:rPr>
          <w:rFonts w:hint="default" w:ascii="Times New Roman" w:hAnsi="Times New Roman" w:cs="Times New Roman"/>
          <w:u w:val="none" w:color="auto"/>
          <w:lang w:val="en-US" w:eastAsia="zh-CN"/>
        </w:rPr>
      </w:pPr>
      <w:bookmarkStart w:id="347" w:name="_Toc20740"/>
      <w:r>
        <w:rPr>
          <w:rFonts w:hint="default" w:ascii="Times New Roman" w:hAnsi="Times New Roman" w:cs="Times New Roman"/>
          <w:u w:val="none" w:color="auto"/>
          <w:lang w:val="en-US" w:eastAsia="zh-CN"/>
        </w:rPr>
        <w:t>估算依据</w:t>
      </w:r>
      <w:bookmarkEnd w:id="347"/>
    </w:p>
    <w:p w14:paraId="137B7F40">
      <w:pPr>
        <w:pStyle w:val="83"/>
        <w:keepNext w:val="0"/>
        <w:keepLines w:val="0"/>
        <w:pageBreakBefore w:val="0"/>
        <w:widowControl w:val="0"/>
        <w:numPr>
          <w:ilvl w:val="0"/>
          <w:numId w:val="0"/>
        </w:numPr>
        <w:tabs>
          <w:tab w:val="left" w:pos="182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《水利水电工程环境保护设计概(估)算编制规程》(SL359-2006)；</w:t>
      </w:r>
    </w:p>
    <w:p w14:paraId="4FEF4ADC">
      <w:pPr>
        <w:pStyle w:val="83"/>
        <w:keepNext w:val="0"/>
        <w:keepLines w:val="0"/>
        <w:pageBreakBefore w:val="0"/>
        <w:widowControl w:val="0"/>
        <w:numPr>
          <w:ilvl w:val="0"/>
          <w:numId w:val="0"/>
        </w:numPr>
        <w:tabs>
          <w:tab w:val="left" w:pos="182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caps w:val="0"/>
          <w:smallCaps w:val="0"/>
          <w:color w:val="auto"/>
          <w:spacing w:val="0"/>
          <w:w w:val="100"/>
          <w:kern w:val="0"/>
          <w:position w:val="0"/>
          <w:sz w:val="24"/>
          <w:szCs w:val="24"/>
          <w:u w:val="none" w:color="auto"/>
        </w:rPr>
        <w:t>《关于规范环境影响咨询收费有关问题的通知》(国家计委、国家环保局 计价格</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2002</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125号文)；</w:t>
      </w:r>
    </w:p>
    <w:p w14:paraId="38674446">
      <w:pPr>
        <w:pStyle w:val="83"/>
        <w:keepNext w:val="0"/>
        <w:keepLines w:val="0"/>
        <w:pageBreakBefore w:val="0"/>
        <w:widowControl w:val="0"/>
        <w:numPr>
          <w:ilvl w:val="0"/>
          <w:numId w:val="0"/>
        </w:numPr>
        <w:tabs>
          <w:tab w:val="left" w:pos="1807"/>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rPr>
        <w:t>《工程勘察设计收费管理规定》(国家计委、建设部计价格〔2002〕10 号)；</w:t>
      </w:r>
    </w:p>
    <w:p w14:paraId="5AB416C3">
      <w:pPr>
        <w:pStyle w:val="83"/>
        <w:keepNext w:val="0"/>
        <w:keepLines w:val="0"/>
        <w:pageBreakBefore w:val="0"/>
        <w:widowControl w:val="0"/>
        <w:numPr>
          <w:ilvl w:val="0"/>
          <w:numId w:val="0"/>
        </w:numPr>
        <w:tabs>
          <w:tab w:val="left" w:pos="182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caps w:val="0"/>
          <w:smallCaps w:val="0"/>
          <w:color w:val="auto"/>
          <w:spacing w:val="0"/>
          <w:w w:val="100"/>
          <w:kern w:val="0"/>
          <w:position w:val="0"/>
          <w:sz w:val="24"/>
          <w:szCs w:val="24"/>
          <w:u w:val="none" w:color="auto"/>
        </w:rPr>
        <w:t>《水利、水电、电力建设项目前期工作工程勘察收费暂行规定》(发改价格</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2006</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1352 号)；</w:t>
      </w:r>
    </w:p>
    <w:p w14:paraId="0978B437">
      <w:pPr>
        <w:pStyle w:val="83"/>
        <w:keepNext w:val="0"/>
        <w:keepLines w:val="0"/>
        <w:pageBreakBefore w:val="0"/>
        <w:widowControl w:val="0"/>
        <w:numPr>
          <w:ilvl w:val="0"/>
          <w:numId w:val="0"/>
        </w:numPr>
        <w:tabs>
          <w:tab w:val="left" w:pos="182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default" w:ascii="Times New Roman" w:hAnsi="Times New Roman" w:eastAsia="宋体" w:cs="Times New Roman"/>
          <w:caps w:val="0"/>
          <w:smallCaps w:val="0"/>
          <w:color w:val="auto"/>
          <w:spacing w:val="0"/>
          <w:w w:val="100"/>
          <w:kern w:val="0"/>
          <w:position w:val="0"/>
          <w:sz w:val="24"/>
          <w:szCs w:val="24"/>
          <w:u w:val="none" w:color="auto"/>
        </w:rPr>
        <w:t>《关于印发〈建设工程监理与相关服务收费管理规定〉的通知》(发改价格</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2007</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670 号)；</w:t>
      </w:r>
    </w:p>
    <w:p w14:paraId="665CEB0D">
      <w:pPr>
        <w:pStyle w:val="83"/>
        <w:keepNext w:val="0"/>
        <w:keepLines w:val="0"/>
        <w:pageBreakBefore w:val="0"/>
        <w:widowControl w:val="0"/>
        <w:numPr>
          <w:ilvl w:val="0"/>
          <w:numId w:val="0"/>
        </w:numPr>
        <w:tabs>
          <w:tab w:val="left" w:pos="182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《关于降低部分建设项目收费标准规范收费行为等有关问题的通知》(发改价格</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2011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534)号；</w:t>
      </w:r>
    </w:p>
    <w:p w14:paraId="1EE69FDE">
      <w:pPr>
        <w:pStyle w:val="83"/>
        <w:keepNext w:val="0"/>
        <w:keepLines w:val="0"/>
        <w:pageBreakBefore w:val="0"/>
        <w:widowControl w:val="0"/>
        <w:numPr>
          <w:ilvl w:val="0"/>
          <w:numId w:val="0"/>
        </w:numPr>
        <w:tabs>
          <w:tab w:val="left" w:pos="1943"/>
        </w:tabs>
        <w:kinsoku/>
        <w:wordWrap w:val="0"/>
        <w:overflowPunct/>
        <w:topLinePunct/>
        <w:autoSpaceDE/>
        <w:autoSpaceDN/>
        <w:bidi w:val="0"/>
        <w:adjustRightInd/>
        <w:snapToGrid/>
        <w:spacing w:after="0" w:line="360" w:lineRule="auto"/>
        <w:ind w:right="0" w:rightChars="0" w:firstLine="480" w:firstLineChars="200"/>
        <w:jc w:val="left"/>
        <w:textAlignment w:val="auto"/>
        <w:rPr>
          <w:rFonts w:hint="eastAsia" w:ascii="Times New Roman" w:hAnsi="Times New Roman" w:eastAsia="宋体" w:cs="Times New Roman"/>
          <w:caps w:val="0"/>
          <w:smallCaps w:val="0"/>
          <w:color w:val="FF0000"/>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7</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《关于规范环境影响咨询收费有关问题的通知》（计价格</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2002</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125号）</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p>
    <w:p w14:paraId="6C3508BD">
      <w:pPr>
        <w:pStyle w:val="4"/>
        <w:bidi w:val="0"/>
        <w:rPr>
          <w:rFonts w:hint="default" w:ascii="Times New Roman" w:hAnsi="Times New Roman" w:cs="Times New Roman"/>
          <w:u w:val="none" w:color="auto"/>
          <w:lang w:val="en-US" w:eastAsia="zh-CN"/>
        </w:rPr>
      </w:pPr>
      <w:bookmarkStart w:id="348" w:name="_Toc12151"/>
      <w:r>
        <w:rPr>
          <w:rFonts w:hint="default" w:ascii="Times New Roman" w:hAnsi="Times New Roman" w:cs="Times New Roman"/>
          <w:u w:val="none" w:color="auto"/>
          <w:lang w:val="en-US" w:eastAsia="zh-CN"/>
        </w:rPr>
        <w:t>费用构成</w:t>
      </w:r>
      <w:bookmarkEnd w:id="348"/>
    </w:p>
    <w:p w14:paraId="73A46899">
      <w:pPr>
        <w:keepNext w:val="0"/>
        <w:keepLines w:val="0"/>
        <w:pageBreakBefore w:val="0"/>
        <w:widowControl w:val="0"/>
        <w:overflowPunct/>
        <w:autoSpaceDE/>
        <w:autoSpaceDN/>
        <w:bidi w:val="0"/>
        <w:adjustRightInd/>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本工程环境保护投资由</w:t>
      </w:r>
      <w:r>
        <w:rPr>
          <w:rFonts w:hint="default" w:ascii="Times New Roman" w:hAnsi="Times New Roman" w:eastAsia="宋体" w:cs="Times New Roman"/>
          <w:color w:val="auto"/>
          <w:spacing w:val="0"/>
          <w:w w:val="100"/>
          <w:position w:val="0"/>
          <w:sz w:val="24"/>
          <w:szCs w:val="24"/>
          <w:u w:val="none" w:color="auto"/>
        </w:rPr>
        <w:t>环境监测措施、环境保护措施、独立费用及基本预备费</w:t>
      </w:r>
      <w:r>
        <w:rPr>
          <w:rFonts w:hint="default" w:ascii="Times New Roman" w:hAnsi="Times New Roman" w:eastAsia="宋体" w:cs="Times New Roman"/>
          <w:caps w:val="0"/>
          <w:smallCaps w:val="0"/>
          <w:color w:val="auto"/>
          <w:spacing w:val="0"/>
          <w:w w:val="100"/>
          <w:kern w:val="0"/>
          <w:position w:val="0"/>
          <w:sz w:val="24"/>
          <w:szCs w:val="24"/>
          <w:u w:val="none" w:color="auto"/>
        </w:rPr>
        <w:t>组成</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4CEA293">
      <w:pPr>
        <w:pStyle w:val="4"/>
        <w:bidi w:val="0"/>
        <w:rPr>
          <w:rFonts w:hint="default" w:ascii="Times New Roman" w:hAnsi="Times New Roman" w:cs="Times New Roman"/>
          <w:u w:val="none" w:color="auto"/>
          <w:lang w:val="en-US" w:eastAsia="zh-CN"/>
        </w:rPr>
      </w:pPr>
      <w:bookmarkStart w:id="349" w:name="_Toc2471"/>
      <w:r>
        <w:rPr>
          <w:rFonts w:hint="default" w:ascii="Times New Roman" w:hAnsi="Times New Roman" w:cs="Times New Roman"/>
          <w:u w:val="none" w:color="auto"/>
          <w:lang w:val="en-US" w:eastAsia="zh-CN"/>
        </w:rPr>
        <w:t>环境保护投资主要指标</w:t>
      </w:r>
      <w:bookmarkEnd w:id="349"/>
    </w:p>
    <w:p w14:paraId="6AA9AFD9">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aps w:val="0"/>
          <w:smallCaps w:val="0"/>
          <w:color w:val="000000" w:themeColor="text1"/>
          <w:spacing w:val="0"/>
          <w:w w:val="100"/>
          <w:position w:val="0"/>
          <w:sz w:val="24"/>
          <w:szCs w:val="28"/>
          <w:u w:val="none" w:color="auto"/>
          <w14:textFill>
            <w14:solidFill>
              <w14:schemeClr w14:val="tx1"/>
            </w14:solidFill>
          </w14:textFill>
        </w:rPr>
      </w:pPr>
      <w:r>
        <w:rPr>
          <w:rFonts w:hint="default" w:ascii="Times New Roman" w:hAnsi="Times New Roman" w:eastAsia="宋体" w:cs="Times New Roman"/>
          <w:caps w:val="0"/>
          <w:smallCaps w:val="0"/>
          <w:color w:val="000000" w:themeColor="text1"/>
          <w:spacing w:val="0"/>
          <w:w w:val="100"/>
          <w:kern w:val="0"/>
          <w:position w:val="0"/>
          <w:sz w:val="24"/>
          <w:szCs w:val="24"/>
          <w:u w:val="none" w:color="auto"/>
          <w:lang w:val="en-US" w:eastAsia="zh-CN" w:bidi="ar-SA"/>
          <w14:textFill>
            <w14:solidFill>
              <w14:schemeClr w14:val="tx1"/>
            </w14:solidFill>
          </w14:textFill>
        </w:rPr>
        <w:t>本工程环境保护投资</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bidi="ar-SA"/>
          <w14:textFill>
            <w14:solidFill>
              <w14:schemeClr w14:val="tx1"/>
            </w14:solidFill>
          </w14:textFill>
        </w:rPr>
        <w:t>131.57万</w:t>
      </w:r>
      <w:r>
        <w:rPr>
          <w:rFonts w:hint="default" w:ascii="Times New Roman" w:hAnsi="Times New Roman" w:eastAsia="宋体" w:cs="Times New Roman"/>
          <w:caps w:val="0"/>
          <w:smallCaps w:val="0"/>
          <w:color w:val="000000" w:themeColor="text1"/>
          <w:spacing w:val="0"/>
          <w:w w:val="100"/>
          <w:kern w:val="0"/>
          <w:position w:val="0"/>
          <w:sz w:val="24"/>
          <w:szCs w:val="24"/>
          <w:highlight w:val="none"/>
          <w:u w:val="none" w:color="auto"/>
          <w:lang w:val="en-US" w:eastAsia="zh-CN" w:bidi="ar-SA"/>
          <w14:textFill>
            <w14:solidFill>
              <w14:schemeClr w14:val="tx1"/>
            </w14:solidFill>
          </w14:textFill>
        </w:rPr>
        <w:t>元，</w:t>
      </w:r>
      <w:r>
        <w:rPr>
          <w:rFonts w:hint="default" w:ascii="Times New Roman" w:hAnsi="Times New Roman" w:eastAsia="宋体" w:cs="Times New Roman"/>
          <w:caps w:val="0"/>
          <w:smallCaps w:val="0"/>
          <w:color w:val="000000" w:themeColor="text1"/>
          <w:spacing w:val="0"/>
          <w:w w:val="100"/>
          <w:kern w:val="0"/>
          <w:position w:val="0"/>
          <w:sz w:val="24"/>
          <w:szCs w:val="24"/>
          <w:highlight w:val="none"/>
          <w:u w:val="none" w:color="auto"/>
          <w14:textFill>
            <w14:solidFill>
              <w14:schemeClr w14:val="tx1"/>
            </w14:solidFill>
          </w14:textFill>
        </w:rPr>
        <w:t>详见表</w:t>
      </w:r>
      <w:r>
        <w:rPr>
          <w:rFonts w:hint="default" w:ascii="Times New Roman" w:hAnsi="Times New Roman" w:eastAsia="宋体" w:cs="Times New Roman"/>
          <w:caps w:val="0"/>
          <w:smallCaps w:val="0"/>
          <w:color w:val="000000" w:themeColor="text1"/>
          <w:spacing w:val="0"/>
          <w:w w:val="100"/>
          <w:kern w:val="0"/>
          <w:position w:val="0"/>
          <w:sz w:val="24"/>
          <w:szCs w:val="24"/>
          <w:highlight w:val="none"/>
          <w:u w:val="none" w:color="auto"/>
          <w:lang w:val="en-US" w:eastAsia="zh-CN"/>
          <w14:textFill>
            <w14:solidFill>
              <w14:schemeClr w14:val="tx1"/>
            </w14:solidFill>
          </w14:textFill>
        </w:rPr>
        <w:t>6.1-1</w:t>
      </w:r>
      <w:r>
        <w:rPr>
          <w:rFonts w:hint="default" w:ascii="Times New Roman" w:hAnsi="Times New Roman" w:eastAsia="宋体" w:cs="Times New Roman"/>
          <w:caps w:val="0"/>
          <w:smallCaps w:val="0"/>
          <w:color w:val="000000" w:themeColor="text1"/>
          <w:spacing w:val="0"/>
          <w:w w:val="100"/>
          <w:kern w:val="0"/>
          <w:position w:val="0"/>
          <w:sz w:val="24"/>
          <w:szCs w:val="24"/>
          <w:highlight w:val="none"/>
          <w:u w:val="none" w:color="auto"/>
          <w14:textFill>
            <w14:solidFill>
              <w14:schemeClr w14:val="tx1"/>
            </w14:solidFill>
          </w14:textFill>
        </w:rPr>
        <w:t>。</w:t>
      </w:r>
    </w:p>
    <w:p w14:paraId="7DFE152A">
      <w:pPr>
        <w:keepNext w:val="0"/>
        <w:keepLines w:val="0"/>
        <w:pageBreakBefore w:val="0"/>
        <w:widowControl w:val="0"/>
        <w:kinsoku w:val="0"/>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b/>
          <w:bCs/>
          <w:caps w:val="0"/>
          <w:smallCaps w:val="0"/>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w w:val="100"/>
          <w:position w:val="0"/>
          <w:sz w:val="21"/>
          <w:szCs w:val="21"/>
          <w:u w:val="none" w:color="auto"/>
          <w14:textFill>
            <w14:solidFill>
              <w14:schemeClr w14:val="tx1"/>
            </w14:solidFill>
          </w14:textFill>
        </w:rPr>
        <w:t>表</w:t>
      </w:r>
      <w:r>
        <w:rPr>
          <w:rFonts w:hint="default" w:ascii="Times New Roman" w:hAnsi="Times New Roman" w:eastAsia="宋体" w:cs="Times New Roman"/>
          <w:b/>
          <w:bCs/>
          <w:caps w:val="0"/>
          <w:smallCaps w:val="0"/>
          <w:color w:val="000000" w:themeColor="text1"/>
          <w:spacing w:val="0"/>
          <w:w w:val="100"/>
          <w:position w:val="0"/>
          <w:sz w:val="21"/>
          <w:szCs w:val="21"/>
          <w:u w:val="none" w:color="auto"/>
          <w:lang w:val="en-US" w:eastAsia="zh-CN"/>
          <w14:textFill>
            <w14:solidFill>
              <w14:schemeClr w14:val="tx1"/>
            </w14:solidFill>
          </w14:textFill>
        </w:rPr>
        <w:t>6.1-1</w:t>
      </w:r>
      <w:r>
        <w:rPr>
          <w:rFonts w:hint="default" w:ascii="Times New Roman" w:hAnsi="Times New Roman" w:eastAsia="宋体" w:cs="Times New Roman"/>
          <w:b/>
          <w:bCs/>
          <w:caps w:val="0"/>
          <w:smallCaps w:val="0"/>
          <w:color w:val="000000" w:themeColor="text1"/>
          <w:spacing w:val="0"/>
          <w:w w:val="100"/>
          <w:position w:val="0"/>
          <w:sz w:val="21"/>
          <w:szCs w:val="21"/>
          <w:u w:val="none" w:color="auto"/>
          <w14:textFill>
            <w14:solidFill>
              <w14:schemeClr w14:val="tx1"/>
            </w14:solidFill>
          </w14:textFill>
        </w:rPr>
        <w:t xml:space="preserve">  环境保护投资估算表</w:t>
      </w:r>
    </w:p>
    <w:tbl>
      <w:tblPr>
        <w:tblStyle w:val="96"/>
        <w:tblW w:w="543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2975"/>
        <w:gridCol w:w="970"/>
        <w:gridCol w:w="845"/>
        <w:gridCol w:w="1320"/>
        <w:gridCol w:w="1838"/>
      </w:tblGrid>
      <w:tr w14:paraId="1B9BDC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334C2B6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序号</w:t>
            </w:r>
          </w:p>
        </w:tc>
        <w:tc>
          <w:tcPr>
            <w:tcW w:w="2964" w:type="dxa"/>
            <w:tcBorders>
              <w:tl2br w:val="nil"/>
              <w:tr2bl w:val="nil"/>
            </w:tcBorders>
            <w:vAlign w:val="center"/>
          </w:tcPr>
          <w:p w14:paraId="5326DE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项目名称</w:t>
            </w:r>
          </w:p>
        </w:tc>
        <w:tc>
          <w:tcPr>
            <w:tcW w:w="967" w:type="dxa"/>
            <w:tcBorders>
              <w:tl2br w:val="nil"/>
              <w:tr2bl w:val="nil"/>
            </w:tcBorders>
            <w:vAlign w:val="center"/>
          </w:tcPr>
          <w:p w14:paraId="07EF11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单位</w:t>
            </w:r>
          </w:p>
        </w:tc>
        <w:tc>
          <w:tcPr>
            <w:tcW w:w="842" w:type="dxa"/>
            <w:tcBorders>
              <w:tl2br w:val="nil"/>
              <w:tr2bl w:val="nil"/>
            </w:tcBorders>
            <w:vAlign w:val="center"/>
          </w:tcPr>
          <w:p w14:paraId="40C10D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数量</w:t>
            </w:r>
          </w:p>
        </w:tc>
        <w:tc>
          <w:tcPr>
            <w:tcW w:w="1315" w:type="dxa"/>
            <w:tcBorders>
              <w:tl2br w:val="nil"/>
              <w:tr2bl w:val="nil"/>
            </w:tcBorders>
            <w:vAlign w:val="center"/>
          </w:tcPr>
          <w:p w14:paraId="2CADC3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单价 (元)</w:t>
            </w:r>
          </w:p>
        </w:tc>
        <w:tc>
          <w:tcPr>
            <w:tcW w:w="1832" w:type="dxa"/>
            <w:tcBorders>
              <w:tl2br w:val="nil"/>
              <w:tr2bl w:val="nil"/>
            </w:tcBorders>
            <w:vAlign w:val="center"/>
          </w:tcPr>
          <w:p w14:paraId="53BE9E8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0"/>
                <w:w w:val="100"/>
                <w:position w:val="0"/>
                <w:sz w:val="21"/>
                <w:szCs w:val="21"/>
                <w:u w:val="none" w:color="auto"/>
                <w:lang w:eastAsia="zh-CN"/>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u w:val="none" w:color="auto"/>
                <w14:textFill>
                  <w14:solidFill>
                    <w14:schemeClr w14:val="tx1"/>
                  </w14:solidFill>
                </w14:textFill>
              </w:rPr>
              <w:t>小计</w:t>
            </w:r>
            <w:r>
              <w:rPr>
                <w:rFonts w:hint="eastAsia" w:ascii="Times New Roman" w:hAnsi="Times New Roman" w:eastAsia="宋体" w:cs="Times New Roman"/>
                <w:b/>
                <w:bCs/>
                <w:color w:val="000000" w:themeColor="text1"/>
                <w:spacing w:val="0"/>
                <w:w w:val="100"/>
                <w:position w:val="0"/>
                <w:sz w:val="21"/>
                <w:szCs w:val="21"/>
                <w:u w:val="none" w:color="auto"/>
                <w:lang w:eastAsia="zh-CN"/>
                <w14:textFill>
                  <w14:solidFill>
                    <w14:schemeClr w14:val="tx1"/>
                  </w14:solidFill>
                </w14:textFill>
              </w:rPr>
              <w:t>（万元）</w:t>
            </w:r>
          </w:p>
        </w:tc>
      </w:tr>
      <w:tr w14:paraId="712962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0212D2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第</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一</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部分</w:t>
            </w:r>
          </w:p>
        </w:tc>
        <w:tc>
          <w:tcPr>
            <w:tcW w:w="2964" w:type="dxa"/>
            <w:tcBorders>
              <w:tl2br w:val="nil"/>
              <w:tr2bl w:val="nil"/>
            </w:tcBorders>
            <w:vAlign w:val="center"/>
          </w:tcPr>
          <w:p w14:paraId="1AC231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环境监测措施</w:t>
            </w:r>
          </w:p>
        </w:tc>
        <w:tc>
          <w:tcPr>
            <w:tcW w:w="967" w:type="dxa"/>
            <w:tcBorders>
              <w:tl2br w:val="nil"/>
              <w:tr2bl w:val="nil"/>
            </w:tcBorders>
            <w:vAlign w:val="center"/>
          </w:tcPr>
          <w:p w14:paraId="2EC6B3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086B15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1D0CAB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01A4B2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33.28</w:t>
            </w:r>
          </w:p>
        </w:tc>
      </w:tr>
      <w:tr w14:paraId="000672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048B375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一</w:t>
            </w:r>
          </w:p>
        </w:tc>
        <w:tc>
          <w:tcPr>
            <w:tcW w:w="2964" w:type="dxa"/>
            <w:tcBorders>
              <w:tl2br w:val="nil"/>
              <w:tr2bl w:val="nil"/>
            </w:tcBorders>
            <w:vAlign w:val="center"/>
          </w:tcPr>
          <w:p w14:paraId="5FC28AA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地表水水质监测</w:t>
            </w:r>
          </w:p>
        </w:tc>
        <w:tc>
          <w:tcPr>
            <w:tcW w:w="967" w:type="dxa"/>
            <w:tcBorders>
              <w:tl2br w:val="nil"/>
              <w:tr2bl w:val="nil"/>
            </w:tcBorders>
            <w:vAlign w:val="center"/>
          </w:tcPr>
          <w:p w14:paraId="1FC0186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年</w:t>
            </w:r>
          </w:p>
        </w:tc>
        <w:tc>
          <w:tcPr>
            <w:tcW w:w="842" w:type="dxa"/>
            <w:tcBorders>
              <w:tl2br w:val="nil"/>
              <w:tr2bl w:val="nil"/>
            </w:tcBorders>
            <w:vAlign w:val="center"/>
          </w:tcPr>
          <w:p w14:paraId="36FF912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vAlign w:val="center"/>
          </w:tcPr>
          <w:p w14:paraId="07A8E44E">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84</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000</w:t>
            </w:r>
          </w:p>
        </w:tc>
        <w:tc>
          <w:tcPr>
            <w:tcW w:w="1832" w:type="dxa"/>
            <w:tcBorders>
              <w:tl2br w:val="nil"/>
              <w:tr2bl w:val="nil"/>
            </w:tcBorders>
            <w:vAlign w:val="center"/>
          </w:tcPr>
          <w:p w14:paraId="2CF216C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8.4</w:t>
            </w:r>
          </w:p>
        </w:tc>
      </w:tr>
      <w:tr w14:paraId="2B22BD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D2FB4D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二</w:t>
            </w:r>
          </w:p>
        </w:tc>
        <w:tc>
          <w:tcPr>
            <w:tcW w:w="2964" w:type="dxa"/>
            <w:tcBorders>
              <w:tl2br w:val="nil"/>
              <w:tr2bl w:val="nil"/>
            </w:tcBorders>
            <w:vAlign w:val="center"/>
          </w:tcPr>
          <w:p w14:paraId="113713A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大气监测</w:t>
            </w:r>
          </w:p>
        </w:tc>
        <w:tc>
          <w:tcPr>
            <w:tcW w:w="967" w:type="dxa"/>
            <w:tcBorders>
              <w:tl2br w:val="nil"/>
              <w:tr2bl w:val="nil"/>
            </w:tcBorders>
            <w:vAlign w:val="center"/>
          </w:tcPr>
          <w:p w14:paraId="5DCE8C7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年</w:t>
            </w:r>
          </w:p>
        </w:tc>
        <w:tc>
          <w:tcPr>
            <w:tcW w:w="842" w:type="dxa"/>
            <w:tcBorders>
              <w:tl2br w:val="nil"/>
              <w:tr2bl w:val="nil"/>
            </w:tcBorders>
            <w:vAlign w:val="center"/>
          </w:tcPr>
          <w:p w14:paraId="3685939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vAlign w:val="center"/>
          </w:tcPr>
          <w:p w14:paraId="0EE19F29">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60</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000</w:t>
            </w:r>
          </w:p>
        </w:tc>
        <w:tc>
          <w:tcPr>
            <w:tcW w:w="1832" w:type="dxa"/>
            <w:tcBorders>
              <w:tl2br w:val="nil"/>
              <w:tr2bl w:val="nil"/>
            </w:tcBorders>
            <w:vAlign w:val="center"/>
          </w:tcPr>
          <w:p w14:paraId="48C08FEB">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6.0</w:t>
            </w:r>
          </w:p>
        </w:tc>
      </w:tr>
      <w:tr w14:paraId="27EAD3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E29A6E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三</w:t>
            </w:r>
          </w:p>
        </w:tc>
        <w:tc>
          <w:tcPr>
            <w:tcW w:w="2964" w:type="dxa"/>
            <w:tcBorders>
              <w:tl2br w:val="nil"/>
              <w:tr2bl w:val="nil"/>
            </w:tcBorders>
            <w:vAlign w:val="center"/>
          </w:tcPr>
          <w:p w14:paraId="79960D8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噪声监测</w:t>
            </w:r>
          </w:p>
        </w:tc>
        <w:tc>
          <w:tcPr>
            <w:tcW w:w="967" w:type="dxa"/>
            <w:tcBorders>
              <w:tl2br w:val="nil"/>
              <w:tr2bl w:val="nil"/>
            </w:tcBorders>
            <w:vAlign w:val="center"/>
          </w:tcPr>
          <w:p w14:paraId="1F0642D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年</w:t>
            </w:r>
          </w:p>
        </w:tc>
        <w:tc>
          <w:tcPr>
            <w:tcW w:w="842" w:type="dxa"/>
            <w:tcBorders>
              <w:tl2br w:val="nil"/>
              <w:tr2bl w:val="nil"/>
            </w:tcBorders>
            <w:vAlign w:val="center"/>
          </w:tcPr>
          <w:p w14:paraId="4BA7FA8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vAlign w:val="center"/>
          </w:tcPr>
          <w:p w14:paraId="4C687CA1">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24</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000</w:t>
            </w:r>
          </w:p>
        </w:tc>
        <w:tc>
          <w:tcPr>
            <w:tcW w:w="1832" w:type="dxa"/>
            <w:tcBorders>
              <w:tl2br w:val="nil"/>
              <w:tr2bl w:val="nil"/>
            </w:tcBorders>
            <w:vAlign w:val="center"/>
          </w:tcPr>
          <w:p w14:paraId="578B0C1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2.4</w:t>
            </w:r>
          </w:p>
        </w:tc>
      </w:tr>
      <w:tr w14:paraId="5ABC3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E59B09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四</w:t>
            </w:r>
          </w:p>
        </w:tc>
        <w:tc>
          <w:tcPr>
            <w:tcW w:w="2964" w:type="dxa"/>
            <w:tcBorders>
              <w:tl2br w:val="nil"/>
              <w:tr2bl w:val="nil"/>
            </w:tcBorders>
            <w:vAlign w:val="center"/>
          </w:tcPr>
          <w:p w14:paraId="52DB364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生态环境监测</w:t>
            </w:r>
          </w:p>
        </w:tc>
        <w:tc>
          <w:tcPr>
            <w:tcW w:w="967" w:type="dxa"/>
            <w:tcBorders>
              <w:tl2br w:val="nil"/>
              <w:tr2bl w:val="nil"/>
            </w:tcBorders>
            <w:vAlign w:val="center"/>
          </w:tcPr>
          <w:p w14:paraId="11289EE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年</w:t>
            </w:r>
          </w:p>
        </w:tc>
        <w:tc>
          <w:tcPr>
            <w:tcW w:w="842" w:type="dxa"/>
            <w:tcBorders>
              <w:tl2br w:val="nil"/>
              <w:tr2bl w:val="nil"/>
            </w:tcBorders>
            <w:vAlign w:val="center"/>
          </w:tcPr>
          <w:p w14:paraId="6DB54D3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vAlign w:val="center"/>
          </w:tcPr>
          <w:p w14:paraId="751C17CC">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648</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w:t>
            </w:r>
          </w:p>
        </w:tc>
        <w:tc>
          <w:tcPr>
            <w:tcW w:w="1832" w:type="dxa"/>
            <w:tcBorders>
              <w:tl2br w:val="nil"/>
              <w:tr2bl w:val="nil"/>
            </w:tcBorders>
            <w:vAlign w:val="center"/>
          </w:tcPr>
          <w:p w14:paraId="508E96C6">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6.48</w:t>
            </w:r>
          </w:p>
        </w:tc>
      </w:tr>
      <w:tr w14:paraId="0686FD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29C8CB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第</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二</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部分</w:t>
            </w:r>
          </w:p>
        </w:tc>
        <w:tc>
          <w:tcPr>
            <w:tcW w:w="2964" w:type="dxa"/>
            <w:tcBorders>
              <w:tl2br w:val="nil"/>
              <w:tr2bl w:val="nil"/>
            </w:tcBorders>
            <w:vAlign w:val="center"/>
          </w:tcPr>
          <w:p w14:paraId="79B871C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环境保护措施</w:t>
            </w:r>
          </w:p>
        </w:tc>
        <w:tc>
          <w:tcPr>
            <w:tcW w:w="967" w:type="dxa"/>
            <w:tcBorders>
              <w:tl2br w:val="nil"/>
              <w:tr2bl w:val="nil"/>
            </w:tcBorders>
            <w:vAlign w:val="center"/>
          </w:tcPr>
          <w:p w14:paraId="0463D16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0E6648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6C6062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7EC3441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46.55</w:t>
            </w:r>
          </w:p>
        </w:tc>
      </w:tr>
      <w:tr w14:paraId="1F0590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68D75E1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一</w:t>
            </w:r>
          </w:p>
        </w:tc>
        <w:tc>
          <w:tcPr>
            <w:tcW w:w="2964" w:type="dxa"/>
            <w:tcBorders>
              <w:tl2br w:val="nil"/>
              <w:tr2bl w:val="nil"/>
            </w:tcBorders>
            <w:vAlign w:val="center"/>
          </w:tcPr>
          <w:p w14:paraId="194FED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废污水处理</w:t>
            </w:r>
          </w:p>
        </w:tc>
        <w:tc>
          <w:tcPr>
            <w:tcW w:w="967" w:type="dxa"/>
            <w:tcBorders>
              <w:tl2br w:val="nil"/>
              <w:tr2bl w:val="nil"/>
            </w:tcBorders>
            <w:vAlign w:val="center"/>
          </w:tcPr>
          <w:p w14:paraId="1BB278F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546377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7EE620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5B3E954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3.2</w:t>
            </w:r>
          </w:p>
        </w:tc>
      </w:tr>
      <w:tr w14:paraId="59EC8C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65D983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1</w:t>
            </w:r>
          </w:p>
        </w:tc>
        <w:tc>
          <w:tcPr>
            <w:tcW w:w="2964" w:type="dxa"/>
            <w:tcBorders>
              <w:tl2br w:val="nil"/>
              <w:tr2bl w:val="nil"/>
            </w:tcBorders>
            <w:shd w:val="clear" w:color="auto" w:fill="auto"/>
            <w:vAlign w:val="center"/>
          </w:tcPr>
          <w:p w14:paraId="2BEC10A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基坑</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排水处理</w:t>
            </w:r>
          </w:p>
        </w:tc>
        <w:tc>
          <w:tcPr>
            <w:tcW w:w="967" w:type="dxa"/>
            <w:tcBorders>
              <w:tl2br w:val="nil"/>
              <w:tr2bl w:val="nil"/>
            </w:tcBorders>
            <w:shd w:val="clear" w:color="auto" w:fill="auto"/>
            <w:vAlign w:val="center"/>
          </w:tcPr>
          <w:p w14:paraId="0FF5476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套</w:t>
            </w:r>
          </w:p>
        </w:tc>
        <w:tc>
          <w:tcPr>
            <w:tcW w:w="842" w:type="dxa"/>
            <w:tcBorders>
              <w:tl2br w:val="nil"/>
              <w:tr2bl w:val="nil"/>
            </w:tcBorders>
            <w:shd w:val="clear" w:color="auto" w:fill="auto"/>
            <w:vAlign w:val="center"/>
          </w:tcPr>
          <w:p w14:paraId="3204CAD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2</w:t>
            </w:r>
          </w:p>
        </w:tc>
        <w:tc>
          <w:tcPr>
            <w:tcW w:w="1315" w:type="dxa"/>
            <w:tcBorders>
              <w:tl2br w:val="nil"/>
              <w:tr2bl w:val="nil"/>
            </w:tcBorders>
            <w:shd w:val="clear" w:color="auto" w:fill="auto"/>
            <w:vAlign w:val="center"/>
          </w:tcPr>
          <w:p w14:paraId="483F0A6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000</w:t>
            </w:r>
          </w:p>
        </w:tc>
        <w:tc>
          <w:tcPr>
            <w:tcW w:w="1832" w:type="dxa"/>
            <w:tcBorders>
              <w:tl2br w:val="nil"/>
              <w:tr2bl w:val="nil"/>
            </w:tcBorders>
            <w:shd w:val="clear" w:color="auto" w:fill="auto"/>
            <w:vAlign w:val="center"/>
          </w:tcPr>
          <w:p w14:paraId="1822A2A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1.6</w:t>
            </w:r>
          </w:p>
        </w:tc>
      </w:tr>
      <w:tr w14:paraId="3B07FB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6405D5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2</w:t>
            </w:r>
          </w:p>
        </w:tc>
        <w:tc>
          <w:tcPr>
            <w:tcW w:w="2964" w:type="dxa"/>
            <w:tcBorders>
              <w:tl2br w:val="nil"/>
              <w:tr2bl w:val="nil"/>
            </w:tcBorders>
            <w:shd w:val="clear" w:color="auto" w:fill="auto"/>
            <w:vAlign w:val="center"/>
          </w:tcPr>
          <w:p w14:paraId="0C0201A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施工机械冲洗废水</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隔油沉淀池</w:t>
            </w:r>
          </w:p>
        </w:tc>
        <w:tc>
          <w:tcPr>
            <w:tcW w:w="967" w:type="dxa"/>
            <w:tcBorders>
              <w:tl2br w:val="nil"/>
              <w:tr2bl w:val="nil"/>
            </w:tcBorders>
            <w:shd w:val="clear" w:color="auto" w:fill="auto"/>
            <w:vAlign w:val="center"/>
          </w:tcPr>
          <w:p w14:paraId="78D4D42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套</w:t>
            </w:r>
          </w:p>
        </w:tc>
        <w:tc>
          <w:tcPr>
            <w:tcW w:w="842" w:type="dxa"/>
            <w:tcBorders>
              <w:tl2br w:val="nil"/>
              <w:tr2bl w:val="nil"/>
            </w:tcBorders>
            <w:shd w:val="clear" w:color="auto" w:fill="auto"/>
            <w:vAlign w:val="center"/>
          </w:tcPr>
          <w:p w14:paraId="58E61FC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shd w:val="clear" w:color="auto" w:fill="auto"/>
            <w:vAlign w:val="center"/>
          </w:tcPr>
          <w:p w14:paraId="77749DA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000</w:t>
            </w:r>
          </w:p>
        </w:tc>
        <w:tc>
          <w:tcPr>
            <w:tcW w:w="1832" w:type="dxa"/>
            <w:tcBorders>
              <w:tl2br w:val="nil"/>
              <w:tr2bl w:val="nil"/>
            </w:tcBorders>
            <w:shd w:val="clear" w:color="auto" w:fill="auto"/>
            <w:vAlign w:val="center"/>
          </w:tcPr>
          <w:p w14:paraId="4DF6B9D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0.8</w:t>
            </w:r>
          </w:p>
        </w:tc>
      </w:tr>
      <w:tr w14:paraId="5CCFDD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1A36B3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w:t>
            </w:r>
          </w:p>
        </w:tc>
        <w:tc>
          <w:tcPr>
            <w:tcW w:w="2964" w:type="dxa"/>
            <w:tcBorders>
              <w:tl2br w:val="nil"/>
              <w:tr2bl w:val="nil"/>
            </w:tcBorders>
            <w:shd w:val="clear" w:color="auto" w:fill="auto"/>
            <w:vAlign w:val="center"/>
          </w:tcPr>
          <w:p w14:paraId="001E1D0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灌浆施工废水</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沉淀池</w:t>
            </w:r>
          </w:p>
        </w:tc>
        <w:tc>
          <w:tcPr>
            <w:tcW w:w="967" w:type="dxa"/>
            <w:tcBorders>
              <w:tl2br w:val="nil"/>
              <w:tr2bl w:val="nil"/>
            </w:tcBorders>
            <w:shd w:val="clear" w:color="auto" w:fill="auto"/>
            <w:vAlign w:val="center"/>
          </w:tcPr>
          <w:p w14:paraId="20F248A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套</w:t>
            </w:r>
          </w:p>
        </w:tc>
        <w:tc>
          <w:tcPr>
            <w:tcW w:w="842" w:type="dxa"/>
            <w:tcBorders>
              <w:tl2br w:val="nil"/>
              <w:tr2bl w:val="nil"/>
            </w:tcBorders>
            <w:shd w:val="clear" w:color="auto" w:fill="auto"/>
            <w:vAlign w:val="center"/>
          </w:tcPr>
          <w:p w14:paraId="0FD5EB6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1315" w:type="dxa"/>
            <w:tcBorders>
              <w:tl2br w:val="nil"/>
              <w:tr2bl w:val="nil"/>
            </w:tcBorders>
            <w:shd w:val="clear" w:color="auto" w:fill="auto"/>
            <w:vAlign w:val="center"/>
          </w:tcPr>
          <w:p w14:paraId="32F177B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000</w:t>
            </w:r>
          </w:p>
        </w:tc>
        <w:tc>
          <w:tcPr>
            <w:tcW w:w="1832" w:type="dxa"/>
            <w:tcBorders>
              <w:tl2br w:val="nil"/>
              <w:tr2bl w:val="nil"/>
            </w:tcBorders>
            <w:shd w:val="clear" w:color="auto" w:fill="auto"/>
            <w:vAlign w:val="center"/>
          </w:tcPr>
          <w:p w14:paraId="38E3E88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0.8</w:t>
            </w:r>
          </w:p>
        </w:tc>
      </w:tr>
      <w:tr w14:paraId="463832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19EBCC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二</w:t>
            </w:r>
          </w:p>
        </w:tc>
        <w:tc>
          <w:tcPr>
            <w:tcW w:w="2964" w:type="dxa"/>
            <w:tcBorders>
              <w:tl2br w:val="nil"/>
              <w:tr2bl w:val="nil"/>
            </w:tcBorders>
            <w:vAlign w:val="center"/>
          </w:tcPr>
          <w:p w14:paraId="6C31F52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噪声防治</w:t>
            </w:r>
          </w:p>
        </w:tc>
        <w:tc>
          <w:tcPr>
            <w:tcW w:w="967" w:type="dxa"/>
            <w:tcBorders>
              <w:tl2br w:val="nil"/>
              <w:tr2bl w:val="nil"/>
            </w:tcBorders>
            <w:vAlign w:val="center"/>
          </w:tcPr>
          <w:p w14:paraId="47FD90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35E2E5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6F3370D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172494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16.65</w:t>
            </w:r>
          </w:p>
        </w:tc>
      </w:tr>
      <w:tr w14:paraId="54F273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36F4B1D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1</w:t>
            </w:r>
          </w:p>
        </w:tc>
        <w:tc>
          <w:tcPr>
            <w:tcW w:w="2964" w:type="dxa"/>
            <w:tcBorders>
              <w:tl2br w:val="nil"/>
              <w:tr2bl w:val="nil"/>
            </w:tcBorders>
            <w:vAlign w:val="center"/>
          </w:tcPr>
          <w:p w14:paraId="6733C7C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交通限速牌</w:t>
            </w:r>
          </w:p>
        </w:tc>
        <w:tc>
          <w:tcPr>
            <w:tcW w:w="967" w:type="dxa"/>
            <w:tcBorders>
              <w:tl2br w:val="nil"/>
              <w:tr2bl w:val="nil"/>
            </w:tcBorders>
            <w:vAlign w:val="center"/>
          </w:tcPr>
          <w:p w14:paraId="37CAC1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个</w:t>
            </w:r>
          </w:p>
        </w:tc>
        <w:tc>
          <w:tcPr>
            <w:tcW w:w="842" w:type="dxa"/>
            <w:tcBorders>
              <w:tl2br w:val="nil"/>
              <w:tr2bl w:val="nil"/>
            </w:tcBorders>
            <w:vAlign w:val="center"/>
          </w:tcPr>
          <w:p w14:paraId="3415BEAF">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1315" w:type="dxa"/>
            <w:tcBorders>
              <w:tl2br w:val="nil"/>
              <w:tr2bl w:val="nil"/>
            </w:tcBorders>
            <w:vAlign w:val="center"/>
          </w:tcPr>
          <w:p w14:paraId="7FDD8631">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1832" w:type="dxa"/>
            <w:tcBorders>
              <w:tl2br w:val="nil"/>
              <w:tr2bl w:val="nil"/>
            </w:tcBorders>
            <w:vAlign w:val="center"/>
          </w:tcPr>
          <w:p w14:paraId="0C31699D">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w:t>
            </w:r>
          </w:p>
        </w:tc>
      </w:tr>
      <w:tr w14:paraId="4C503B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096BCA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2</w:t>
            </w:r>
          </w:p>
        </w:tc>
        <w:tc>
          <w:tcPr>
            <w:tcW w:w="2964" w:type="dxa"/>
            <w:tcBorders>
              <w:tl2br w:val="nil"/>
              <w:tr2bl w:val="nil"/>
            </w:tcBorders>
            <w:vAlign w:val="center"/>
          </w:tcPr>
          <w:p w14:paraId="18F375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临时移动声屏障</w:t>
            </w:r>
          </w:p>
        </w:tc>
        <w:tc>
          <w:tcPr>
            <w:tcW w:w="967" w:type="dxa"/>
            <w:tcBorders>
              <w:tl2br w:val="nil"/>
              <w:tr2bl w:val="nil"/>
            </w:tcBorders>
            <w:vAlign w:val="center"/>
          </w:tcPr>
          <w:p w14:paraId="02643AA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m</w:t>
            </w:r>
          </w:p>
        </w:tc>
        <w:tc>
          <w:tcPr>
            <w:tcW w:w="842" w:type="dxa"/>
            <w:tcBorders>
              <w:tl2br w:val="nil"/>
              <w:tr2bl w:val="nil"/>
            </w:tcBorders>
            <w:vAlign w:val="center"/>
          </w:tcPr>
          <w:p w14:paraId="61FFA02C">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w:t>
            </w:r>
          </w:p>
        </w:tc>
        <w:tc>
          <w:tcPr>
            <w:tcW w:w="1315" w:type="dxa"/>
            <w:tcBorders>
              <w:tl2br w:val="nil"/>
              <w:tr2bl w:val="nil"/>
            </w:tcBorders>
            <w:vAlign w:val="center"/>
          </w:tcPr>
          <w:p w14:paraId="774F61B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550</w:t>
            </w:r>
          </w:p>
        </w:tc>
        <w:tc>
          <w:tcPr>
            <w:tcW w:w="1832" w:type="dxa"/>
            <w:tcBorders>
              <w:tl2br w:val="nil"/>
              <w:tr2bl w:val="nil"/>
            </w:tcBorders>
            <w:vAlign w:val="center"/>
          </w:tcPr>
          <w:p w14:paraId="4ACDEEDE">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16.5</w:t>
            </w:r>
          </w:p>
        </w:tc>
      </w:tr>
      <w:tr w14:paraId="33F4DC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E6C117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三</w:t>
            </w:r>
          </w:p>
        </w:tc>
        <w:tc>
          <w:tcPr>
            <w:tcW w:w="2964" w:type="dxa"/>
            <w:tcBorders>
              <w:tl2br w:val="nil"/>
              <w:tr2bl w:val="nil"/>
            </w:tcBorders>
            <w:vAlign w:val="center"/>
          </w:tcPr>
          <w:p w14:paraId="605AA80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固体废弃物处理</w:t>
            </w:r>
          </w:p>
        </w:tc>
        <w:tc>
          <w:tcPr>
            <w:tcW w:w="967" w:type="dxa"/>
            <w:tcBorders>
              <w:tl2br w:val="nil"/>
              <w:tr2bl w:val="nil"/>
            </w:tcBorders>
            <w:vAlign w:val="center"/>
          </w:tcPr>
          <w:p w14:paraId="024B18F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21E7FA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3CCBBE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74F3DC4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5.4</w:t>
            </w:r>
          </w:p>
        </w:tc>
      </w:tr>
      <w:tr w14:paraId="4285EE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1ACBCE1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1</w:t>
            </w:r>
          </w:p>
        </w:tc>
        <w:tc>
          <w:tcPr>
            <w:tcW w:w="2964" w:type="dxa"/>
            <w:tcBorders>
              <w:tl2br w:val="nil"/>
              <w:tr2bl w:val="nil"/>
            </w:tcBorders>
            <w:vAlign w:val="center"/>
          </w:tcPr>
          <w:p w14:paraId="5DA1311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清运费</w:t>
            </w:r>
          </w:p>
        </w:tc>
        <w:tc>
          <w:tcPr>
            <w:tcW w:w="967" w:type="dxa"/>
            <w:tcBorders>
              <w:tl2br w:val="nil"/>
              <w:tr2bl w:val="nil"/>
            </w:tcBorders>
            <w:vAlign w:val="center"/>
          </w:tcPr>
          <w:p w14:paraId="2A3B4B0D">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842" w:type="dxa"/>
            <w:tcBorders>
              <w:tl2br w:val="nil"/>
              <w:tr2bl w:val="nil"/>
            </w:tcBorders>
            <w:vAlign w:val="center"/>
          </w:tcPr>
          <w:p w14:paraId="680F652E">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5000</w:t>
            </w:r>
          </w:p>
        </w:tc>
        <w:tc>
          <w:tcPr>
            <w:tcW w:w="1315" w:type="dxa"/>
            <w:tcBorders>
              <w:tl2br w:val="nil"/>
              <w:tr2bl w:val="nil"/>
            </w:tcBorders>
            <w:vAlign w:val="center"/>
          </w:tcPr>
          <w:p w14:paraId="1B0FB76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832" w:type="dxa"/>
            <w:tcBorders>
              <w:tl2br w:val="nil"/>
              <w:tr2bl w:val="nil"/>
            </w:tcBorders>
            <w:vAlign w:val="center"/>
          </w:tcPr>
          <w:p w14:paraId="0E8F49E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r>
      <w:tr w14:paraId="36C629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2814B9E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2</w:t>
            </w:r>
          </w:p>
        </w:tc>
        <w:tc>
          <w:tcPr>
            <w:tcW w:w="2964" w:type="dxa"/>
            <w:tcBorders>
              <w:tl2br w:val="nil"/>
              <w:tr2bl w:val="nil"/>
            </w:tcBorders>
            <w:vAlign w:val="center"/>
          </w:tcPr>
          <w:p w14:paraId="0DE80C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垃圾桶</w:t>
            </w:r>
          </w:p>
        </w:tc>
        <w:tc>
          <w:tcPr>
            <w:tcW w:w="967" w:type="dxa"/>
            <w:tcBorders>
              <w:tl2br w:val="nil"/>
              <w:tr2bl w:val="nil"/>
            </w:tcBorders>
            <w:vAlign w:val="center"/>
          </w:tcPr>
          <w:p w14:paraId="6688B4BC">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842" w:type="dxa"/>
            <w:tcBorders>
              <w:tl2br w:val="nil"/>
              <w:tr2bl w:val="nil"/>
            </w:tcBorders>
            <w:vAlign w:val="center"/>
          </w:tcPr>
          <w:p w14:paraId="55B69EE4">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315" w:type="dxa"/>
            <w:tcBorders>
              <w:tl2br w:val="nil"/>
              <w:tr2bl w:val="nil"/>
            </w:tcBorders>
            <w:vAlign w:val="center"/>
          </w:tcPr>
          <w:p w14:paraId="79D07C4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w:t>
            </w:r>
          </w:p>
        </w:tc>
        <w:tc>
          <w:tcPr>
            <w:tcW w:w="1832" w:type="dxa"/>
            <w:tcBorders>
              <w:tl2br w:val="nil"/>
              <w:tr2bl w:val="nil"/>
            </w:tcBorders>
            <w:vAlign w:val="center"/>
          </w:tcPr>
          <w:p w14:paraId="24233A9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r>
      <w:tr w14:paraId="4BA466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5A67F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w:t>
            </w:r>
          </w:p>
        </w:tc>
        <w:tc>
          <w:tcPr>
            <w:tcW w:w="2964" w:type="dxa"/>
            <w:tcBorders>
              <w:tl2br w:val="nil"/>
              <w:tr2bl w:val="nil"/>
            </w:tcBorders>
            <w:vAlign w:val="center"/>
          </w:tcPr>
          <w:p w14:paraId="4DC62C8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危废处置</w:t>
            </w:r>
          </w:p>
        </w:tc>
        <w:tc>
          <w:tcPr>
            <w:tcW w:w="967" w:type="dxa"/>
            <w:tcBorders>
              <w:tl2br w:val="nil"/>
              <w:tr2bl w:val="nil"/>
            </w:tcBorders>
            <w:vAlign w:val="center"/>
          </w:tcPr>
          <w:p w14:paraId="53CBE2B5">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842" w:type="dxa"/>
            <w:tcBorders>
              <w:tl2br w:val="nil"/>
              <w:tr2bl w:val="nil"/>
            </w:tcBorders>
            <w:vAlign w:val="center"/>
          </w:tcPr>
          <w:p w14:paraId="0C237305">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3200</w:t>
            </w:r>
          </w:p>
        </w:tc>
        <w:tc>
          <w:tcPr>
            <w:tcW w:w="1315" w:type="dxa"/>
            <w:tcBorders>
              <w:tl2br w:val="nil"/>
              <w:tr2bl w:val="nil"/>
            </w:tcBorders>
            <w:vAlign w:val="center"/>
          </w:tcPr>
          <w:p w14:paraId="07BF86DC">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0.32</w:t>
            </w:r>
          </w:p>
        </w:tc>
        <w:tc>
          <w:tcPr>
            <w:tcW w:w="1832" w:type="dxa"/>
            <w:tcBorders>
              <w:tl2br w:val="nil"/>
              <w:tr2bl w:val="nil"/>
            </w:tcBorders>
            <w:vAlign w:val="center"/>
          </w:tcPr>
          <w:p w14:paraId="6825AC0F">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14:paraId="33B8DF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246B65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四</w:t>
            </w:r>
          </w:p>
        </w:tc>
        <w:tc>
          <w:tcPr>
            <w:tcW w:w="2964" w:type="dxa"/>
            <w:tcBorders>
              <w:tl2br w:val="nil"/>
              <w:tr2bl w:val="nil"/>
            </w:tcBorders>
            <w:vAlign w:val="center"/>
          </w:tcPr>
          <w:p w14:paraId="23C6B40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废气处理</w:t>
            </w:r>
          </w:p>
        </w:tc>
        <w:tc>
          <w:tcPr>
            <w:tcW w:w="967" w:type="dxa"/>
            <w:tcBorders>
              <w:tl2br w:val="nil"/>
              <w:tr2bl w:val="nil"/>
            </w:tcBorders>
            <w:vAlign w:val="center"/>
          </w:tcPr>
          <w:p w14:paraId="3E8E88C4">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3D2588F9">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4DE6A0E1">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17CB0B1C">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8</w:t>
            </w:r>
          </w:p>
        </w:tc>
      </w:tr>
      <w:tr w14:paraId="157D15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89E06B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1</w:t>
            </w:r>
          </w:p>
        </w:tc>
        <w:tc>
          <w:tcPr>
            <w:tcW w:w="2964" w:type="dxa"/>
            <w:tcBorders>
              <w:tl2br w:val="nil"/>
              <w:tr2bl w:val="nil"/>
            </w:tcBorders>
            <w:vAlign w:val="center"/>
          </w:tcPr>
          <w:p w14:paraId="255EC4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洒水</w:t>
            </w:r>
          </w:p>
        </w:tc>
        <w:tc>
          <w:tcPr>
            <w:tcW w:w="967" w:type="dxa"/>
            <w:tcBorders>
              <w:tl2br w:val="nil"/>
              <w:tr2bl w:val="nil"/>
            </w:tcBorders>
            <w:vAlign w:val="center"/>
          </w:tcPr>
          <w:p w14:paraId="6C2F95C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月</w:t>
            </w:r>
          </w:p>
        </w:tc>
        <w:tc>
          <w:tcPr>
            <w:tcW w:w="842" w:type="dxa"/>
            <w:tcBorders>
              <w:tl2br w:val="nil"/>
              <w:tr2bl w:val="nil"/>
            </w:tcBorders>
            <w:vAlign w:val="center"/>
          </w:tcPr>
          <w:p w14:paraId="443258C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1315" w:type="dxa"/>
            <w:tcBorders>
              <w:tl2br w:val="nil"/>
              <w:tr2bl w:val="nil"/>
            </w:tcBorders>
            <w:vAlign w:val="center"/>
          </w:tcPr>
          <w:p w14:paraId="405C7763">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10000</w:t>
            </w:r>
          </w:p>
        </w:tc>
        <w:tc>
          <w:tcPr>
            <w:tcW w:w="1832" w:type="dxa"/>
            <w:tcBorders>
              <w:tl2br w:val="nil"/>
              <w:tr2bl w:val="nil"/>
            </w:tcBorders>
            <w:vAlign w:val="center"/>
          </w:tcPr>
          <w:p w14:paraId="0FAD528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r>
      <w:tr w14:paraId="04BCA6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08" w:type="dxa"/>
            <w:tcBorders>
              <w:tl2br w:val="nil"/>
              <w:tr2bl w:val="nil"/>
            </w:tcBorders>
            <w:vAlign w:val="center"/>
          </w:tcPr>
          <w:p w14:paraId="0AA26E1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2</w:t>
            </w:r>
          </w:p>
        </w:tc>
        <w:tc>
          <w:tcPr>
            <w:tcW w:w="2964" w:type="dxa"/>
            <w:tcBorders>
              <w:tl2br w:val="nil"/>
              <w:tr2bl w:val="nil"/>
            </w:tcBorders>
            <w:vAlign w:val="center"/>
          </w:tcPr>
          <w:p w14:paraId="68772B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带喷淋系统</w:t>
            </w:r>
            <w: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 xml:space="preserve">围挡 </w:t>
            </w:r>
          </w:p>
        </w:tc>
        <w:tc>
          <w:tcPr>
            <w:tcW w:w="967" w:type="dxa"/>
            <w:tcBorders>
              <w:tl2br w:val="nil"/>
              <w:tr2bl w:val="nil"/>
            </w:tcBorders>
            <w:vAlign w:val="center"/>
          </w:tcPr>
          <w:p w14:paraId="1890E96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m</w:t>
            </w:r>
          </w:p>
        </w:tc>
        <w:tc>
          <w:tcPr>
            <w:tcW w:w="842" w:type="dxa"/>
            <w:tcBorders>
              <w:tl2br w:val="nil"/>
              <w:tr2bl w:val="nil"/>
            </w:tcBorders>
            <w:vAlign w:val="center"/>
          </w:tcPr>
          <w:p w14:paraId="01421DB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w:t>
            </w:r>
          </w:p>
        </w:tc>
        <w:tc>
          <w:tcPr>
            <w:tcW w:w="1315" w:type="dxa"/>
            <w:tcBorders>
              <w:tl2br w:val="nil"/>
              <w:tr2bl w:val="nil"/>
            </w:tcBorders>
            <w:vAlign w:val="center"/>
          </w:tcPr>
          <w:p w14:paraId="76BDFE7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832" w:type="dxa"/>
            <w:tcBorders>
              <w:tl2br w:val="nil"/>
              <w:tr2bl w:val="nil"/>
            </w:tcBorders>
            <w:vAlign w:val="center"/>
          </w:tcPr>
          <w:p w14:paraId="661DD818">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r>
      <w:tr w14:paraId="08B9A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177865F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w:t>
            </w:r>
          </w:p>
        </w:tc>
        <w:tc>
          <w:tcPr>
            <w:tcW w:w="2964" w:type="dxa"/>
            <w:tcBorders>
              <w:tl2br w:val="nil"/>
              <w:tr2bl w:val="nil"/>
            </w:tcBorders>
            <w:vAlign w:val="center"/>
          </w:tcPr>
          <w:p w14:paraId="5BA5C55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防尘网</w:t>
            </w:r>
          </w:p>
        </w:tc>
        <w:tc>
          <w:tcPr>
            <w:tcW w:w="967" w:type="dxa"/>
            <w:tcBorders>
              <w:tl2br w:val="nil"/>
              <w:tr2bl w:val="nil"/>
            </w:tcBorders>
            <w:vAlign w:val="center"/>
          </w:tcPr>
          <w:p w14:paraId="3B7EAD6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u w:val="none"/>
                <w:vertAlign w:val="superscript"/>
                <w:lang w:val="en-US" w:eastAsia="zh-CN" w:bidi="ar"/>
                <w14:textFill>
                  <w14:solidFill>
                    <w14:schemeClr w14:val="tx1"/>
                  </w14:solidFill>
                </w14:textFill>
              </w:rPr>
              <w:t>2</w:t>
            </w:r>
          </w:p>
        </w:tc>
        <w:tc>
          <w:tcPr>
            <w:tcW w:w="842" w:type="dxa"/>
            <w:tcBorders>
              <w:tl2br w:val="nil"/>
              <w:tr2bl w:val="nil"/>
            </w:tcBorders>
            <w:vAlign w:val="center"/>
          </w:tcPr>
          <w:p w14:paraId="4CC77216">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10000</w:t>
            </w:r>
          </w:p>
        </w:tc>
        <w:tc>
          <w:tcPr>
            <w:tcW w:w="1315" w:type="dxa"/>
            <w:tcBorders>
              <w:tl2br w:val="nil"/>
              <w:tr2bl w:val="nil"/>
            </w:tcBorders>
            <w:vAlign w:val="center"/>
          </w:tcPr>
          <w:p w14:paraId="3A85FD2D">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832" w:type="dxa"/>
            <w:tcBorders>
              <w:tl2br w:val="nil"/>
              <w:tr2bl w:val="nil"/>
            </w:tcBorders>
            <w:vAlign w:val="center"/>
          </w:tcPr>
          <w:p w14:paraId="12B26F9F">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r>
      <w:tr w14:paraId="5DDDB9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2AD7C26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五</w:t>
            </w:r>
          </w:p>
        </w:tc>
        <w:tc>
          <w:tcPr>
            <w:tcW w:w="2964" w:type="dxa"/>
            <w:tcBorders>
              <w:tl2br w:val="nil"/>
              <w:tr2bl w:val="nil"/>
            </w:tcBorders>
            <w:vAlign w:val="center"/>
          </w:tcPr>
          <w:p w14:paraId="65A9E47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生态保护措施</w:t>
            </w:r>
          </w:p>
        </w:tc>
        <w:tc>
          <w:tcPr>
            <w:tcW w:w="967" w:type="dxa"/>
            <w:tcBorders>
              <w:tl2br w:val="nil"/>
              <w:tr2bl w:val="nil"/>
            </w:tcBorders>
            <w:vAlign w:val="center"/>
          </w:tcPr>
          <w:p w14:paraId="3055737D">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2CDC65F1">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7D6F86C9">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3D96B036">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2.8</w:t>
            </w:r>
          </w:p>
        </w:tc>
      </w:tr>
      <w:tr w14:paraId="71EC19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0F22825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1</w:t>
            </w:r>
          </w:p>
        </w:tc>
        <w:tc>
          <w:tcPr>
            <w:tcW w:w="2964" w:type="dxa"/>
            <w:tcBorders>
              <w:tl2br w:val="nil"/>
              <w:tr2bl w:val="nil"/>
            </w:tcBorders>
            <w:vAlign w:val="center"/>
          </w:tcPr>
          <w:p w14:paraId="1B1A463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生态警示牌</w:t>
            </w:r>
          </w:p>
        </w:tc>
        <w:tc>
          <w:tcPr>
            <w:tcW w:w="967" w:type="dxa"/>
            <w:tcBorders>
              <w:tl2br w:val="nil"/>
              <w:tr2bl w:val="nil"/>
            </w:tcBorders>
            <w:vAlign w:val="center"/>
          </w:tcPr>
          <w:p w14:paraId="3FA63848">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842" w:type="dxa"/>
            <w:tcBorders>
              <w:tl2br w:val="nil"/>
              <w:tr2bl w:val="nil"/>
            </w:tcBorders>
            <w:vAlign w:val="center"/>
          </w:tcPr>
          <w:p w14:paraId="641ED816">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1315" w:type="dxa"/>
            <w:tcBorders>
              <w:tl2br w:val="nil"/>
              <w:tr2bl w:val="nil"/>
            </w:tcBorders>
            <w:vAlign w:val="center"/>
          </w:tcPr>
          <w:p w14:paraId="7A745A25">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1832" w:type="dxa"/>
            <w:tcBorders>
              <w:tl2br w:val="nil"/>
              <w:tr2bl w:val="nil"/>
            </w:tcBorders>
            <w:vAlign w:val="center"/>
          </w:tcPr>
          <w:p w14:paraId="20F00C9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r>
      <w:tr w14:paraId="19B69C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6DCD661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2</w:t>
            </w:r>
          </w:p>
        </w:tc>
        <w:tc>
          <w:tcPr>
            <w:tcW w:w="2964" w:type="dxa"/>
            <w:tcBorders>
              <w:tl2br w:val="nil"/>
              <w:tr2bl w:val="nil"/>
            </w:tcBorders>
            <w:vAlign w:val="center"/>
          </w:tcPr>
          <w:p w14:paraId="0B6497FA">
            <w:pPr>
              <w:keepNext w:val="0"/>
              <w:keepLines w:val="0"/>
              <w:widowControl/>
              <w:suppressLineNumbers w:val="0"/>
              <w:jc w:val="center"/>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宋体" w:hAnsi="宋体" w:eastAsia="宋体" w:cs="宋体"/>
                <w:color w:val="000000" w:themeColor="text1"/>
                <w:kern w:val="0"/>
                <w:sz w:val="20"/>
                <w:szCs w:val="20"/>
                <w:u w:val="none" w:color="auto"/>
                <w:lang w:val="en-US" w:eastAsia="zh-CN" w:bidi="ar"/>
                <w14:textFill>
                  <w14:solidFill>
                    <w14:schemeClr w14:val="tx1"/>
                  </w14:solidFill>
                </w14:textFill>
              </w:rPr>
              <w:t>宣传与教育</w:t>
            </w:r>
          </w:p>
        </w:tc>
        <w:tc>
          <w:tcPr>
            <w:tcW w:w="967" w:type="dxa"/>
            <w:tcBorders>
              <w:tl2br w:val="nil"/>
              <w:tr2bl w:val="nil"/>
            </w:tcBorders>
            <w:vAlign w:val="center"/>
          </w:tcPr>
          <w:p w14:paraId="6F560A12">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年</w:t>
            </w:r>
          </w:p>
        </w:tc>
        <w:tc>
          <w:tcPr>
            <w:tcW w:w="842" w:type="dxa"/>
            <w:tcBorders>
              <w:tl2br w:val="nil"/>
              <w:tr2bl w:val="nil"/>
            </w:tcBorders>
            <w:vAlign w:val="center"/>
          </w:tcPr>
          <w:p w14:paraId="3FACA49E">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315" w:type="dxa"/>
            <w:tcBorders>
              <w:tl2br w:val="nil"/>
              <w:tr2bl w:val="nil"/>
            </w:tcBorders>
            <w:vAlign w:val="center"/>
          </w:tcPr>
          <w:p w14:paraId="387D358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1832" w:type="dxa"/>
            <w:tcBorders>
              <w:tl2br w:val="nil"/>
              <w:tr2bl w:val="nil"/>
            </w:tcBorders>
            <w:vAlign w:val="center"/>
          </w:tcPr>
          <w:p w14:paraId="4BE12CC8">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r>
      <w:tr w14:paraId="4CB3E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199552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w:t>
            </w:r>
          </w:p>
        </w:tc>
        <w:tc>
          <w:tcPr>
            <w:tcW w:w="2964" w:type="dxa"/>
            <w:tcBorders>
              <w:tl2br w:val="nil"/>
              <w:tr2bl w:val="nil"/>
            </w:tcBorders>
            <w:vAlign w:val="center"/>
          </w:tcPr>
          <w:p w14:paraId="4EE70CC3">
            <w:pPr>
              <w:keepNext w:val="0"/>
              <w:keepLines w:val="0"/>
              <w:widowControl/>
              <w:suppressLineNumbers w:val="0"/>
              <w:jc w:val="center"/>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施工期巡视及临时救护</w:t>
            </w:r>
          </w:p>
        </w:tc>
        <w:tc>
          <w:tcPr>
            <w:tcW w:w="967" w:type="dxa"/>
            <w:tcBorders>
              <w:tl2br w:val="nil"/>
              <w:tr2bl w:val="nil"/>
            </w:tcBorders>
            <w:vAlign w:val="center"/>
          </w:tcPr>
          <w:p w14:paraId="49D5BF3D">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w:t>
            </w:r>
          </w:p>
        </w:tc>
        <w:tc>
          <w:tcPr>
            <w:tcW w:w="842" w:type="dxa"/>
            <w:tcBorders>
              <w:tl2br w:val="nil"/>
              <w:tr2bl w:val="nil"/>
            </w:tcBorders>
            <w:vAlign w:val="center"/>
          </w:tcPr>
          <w:p w14:paraId="7D9231BA">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315" w:type="dxa"/>
            <w:tcBorders>
              <w:tl2br w:val="nil"/>
              <w:tr2bl w:val="nil"/>
            </w:tcBorders>
            <w:vAlign w:val="center"/>
          </w:tcPr>
          <w:p w14:paraId="011C05FE">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8000</w:t>
            </w:r>
          </w:p>
        </w:tc>
        <w:tc>
          <w:tcPr>
            <w:tcW w:w="1832" w:type="dxa"/>
            <w:tcBorders>
              <w:tl2br w:val="nil"/>
              <w:tr2bl w:val="nil"/>
            </w:tcBorders>
            <w:vAlign w:val="center"/>
          </w:tcPr>
          <w:p w14:paraId="1C92A739">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w:t>
            </w:r>
          </w:p>
        </w:tc>
      </w:tr>
      <w:tr w14:paraId="6789F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0E2E049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w w:val="10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4</w:t>
            </w:r>
          </w:p>
        </w:tc>
        <w:tc>
          <w:tcPr>
            <w:tcW w:w="2964" w:type="dxa"/>
            <w:tcBorders>
              <w:tl2br w:val="nil"/>
              <w:tr2bl w:val="nil"/>
            </w:tcBorders>
            <w:shd w:val="clear" w:color="auto" w:fill="auto"/>
            <w:vAlign w:val="center"/>
          </w:tcPr>
          <w:p w14:paraId="767859EB">
            <w:pPr>
              <w:keepNext w:val="0"/>
              <w:keepLines w:val="0"/>
              <w:widowControl/>
              <w:suppressLineNumbers w:val="0"/>
              <w:jc w:val="center"/>
              <w:rPr>
                <w:rFonts w:hint="eastAsia"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hint="eastAsia" w:ascii="妤蜂綋" w:hAnsi="妤蜂綋" w:eastAsia="妤蜂綋" w:cs="妤蜂綋"/>
                <w:color w:val="000000" w:themeColor="text1"/>
                <w:kern w:val="0"/>
                <w:sz w:val="21"/>
                <w:szCs w:val="21"/>
                <w:u w:val="none" w:color="auto"/>
                <w:lang w:val="en-US" w:eastAsia="zh-CN" w:bidi="ar"/>
                <w14:textFill>
                  <w14:solidFill>
                    <w14:schemeClr w14:val="tx1"/>
                  </w14:solidFill>
                </w14:textFill>
              </w:rPr>
              <w:t>临时截排水沟、临时围挡、临时沉砂池、植被恢复（播撒草籽）等水土保持措施</w:t>
            </w:r>
          </w:p>
        </w:tc>
        <w:tc>
          <w:tcPr>
            <w:tcW w:w="967" w:type="dxa"/>
            <w:tcBorders>
              <w:tl2br w:val="nil"/>
              <w:tr2bl w:val="nil"/>
            </w:tcBorders>
            <w:shd w:val="clear" w:color="auto" w:fill="auto"/>
            <w:vAlign w:val="center"/>
          </w:tcPr>
          <w:p w14:paraId="76DD84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pPr>
          </w:p>
        </w:tc>
        <w:tc>
          <w:tcPr>
            <w:tcW w:w="842" w:type="dxa"/>
            <w:tcBorders>
              <w:tl2br w:val="nil"/>
              <w:tr2bl w:val="nil"/>
            </w:tcBorders>
            <w:shd w:val="clear" w:color="auto" w:fill="auto"/>
            <w:vAlign w:val="center"/>
          </w:tcPr>
          <w:p w14:paraId="7B4878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pPr>
          </w:p>
        </w:tc>
        <w:tc>
          <w:tcPr>
            <w:tcW w:w="1315" w:type="dxa"/>
            <w:tcBorders>
              <w:tl2br w:val="nil"/>
              <w:tr2bl w:val="nil"/>
            </w:tcBorders>
            <w:shd w:val="clear" w:color="auto" w:fill="auto"/>
            <w:vAlign w:val="center"/>
          </w:tcPr>
          <w:p w14:paraId="347799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pPr>
          </w:p>
        </w:tc>
        <w:tc>
          <w:tcPr>
            <w:tcW w:w="1832" w:type="dxa"/>
            <w:tcBorders>
              <w:tl2br w:val="nil"/>
              <w:tr2bl w:val="nil"/>
            </w:tcBorders>
            <w:shd w:val="clear" w:color="auto" w:fill="auto"/>
            <w:vAlign w:val="center"/>
          </w:tcPr>
          <w:p w14:paraId="239D9FE1">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（215）</w:t>
            </w:r>
          </w:p>
          <w:p w14:paraId="6A3E01E9">
            <w:pPr>
              <w:pStyle w:val="19"/>
              <w:spacing w:line="240" w:lineRule="auto"/>
              <w:ind w:left="0" w:leftChars="0" w:firstLine="0" w:firstLineChars="0"/>
              <w:rPr>
                <w:rFonts w:hint="default" w:ascii="黑体" w:eastAsia="黑体" w:hAnsiTheme="minorHAnsi" w:cstheme="minorBidi"/>
                <w:color w:val="000000" w:themeColor="text1"/>
                <w:kern w:val="2"/>
                <w:sz w:val="22"/>
                <w:szCs w:val="22"/>
                <w:u w:val="none" w:color="auto"/>
                <w:lang w:val="en-US" w:eastAsia="zh-CN" w:bidi="ar-SA"/>
                <w14:textFill>
                  <w14:solidFill>
                    <w14:schemeClr w14:val="tx1"/>
                  </w14:solidFill>
                </w14:textFill>
              </w:rPr>
            </w:pPr>
            <w:r>
              <w:rPr>
                <w:rFonts w:hint="eastAsia" w:ascii="妤蜂綋" w:hAnsi="妤蜂綋" w:eastAsia="妤蜂綋" w:cs="妤蜂綋"/>
                <w:color w:val="000000" w:themeColor="text1"/>
                <w:kern w:val="0"/>
                <w:sz w:val="21"/>
                <w:szCs w:val="21"/>
                <w:u w:val="none" w:color="auto"/>
                <w:lang w:val="en-US" w:eastAsia="zh-CN" w:bidi="ar"/>
                <w14:textFill>
                  <w14:solidFill>
                    <w14:schemeClr w14:val="tx1"/>
                  </w14:solidFill>
                </w14:textFill>
              </w:rPr>
              <w:t>计入水土保持费用</w:t>
            </w:r>
          </w:p>
        </w:tc>
      </w:tr>
      <w:tr w14:paraId="66B809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6AEE031F">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color="auto"/>
                <w:lang w:val="en-US" w:eastAsia="zh-CN" w:bidi="ar"/>
                <w14:textFill>
                  <w14:solidFill>
                    <w14:schemeClr w14:val="tx1"/>
                  </w14:solidFill>
                </w14:textFill>
              </w:rPr>
              <w:t>六</w:t>
            </w:r>
          </w:p>
        </w:tc>
        <w:tc>
          <w:tcPr>
            <w:tcW w:w="2964" w:type="dxa"/>
            <w:tcBorders>
              <w:tl2br w:val="nil"/>
              <w:tr2bl w:val="nil"/>
            </w:tcBorders>
            <w:vAlign w:val="center"/>
          </w:tcPr>
          <w:p w14:paraId="445ABC7C">
            <w:pPr>
              <w:keepNext w:val="0"/>
              <w:keepLines w:val="0"/>
              <w:widowControl/>
              <w:suppressLineNumbers w:val="0"/>
              <w:jc w:val="center"/>
              <w:textAlignment w:val="cente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hint="default" w:ascii="妤蜂綋" w:hAnsi="妤蜂綋" w:eastAsia="妤蜂綋" w:cs="妤蜂綋"/>
                <w:i w:val="0"/>
                <w:iCs w:val="0"/>
                <w:color w:val="000000" w:themeColor="text1"/>
                <w:kern w:val="0"/>
                <w:sz w:val="21"/>
                <w:szCs w:val="21"/>
                <w:u w:val="none" w:color="auto"/>
                <w:lang w:val="en-US" w:eastAsia="zh-CN" w:bidi="ar"/>
                <w14:textFill>
                  <w14:solidFill>
                    <w14:schemeClr w14:val="tx1"/>
                  </w14:solidFill>
                </w14:textFill>
              </w:rPr>
              <w:t>地下水、土壤保护措施</w:t>
            </w:r>
          </w:p>
        </w:tc>
        <w:tc>
          <w:tcPr>
            <w:tcW w:w="967" w:type="dxa"/>
            <w:tcBorders>
              <w:tl2br w:val="nil"/>
              <w:tr2bl w:val="nil"/>
            </w:tcBorders>
            <w:vAlign w:val="center"/>
          </w:tcPr>
          <w:p w14:paraId="553DCB2B">
            <w:pPr>
              <w:jc w:val="cente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p>
        </w:tc>
        <w:tc>
          <w:tcPr>
            <w:tcW w:w="842" w:type="dxa"/>
            <w:tcBorders>
              <w:tl2br w:val="nil"/>
              <w:tr2bl w:val="nil"/>
            </w:tcBorders>
            <w:vAlign w:val="center"/>
          </w:tcPr>
          <w:p w14:paraId="5E35C08E">
            <w:pPr>
              <w:jc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5EF64695">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000</w:t>
            </w:r>
          </w:p>
        </w:tc>
        <w:tc>
          <w:tcPr>
            <w:tcW w:w="1832" w:type="dxa"/>
            <w:tcBorders>
              <w:tl2br w:val="nil"/>
              <w:tr2bl w:val="nil"/>
            </w:tcBorders>
            <w:vAlign w:val="center"/>
          </w:tcPr>
          <w:p w14:paraId="527A12EB">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0.5</w:t>
            </w:r>
          </w:p>
        </w:tc>
      </w:tr>
      <w:tr w14:paraId="767794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3BC108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2964" w:type="dxa"/>
            <w:tcBorders>
              <w:tl2br w:val="nil"/>
              <w:tr2bl w:val="nil"/>
            </w:tcBorders>
            <w:vAlign w:val="center"/>
          </w:tcPr>
          <w:p w14:paraId="422D1D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第一</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、二</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部分合计</w:t>
            </w:r>
          </w:p>
        </w:tc>
        <w:tc>
          <w:tcPr>
            <w:tcW w:w="967" w:type="dxa"/>
            <w:tcBorders>
              <w:tl2br w:val="nil"/>
              <w:tr2bl w:val="nil"/>
            </w:tcBorders>
            <w:vAlign w:val="center"/>
          </w:tcPr>
          <w:p w14:paraId="09EFB63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476134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70E672F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31FF19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79.83</w:t>
            </w:r>
          </w:p>
        </w:tc>
      </w:tr>
      <w:tr w14:paraId="26E389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3DA9BED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第</w:t>
            </w: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三</w:t>
            </w: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部分</w:t>
            </w:r>
          </w:p>
        </w:tc>
        <w:tc>
          <w:tcPr>
            <w:tcW w:w="2964" w:type="dxa"/>
            <w:tcBorders>
              <w:tl2br w:val="nil"/>
              <w:tr2bl w:val="nil"/>
            </w:tcBorders>
            <w:vAlign w:val="center"/>
          </w:tcPr>
          <w:p w14:paraId="486221E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环境保护独立费用</w:t>
            </w:r>
          </w:p>
        </w:tc>
        <w:tc>
          <w:tcPr>
            <w:tcW w:w="967" w:type="dxa"/>
            <w:tcBorders>
              <w:tl2br w:val="nil"/>
              <w:tr2bl w:val="nil"/>
            </w:tcBorders>
            <w:vAlign w:val="center"/>
          </w:tcPr>
          <w:p w14:paraId="1E3EE535">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048E499C">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530BFAA5">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510E8198">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45.47</w:t>
            </w:r>
          </w:p>
        </w:tc>
      </w:tr>
      <w:tr w14:paraId="206E6E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4064FAF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一</w:t>
            </w:r>
          </w:p>
        </w:tc>
        <w:tc>
          <w:tcPr>
            <w:tcW w:w="2964" w:type="dxa"/>
            <w:tcBorders>
              <w:tl2br w:val="nil"/>
              <w:tr2bl w:val="nil"/>
            </w:tcBorders>
            <w:vAlign w:val="center"/>
          </w:tcPr>
          <w:p w14:paraId="33AF93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t>建设管理费</w:t>
            </w:r>
          </w:p>
        </w:tc>
        <w:tc>
          <w:tcPr>
            <w:tcW w:w="967" w:type="dxa"/>
            <w:tcBorders>
              <w:tl2br w:val="nil"/>
              <w:tr2bl w:val="nil"/>
            </w:tcBorders>
            <w:vAlign w:val="center"/>
          </w:tcPr>
          <w:p w14:paraId="5667A489">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7175C5E1">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5040DDA8">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72CEF3D0">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10.59 </w:t>
            </w:r>
          </w:p>
        </w:tc>
      </w:tr>
      <w:tr w14:paraId="025224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480DA3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1</w:t>
            </w:r>
          </w:p>
        </w:tc>
        <w:tc>
          <w:tcPr>
            <w:tcW w:w="2964" w:type="dxa"/>
            <w:tcBorders>
              <w:tl2br w:val="nil"/>
              <w:tr2bl w:val="nil"/>
            </w:tcBorders>
            <w:vAlign w:val="center"/>
          </w:tcPr>
          <w:p w14:paraId="42AC2A8F">
            <w:pPr>
              <w:keepNext w:val="0"/>
              <w:keepLines w:val="0"/>
              <w:widowControl/>
              <w:suppressLineNumbers w:val="0"/>
              <w:jc w:val="cente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环境管理人员经常费</w:t>
            </w:r>
          </w:p>
        </w:tc>
        <w:tc>
          <w:tcPr>
            <w:tcW w:w="967" w:type="dxa"/>
            <w:tcBorders>
              <w:tl2br w:val="nil"/>
              <w:tr2bl w:val="nil"/>
            </w:tcBorders>
            <w:vAlign w:val="center"/>
          </w:tcPr>
          <w:p w14:paraId="7FB953EF">
            <w:pPr>
              <w:jc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842" w:type="dxa"/>
            <w:tcBorders>
              <w:tl2br w:val="nil"/>
              <w:tr2bl w:val="nil"/>
            </w:tcBorders>
            <w:vAlign w:val="center"/>
          </w:tcPr>
          <w:p w14:paraId="2E412027">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4B8B07CF">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832" w:type="dxa"/>
            <w:tcBorders>
              <w:tl2br w:val="nil"/>
              <w:tr2bl w:val="nil"/>
            </w:tcBorders>
            <w:vAlign w:val="center"/>
          </w:tcPr>
          <w:p w14:paraId="5563454D">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3.19 </w:t>
            </w:r>
          </w:p>
        </w:tc>
      </w:tr>
      <w:tr w14:paraId="539CEA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6D711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2</w:t>
            </w:r>
          </w:p>
        </w:tc>
        <w:tc>
          <w:tcPr>
            <w:tcW w:w="2964" w:type="dxa"/>
            <w:tcBorders>
              <w:tl2br w:val="nil"/>
              <w:tr2bl w:val="nil"/>
            </w:tcBorders>
            <w:vAlign w:val="center"/>
          </w:tcPr>
          <w:p w14:paraId="187A41EC">
            <w:pPr>
              <w:keepNext w:val="0"/>
              <w:keepLines w:val="0"/>
              <w:widowControl/>
              <w:suppressLineNumbers w:val="0"/>
              <w:jc w:val="cente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环境保护设施竣工验收</w:t>
            </w:r>
            <w: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t>费</w:t>
            </w:r>
          </w:p>
        </w:tc>
        <w:tc>
          <w:tcPr>
            <w:tcW w:w="967" w:type="dxa"/>
            <w:tcBorders>
              <w:tl2br w:val="nil"/>
              <w:tr2bl w:val="nil"/>
            </w:tcBorders>
            <w:vAlign w:val="center"/>
          </w:tcPr>
          <w:p w14:paraId="625586D4">
            <w:pPr>
              <w:jc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842" w:type="dxa"/>
            <w:tcBorders>
              <w:tl2br w:val="nil"/>
              <w:tr2bl w:val="nil"/>
            </w:tcBorders>
            <w:vAlign w:val="center"/>
          </w:tcPr>
          <w:p w14:paraId="5AF7866B">
            <w:pPr>
              <w:jc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08B0D1AF">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10</w:t>
            </w: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0000</w:t>
            </w:r>
          </w:p>
        </w:tc>
        <w:tc>
          <w:tcPr>
            <w:tcW w:w="1832" w:type="dxa"/>
            <w:tcBorders>
              <w:tl2br w:val="nil"/>
              <w:tr2bl w:val="nil"/>
            </w:tcBorders>
            <w:vAlign w:val="center"/>
          </w:tcPr>
          <w:p w14:paraId="288B747B">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r>
      <w:tr w14:paraId="2BEA7E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98A005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t>3</w:t>
            </w:r>
          </w:p>
        </w:tc>
        <w:tc>
          <w:tcPr>
            <w:tcW w:w="2964" w:type="dxa"/>
            <w:tcBorders>
              <w:tl2br w:val="nil"/>
              <w:tr2bl w:val="nil"/>
            </w:tcBorders>
            <w:vAlign w:val="center"/>
          </w:tcPr>
          <w:p w14:paraId="39C3FEA3">
            <w:pPr>
              <w:keepNext w:val="0"/>
              <w:keepLines w:val="0"/>
              <w:widowControl/>
              <w:suppressLineNumbers w:val="0"/>
              <w:jc w:val="cente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环境保护宣传及技术培</w:t>
            </w:r>
            <w: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t>训费</w:t>
            </w:r>
          </w:p>
        </w:tc>
        <w:tc>
          <w:tcPr>
            <w:tcW w:w="967" w:type="dxa"/>
            <w:tcBorders>
              <w:tl2br w:val="nil"/>
              <w:tr2bl w:val="nil"/>
            </w:tcBorders>
            <w:vAlign w:val="center"/>
          </w:tcPr>
          <w:p w14:paraId="5AEED4E8">
            <w:pPr>
              <w:jc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842" w:type="dxa"/>
            <w:tcBorders>
              <w:tl2br w:val="nil"/>
              <w:tr2bl w:val="nil"/>
            </w:tcBorders>
            <w:vAlign w:val="center"/>
          </w:tcPr>
          <w:p w14:paraId="1E309957">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155893EB">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832" w:type="dxa"/>
            <w:tcBorders>
              <w:tl2br w:val="nil"/>
              <w:tr2bl w:val="nil"/>
            </w:tcBorders>
            <w:vAlign w:val="center"/>
          </w:tcPr>
          <w:p w14:paraId="2C923611">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2.39 </w:t>
            </w:r>
          </w:p>
        </w:tc>
      </w:tr>
      <w:tr w14:paraId="0EB923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86A7D4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二</w:t>
            </w:r>
          </w:p>
        </w:tc>
        <w:tc>
          <w:tcPr>
            <w:tcW w:w="2964" w:type="dxa"/>
            <w:tcBorders>
              <w:tl2br w:val="nil"/>
              <w:tr2bl w:val="nil"/>
            </w:tcBorders>
            <w:vAlign w:val="center"/>
          </w:tcPr>
          <w:p w14:paraId="09F347CA">
            <w:pPr>
              <w:keepNext w:val="0"/>
              <w:keepLines w:val="0"/>
              <w:widowControl/>
              <w:suppressLineNumbers w:val="0"/>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 xml:space="preserve">环境监理费 </w:t>
            </w:r>
          </w:p>
        </w:tc>
        <w:tc>
          <w:tcPr>
            <w:tcW w:w="967" w:type="dxa"/>
            <w:tcBorders>
              <w:tl2br w:val="nil"/>
              <w:tr2bl w:val="nil"/>
            </w:tcBorders>
            <w:vAlign w:val="center"/>
          </w:tcPr>
          <w:p w14:paraId="16012C01">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p>
        </w:tc>
        <w:tc>
          <w:tcPr>
            <w:tcW w:w="842" w:type="dxa"/>
            <w:tcBorders>
              <w:tl2br w:val="nil"/>
              <w:tr2bl w:val="nil"/>
            </w:tcBorders>
            <w:vAlign w:val="center"/>
          </w:tcPr>
          <w:p w14:paraId="34C9533E">
            <w:pPr>
              <w:keepNext w:val="0"/>
              <w:keepLines w:val="0"/>
              <w:widowControl/>
              <w:suppressLineNumbers w:val="0"/>
              <w:jc w:val="center"/>
              <w:textAlignment w:val="center"/>
              <w:rPr>
                <w:rFonts w:hint="eastAsia"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681EB174">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5000</w:t>
            </w:r>
          </w:p>
        </w:tc>
        <w:tc>
          <w:tcPr>
            <w:tcW w:w="1832" w:type="dxa"/>
            <w:tcBorders>
              <w:tl2br w:val="nil"/>
              <w:tr2bl w:val="nil"/>
            </w:tcBorders>
            <w:vAlign w:val="center"/>
          </w:tcPr>
          <w:p w14:paraId="3B559653">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8.5</w:t>
            </w:r>
          </w:p>
        </w:tc>
      </w:tr>
      <w:tr w14:paraId="1F0C5B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7D52BD9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三</w:t>
            </w:r>
          </w:p>
        </w:tc>
        <w:tc>
          <w:tcPr>
            <w:tcW w:w="2964" w:type="dxa"/>
            <w:tcBorders>
              <w:tl2br w:val="nil"/>
              <w:tr2bl w:val="nil"/>
            </w:tcBorders>
            <w:vAlign w:val="center"/>
          </w:tcPr>
          <w:p w14:paraId="4BC1A69F">
            <w:pPr>
              <w:keepNext w:val="0"/>
              <w:keepLines w:val="0"/>
              <w:widowControl/>
              <w:suppressLineNumbers w:val="0"/>
              <w:jc w:val="cente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t>科研勘测设计咨询费</w:t>
            </w:r>
          </w:p>
        </w:tc>
        <w:tc>
          <w:tcPr>
            <w:tcW w:w="967" w:type="dxa"/>
            <w:tcBorders>
              <w:tl2br w:val="nil"/>
              <w:tr2bl w:val="nil"/>
            </w:tcBorders>
            <w:vAlign w:val="center"/>
          </w:tcPr>
          <w:p w14:paraId="2223CC00">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21773A56">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487C04DA">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263900</w:t>
            </w:r>
          </w:p>
        </w:tc>
        <w:tc>
          <w:tcPr>
            <w:tcW w:w="1832" w:type="dxa"/>
            <w:tcBorders>
              <w:tl2br w:val="nil"/>
              <w:tr2bl w:val="nil"/>
            </w:tcBorders>
            <w:vAlign w:val="center"/>
          </w:tcPr>
          <w:p w14:paraId="1C744B93">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2</w:t>
            </w: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6.39</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 xml:space="preserve"> </w:t>
            </w:r>
          </w:p>
        </w:tc>
      </w:tr>
      <w:tr w14:paraId="732DB3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1F92B1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第四部分</w:t>
            </w:r>
          </w:p>
        </w:tc>
        <w:tc>
          <w:tcPr>
            <w:tcW w:w="2964" w:type="dxa"/>
            <w:tcBorders>
              <w:tl2br w:val="nil"/>
              <w:tr2bl w:val="nil"/>
            </w:tcBorders>
            <w:vAlign w:val="center"/>
          </w:tcPr>
          <w:p w14:paraId="2AE99D4E">
            <w:pPr>
              <w:keepNext w:val="0"/>
              <w:keepLines w:val="0"/>
              <w:widowControl/>
              <w:suppressLineNumbers w:val="0"/>
              <w:jc w:val="center"/>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hint="eastAsia" w:ascii="妤蜂綋" w:hAnsi="妤蜂綋" w:eastAsia="妤蜂綋" w:cs="妤蜂綋"/>
                <w:color w:val="000000" w:themeColor="text1"/>
                <w:kern w:val="0"/>
                <w:sz w:val="21"/>
                <w:szCs w:val="21"/>
                <w:u w:val="none" w:color="auto"/>
                <w:lang w:val="en-US" w:eastAsia="zh-CN" w:bidi="ar"/>
                <w14:textFill>
                  <w14:solidFill>
                    <w14:schemeClr w14:val="tx1"/>
                  </w14:solidFill>
                </w14:textFill>
              </w:rPr>
              <w:t>基本预备费</w:t>
            </w:r>
          </w:p>
        </w:tc>
        <w:tc>
          <w:tcPr>
            <w:tcW w:w="967" w:type="dxa"/>
            <w:tcBorders>
              <w:tl2br w:val="nil"/>
              <w:tr2bl w:val="nil"/>
            </w:tcBorders>
            <w:vAlign w:val="center"/>
          </w:tcPr>
          <w:p w14:paraId="7BB00AC8">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29FCB913">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p>
        </w:tc>
        <w:tc>
          <w:tcPr>
            <w:tcW w:w="1315" w:type="dxa"/>
            <w:tcBorders>
              <w:tl2br w:val="nil"/>
              <w:tr2bl w:val="nil"/>
            </w:tcBorders>
            <w:vAlign w:val="center"/>
          </w:tcPr>
          <w:p w14:paraId="31D7EC87">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7B3CFA1D">
            <w:pPr>
              <w:keepNext w:val="0"/>
              <w:keepLines w:val="0"/>
              <w:widowControl/>
              <w:suppressLineNumbers w:val="0"/>
              <w:jc w:val="center"/>
              <w:textAlignment w:val="center"/>
              <w:rPr>
                <w:rFonts w:hint="default" w:ascii="Times New Roman" w:hAnsi="Times New Roman" w:eastAsia="宋体" w:cs="Times New Roman"/>
                <w:color w:val="000000" w:themeColor="text1"/>
                <w:spacing w:val="0"/>
                <w:w w:val="10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6.27</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 xml:space="preserve"> </w:t>
            </w:r>
          </w:p>
        </w:tc>
      </w:tr>
      <w:tr w14:paraId="18E9DF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8" w:type="dxa"/>
            <w:tcBorders>
              <w:tl2br w:val="nil"/>
              <w:tr2bl w:val="nil"/>
            </w:tcBorders>
            <w:vAlign w:val="center"/>
          </w:tcPr>
          <w:p w14:paraId="5C22C70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pPr>
          </w:p>
        </w:tc>
        <w:tc>
          <w:tcPr>
            <w:tcW w:w="2964" w:type="dxa"/>
            <w:tcBorders>
              <w:tl2br w:val="nil"/>
              <w:tr2bl w:val="nil"/>
            </w:tcBorders>
            <w:vAlign w:val="center"/>
          </w:tcPr>
          <w:p w14:paraId="443B3C92">
            <w:pPr>
              <w:keepNext w:val="0"/>
              <w:keepLines w:val="0"/>
              <w:widowControl/>
              <w:suppressLineNumbers w:val="0"/>
              <w:jc w:val="left"/>
              <w:rPr>
                <w:rFonts w:ascii="妤蜂綋" w:hAnsi="妤蜂綋" w:eastAsia="妤蜂綋" w:cs="妤蜂綋"/>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u w:val="none" w:color="auto"/>
                <w:lang w:eastAsia="zh-CN"/>
                <w14:textFill>
                  <w14:solidFill>
                    <w14:schemeClr w14:val="tx1"/>
                  </w14:solidFill>
                </w14:textFill>
              </w:rPr>
              <w:t>环境保护总投资</w:t>
            </w:r>
          </w:p>
        </w:tc>
        <w:tc>
          <w:tcPr>
            <w:tcW w:w="967" w:type="dxa"/>
            <w:tcBorders>
              <w:tl2br w:val="nil"/>
              <w:tr2bl w:val="nil"/>
            </w:tcBorders>
            <w:vAlign w:val="center"/>
          </w:tcPr>
          <w:p w14:paraId="3A0ED490">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842" w:type="dxa"/>
            <w:tcBorders>
              <w:tl2br w:val="nil"/>
              <w:tr2bl w:val="nil"/>
            </w:tcBorders>
            <w:vAlign w:val="center"/>
          </w:tcPr>
          <w:p w14:paraId="04F3323D">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315" w:type="dxa"/>
            <w:tcBorders>
              <w:tl2br w:val="nil"/>
              <w:tr2bl w:val="nil"/>
            </w:tcBorders>
            <w:vAlign w:val="center"/>
          </w:tcPr>
          <w:p w14:paraId="3C1911AB">
            <w:pPr>
              <w:jc w:val="center"/>
              <w:rPr>
                <w:rFonts w:hint="default" w:ascii="Times New Roman" w:hAnsi="Times New Roman" w:eastAsia="宋体" w:cs="Times New Roman"/>
                <w:color w:val="000000" w:themeColor="text1"/>
                <w:spacing w:val="0"/>
                <w:w w:val="100"/>
                <w:position w:val="0"/>
                <w:sz w:val="21"/>
                <w:szCs w:val="21"/>
                <w:u w:val="none" w:color="auto"/>
                <w14:textFill>
                  <w14:solidFill>
                    <w14:schemeClr w14:val="tx1"/>
                  </w14:solidFill>
                </w14:textFill>
              </w:rPr>
            </w:pPr>
          </w:p>
        </w:tc>
        <w:tc>
          <w:tcPr>
            <w:tcW w:w="1832" w:type="dxa"/>
            <w:tcBorders>
              <w:tl2br w:val="nil"/>
              <w:tr2bl w:val="nil"/>
            </w:tcBorders>
            <w:vAlign w:val="center"/>
          </w:tcPr>
          <w:p w14:paraId="052DD7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131.57</w:t>
            </w:r>
          </w:p>
        </w:tc>
      </w:tr>
    </w:tbl>
    <w:p w14:paraId="10132BF2">
      <w:pPr>
        <w:pStyle w:val="3"/>
        <w:bidi w:val="0"/>
        <w:rPr>
          <w:rFonts w:hint="default" w:ascii="Times New Roman" w:hAnsi="Times New Roman" w:cs="Times New Roman"/>
          <w:u w:val="none" w:color="auto"/>
        </w:rPr>
      </w:pPr>
      <w:bookmarkStart w:id="350" w:name="_Toc17003"/>
      <w:r>
        <w:rPr>
          <w:rFonts w:hint="default" w:ascii="Times New Roman" w:hAnsi="Times New Roman" w:cs="Times New Roman"/>
          <w:u w:val="none" w:color="auto"/>
          <w:lang w:val="en-US" w:eastAsia="zh-CN"/>
        </w:rPr>
        <w:t>环境影响经济效益</w:t>
      </w:r>
      <w:bookmarkEnd w:id="350"/>
      <w:r>
        <w:rPr>
          <w:rFonts w:hint="default" w:ascii="Times New Roman" w:hAnsi="Times New Roman" w:cs="Times New Roman"/>
          <w:u w:val="none" w:color="auto"/>
        </w:rPr>
        <w:t xml:space="preserve"> </w:t>
      </w:r>
    </w:p>
    <w:p w14:paraId="2979F256">
      <w:pPr>
        <w:pStyle w:val="4"/>
        <w:bidi w:val="0"/>
        <w:rPr>
          <w:rFonts w:hint="default" w:ascii="Times New Roman" w:hAnsi="Times New Roman" w:cs="Times New Roman"/>
          <w:u w:val="none" w:color="auto"/>
        </w:rPr>
      </w:pPr>
      <w:bookmarkStart w:id="351" w:name="_Toc2644"/>
      <w:r>
        <w:rPr>
          <w:rFonts w:hint="default" w:ascii="Times New Roman" w:hAnsi="Times New Roman" w:cs="Times New Roman"/>
          <w:u w:val="none" w:color="auto"/>
        </w:rPr>
        <w:t>经济效益分析</w:t>
      </w:r>
      <w:bookmarkEnd w:id="351"/>
    </w:p>
    <w:p w14:paraId="0B1BF7B2">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北汊水库除险加固工程属改、扩建水利建设项目，其效益应按有、无本除险加固工程的增量效益分析计算。水库带病运行效益发挥受到较大限制威胁下游的安全。加固的增量效益主要体现：一是工程实施后将排除安全问题，使枢纽工程得以安全运行；二是水库能正常发挥工程设计的综合效益，使防洪等效益增加。</w:t>
      </w:r>
    </w:p>
    <w:p w14:paraId="3043743B">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项目区有关统计年鉴和现场调查，项目所涉及农村河道保护人口约5.75万人、保护耕地约8万亩。根据保护区社会财产调查统计资料，参照类似项目情况，按2023年价格水平测算，当遭遇洪涝灾害时，保护区内人均财产损失指标约2000元，防洪排涝直接经济效益是由多年平均减淹人员乘以损失标准得到。本项目实施后，项目区多年平均减淹人员约0.46万人，项目区的防洪排涝效益约为920万元/年。</w:t>
      </w:r>
    </w:p>
    <w:p w14:paraId="03B30A54">
      <w:pPr>
        <w:pStyle w:val="4"/>
        <w:bidi w:val="0"/>
        <w:rPr>
          <w:rFonts w:hint="default" w:ascii="Times New Roman" w:hAnsi="Times New Roman" w:cs="Times New Roman"/>
          <w:u w:val="none" w:color="auto"/>
          <w:lang w:val="en-US" w:eastAsia="zh-CN"/>
        </w:rPr>
      </w:pPr>
      <w:bookmarkStart w:id="352" w:name="_Toc17263"/>
      <w:r>
        <w:rPr>
          <w:rFonts w:hint="default" w:ascii="Times New Roman" w:hAnsi="Times New Roman" w:cs="Times New Roman"/>
          <w:u w:val="none" w:color="auto"/>
          <w:lang w:val="en-US" w:eastAsia="zh-CN"/>
        </w:rPr>
        <w:t>社会效益分析</w:t>
      </w:r>
      <w:bookmarkEnd w:id="352"/>
    </w:p>
    <w:p w14:paraId="21FBA12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本次除险加固后，消除了影响水库安全运行的隐患，使灌区农业生产可以持续、稳定发展。同时，工程实施后，威胁水库溃坝的隐患可以完全消除，强化灌区农业基础，有效地改善农业生产条件，促进农、林、牧、副业的全面发展，为农业的适度发展和集约化经营创出一条新路。此次除险加固后，将有效地改善水库的运行条件，避免水库发生溃坝事故。</w:t>
      </w:r>
    </w:p>
    <w:p w14:paraId="51AA9A7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工程实施后，可增加现有耕地的灌溉保证率，将有效地改善项目区农业生产条件，加快了项目区传统农业向节水农业、设施农业、生态农业发展的速度，促进了项目区农、林、牧、副业的全面发展，为该区实现节水增效、农民增收的经济发展创造了坚实的基础，为灌区农业生产和农村生活创造了良好的社会环境。</w:t>
      </w:r>
    </w:p>
    <w:p w14:paraId="36542EB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（3）水库加固后，</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大大提高了水库大坝的安全系数，确保下游</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耕地安全。</w:t>
      </w:r>
      <w:r>
        <w:rPr>
          <w:rFonts w:hint="default" w:ascii="Times New Roman" w:hAnsi="Times New Roman" w:eastAsia="宋体" w:cs="Times New Roman"/>
          <w:caps w:val="0"/>
          <w:smallCaps w:val="0"/>
          <w:color w:val="auto"/>
          <w:spacing w:val="0"/>
          <w:w w:val="100"/>
          <w:kern w:val="0"/>
          <w:position w:val="0"/>
          <w:sz w:val="24"/>
          <w:szCs w:val="24"/>
          <w:u w:val="none" w:color="auto"/>
        </w:rPr>
        <w:t>下游人民生命财产安全将得到有效地保障，下游村镇农业和生活用水要求将得到满足，从而促进下游村镇的农业发展，保证农业高产稳定发展、农民增收和社会安定，同时对发展优质、高效农业起到促进作用；水库加固后，灌区农业种植结构调整，农民收入增加，可为当地的经济发展带来生机和活力。</w:t>
      </w:r>
    </w:p>
    <w:p w14:paraId="45305D23">
      <w:pPr>
        <w:pStyle w:val="4"/>
        <w:bidi w:val="0"/>
        <w:rPr>
          <w:rFonts w:hint="default" w:ascii="Times New Roman" w:hAnsi="Times New Roman" w:cs="Times New Roman"/>
          <w:u w:val="none" w:color="auto"/>
          <w:lang w:val="en-US" w:eastAsia="zh-CN"/>
        </w:rPr>
      </w:pPr>
      <w:bookmarkStart w:id="353" w:name="_Toc28489"/>
      <w:r>
        <w:rPr>
          <w:rFonts w:hint="default" w:ascii="Times New Roman" w:hAnsi="Times New Roman" w:cs="Times New Roman"/>
          <w:u w:val="none" w:color="auto"/>
          <w:lang w:val="en-US" w:eastAsia="zh-CN"/>
        </w:rPr>
        <w:t>生态环境效益</w:t>
      </w:r>
      <w:bookmarkEnd w:id="353"/>
    </w:p>
    <w:p w14:paraId="714DE5D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除险加固</w:t>
      </w:r>
      <w:r>
        <w:rPr>
          <w:rFonts w:hint="default" w:ascii="Times New Roman" w:hAnsi="Times New Roman" w:eastAsia="宋体" w:cs="Times New Roman"/>
          <w:caps w:val="0"/>
          <w:smallCaps w:val="0"/>
          <w:color w:val="auto"/>
          <w:spacing w:val="0"/>
          <w:w w:val="100"/>
          <w:kern w:val="0"/>
          <w:position w:val="0"/>
          <w:sz w:val="24"/>
          <w:szCs w:val="24"/>
          <w:u w:val="none" w:color="auto"/>
        </w:rPr>
        <w:t>工程提高枯水期河道生态需水满足程度。水库蓄水后，结合库周污染源治理，水库水质得到改善。工程通过采取有效的水土保持措施，可恢复植被，美化环境，创造良好的生态环境，为当地经济发展创造良好的条件</w:t>
      </w:r>
      <w:r>
        <w:rPr>
          <w:rFonts w:hint="default" w:ascii="Times New Roman" w:hAnsi="Times New Roman" w:eastAsia="宋体" w:cs="Times New Roman"/>
          <w:caps w:val="0"/>
          <w:smallCaps w:val="0"/>
          <w:color w:val="FF0000"/>
          <w:spacing w:val="0"/>
          <w:w w:val="100"/>
          <w:kern w:val="0"/>
          <w:position w:val="0"/>
          <w:sz w:val="24"/>
          <w:szCs w:val="24"/>
          <w:u w:val="none" w:color="auto"/>
        </w:rPr>
        <w:t>。</w:t>
      </w:r>
    </w:p>
    <w:p w14:paraId="07372013">
      <w:pPr>
        <w:pStyle w:val="3"/>
        <w:bidi w:val="0"/>
        <w:rPr>
          <w:rFonts w:hint="default" w:ascii="Times New Roman" w:hAnsi="Times New Roman" w:cs="Times New Roman"/>
          <w:u w:val="none" w:color="auto"/>
        </w:rPr>
      </w:pPr>
      <w:r>
        <w:rPr>
          <w:rFonts w:hint="default" w:ascii="Times New Roman" w:hAnsi="Times New Roman" w:cs="Times New Roman"/>
          <w:u w:val="none" w:color="auto"/>
        </w:rPr>
        <w:t xml:space="preserve"> </w:t>
      </w:r>
      <w:bookmarkStart w:id="354" w:name="_Toc2344"/>
      <w:r>
        <w:rPr>
          <w:rFonts w:hint="default" w:ascii="Times New Roman" w:hAnsi="Times New Roman" w:cs="Times New Roman"/>
          <w:u w:val="none" w:color="auto"/>
        </w:rPr>
        <w:t>环境</w:t>
      </w:r>
      <w:r>
        <w:rPr>
          <w:rFonts w:hint="eastAsia" w:ascii="Times New Roman" w:hAnsi="Times New Roman" w:cs="Times New Roman"/>
          <w:u w:val="none" w:color="auto"/>
          <w:lang w:eastAsia="zh-CN"/>
        </w:rPr>
        <w:t>损失</w:t>
      </w:r>
      <w:r>
        <w:rPr>
          <w:rFonts w:hint="default" w:ascii="Times New Roman" w:hAnsi="Times New Roman" w:cs="Times New Roman"/>
          <w:u w:val="none" w:color="auto"/>
        </w:rPr>
        <w:t>分析</w:t>
      </w:r>
      <w:bookmarkEnd w:id="354"/>
    </w:p>
    <w:p w14:paraId="43BF45BA">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aps w:val="0"/>
          <w:smallCaps w:val="0"/>
          <w:color w:val="auto"/>
          <w:spacing w:val="0"/>
          <w:w w:val="100"/>
          <w:position w:val="0"/>
          <w:sz w:val="24"/>
          <w:szCs w:val="28"/>
          <w:u w:val="none" w:color="auto"/>
          <w:lang w:eastAsia="zh-CN"/>
        </w:rPr>
      </w:pP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1</w:t>
      </w: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rPr>
        <w:t>水质</w:t>
      </w:r>
      <w:r>
        <w:rPr>
          <w:rFonts w:hint="eastAsia" w:ascii="Times New Roman" w:hAnsi="Times New Roman" w:eastAsia="宋体" w:cs="Times New Roman"/>
          <w:caps w:val="0"/>
          <w:smallCaps w:val="0"/>
          <w:color w:val="auto"/>
          <w:spacing w:val="0"/>
          <w:w w:val="100"/>
          <w:position w:val="0"/>
          <w:sz w:val="24"/>
          <w:szCs w:val="28"/>
          <w:u w:val="none" w:color="auto"/>
          <w:lang w:eastAsia="zh-CN"/>
        </w:rPr>
        <w:t>影响</w:t>
      </w:r>
    </w:p>
    <w:p w14:paraId="539F5C97">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8"/>
          <w:u w:val="none" w:color="auto"/>
        </w:rPr>
      </w:pPr>
      <w:r>
        <w:rPr>
          <w:rFonts w:hint="default" w:ascii="Times New Roman" w:hAnsi="Times New Roman" w:eastAsia="宋体" w:cs="Times New Roman"/>
          <w:caps w:val="0"/>
          <w:smallCaps w:val="0"/>
          <w:color w:val="auto"/>
          <w:spacing w:val="0"/>
          <w:w w:val="100"/>
          <w:position w:val="0"/>
          <w:sz w:val="24"/>
          <w:szCs w:val="28"/>
          <w:u w:val="none" w:color="auto"/>
        </w:rPr>
        <w:t>工程施工期间，</w:t>
      </w:r>
      <w:r>
        <w:rPr>
          <w:rFonts w:hint="eastAsia" w:ascii="Times New Roman" w:hAnsi="Times New Roman" w:eastAsia="宋体" w:cs="Times New Roman"/>
          <w:caps w:val="0"/>
          <w:smallCaps w:val="0"/>
          <w:color w:val="auto"/>
          <w:spacing w:val="0"/>
          <w:w w:val="100"/>
          <w:position w:val="0"/>
          <w:sz w:val="24"/>
          <w:szCs w:val="28"/>
          <w:u w:val="none" w:color="auto"/>
          <w:lang w:eastAsia="zh-CN"/>
        </w:rPr>
        <w:t>围堰施工填筑过程、抛石护脚施工会造成施工范围周边水体悬浮物浓度增加，同时</w:t>
      </w:r>
      <w:r>
        <w:rPr>
          <w:rFonts w:hint="default" w:ascii="Times New Roman" w:hAnsi="Times New Roman" w:eastAsia="宋体" w:cs="Times New Roman"/>
          <w:caps w:val="0"/>
          <w:smallCaps w:val="0"/>
          <w:color w:val="auto"/>
          <w:spacing w:val="0"/>
          <w:w w:val="100"/>
          <w:position w:val="0"/>
          <w:sz w:val="24"/>
          <w:szCs w:val="28"/>
          <w:u w:val="none" w:color="auto"/>
        </w:rPr>
        <w:t>土石方开挖、</w:t>
      </w:r>
      <w:r>
        <w:rPr>
          <w:rFonts w:hint="eastAsia" w:ascii="Times New Roman" w:hAnsi="Times New Roman" w:eastAsia="宋体" w:cs="Times New Roman"/>
          <w:caps w:val="0"/>
          <w:smallCaps w:val="0"/>
          <w:color w:val="auto"/>
          <w:spacing w:val="0"/>
          <w:w w:val="100"/>
          <w:position w:val="0"/>
          <w:sz w:val="24"/>
          <w:szCs w:val="28"/>
          <w:u w:val="none" w:color="auto"/>
          <w:lang w:eastAsia="zh-CN"/>
        </w:rPr>
        <w:t>基坑</w:t>
      </w:r>
      <w:r>
        <w:rPr>
          <w:rFonts w:hint="default" w:ascii="Times New Roman" w:hAnsi="Times New Roman" w:eastAsia="宋体" w:cs="Times New Roman"/>
          <w:caps w:val="0"/>
          <w:smallCaps w:val="0"/>
          <w:color w:val="auto"/>
          <w:spacing w:val="0"/>
          <w:w w:val="100"/>
          <w:position w:val="0"/>
          <w:sz w:val="24"/>
          <w:szCs w:val="28"/>
          <w:u w:val="none" w:color="auto"/>
        </w:rPr>
        <w:t>废水、施工机械</w:t>
      </w:r>
      <w:r>
        <w:rPr>
          <w:rFonts w:hint="default" w:ascii="Times New Roman" w:hAnsi="Times New Roman" w:eastAsia="宋体" w:cs="Times New Roman"/>
          <w:caps w:val="0"/>
          <w:smallCaps w:val="0"/>
          <w:color w:val="auto"/>
          <w:spacing w:val="0"/>
          <w:w w:val="100"/>
          <w:position w:val="0"/>
          <w:sz w:val="24"/>
          <w:szCs w:val="28"/>
          <w:u w:val="none" w:color="auto"/>
          <w:lang w:eastAsia="zh-CN"/>
        </w:rPr>
        <w:t>清洗废</w:t>
      </w:r>
      <w:r>
        <w:rPr>
          <w:rFonts w:hint="default" w:ascii="Times New Roman" w:hAnsi="Times New Roman" w:eastAsia="宋体" w:cs="Times New Roman"/>
          <w:caps w:val="0"/>
          <w:smallCaps w:val="0"/>
          <w:color w:val="auto"/>
          <w:spacing w:val="0"/>
          <w:w w:val="100"/>
          <w:position w:val="0"/>
          <w:sz w:val="24"/>
          <w:szCs w:val="28"/>
          <w:u w:val="none" w:color="auto"/>
        </w:rPr>
        <w:t>水</w:t>
      </w:r>
      <w:r>
        <w:rPr>
          <w:rFonts w:hint="eastAsia" w:ascii="Times New Roman" w:hAnsi="Times New Roman" w:eastAsia="宋体" w:cs="Times New Roman"/>
          <w:caps w:val="0"/>
          <w:smallCaps w:val="0"/>
          <w:color w:val="auto"/>
          <w:spacing w:val="0"/>
          <w:w w:val="100"/>
          <w:position w:val="0"/>
          <w:sz w:val="24"/>
          <w:szCs w:val="28"/>
          <w:u w:val="none" w:color="auto"/>
          <w:lang w:eastAsia="zh-CN"/>
        </w:rPr>
        <w:t>、灌浆施工废水等</w:t>
      </w:r>
      <w:r>
        <w:rPr>
          <w:rFonts w:hint="default" w:ascii="Times New Roman" w:hAnsi="Times New Roman" w:eastAsia="宋体" w:cs="Times New Roman"/>
          <w:caps w:val="0"/>
          <w:smallCaps w:val="0"/>
          <w:color w:val="auto"/>
          <w:spacing w:val="0"/>
          <w:w w:val="100"/>
          <w:position w:val="0"/>
          <w:sz w:val="24"/>
          <w:szCs w:val="28"/>
          <w:u w:val="none" w:color="auto"/>
        </w:rPr>
        <w:t>若处理处置不当，可能会对现有库区水质产生一定的污染。</w:t>
      </w:r>
    </w:p>
    <w:p w14:paraId="41D2EAB1">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8"/>
          <w:u w:val="none" w:color="auto"/>
        </w:rPr>
      </w:pP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2</w:t>
      </w: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rPr>
        <w:t>对周边环境及人群健康的影响</w:t>
      </w:r>
    </w:p>
    <w:p w14:paraId="59FFED50">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8"/>
          <w:u w:val="none" w:color="auto"/>
        </w:rPr>
      </w:pPr>
      <w:r>
        <w:rPr>
          <w:rFonts w:hint="default" w:ascii="Times New Roman" w:hAnsi="Times New Roman" w:eastAsia="宋体" w:cs="Times New Roman"/>
          <w:caps w:val="0"/>
          <w:smallCaps w:val="0"/>
          <w:color w:val="auto"/>
          <w:spacing w:val="0"/>
          <w:w w:val="100"/>
          <w:position w:val="0"/>
          <w:sz w:val="24"/>
          <w:szCs w:val="28"/>
          <w:u w:val="none" w:color="auto"/>
        </w:rPr>
        <w:t>由于工程施工期施工区人员高度集中，在工程</w:t>
      </w:r>
      <w:r>
        <w:rPr>
          <w:rFonts w:hint="default" w:ascii="Times New Roman" w:hAnsi="Times New Roman" w:eastAsia="宋体" w:cs="Times New Roman"/>
          <w:caps w:val="0"/>
          <w:smallCaps w:val="0"/>
          <w:color w:val="auto"/>
          <w:spacing w:val="0"/>
          <w:w w:val="100"/>
          <w:position w:val="0"/>
          <w:sz w:val="24"/>
          <w:szCs w:val="28"/>
          <w:u w:val="none" w:color="auto"/>
          <w:lang w:eastAsia="zh-CN"/>
        </w:rPr>
        <w:t>建设</w:t>
      </w:r>
      <w:r>
        <w:rPr>
          <w:rFonts w:hint="default" w:ascii="Times New Roman" w:hAnsi="Times New Roman" w:eastAsia="宋体" w:cs="Times New Roman"/>
          <w:caps w:val="0"/>
          <w:smallCaps w:val="0"/>
          <w:color w:val="auto"/>
          <w:spacing w:val="0"/>
          <w:w w:val="100"/>
          <w:position w:val="0"/>
          <w:sz w:val="24"/>
          <w:szCs w:val="28"/>
          <w:u w:val="none" w:color="auto"/>
        </w:rPr>
        <w:t>过程中所产生的废水、废气、废渣将对局部环境产生不利影响。生活垃圾堆放破坏环境卫生，影响施工人员身体健康，人口密度的增加可能使传染病的发病率上升。</w:t>
      </w:r>
    </w:p>
    <w:p w14:paraId="7DBD907D">
      <w:pPr>
        <w:keepNext w:val="0"/>
        <w:keepLines w:val="0"/>
        <w:pageBreakBefore w:val="0"/>
        <w:widowControl w:val="0"/>
        <w:kinsoku w:val="0"/>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aps w:val="0"/>
          <w:smallCaps w:val="0"/>
          <w:color w:val="auto"/>
          <w:spacing w:val="0"/>
          <w:w w:val="100"/>
          <w:position w:val="0"/>
          <w:sz w:val="24"/>
          <w:szCs w:val="28"/>
          <w:u w:val="none" w:color="auto"/>
        </w:rPr>
      </w:pP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3</w:t>
      </w: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rPr>
        <w:t>对水土保持的影响</w:t>
      </w:r>
    </w:p>
    <w:p w14:paraId="43AA3A65">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工程建设过程中开挖和回填均可能造成水土流失，若不及时采取有效的防护措施，将对</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环境</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带来不利影响</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，造成</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水土流失。</w:t>
      </w:r>
    </w:p>
    <w:p w14:paraId="010119B7">
      <w:pPr>
        <w:pStyle w:val="3"/>
        <w:bidi w:val="0"/>
        <w:rPr>
          <w:rFonts w:hint="default"/>
          <w:u w:val="none" w:color="auto"/>
          <w:lang w:eastAsia="zh-CN"/>
        </w:rPr>
      </w:pPr>
      <w:bookmarkStart w:id="355" w:name="_Toc14965"/>
      <w:r>
        <w:rPr>
          <w:rFonts w:hint="default"/>
          <w:u w:val="none" w:color="auto"/>
        </w:rPr>
        <w:t>环境</w:t>
      </w:r>
      <w:r>
        <w:rPr>
          <w:rFonts w:hint="default"/>
          <w:u w:val="none" w:color="auto"/>
          <w:lang w:val="en-US" w:eastAsia="zh-CN"/>
        </w:rPr>
        <w:t>损</w:t>
      </w:r>
      <w:r>
        <w:rPr>
          <w:rFonts w:hint="eastAsia"/>
          <w:u w:val="none" w:color="auto"/>
          <w:lang w:val="en-US" w:eastAsia="zh-CN"/>
        </w:rPr>
        <w:t>益分析结论</w:t>
      </w:r>
      <w:bookmarkEnd w:id="355"/>
    </w:p>
    <w:p w14:paraId="6238E447">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本工程的实施对当地的环境会产生短期的不利影响，但可通过适当的环境保护措施可</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尽量</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减</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小对环境的影响</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；同时项目的实施具有显著的经济效益、社会效益，水库工程建成后大大改善了当地</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灌溉、防洪</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条件，</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为下游</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 xml:space="preserve">工农业生产和人民生命财产提供可靠保障，对该地区的生态环境的良性循环和社会经济的发展将起积极的促进作用。综合来说，项目产生的环境效益大于环境损失，因此从环境影响经济损益角度分析，工程建设是可行的。 </w:t>
      </w:r>
    </w:p>
    <w:p w14:paraId="34989C30">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26A86372">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F7A4B1D">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4F10E3BA">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1A8ABFB">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1C26B594">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71F41295">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0C813FA8">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B25C4F8">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ADA96FC">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CB99E69">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74E5E6ED">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309642CB">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54BE084F">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 xml:space="preserve"> </w:t>
      </w:r>
    </w:p>
    <w:p w14:paraId="267B6374">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p>
    <w:p w14:paraId="0D86DF91">
      <w:pPr>
        <w:pStyle w:val="2"/>
        <w:bidi w:val="0"/>
        <w:rPr>
          <w:rFonts w:hint="default"/>
          <w:u w:val="none" w:color="auto"/>
        </w:rPr>
      </w:pPr>
      <w:bookmarkStart w:id="356" w:name="_Toc25659"/>
      <w:r>
        <w:rPr>
          <w:rFonts w:hint="default"/>
          <w:u w:val="none" w:color="auto"/>
        </w:rPr>
        <w:t>环境管理与监测计划</w:t>
      </w:r>
      <w:bookmarkEnd w:id="356"/>
    </w:p>
    <w:p w14:paraId="76B2A859">
      <w:pPr>
        <w:pStyle w:val="3"/>
        <w:bidi w:val="0"/>
        <w:rPr>
          <w:rFonts w:hint="default" w:ascii="Times New Roman" w:hAnsi="Times New Roman" w:cs="Times New Roman"/>
          <w:u w:val="none" w:color="auto"/>
        </w:rPr>
      </w:pPr>
      <w:bookmarkStart w:id="357" w:name="_Toc16020"/>
      <w:r>
        <w:rPr>
          <w:rFonts w:hint="default" w:ascii="Times New Roman" w:hAnsi="Times New Roman" w:cs="Times New Roman"/>
          <w:u w:val="none" w:color="auto"/>
        </w:rPr>
        <w:t>环境管理</w:t>
      </w:r>
      <w:bookmarkEnd w:id="357"/>
    </w:p>
    <w:p w14:paraId="24EFAEA0">
      <w:pPr>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position w:val="0"/>
          <w:sz w:val="24"/>
          <w:szCs w:val="28"/>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为了充分发挥</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rPr>
        <w:t>的社会效益、经济效益和生态效益，保护施工区和库区的生态环境，发挥工程的有利影响，最大限度减免不利影响，使工程施工区、库区的生态环境呈良性循环，保证各项保护措施的落实，</w:t>
      </w:r>
      <w:r>
        <w:rPr>
          <w:rFonts w:hint="default" w:ascii="Times New Roman" w:hAnsi="Times New Roman" w:eastAsia="宋体" w:cs="Times New Roman"/>
          <w:caps w:val="0"/>
          <w:smallCaps w:val="0"/>
          <w:color w:val="auto"/>
          <w:spacing w:val="0"/>
          <w:w w:val="100"/>
          <w:position w:val="0"/>
          <w:sz w:val="24"/>
          <w:szCs w:val="28"/>
          <w:u w:val="none" w:color="auto"/>
        </w:rPr>
        <w:t>必须明确该项目的政府环境管理监督机构与建设单位环境管理机构的具体职责和分工，并建立有关管理制度。</w:t>
      </w:r>
    </w:p>
    <w:p w14:paraId="5C85642A">
      <w:pPr>
        <w:pStyle w:val="4"/>
        <w:bidi w:val="0"/>
        <w:rPr>
          <w:rFonts w:hint="default" w:ascii="Times New Roman" w:hAnsi="Times New Roman" w:cs="Times New Roman"/>
          <w:u w:val="none" w:color="auto"/>
          <w:lang w:eastAsia="zh-CN"/>
        </w:rPr>
      </w:pPr>
      <w:bookmarkStart w:id="358" w:name="9.1.1施工期环境管理要求"/>
      <w:bookmarkEnd w:id="358"/>
      <w:bookmarkStart w:id="359" w:name="9.1.1施工期环境管理要求"/>
      <w:bookmarkEnd w:id="359"/>
      <w:bookmarkStart w:id="360" w:name="_Toc13946"/>
      <w:r>
        <w:rPr>
          <w:rFonts w:hint="eastAsia" w:ascii="Times New Roman" w:hAnsi="Times New Roman" w:cs="Times New Roman"/>
          <w:u w:val="none" w:color="auto"/>
          <w:lang w:val="en-US" w:eastAsia="zh-CN"/>
        </w:rPr>
        <w:t>环境管理体系</w:t>
      </w:r>
      <w:bookmarkEnd w:id="360"/>
    </w:p>
    <w:p w14:paraId="1B879A6A">
      <w:pPr>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为了使工程环境保护措施得以切实有效的实施，达到工程建设与环境保护协调发展，必须建立完善的环境保护管理体系，以确保工程建设环境保护总体目标的实现，</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除险加固工程环境保护管理体系分为外部环境管理和内部环境管理两部分。 </w:t>
      </w:r>
    </w:p>
    <w:p w14:paraId="1CB51FD5">
      <w:pPr>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外部环境管理指各级地方环境保护行政主管部门根据国家相关的法律、法规，不定期的对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除险加固工程环境保护工作进行检查、监督和指导，检查是否达到相应的环境保护标准与要求。 </w:t>
      </w:r>
    </w:p>
    <w:p w14:paraId="68FFB926">
      <w:pPr>
        <w:pageBreakBefore w:val="0"/>
        <w:widowControl w:val="0"/>
        <w:kinsoku w:val="0"/>
        <w:wordWrap w:val="0"/>
        <w:overflowPunct/>
        <w:topLinePunct/>
        <w:autoSpaceDE/>
        <w:autoSpaceDN/>
        <w:bidi w:val="0"/>
        <w:adjustRightInd w:val="0"/>
        <w:snapToGrid/>
        <w:spacing w:line="360" w:lineRule="auto"/>
        <w:ind w:left="0" w:leftChars="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内部环境管理体系由工程建设单位、施工单位、专项环保措施承担单位、环境监理单位、环境监测单位和有关设计与科研单位组成，在工程建设单位领导下，全面落实本工程环境影响报告书提出的各项环境保护措施，保证达到国家建设项目环境保护要求与地方环境保护主管部门的要求</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7E95237B">
      <w:pPr>
        <w:pStyle w:val="4"/>
        <w:bidi w:val="0"/>
        <w:rPr>
          <w:u w:val="none" w:color="auto"/>
        </w:rPr>
      </w:pPr>
      <w:r>
        <w:rPr>
          <w:rFonts w:hint="eastAsia" w:ascii="Times New Roman" w:hAnsi="Times New Roman" w:cs="Times New Roman"/>
          <w:u w:val="none" w:color="auto"/>
          <w:lang w:val="en-US" w:eastAsia="zh-CN"/>
        </w:rPr>
        <w:t xml:space="preserve"> </w:t>
      </w:r>
      <w:bookmarkStart w:id="361" w:name="_Toc20520"/>
      <w:r>
        <w:rPr>
          <w:rFonts w:hint="eastAsia" w:ascii="Times New Roman" w:hAnsi="Times New Roman" w:cs="Times New Roman"/>
          <w:u w:val="none" w:color="auto"/>
          <w:lang w:val="en-US" w:eastAsia="zh-CN"/>
        </w:rPr>
        <w:t>环境</w:t>
      </w:r>
      <w:r>
        <w:rPr>
          <w:u w:val="none" w:color="auto"/>
          <w:lang w:val="en-US" w:eastAsia="zh-CN"/>
        </w:rPr>
        <w:t>管理职责</w:t>
      </w:r>
      <w:bookmarkEnd w:id="361"/>
    </w:p>
    <w:p w14:paraId="15DE7287">
      <w:pPr>
        <w:pStyle w:val="5"/>
        <w:bidi w:val="0"/>
        <w:rPr>
          <w:rFonts w:hint="default"/>
          <w:u w:val="none" w:color="auto"/>
          <w:lang w:eastAsia="zh-CN"/>
        </w:rPr>
      </w:pPr>
      <w:r>
        <w:rPr>
          <w:rFonts w:hint="default"/>
          <w:u w:val="none" w:color="auto"/>
          <w:lang w:val="en-US" w:eastAsia="zh-CN"/>
        </w:rPr>
        <w:t>施工期</w:t>
      </w:r>
      <w:r>
        <w:rPr>
          <w:rFonts w:hint="default"/>
          <w:u w:val="none" w:color="auto"/>
        </w:rPr>
        <w:t>环境管理</w:t>
      </w:r>
      <w:r>
        <w:rPr>
          <w:rFonts w:hint="eastAsia"/>
          <w:u w:val="none" w:color="auto"/>
          <w:lang w:val="en-US" w:eastAsia="zh-CN"/>
        </w:rPr>
        <w:t>职责</w:t>
      </w:r>
    </w:p>
    <w:p w14:paraId="6019F4F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ascii="瀹嬩綋" w:hAnsi="瀹嬩綋" w:eastAsia="瀹嬩綋" w:cs="瀹嬩綋"/>
          <w:color w:val="000000"/>
          <w:kern w:val="0"/>
          <w:sz w:val="24"/>
          <w:szCs w:val="24"/>
          <w:u w:val="none" w:color="auto"/>
          <w:lang w:val="en-US" w:eastAsia="zh-CN" w:bidi="ar"/>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1）建设单位 </w:t>
      </w:r>
    </w:p>
    <w:p w14:paraId="4FB9149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工程开工前建设单位设置“环境保护领导小组”和“环境保护办公室”。“环境保护领导小组”成员由建设单位、监理单位、设计单位及施工单位等各有关单位的主要领导组成，其中建设单位主要领导任主要负责人，负责确定工程环保方针、审查项目环境目标和指标、审批环保项目立项和投资投入报告、审批环保项目实施方案和管理方案、检查环境管理业绩、培养职工环境保护意识等工作。 </w:t>
      </w:r>
    </w:p>
    <w:p w14:paraId="2E91275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“环境保护办公室”为工程施工期“环境保护领导小组”的常设办事机构，设专职人员2人。具体负责和落实工程建设过程中环境保护管理工作，其主要职责包括： </w:t>
      </w:r>
    </w:p>
    <w:p w14:paraId="1FA876F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①通过开展调查研究，确定适合本工程的环境保护方针和经济技术政策，确立环境保护目标，并结合工程施工方案予以分解； </w:t>
      </w:r>
    </w:p>
    <w:p w14:paraId="6AF8441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②制定、贯彻工程环境保护的有关规定、办法、细则，并处理执行过程中的有关事宜； </w:t>
      </w:r>
    </w:p>
    <w:p w14:paraId="7ECA4F6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③组织编制工程环境保护总体规划和年度计划，组织规划和计划的全面实施，做好环境保护年度预决算，配合财务部门对环境保护资金进行计划管理； </w:t>
      </w:r>
    </w:p>
    <w:p w14:paraId="5DD6E75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④委托进行环保专项设计，检查设计进度，组织设计成果的验收和审查，并保证各项环境保护措施的有效实施； </w:t>
      </w:r>
    </w:p>
    <w:p w14:paraId="2533250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⑤依照法律、规定和方法，对整个工程各项环境保护措施的实施情况进行监督和管理，实施环境质量一票否决制； </w:t>
      </w:r>
    </w:p>
    <w:p w14:paraId="72B0C39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⑥协调各有关部门之间的关系，听取和处理各环境管理机构提交的有关事宜和汇报，不定期向上级环境保护行政主管部门汇报工作； </w:t>
      </w:r>
    </w:p>
    <w:p w14:paraId="621E23D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⑦督促承包商环境管理机构的工作，内部处理环境违法、违规行为，表彰先进事迹； </w:t>
      </w:r>
    </w:p>
    <w:p w14:paraId="2FC7216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⑧检查督促接受委托的环境监测部门监测工作的正常实施，加强环境信息统计，建立环境资料数据库； </w:t>
      </w:r>
    </w:p>
    <w:p w14:paraId="2EB7DDB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⑨完善内部规章制度，搞好环境管理的日常工作，作好档案、资料收集、整理等工作。 </w:t>
      </w:r>
    </w:p>
    <w:p w14:paraId="48CCA02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（2）施工单位 </w:t>
      </w:r>
    </w:p>
    <w:p w14:paraId="1EEE0CF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施工期的废污水处理、声环境保护、环境空气保护、固体废物处理、生态环境保护等环境保护费用由施工单位承担，并在招标文件中明确。施工单位应确保措施到位，落实相关费用。 </w:t>
      </w:r>
    </w:p>
    <w:p w14:paraId="1D8670A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各施工承包单位在进场后均设置“环境保护办公室”，设专职人员1~2人，实施工程招标文件中或设计文件中规定的环境保护对策措施，及时处理施工过程中出现的环境问题，接受有关部门对环保工作的监督和管理。主要包括以下内容工作： </w:t>
      </w:r>
    </w:p>
    <w:p w14:paraId="1FB37A2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①制定环境保护年度工作计划和编写环境保护工作月、季及年度工作报告； </w:t>
      </w:r>
    </w:p>
    <w:p w14:paraId="760DFA6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②检查所承担的环保设施的建设进度、质量及运行、检测情况，处理实施过程中的有关问题； </w:t>
      </w:r>
    </w:p>
    <w:p w14:paraId="191808A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③核算年度环境保护经费的使用情况； </w:t>
      </w:r>
    </w:p>
    <w:p w14:paraId="6D3A143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④接受环保管理办公室和环境监理单位的监督，报告承包合同中环保条款的执行情况。 </w:t>
      </w:r>
    </w:p>
    <w:p w14:paraId="382401E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（3）监理单位</w:t>
      </w:r>
    </w:p>
    <w:p w14:paraId="736576B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本工程环境监理纳入工程监理的范围，成立工程环境监理部，参与工程环境管理。 </w:t>
      </w:r>
    </w:p>
    <w:p w14:paraId="062CEFF3">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（4）设计单位 </w:t>
      </w:r>
    </w:p>
    <w:p w14:paraId="24DA9EE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根据国家法律法规、环境保护主管部门要求、环境影响报告书和批复等有关文件，从环境保护角度优化工程设计，选用对环境影响小的设计方案，反馈于建设单位和施工单位。 </w:t>
      </w:r>
    </w:p>
    <w:p w14:paraId="247E4AC2">
      <w:pPr>
        <w:pStyle w:val="5"/>
        <w:bidi w:val="0"/>
        <w:rPr>
          <w:rFonts w:hint="default"/>
          <w:u w:val="none" w:color="auto"/>
          <w:lang w:val="en-US" w:eastAsia="zh-CN"/>
        </w:rPr>
      </w:pPr>
      <w:r>
        <w:rPr>
          <w:rFonts w:hint="default"/>
          <w:u w:val="none" w:color="auto"/>
          <w:lang w:val="en-US" w:eastAsia="zh-CN"/>
        </w:rPr>
        <w:t>运行期环境管理职责</w:t>
      </w:r>
    </w:p>
    <w:p w14:paraId="241B941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工程建成运行后，在工程管理部门中设置“环境保护办公室”，设兼职人员 1 人，具体负责和落实工程建成运行后的环境保护管理工作，其主要职责包括：</w:t>
      </w:r>
    </w:p>
    <w:p w14:paraId="53BA339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（1）根据相关的环境保护法律、法规及技术标准，确定工程运行期环境保护方针和环境保护目标，制定运行期环境保护管理办法； </w:t>
      </w:r>
    </w:p>
    <w:p w14:paraId="1E1F552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（2）负责与当地政府或生态主管部门进行沟通协调，落实相应河段水质监管、宣传措施及经费； </w:t>
      </w:r>
    </w:p>
    <w:p w14:paraId="7EE578D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（3）负责落实环保经费及环境监测工作的正常实施；特别是做好环境信息统计； </w:t>
      </w:r>
    </w:p>
    <w:p w14:paraId="207962F8">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（4）协调处理运行期工程影响区出现的各项环境问题。 </w:t>
      </w:r>
      <w:r>
        <w:rPr>
          <w:rFonts w:ascii="榛戜綋" w:hAnsi="榛戜綋" w:eastAsia="榛戜綋" w:cs="榛戜綋"/>
          <w:color w:val="000000"/>
          <w:kern w:val="0"/>
          <w:sz w:val="24"/>
          <w:szCs w:val="24"/>
          <w:u w:val="none" w:color="auto"/>
          <w:lang w:val="en-US" w:eastAsia="zh-CN" w:bidi="ar"/>
        </w:rPr>
        <w:t xml:space="preserve"> </w:t>
      </w:r>
    </w:p>
    <w:p w14:paraId="75CEF797">
      <w:pPr>
        <w:pStyle w:val="3"/>
        <w:bidi w:val="0"/>
        <w:rPr>
          <w:rFonts w:hint="default" w:ascii="Times New Roman" w:hAnsi="Times New Roman" w:cs="Times New Roman"/>
          <w:u w:val="none" w:color="auto"/>
        </w:rPr>
      </w:pPr>
      <w:bookmarkStart w:id="362" w:name="9.1.2运行期环境管理要求"/>
      <w:bookmarkEnd w:id="362"/>
      <w:bookmarkStart w:id="363" w:name="9.1.2运行期环境管理要求"/>
      <w:bookmarkEnd w:id="363"/>
      <w:bookmarkStart w:id="364" w:name="_Toc31853"/>
      <w:r>
        <w:rPr>
          <w:rFonts w:hint="default" w:ascii="Times New Roman" w:hAnsi="Times New Roman" w:cs="Times New Roman"/>
          <w:u w:val="none" w:color="auto"/>
        </w:rPr>
        <w:t>环境监测</w:t>
      </w:r>
      <w:bookmarkEnd w:id="364"/>
    </w:p>
    <w:p w14:paraId="28C2E7ED">
      <w:pPr>
        <w:pStyle w:val="4"/>
        <w:bidi w:val="0"/>
        <w:rPr>
          <w:rFonts w:hint="default" w:ascii="Times New Roman" w:hAnsi="Times New Roman" w:cs="Times New Roman"/>
          <w:u w:val="none" w:color="auto"/>
        </w:rPr>
      </w:pPr>
      <w:bookmarkStart w:id="365" w:name="_Toc21348"/>
      <w:r>
        <w:rPr>
          <w:rFonts w:hint="default" w:ascii="Times New Roman" w:hAnsi="Times New Roman" w:cs="Times New Roman"/>
          <w:u w:val="none" w:color="auto"/>
        </w:rPr>
        <w:t>监测目的</w:t>
      </w:r>
      <w:bookmarkEnd w:id="365"/>
    </w:p>
    <w:p w14:paraId="0863EF74">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环境监测包括施工期和营运期两个阶段，其目的是为了解工程建设对项目所在地区的环境质量变化程度及影响范围，营运期的环境质量动态，及时向主管部门反馈信息，为项目的环境管理提供科学依据。</w:t>
      </w:r>
    </w:p>
    <w:p w14:paraId="4EE65131">
      <w:pPr>
        <w:pStyle w:val="4"/>
        <w:bidi w:val="0"/>
        <w:rPr>
          <w:rFonts w:hint="default" w:ascii="Times New Roman" w:hAnsi="Times New Roman" w:cs="Times New Roman"/>
          <w:u w:val="none" w:color="auto"/>
        </w:rPr>
      </w:pPr>
      <w:bookmarkStart w:id="366" w:name="_Toc9246"/>
      <w:r>
        <w:rPr>
          <w:rFonts w:hint="default" w:ascii="Times New Roman" w:hAnsi="Times New Roman" w:cs="Times New Roman"/>
          <w:u w:val="none" w:color="auto"/>
        </w:rPr>
        <w:t>施工期环境监测</w:t>
      </w:r>
      <w:bookmarkEnd w:id="366"/>
    </w:p>
    <w:p w14:paraId="3D539278">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为了监督施工过程中各种环境措施的实施情况及运行效果，使施工环境管理更具针对性，掌握施工过程中各施工时段及每一施工区的环境质量状况及污染物排放情况，需要开展施工区环境监测。监测时段包括整个施工期，监测的环境因子包括水质、大气、噪声等。监测断面和测点布设及测次安排应能够系统地反映施工区从施工开始到工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结束</w:t>
      </w:r>
      <w:r>
        <w:rPr>
          <w:rFonts w:hint="default" w:ascii="Times New Roman" w:hAnsi="Times New Roman" w:eastAsia="宋体" w:cs="Times New Roman"/>
          <w:caps w:val="0"/>
          <w:smallCaps w:val="0"/>
          <w:color w:val="auto"/>
          <w:spacing w:val="0"/>
          <w:w w:val="100"/>
          <w:kern w:val="0"/>
          <w:position w:val="0"/>
          <w:sz w:val="24"/>
          <w:szCs w:val="24"/>
          <w:u w:val="none" w:color="auto"/>
        </w:rPr>
        <w:t>各个时期的污染源变化及施工区环境的变化情况，监测结果应准确、及时并具有较好的代表性，以便为施工区环境建设及环境监督管理提供科学依据。当施工区发生污染事故时，应开展追踪监测。</w:t>
      </w:r>
    </w:p>
    <w:p w14:paraId="5A45A081">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default" w:ascii="Times New Roman" w:hAnsi="Times New Roman" w:eastAsia="宋体" w:cs="Times New Roman"/>
          <w:b/>
          <w:bCs/>
          <w:caps w:val="0"/>
          <w:smallCaps w:val="0"/>
          <w:color w:val="auto"/>
          <w:spacing w:val="0"/>
          <w:w w:val="100"/>
          <w:kern w:val="0"/>
          <w:position w:val="0"/>
          <w:sz w:val="24"/>
          <w:szCs w:val="24"/>
          <w:u w:val="none" w:color="auto"/>
        </w:rPr>
        <w:t>1</w:t>
      </w: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、大气</w:t>
      </w: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环境</w:t>
      </w:r>
      <w:r>
        <w:rPr>
          <w:rFonts w:hint="default" w:ascii="Times New Roman" w:hAnsi="Times New Roman" w:eastAsia="宋体" w:cs="Times New Roman"/>
          <w:b/>
          <w:bCs/>
          <w:caps w:val="0"/>
          <w:smallCaps w:val="0"/>
          <w:color w:val="auto"/>
          <w:spacing w:val="0"/>
          <w:w w:val="100"/>
          <w:kern w:val="0"/>
          <w:position w:val="0"/>
          <w:sz w:val="24"/>
          <w:szCs w:val="24"/>
          <w:u w:val="none" w:color="auto"/>
        </w:rPr>
        <w:t>监测</w:t>
      </w:r>
    </w:p>
    <w:p w14:paraId="7E9397F8">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在北汊水库附近2处居民较集中点各布设1个监测点，共布设 2个测点。</w:t>
      </w:r>
    </w:p>
    <w:p w14:paraId="792843FA">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监测项目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TSP。 </w:t>
      </w:r>
    </w:p>
    <w:p w14:paraId="29C71638">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监测频次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监测1次。</w:t>
      </w:r>
    </w:p>
    <w:p w14:paraId="67254027">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2</w:t>
      </w: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rPr>
        <w:t>地表水</w:t>
      </w:r>
    </w:p>
    <w:p w14:paraId="1A636843">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地表水环境</w:t>
      </w:r>
    </w:p>
    <w:p w14:paraId="6C807188">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中心</w:t>
      </w:r>
      <w:r>
        <w:rPr>
          <w:rFonts w:hint="default" w:ascii="Times New Roman" w:hAnsi="Times New Roman" w:eastAsia="宋体" w:cs="Times New Roman"/>
          <w:caps w:val="0"/>
          <w:smallCaps w:val="0"/>
          <w:color w:val="auto"/>
          <w:spacing w:val="0"/>
          <w:w w:val="100"/>
          <w:kern w:val="0"/>
          <w:position w:val="0"/>
          <w:sz w:val="24"/>
          <w:szCs w:val="24"/>
          <w:u w:val="none" w:color="auto"/>
        </w:rPr>
        <w:t>处设</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个监测点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72E351AE">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监测项目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pH、悬浮物、石油类。 </w:t>
      </w:r>
    </w:p>
    <w:p w14:paraId="0FB7909B">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监测频次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 xml:space="preserve">监测1次。 </w:t>
      </w:r>
    </w:p>
    <w:p w14:paraId="6700AE9E">
      <w:pPr>
        <w:keepNext w:val="0"/>
        <w:keepLines w:val="0"/>
        <w:pageBreakBefore w:val="0"/>
        <w:widowControl w:val="0"/>
        <w:numPr>
          <w:ilvl w:val="0"/>
          <w:numId w:val="26"/>
        </w:numPr>
        <w:kinsoku w:val="0"/>
        <w:wordWrap w:val="0"/>
        <w:overflowPunct/>
        <w:topLinePunct/>
        <w:autoSpaceDE/>
        <w:autoSpaceDN/>
        <w:bidi w:val="0"/>
        <w:adjustRightInd w:val="0"/>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污染源</w:t>
      </w:r>
    </w:p>
    <w:p w14:paraId="12C2C63C">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：基坑废水处理池、灌浆废水处理池、机械车辆冲洗废水处理池出口各布设</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个监测点，共布设3个监测点。</w:t>
      </w:r>
    </w:p>
    <w:p w14:paraId="5755A4FC">
      <w:pPr>
        <w:keepNext w:val="0"/>
        <w:keepLines w:val="0"/>
        <w:widowControl/>
        <w:suppressLineNumbers w:val="0"/>
        <w:spacing w:line="360" w:lineRule="auto"/>
        <w:ind w:firstLine="480" w:firstLineChars="200"/>
        <w:jc w:val="left"/>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监测项目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pH、悬浮物、石油类、废水处理量等。</w:t>
      </w:r>
    </w:p>
    <w:p w14:paraId="3069D9BC">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监测频次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季度</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监测1次。</w:t>
      </w:r>
    </w:p>
    <w:p w14:paraId="3527C4AB">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default" w:ascii="Times New Roman" w:hAnsi="Times New Roman" w:eastAsia="宋体" w:cs="Times New Roman"/>
          <w:b/>
          <w:bCs/>
          <w:caps w:val="0"/>
          <w:smallCaps w:val="0"/>
          <w:color w:val="auto"/>
          <w:spacing w:val="0"/>
          <w:w w:val="100"/>
          <w:kern w:val="0"/>
          <w:position w:val="0"/>
          <w:sz w:val="24"/>
          <w:szCs w:val="24"/>
          <w:u w:val="none" w:color="auto"/>
        </w:rPr>
        <w:t>3</w:t>
      </w:r>
      <w:r>
        <w:rPr>
          <w:rFonts w:hint="default" w:ascii="Times New Roman" w:hAnsi="Times New Roman" w:eastAsia="宋体" w:cs="Times New Roman"/>
          <w:b/>
          <w:bCs/>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b/>
          <w:bCs/>
          <w:caps w:val="0"/>
          <w:smallCaps w:val="0"/>
          <w:color w:val="auto"/>
          <w:spacing w:val="0"/>
          <w:w w:val="100"/>
          <w:kern w:val="0"/>
          <w:position w:val="0"/>
          <w:sz w:val="24"/>
          <w:szCs w:val="24"/>
          <w:u w:val="none" w:color="auto"/>
        </w:rPr>
        <w:t>噪声监测</w:t>
      </w:r>
    </w:p>
    <w:p w14:paraId="7F3C69BB">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：分别在大坝左岸施工场界、附近居民点各设</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个监测点，共</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个测点。</w:t>
      </w:r>
    </w:p>
    <w:p w14:paraId="73B590D6">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监测项目</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昼间、夜间等效A声级</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25B80A0A">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监测频次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：施工期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每</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季</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监测1次。</w:t>
      </w:r>
    </w:p>
    <w:p w14:paraId="27A8903F">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、生态调查与监测</w:t>
      </w:r>
    </w:p>
    <w:p w14:paraId="716B33EF">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（1）陆生生态</w:t>
      </w:r>
    </w:p>
    <w:p w14:paraId="2856ABD5">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1）陆生植物调查</w:t>
      </w:r>
    </w:p>
    <w:p w14:paraId="25275AE7">
      <w:pPr>
        <w:spacing w:line="360" w:lineRule="auto"/>
        <w:ind w:firstLine="480" w:firstLineChars="200"/>
        <w:rPr>
          <w:rFonts w:hint="default" w:ascii="Times New Roman" w:hAnsi="Times New Roman" w:eastAsia="宋体" w:cs="Times New Roman"/>
          <w:color w:val="auto"/>
          <w:sz w:val="24"/>
          <w:szCs w:val="21"/>
          <w:u w:val="none" w:color="auto"/>
        </w:rPr>
      </w:pPr>
      <w:r>
        <w:rPr>
          <w:rFonts w:hint="eastAsia" w:ascii="宋体" w:hAnsi="宋体" w:eastAsia="宋体" w:cs="宋体"/>
          <w:color w:val="auto"/>
          <w:sz w:val="24"/>
          <w:szCs w:val="24"/>
        </w:rPr>
        <w:t>主要</w:t>
      </w:r>
      <w:r>
        <w:rPr>
          <w:rFonts w:hint="eastAsia" w:ascii="宋体" w:hAnsi="宋体" w:eastAsia="宋体" w:cs="宋体"/>
          <w:color w:val="auto"/>
          <w:sz w:val="24"/>
          <w:szCs w:val="24"/>
          <w:lang w:val="en-US" w:eastAsia="zh-CN"/>
        </w:rPr>
        <w:t>是区域</w:t>
      </w:r>
      <w:r>
        <w:rPr>
          <w:rFonts w:hint="eastAsia" w:ascii="宋体" w:hAnsi="宋体" w:eastAsia="宋体" w:cs="宋体"/>
          <w:color w:val="auto"/>
          <w:sz w:val="24"/>
          <w:szCs w:val="24"/>
        </w:rPr>
        <w:t>植被特征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包括：</w:t>
      </w:r>
      <w:r>
        <w:rPr>
          <w:rFonts w:hint="eastAsia" w:ascii="宋体" w:hAnsi="宋体" w:eastAsia="宋体" w:cs="宋体"/>
          <w:color w:val="auto"/>
          <w:sz w:val="24"/>
          <w:szCs w:val="24"/>
        </w:rPr>
        <w:t>植被类型、</w:t>
      </w:r>
      <w:r>
        <w:rPr>
          <w:rFonts w:hint="eastAsia" w:ascii="宋体" w:hAnsi="宋体" w:eastAsia="宋体" w:cs="宋体"/>
          <w:color w:val="auto"/>
          <w:sz w:val="24"/>
          <w:szCs w:val="24"/>
          <w:lang w:val="en-US" w:eastAsia="zh-CN"/>
        </w:rPr>
        <w:t>分布情况、</w:t>
      </w:r>
      <w:r>
        <w:rPr>
          <w:rFonts w:hint="eastAsia" w:ascii="宋体" w:hAnsi="宋体" w:eastAsia="宋体" w:cs="宋体"/>
          <w:color w:val="auto"/>
          <w:sz w:val="24"/>
          <w:szCs w:val="24"/>
        </w:rPr>
        <w:t>覆盖率、生物量等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施工期</w:t>
      </w:r>
      <w:r>
        <w:rPr>
          <w:rFonts w:hint="eastAsia" w:ascii="宋体" w:hAnsi="宋体" w:eastAsia="宋体" w:cs="宋体"/>
          <w:color w:val="auto"/>
          <w:sz w:val="24"/>
          <w:szCs w:val="24"/>
        </w:rPr>
        <w:t>重点对施工临时占地、施工活动破坏植被的程度，以及植被恢复措施的执行情况和效果等进行观测与调查。</w:t>
      </w:r>
      <w:r>
        <w:rPr>
          <w:rFonts w:hint="eastAsia" w:ascii="宋体" w:hAnsi="宋体" w:eastAsia="宋体" w:cs="宋体"/>
          <w:color w:val="auto"/>
          <w:sz w:val="24"/>
          <w:szCs w:val="24"/>
          <w:lang w:val="en-US" w:eastAsia="zh-CN"/>
        </w:rPr>
        <w:t>运营期重点对区域植被特征进行调查</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w:t>
      </w:r>
    </w:p>
    <w:p w14:paraId="0FCFF48A">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2）陆生动物调查</w:t>
      </w:r>
    </w:p>
    <w:p w14:paraId="30C13D07">
      <w:pPr>
        <w:spacing w:line="360" w:lineRule="auto"/>
        <w:ind w:firstLine="480" w:firstLineChars="200"/>
        <w:rPr>
          <w:rFonts w:hint="default"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sz w:val="24"/>
          <w:szCs w:val="21"/>
        </w:rPr>
        <w:t>主要对</w:t>
      </w:r>
      <w:r>
        <w:rPr>
          <w:rFonts w:hint="eastAsia" w:ascii="Times New Roman" w:hAnsi="Times New Roman" w:eastAsia="宋体" w:cs="Times New Roman"/>
          <w:color w:val="auto"/>
          <w:sz w:val="24"/>
          <w:szCs w:val="21"/>
          <w:lang w:val="en-US" w:eastAsia="zh-CN"/>
        </w:rPr>
        <w:t>区域</w:t>
      </w:r>
      <w:r>
        <w:rPr>
          <w:rFonts w:hint="eastAsia" w:ascii="Times New Roman" w:hAnsi="Times New Roman" w:eastAsia="宋体" w:cs="Times New Roman"/>
          <w:color w:val="auto"/>
          <w:sz w:val="24"/>
          <w:szCs w:val="21"/>
        </w:rPr>
        <w:t>两栖类、爬行类及鸟类的种类、分布、种群数量及其生境等进行观测与调查。</w:t>
      </w:r>
      <w:r>
        <w:rPr>
          <w:rFonts w:hint="eastAsia" w:ascii="Times New Roman" w:hAnsi="Times New Roman" w:eastAsia="宋体" w:cs="Times New Roman"/>
          <w:color w:val="auto"/>
          <w:sz w:val="24"/>
          <w:szCs w:val="21"/>
          <w:lang w:val="en-US" w:eastAsia="zh-CN"/>
        </w:rPr>
        <w:t>施工期重点在施工临时占地和活动区域，运营期重点在库区及周边近水区域。</w:t>
      </w:r>
    </w:p>
    <w:p w14:paraId="308F2140">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3）调查频次</w:t>
      </w:r>
    </w:p>
    <w:p w14:paraId="7E90508E">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eastAsia" w:ascii="Times New Roman" w:hAnsi="Times New Roman" w:eastAsia="宋体" w:cs="Times New Roman"/>
          <w:b w:val="0"/>
          <w:bCs w:val="0"/>
          <w:caps w:val="0"/>
          <w:smallCaps w:val="0"/>
          <w:color w:val="auto"/>
          <w:spacing w:val="0"/>
          <w:w w:val="100"/>
          <w:kern w:val="0"/>
          <w:position w:val="0"/>
          <w:sz w:val="24"/>
          <w:szCs w:val="24"/>
          <w:u w:val="none" w:color="auto"/>
        </w:rPr>
        <w:t>施工</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前后各1</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rPr>
        <w:t>次</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lang w:val="en-US" w:eastAsia="zh-CN"/>
        </w:rPr>
        <w:t>运营期每年1次</w:t>
      </w:r>
      <w:r>
        <w:rPr>
          <w:rFonts w:hint="eastAsia" w:ascii="Times New Roman" w:hAnsi="Times New Roman" w:eastAsia="宋体" w:cs="Times New Roman"/>
          <w:b w:val="0"/>
          <w:bCs w:val="0"/>
          <w:caps w:val="0"/>
          <w:smallCaps w:val="0"/>
          <w:color w:val="auto"/>
          <w:spacing w:val="0"/>
          <w:w w:val="100"/>
          <w:kern w:val="0"/>
          <w:position w:val="0"/>
          <w:sz w:val="24"/>
          <w:szCs w:val="24"/>
          <w:u w:val="none" w:color="auto"/>
        </w:rPr>
        <w:t>。</w:t>
      </w:r>
    </w:p>
    <w:p w14:paraId="4DB632F9">
      <w:pPr>
        <w:keepNext w:val="0"/>
        <w:keepLines w:val="0"/>
        <w:pageBreakBefore w:val="0"/>
        <w:widowControl w:val="0"/>
        <w:kinsoku w:val="0"/>
        <w:wordWrap w:val="0"/>
        <w:overflowPunct/>
        <w:topLinePunct/>
        <w:autoSpaceDE/>
        <w:autoSpaceDN/>
        <w:bidi w:val="0"/>
        <w:adjustRightInd w:val="0"/>
        <w:snapToGrid/>
        <w:spacing w:line="360" w:lineRule="auto"/>
        <w:ind w:lef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（2）水生生态</w:t>
      </w:r>
    </w:p>
    <w:p w14:paraId="7703F315">
      <w:pPr>
        <w:widowControl w:val="0"/>
        <w:spacing w:line="360" w:lineRule="auto"/>
        <w:ind w:firstLine="480" w:firstLineChars="200"/>
        <w:jc w:val="both"/>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sz w:val="24"/>
          <w:szCs w:val="21"/>
          <w:u w:val="none" w:color="auto"/>
        </w:rPr>
        <w:t>工程实施将对施工区及临近水域水生生态环境产生一定影响，为掌握工程建设前后评价区水生生物资源变化情况及发展趋势，拟开展水生生物资源监测。</w:t>
      </w:r>
    </w:p>
    <w:p w14:paraId="27795611">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1）监测内容</w:t>
      </w:r>
    </w:p>
    <w:p w14:paraId="03050290">
      <w:pPr>
        <w:widowControl w:val="0"/>
        <w:spacing w:line="360" w:lineRule="auto"/>
        <w:ind w:firstLine="480" w:firstLineChars="200"/>
        <w:jc w:val="both"/>
        <w:rPr>
          <w:rFonts w:hint="default" w:ascii="Times New Roman" w:hAnsi="Times New Roman" w:eastAsia="宋体" w:cs="Times New Roman"/>
          <w:color w:val="auto"/>
          <w:sz w:val="24"/>
          <w:szCs w:val="21"/>
          <w:u w:val="none" w:color="auto"/>
        </w:rPr>
      </w:pPr>
      <w:r>
        <w:rPr>
          <w:rFonts w:hint="eastAsia" w:ascii="Times New Roman" w:hAnsi="Times New Roman" w:eastAsia="宋体" w:cs="Times New Roman"/>
          <w:color w:val="auto"/>
          <w:sz w:val="24"/>
          <w:szCs w:val="21"/>
          <w:u w:val="none" w:color="auto"/>
          <w:lang w:val="en-US" w:eastAsia="zh-CN"/>
        </w:rPr>
        <w:t>库区内</w:t>
      </w:r>
      <w:r>
        <w:rPr>
          <w:rFonts w:hint="eastAsia" w:ascii="Times New Roman" w:hAnsi="Times New Roman" w:eastAsia="宋体" w:cs="Times New Roman"/>
          <w:color w:val="auto"/>
          <w:sz w:val="24"/>
          <w:szCs w:val="21"/>
          <w:u w:val="none" w:color="auto"/>
        </w:rPr>
        <w:t>浮游植物、浮游动物、底栖动物、水生维管束植物等饵料生物的种群结构、生物量及分布情况；鱼类种群结构、区系组成、资源量变化和分布，以及</w:t>
      </w:r>
      <w:r>
        <w:rPr>
          <w:rFonts w:hint="eastAsia" w:ascii="Times New Roman" w:hAnsi="Times New Roman" w:eastAsia="宋体" w:cs="Times New Roman"/>
          <w:color w:val="auto"/>
          <w:sz w:val="24"/>
          <w:szCs w:val="21"/>
          <w:u w:val="none" w:color="auto"/>
          <w:lang w:val="en-US" w:eastAsia="zh-CN"/>
        </w:rPr>
        <w:t>三场</w:t>
      </w:r>
      <w:r>
        <w:rPr>
          <w:rFonts w:hint="eastAsia" w:ascii="Times New Roman" w:hAnsi="Times New Roman" w:eastAsia="宋体" w:cs="Times New Roman"/>
          <w:color w:val="auto"/>
          <w:sz w:val="24"/>
          <w:szCs w:val="21"/>
          <w:u w:val="none" w:color="auto"/>
        </w:rPr>
        <w:t>等情况。</w:t>
      </w:r>
    </w:p>
    <w:p w14:paraId="7FB5CA19">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2）监测点位</w:t>
      </w:r>
    </w:p>
    <w:p w14:paraId="1EF3A0E1">
      <w:pPr>
        <w:widowControl w:val="0"/>
        <w:spacing w:line="360" w:lineRule="auto"/>
        <w:ind w:firstLine="480" w:firstLineChars="200"/>
        <w:jc w:val="both"/>
        <w:rPr>
          <w:rFonts w:hint="default" w:ascii="Times New Roman" w:hAnsi="Times New Roman" w:eastAsia="宋体" w:cs="Times New Roman"/>
          <w:color w:val="auto"/>
          <w:sz w:val="24"/>
          <w:szCs w:val="21"/>
          <w:u w:val="none" w:color="auto"/>
        </w:rPr>
      </w:pPr>
      <w:r>
        <w:rPr>
          <w:rFonts w:hint="default" w:ascii="Times New Roman" w:hAnsi="Times New Roman" w:eastAsia="宋体" w:cs="Times New Roman"/>
          <w:color w:val="auto"/>
          <w:sz w:val="24"/>
          <w:szCs w:val="21"/>
          <w:u w:val="none" w:color="auto"/>
        </w:rPr>
        <w:t>设库区</w:t>
      </w:r>
      <w:r>
        <w:rPr>
          <w:rFonts w:hint="default" w:ascii="Times New Roman" w:hAnsi="Times New Roman" w:eastAsia="宋体" w:cs="Times New Roman"/>
          <w:color w:val="auto"/>
          <w:sz w:val="24"/>
          <w:szCs w:val="21"/>
          <w:u w:val="none" w:color="auto"/>
          <w:lang w:val="en-US" w:eastAsia="zh-CN"/>
        </w:rPr>
        <w:t>坝前和库尾2</w:t>
      </w:r>
      <w:r>
        <w:rPr>
          <w:rFonts w:hint="default" w:ascii="Times New Roman" w:hAnsi="Times New Roman" w:eastAsia="宋体" w:cs="Times New Roman"/>
          <w:color w:val="auto"/>
          <w:sz w:val="24"/>
          <w:szCs w:val="21"/>
          <w:u w:val="none" w:color="auto"/>
        </w:rPr>
        <w:t>处监测点位，鱼类资源调查以区间调查为主，不设固定断面。</w:t>
      </w:r>
    </w:p>
    <w:p w14:paraId="4C93DB54">
      <w:pPr>
        <w:keepNext w:val="0"/>
        <w:keepLines w:val="0"/>
        <w:pageBreakBefore w:val="0"/>
        <w:widowControl w:val="0"/>
        <w:kinsoku w:val="0"/>
        <w:wordWrap w:val="0"/>
        <w:overflowPunct/>
        <w:topLinePunct/>
        <w:autoSpaceDE/>
        <w:autoSpaceDN/>
        <w:bidi w:val="0"/>
        <w:adjustRightInd w:val="0"/>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0"/>
          <w:position w:val="0"/>
          <w:sz w:val="24"/>
          <w:szCs w:val="24"/>
          <w:u w:val="none" w:color="auto"/>
        </w:rPr>
      </w:pPr>
      <w:r>
        <w:rPr>
          <w:rFonts w:hint="default" w:ascii="Times New Roman" w:hAnsi="Times New Roman" w:eastAsia="宋体" w:cs="Times New Roman"/>
          <w:b w:val="0"/>
          <w:bCs w:val="0"/>
          <w:caps w:val="0"/>
          <w:smallCaps w:val="0"/>
          <w:color w:val="auto"/>
          <w:spacing w:val="0"/>
          <w:w w:val="100"/>
          <w:kern w:val="0"/>
          <w:position w:val="0"/>
          <w:sz w:val="24"/>
          <w:szCs w:val="24"/>
          <w:u w:val="none" w:color="auto"/>
        </w:rPr>
        <w:t>3）监测时间与频次</w:t>
      </w:r>
    </w:p>
    <w:p w14:paraId="31299788">
      <w:pPr>
        <w:widowControl w:val="0"/>
        <w:spacing w:line="360" w:lineRule="auto"/>
        <w:ind w:firstLine="480" w:firstLineChars="200"/>
        <w:jc w:val="both"/>
        <w:rPr>
          <w:rFonts w:hint="eastAsia" w:ascii="Times New Roman" w:hAnsi="Times New Roman" w:eastAsia="宋体" w:cs="Times New Roman"/>
          <w:color w:val="5B9BD5" w:themeColor="accent1"/>
          <w:sz w:val="24"/>
          <w:szCs w:val="21"/>
          <w:u w:val="none" w:color="auto"/>
          <w:lang w:val="en-US" w:eastAsia="zh-CN"/>
          <w14:textFill>
            <w14:solidFill>
              <w14:schemeClr w14:val="accent1"/>
            </w14:solidFill>
          </w14:textFill>
        </w:rPr>
      </w:pPr>
      <w:r>
        <w:rPr>
          <w:rFonts w:hint="eastAsia" w:ascii="宋体" w:hAnsi="宋体" w:eastAsia="宋体" w:cs="宋体"/>
          <w:color w:val="auto"/>
          <w:sz w:val="24"/>
          <w:szCs w:val="24"/>
        </w:rPr>
        <w:t>施</w:t>
      </w:r>
      <w:r>
        <w:rPr>
          <w:rFonts w:hint="default" w:ascii="Times New Roman" w:hAnsi="Times New Roman" w:eastAsia="宋体" w:cs="Times New Roman"/>
          <w:color w:val="auto"/>
          <w:sz w:val="24"/>
          <w:szCs w:val="24"/>
        </w:rPr>
        <w:t>工前</w:t>
      </w:r>
      <w:r>
        <w:rPr>
          <w:rFonts w:hint="default" w:ascii="Times New Roman" w:hAnsi="Times New Roman" w:eastAsia="宋体" w:cs="Times New Roman"/>
          <w:color w:val="auto"/>
          <w:sz w:val="24"/>
          <w:szCs w:val="24"/>
          <w:lang w:val="en-US" w:eastAsia="zh-CN"/>
        </w:rPr>
        <w:t>后</w:t>
      </w:r>
      <w:r>
        <w:rPr>
          <w:rFonts w:hint="default" w:ascii="Times New Roman" w:hAnsi="Times New Roman" w:eastAsia="宋体" w:cs="Times New Roman"/>
          <w:color w:val="auto"/>
          <w:sz w:val="24"/>
          <w:szCs w:val="24"/>
        </w:rPr>
        <w:t>各监测1次，</w:t>
      </w:r>
      <w:r>
        <w:rPr>
          <w:rFonts w:hint="default" w:ascii="Times New Roman" w:hAnsi="Times New Roman" w:eastAsia="宋体" w:cs="Times New Roman"/>
          <w:color w:val="auto"/>
          <w:sz w:val="24"/>
          <w:szCs w:val="24"/>
          <w:lang w:val="en-US" w:eastAsia="zh-CN"/>
        </w:rPr>
        <w:t>运营期每年1次</w:t>
      </w:r>
      <w:r>
        <w:rPr>
          <w:rFonts w:hint="default" w:ascii="Times New Roman" w:hAnsi="Times New Roman" w:eastAsia="宋体" w:cs="Times New Roman"/>
          <w:color w:val="auto"/>
          <w:sz w:val="24"/>
          <w:szCs w:val="24"/>
        </w:rPr>
        <w:t>。其中，浮游生物、底栖动物、水生维管束植物监测</w:t>
      </w:r>
      <w:r>
        <w:rPr>
          <w:rFonts w:hint="default" w:ascii="Times New Roman" w:hAnsi="Times New Roman" w:eastAsia="宋体" w:cs="Times New Roman"/>
          <w:color w:val="auto"/>
          <w:sz w:val="24"/>
          <w:szCs w:val="24"/>
          <w:lang w:val="en-US" w:eastAsia="zh-CN"/>
        </w:rPr>
        <w:t>至少</w:t>
      </w:r>
      <w:r>
        <w:rPr>
          <w:rFonts w:hint="default" w:ascii="Times New Roman" w:hAnsi="Times New Roman" w:eastAsia="宋体" w:cs="Times New Roman"/>
          <w:color w:val="auto"/>
          <w:sz w:val="24"/>
          <w:szCs w:val="24"/>
        </w:rPr>
        <w:t>在枯水期进行</w:t>
      </w:r>
      <w:r>
        <w:rPr>
          <w:rFonts w:hint="default" w:ascii="Times New Roman" w:hAnsi="Times New Roman" w:eastAsia="宋体" w:cs="Times New Roman"/>
          <w:color w:val="auto"/>
          <w:sz w:val="24"/>
          <w:szCs w:val="24"/>
          <w:lang w:val="en-US" w:eastAsia="zh-CN"/>
        </w:rPr>
        <w:t>1次</w:t>
      </w:r>
      <w:r>
        <w:rPr>
          <w:rFonts w:hint="default" w:ascii="Times New Roman" w:hAnsi="Times New Roman" w:eastAsia="宋体" w:cs="Times New Roman"/>
          <w:color w:val="auto"/>
          <w:sz w:val="24"/>
          <w:szCs w:val="24"/>
        </w:rPr>
        <w:t>；鱼类资源调查在主要繁殖期3～8月和越冬期12～2月进行</w:t>
      </w:r>
      <w:r>
        <w:rPr>
          <w:rFonts w:hint="default" w:ascii="Times New Roman" w:hAnsi="Times New Roman" w:eastAsia="宋体" w:cs="Times New Roman"/>
          <w:color w:val="5B9BD5" w:themeColor="accent1"/>
          <w:sz w:val="24"/>
          <w:szCs w:val="21"/>
          <w:u w:val="none" w:color="auto"/>
          <w14:textFill>
            <w14:solidFill>
              <w14:schemeClr w14:val="accent1"/>
            </w14:solidFill>
          </w14:textFill>
        </w:rPr>
        <w:t>。</w:t>
      </w:r>
      <w:r>
        <w:rPr>
          <w:rFonts w:hint="eastAsia" w:ascii="Times New Roman" w:hAnsi="Times New Roman" w:eastAsia="宋体" w:cs="Times New Roman"/>
          <w:color w:val="5B9BD5" w:themeColor="accent1"/>
          <w:sz w:val="24"/>
          <w:szCs w:val="21"/>
          <w:u w:val="none" w:color="auto"/>
          <w:lang w:val="en-US" w:eastAsia="zh-CN"/>
          <w14:textFill>
            <w14:solidFill>
              <w14:schemeClr w14:val="accent1"/>
            </w14:solidFill>
          </w14:textFill>
        </w:rPr>
        <w:t xml:space="preserve"> </w:t>
      </w:r>
    </w:p>
    <w:p w14:paraId="2CC607D0">
      <w:pPr>
        <w:pStyle w:val="4"/>
        <w:bidi w:val="0"/>
        <w:rPr>
          <w:rFonts w:hint="default" w:ascii="Times New Roman" w:hAnsi="Times New Roman" w:cs="Times New Roman"/>
          <w:u w:val="none" w:color="auto"/>
        </w:rPr>
      </w:pPr>
      <w:bookmarkStart w:id="367" w:name="_Toc13887"/>
      <w:r>
        <w:rPr>
          <w:rFonts w:hint="default" w:ascii="Times New Roman" w:hAnsi="Times New Roman" w:cs="Times New Roman"/>
          <w:u w:val="none" w:color="auto"/>
        </w:rPr>
        <w:t>营运期环境监测</w:t>
      </w:r>
      <w:bookmarkEnd w:id="367"/>
    </w:p>
    <w:p w14:paraId="31D8BA83">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pPr>
      <w:r>
        <w:rPr>
          <w:rFonts w:ascii="瀹嬩綋" w:hAnsi="瀹嬩綋" w:eastAsia="瀹嬩綋" w:cs="瀹嬩綋"/>
          <w:color w:val="auto"/>
          <w:kern w:val="0"/>
          <w:sz w:val="24"/>
          <w:szCs w:val="24"/>
          <w:u w:val="none" w:color="auto"/>
          <w:lang w:val="en-US" w:eastAsia="zh-CN" w:bidi="ar"/>
        </w:rPr>
        <w:t>运营期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生态环境管理部门</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在</w:t>
      </w:r>
      <w:r>
        <w:rPr>
          <w:rFonts w:hint="eastAsia" w:ascii="瀹嬩綋" w:hAnsi="瀹嬩綋" w:eastAsia="瀹嬩綋" w:cs="瀹嬩綋"/>
          <w:color w:val="auto"/>
          <w:kern w:val="0"/>
          <w:sz w:val="24"/>
          <w:szCs w:val="24"/>
          <w:u w:val="none" w:color="auto"/>
          <w:lang w:val="en-US" w:eastAsia="zh-CN" w:bidi="ar"/>
        </w:rPr>
        <w:t>北汊水库中心处设有一个常规监测点，每月</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进行一次水质监测，</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监测项目参照《</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bidi="ar-SA"/>
        </w:rPr>
        <w:t>地表水环境质量标准》（GB3838-2002）表1</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bidi="ar-SA"/>
        </w:rPr>
        <w:t xml:space="preserve">选取。 </w:t>
      </w:r>
    </w:p>
    <w:p w14:paraId="0DCF87B2">
      <w:pPr>
        <w:pStyle w:val="3"/>
        <w:bidi w:val="0"/>
        <w:rPr>
          <w:rFonts w:hint="default"/>
          <w:u w:val="none" w:color="auto"/>
        </w:rPr>
      </w:pPr>
      <w:bookmarkStart w:id="368" w:name="_Toc9048"/>
      <w:r>
        <w:rPr>
          <w:rFonts w:hint="default"/>
          <w:u w:val="none" w:color="auto"/>
        </w:rPr>
        <w:t>环境保护竣工验收</w:t>
      </w:r>
      <w:bookmarkEnd w:id="368"/>
    </w:p>
    <w:p w14:paraId="6DA966B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8"/>
          <w:u w:val="none" w:color="auto"/>
        </w:rPr>
        <w:t>根据《建设项目竣工环境保护验收管理暂行办法》和《建设项目竣工环境保护验收技术规范 水利水电》</w:t>
      </w: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HJ/T88-2003</w:t>
      </w:r>
      <w:r>
        <w:rPr>
          <w:rFonts w:hint="default" w:ascii="Times New Roman" w:hAnsi="Times New Roman" w:eastAsia="宋体" w:cs="Times New Roman"/>
          <w:caps w:val="0"/>
          <w:smallCaps w:val="0"/>
          <w:color w:val="auto"/>
          <w:spacing w:val="0"/>
          <w:w w:val="100"/>
          <w:position w:val="0"/>
          <w:sz w:val="24"/>
          <w:szCs w:val="28"/>
          <w:u w:val="none" w:color="auto"/>
          <w:lang w:eastAsia="zh-CN"/>
        </w:rPr>
        <w:t>）</w:t>
      </w:r>
      <w:r>
        <w:rPr>
          <w:rFonts w:hint="default" w:ascii="Times New Roman" w:hAnsi="Times New Roman" w:eastAsia="宋体" w:cs="Times New Roman"/>
          <w:caps w:val="0"/>
          <w:smallCaps w:val="0"/>
          <w:color w:val="auto"/>
          <w:spacing w:val="0"/>
          <w:w w:val="100"/>
          <w:position w:val="0"/>
          <w:sz w:val="24"/>
          <w:szCs w:val="28"/>
          <w:u w:val="none" w:color="auto"/>
        </w:rPr>
        <w:t>相关内容，本工程环保验收主要内容包括验收建设单位的环保管理措施、各项环境保护措施、水土保持措施、环保投资及施工期环境监测的落实情况，以及项目执行“三同时”制度的情况检查等</w:t>
      </w:r>
      <w:r>
        <w:rPr>
          <w:rFonts w:hint="default" w:ascii="Times New Roman" w:hAnsi="Times New Roman" w:eastAsia="宋体" w:cs="Times New Roman"/>
          <w:caps w:val="0"/>
          <w:smallCaps w:val="0"/>
          <w:color w:val="auto"/>
          <w:spacing w:val="0"/>
          <w:w w:val="100"/>
          <w:kern w:val="0"/>
          <w:position w:val="0"/>
          <w:sz w:val="24"/>
          <w:szCs w:val="24"/>
          <w:u w:val="none" w:color="auto"/>
        </w:rPr>
        <w:t>，项目竣工环境保护验收调查内容见下表。</w:t>
      </w:r>
    </w:p>
    <w:p w14:paraId="032262B2">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w w:val="100"/>
          <w:kern w:val="0"/>
          <w:position w:val="0"/>
          <w:szCs w:val="21"/>
          <w:u w:val="none" w:color="auto"/>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w w:val="100"/>
          <w:kern w:val="0"/>
          <w:position w:val="0"/>
          <w:szCs w:val="21"/>
          <w:u w:val="none" w:color="auto"/>
          <w14:textFill>
            <w14:solidFill>
              <w14:schemeClr w14:val="tx1"/>
            </w14:solidFill>
          </w14:textFill>
        </w:rPr>
        <w:t>表7.</w:t>
      </w:r>
      <w:r>
        <w:rPr>
          <w:rFonts w:hint="eastAsia" w:ascii="Times New Roman" w:hAnsi="Times New Roman" w:eastAsia="宋体" w:cs="Times New Roman"/>
          <w:b/>
          <w:bCs/>
          <w:caps w:val="0"/>
          <w:smallCaps w:val="0"/>
          <w:color w:val="000000" w:themeColor="text1"/>
          <w:spacing w:val="0"/>
          <w:w w:val="100"/>
          <w:kern w:val="0"/>
          <w:position w:val="0"/>
          <w:szCs w:val="21"/>
          <w:u w:val="none" w:color="auto"/>
          <w:lang w:val="en-US" w:eastAsia="zh-CN"/>
          <w14:textFill>
            <w14:solidFill>
              <w14:schemeClr w14:val="tx1"/>
            </w14:solidFill>
          </w14:textFill>
        </w:rPr>
        <w:t>3</w:t>
      </w:r>
      <w:r>
        <w:rPr>
          <w:rFonts w:hint="default" w:ascii="Times New Roman" w:hAnsi="Times New Roman" w:eastAsia="宋体" w:cs="Times New Roman"/>
          <w:b/>
          <w:bCs/>
          <w:caps w:val="0"/>
          <w:smallCaps w:val="0"/>
          <w:color w:val="000000" w:themeColor="text1"/>
          <w:spacing w:val="0"/>
          <w:w w:val="100"/>
          <w:kern w:val="0"/>
          <w:position w:val="0"/>
          <w:szCs w:val="21"/>
          <w:u w:val="none" w:color="auto"/>
          <w14:textFill>
            <w14:solidFill>
              <w14:schemeClr w14:val="tx1"/>
            </w14:solidFill>
          </w14:textFill>
        </w:rPr>
        <w:t>-1  项目“三同时”验收一览表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741"/>
        <w:gridCol w:w="5072"/>
        <w:gridCol w:w="2070"/>
      </w:tblGrid>
      <w:tr w14:paraId="6E401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39" w:type="dxa"/>
            <w:tcBorders>
              <w:tl2br w:val="nil"/>
              <w:tr2bl w:val="nil"/>
            </w:tcBorders>
            <w:vAlign w:val="center"/>
          </w:tcPr>
          <w:p w14:paraId="59580D14">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时期</w:t>
            </w:r>
          </w:p>
        </w:tc>
        <w:tc>
          <w:tcPr>
            <w:tcW w:w="741" w:type="dxa"/>
            <w:tcBorders>
              <w:tl2br w:val="nil"/>
              <w:tr2bl w:val="nil"/>
            </w:tcBorders>
            <w:vAlign w:val="center"/>
          </w:tcPr>
          <w:p w14:paraId="5DC99870">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项目</w:t>
            </w:r>
          </w:p>
        </w:tc>
        <w:tc>
          <w:tcPr>
            <w:tcW w:w="5072" w:type="dxa"/>
            <w:tcBorders>
              <w:tl2br w:val="nil"/>
              <w:tr2bl w:val="nil"/>
            </w:tcBorders>
            <w:vAlign w:val="center"/>
          </w:tcPr>
          <w:p w14:paraId="14581BA3">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r>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处理措施</w:t>
            </w:r>
          </w:p>
        </w:tc>
        <w:tc>
          <w:tcPr>
            <w:tcW w:w="2070" w:type="dxa"/>
            <w:tcBorders>
              <w:tl2br w:val="nil"/>
              <w:tr2bl w:val="nil"/>
            </w:tcBorders>
            <w:vAlign w:val="center"/>
          </w:tcPr>
          <w:p w14:paraId="52AAD5E6">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r>
              <w:rPr>
                <w:rFonts w:hint="default" w:ascii="Times New Roman" w:hAnsi="Times New Roman" w:eastAsia="宋体" w:cs="Times New Roman"/>
                <w:b/>
                <w:caps w:val="0"/>
                <w:smallCaps w:val="0"/>
                <w:color w:val="000000" w:themeColor="text1"/>
                <w:spacing w:val="0"/>
                <w:w w:val="100"/>
                <w:kern w:val="0"/>
                <w:position w:val="0"/>
                <w:sz w:val="21"/>
                <w:szCs w:val="21"/>
                <w:u w:val="none" w:color="auto"/>
                <w14:textFill>
                  <w14:solidFill>
                    <w14:schemeClr w14:val="tx1"/>
                  </w14:solidFill>
                </w14:textFill>
              </w:rPr>
              <w:t>预期处理效果</w:t>
            </w:r>
          </w:p>
        </w:tc>
      </w:tr>
      <w:tr w14:paraId="5DE89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restart"/>
            <w:tcBorders>
              <w:tl2br w:val="nil"/>
              <w:tr2bl w:val="nil"/>
            </w:tcBorders>
            <w:vAlign w:val="center"/>
          </w:tcPr>
          <w:p w14:paraId="51BE5DD3">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w:t>
            </w:r>
          </w:p>
          <w:p w14:paraId="432091F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工</w:t>
            </w:r>
          </w:p>
          <w:p w14:paraId="5F3901EB">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期</w:t>
            </w:r>
          </w:p>
        </w:tc>
        <w:tc>
          <w:tcPr>
            <w:tcW w:w="741" w:type="dxa"/>
            <w:tcBorders>
              <w:tl2br w:val="nil"/>
              <w:tr2bl w:val="nil"/>
            </w:tcBorders>
            <w:vAlign w:val="center"/>
          </w:tcPr>
          <w:p w14:paraId="36C32822">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废气</w:t>
            </w:r>
          </w:p>
        </w:tc>
        <w:tc>
          <w:tcPr>
            <w:tcW w:w="5072" w:type="dxa"/>
            <w:tcBorders>
              <w:tl2br w:val="nil"/>
              <w:tr2bl w:val="nil"/>
            </w:tcBorders>
            <w:vAlign w:val="center"/>
          </w:tcPr>
          <w:p w14:paraId="09781AEC">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cs="Times New Roman"/>
                <w:color w:val="000000" w:themeColor="text1"/>
                <w:u w:val="none" w:color="auto"/>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在局部时段对附近敏感目标扬尘影响较大的施工区周围设置连续的围挡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w:t>
            </w:r>
            <w:r>
              <w:rPr>
                <w:rFonts w:hint="default" w:ascii="Times New Roman" w:hAnsi="Times New Roman" w:eastAsia="微软雅黑"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定期洒水降尘；</w:t>
            </w:r>
            <w:r>
              <w:rPr>
                <w:rFonts w:hint="default" w:ascii="Times New Roman" w:hAnsi="Times New Roman" w:eastAsia="微软雅黑"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③</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施工场地</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设置喷雾除尘</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④</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堆场及裸露面防尘网覆盖；</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⑤施工道路加强限速管理</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；⑥运输粉料采用密闭罐车，其他物料应全封闭或帆布覆盖；⑦运输道路加强清扫，洒水降尘；⑧</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优先选用</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符合国家有关卫生标准的施工机械和运输车辆</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fldChar w:fldCharType="begin"/>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instrText xml:space="preserve"> = 9 \* GB3 \* MERGEFORMAT </w:instrTex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fldChar w:fldCharType="end"/>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加强管理，文明装卸，</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合理安排施工车辆行驶路线，尽量避开居民集中区</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等管理措施。</w:t>
            </w:r>
          </w:p>
        </w:tc>
        <w:tc>
          <w:tcPr>
            <w:tcW w:w="2070" w:type="dxa"/>
            <w:tcBorders>
              <w:tl2br w:val="nil"/>
              <w:tr2bl w:val="nil"/>
            </w:tcBorders>
            <w:vAlign w:val="center"/>
          </w:tcPr>
          <w:p w14:paraId="35BB5E7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r>
              <w:rPr>
                <w:rFonts w:hint="eastAsia" w:ascii="妤蜂綋" w:hAnsi="妤蜂綋" w:eastAsia="妤蜂綋" w:cs="妤蜂綋"/>
                <w:color w:val="000000" w:themeColor="text1"/>
                <w:kern w:val="0"/>
                <w:sz w:val="21"/>
                <w:szCs w:val="21"/>
                <w:u w:val="none" w:color="auto"/>
                <w:lang w:val="en-US" w:eastAsia="zh-CN" w:bidi="ar"/>
                <w14:textFill>
                  <w14:solidFill>
                    <w14:schemeClr w14:val="tx1"/>
                  </w14:solidFill>
                </w14:textFill>
              </w:rPr>
              <w:t>满足</w:t>
            </w:r>
            <w: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t>《大气污染物综合排放标准》（</w:t>
            </w:r>
            <w:r>
              <w:rPr>
                <w:rFonts w:hint="default"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t>GB16297-1996</w:t>
            </w:r>
            <w:r>
              <w:rPr>
                <w:rFonts w:hint="default" w:ascii="妤蜂綋" w:hAnsi="妤蜂綋" w:eastAsia="妤蜂綋" w:cs="妤蜂綋"/>
                <w:color w:val="000000" w:themeColor="text1"/>
                <w:kern w:val="0"/>
                <w:sz w:val="21"/>
                <w:szCs w:val="21"/>
                <w:u w:val="none" w:color="auto"/>
                <w:lang w:val="en-US" w:eastAsia="zh-CN" w:bidi="ar"/>
                <w14:textFill>
                  <w14:solidFill>
                    <w14:schemeClr w14:val="tx1"/>
                  </w14:solidFill>
                </w14:textFill>
              </w:rPr>
              <w:t>）中无组织排放监控浓度限值</w:t>
            </w:r>
          </w:p>
        </w:tc>
      </w:tr>
      <w:tr w14:paraId="47F1A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2DAA97CC">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p>
        </w:tc>
        <w:tc>
          <w:tcPr>
            <w:tcW w:w="741" w:type="dxa"/>
            <w:tcBorders>
              <w:tl2br w:val="nil"/>
              <w:tr2bl w:val="nil"/>
            </w:tcBorders>
            <w:vAlign w:val="center"/>
          </w:tcPr>
          <w:p w14:paraId="5FD6FA2A">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aps w:val="0"/>
                <w:smallCaps w:val="0"/>
                <w:color w:val="000000" w:themeColor="text1"/>
                <w:spacing w:val="0"/>
                <w:w w:val="100"/>
                <w:kern w:val="0"/>
                <w:position w:val="0"/>
                <w:sz w:val="21"/>
                <w:szCs w:val="21"/>
                <w:u w:val="none" w:color="auto"/>
                <w:vertAlign w:val="baseline"/>
                <w:lang w:val="en-US" w:eastAsia="zh-CN" w:bidi="ar-SA"/>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废水</w:t>
            </w:r>
          </w:p>
        </w:tc>
        <w:tc>
          <w:tcPr>
            <w:tcW w:w="5072" w:type="dxa"/>
            <w:tcBorders>
              <w:tl2br w:val="nil"/>
              <w:tr2bl w:val="nil"/>
            </w:tcBorders>
            <w:vAlign w:val="center"/>
          </w:tcPr>
          <w:p w14:paraId="2C6644CC">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cs="Times New Roman"/>
                <w:color w:val="000000" w:themeColor="text1"/>
                <w:u w:val="none" w:color="auto"/>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施工人员租住民房，生活污水依托现有居民处置设施处理；</w:t>
            </w:r>
            <w:r>
              <w:rPr>
                <w:rFonts w:hint="default" w:ascii="Times New Roman" w:hAnsi="Times New Roman" w:eastAsia="微软雅黑"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基坑废水经沉淀池处理后回用于洒水降尘；</w:t>
            </w:r>
            <w:r>
              <w:rPr>
                <w:rFonts w:hint="default" w:ascii="Times New Roman" w:hAnsi="Times New Roman" w:eastAsia="微软雅黑"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③</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灌浆废水施工期</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沉淀处理后</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回用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于洒水降尘</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微软雅黑"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④</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施工机械冲洗废水经隔油沉淀池处理后回用。</w:t>
            </w:r>
          </w:p>
        </w:tc>
        <w:tc>
          <w:tcPr>
            <w:tcW w:w="2070" w:type="dxa"/>
            <w:tcBorders>
              <w:tl2br w:val="nil"/>
              <w:tr2bl w:val="nil"/>
            </w:tcBorders>
            <w:vAlign w:val="center"/>
          </w:tcPr>
          <w:p w14:paraId="18626F7A">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bidi="ar-SA"/>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施工期生产废水不外排；生活污水依托现有措施，严禁排入北汊水库水域</w:t>
            </w:r>
          </w:p>
        </w:tc>
      </w:tr>
      <w:tr w14:paraId="1491D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16DCCE2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p>
        </w:tc>
        <w:tc>
          <w:tcPr>
            <w:tcW w:w="741" w:type="dxa"/>
            <w:tcBorders>
              <w:tl2br w:val="nil"/>
              <w:tr2bl w:val="nil"/>
            </w:tcBorders>
            <w:vAlign w:val="center"/>
          </w:tcPr>
          <w:p w14:paraId="6923DD5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噪声</w:t>
            </w:r>
          </w:p>
        </w:tc>
        <w:tc>
          <w:tcPr>
            <w:tcW w:w="5072" w:type="dxa"/>
            <w:tcBorders>
              <w:tl2br w:val="nil"/>
              <w:tr2bl w:val="nil"/>
            </w:tcBorders>
            <w:vAlign w:val="center"/>
          </w:tcPr>
          <w:p w14:paraId="182B515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施工道路设置限速牌，加强交</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通运输管理</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，敏感点附近</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降低车速</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禁止使用高音嗽叭；②加强道路和车辆的维护保养；③优化施工布置，</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优先</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选用低噪声施工设备；④合理安排施工时间，禁止夜间施工。若因工艺需要必须在晚上施工，应上报当地生态环境主管部门批准同意，并在施工前公告；⑤钢筋加工等高噪声生产区</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靠近敏感目标处设置临时声屏障。</w:t>
            </w:r>
          </w:p>
        </w:tc>
        <w:tc>
          <w:tcPr>
            <w:tcW w:w="2070" w:type="dxa"/>
            <w:tcBorders>
              <w:tl2br w:val="nil"/>
              <w:tr2bl w:val="nil"/>
            </w:tcBorders>
            <w:vAlign w:val="center"/>
          </w:tcPr>
          <w:p w14:paraId="1045E64B">
            <w:pPr>
              <w:keepNext w:val="0"/>
              <w:keepLines w:val="0"/>
              <w:widowControl/>
              <w:suppressLineNumbers w:val="0"/>
              <w:spacing w:before="0" w:beforeAutospacing="0" w:after="0" w:afterAutospacing="0"/>
              <w:ind w:left="0" w:right="0"/>
              <w:jc w:val="left"/>
              <w:rPr>
                <w:rFonts w:hint="default"/>
                <w:color w:val="000000" w:themeColor="text1"/>
                <w:u w:val="none" w:color="auto"/>
                <w14:textFill>
                  <w14:solidFill>
                    <w14:schemeClr w14:val="tx1"/>
                  </w14:solidFill>
                </w14:textFill>
              </w:rPr>
            </w:pPr>
            <w:r>
              <w:rPr>
                <w:rFonts w:hint="default" w:ascii="瀹嬩綋" w:hAnsi="瀹嬩綋" w:eastAsia="瀹嬩綋" w:cs="瀹嬩綋"/>
                <w:color w:val="000000" w:themeColor="text1"/>
                <w:kern w:val="0"/>
                <w:sz w:val="21"/>
                <w:szCs w:val="21"/>
                <w:u w:val="none" w:color="auto"/>
                <w:lang w:val="en-US" w:eastAsia="zh-CN" w:bidi="ar"/>
                <w14:textFill>
                  <w14:solidFill>
                    <w14:schemeClr w14:val="tx1"/>
                  </w14:solidFill>
                </w14:textFill>
              </w:rPr>
              <w:t>满足《建筑施工场界环境噪声排放标准》</w:t>
            </w:r>
            <w:r>
              <w:rPr>
                <w:rFonts w:hint="eastAsia" w:ascii="瀹嬩綋" w:hAnsi="瀹嬩綋" w:eastAsia="瀹嬩綋" w:cs="瀹嬩綋"/>
                <w:color w:val="000000" w:themeColor="text1"/>
                <w:kern w:val="0"/>
                <w:sz w:val="21"/>
                <w:szCs w:val="21"/>
                <w:u w:val="none" w:color="auto"/>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t>GB12523-2011</w:t>
            </w:r>
            <w:r>
              <w:rPr>
                <w:rFonts w:hint="default" w:ascii="瀹嬩綋" w:hAnsi="瀹嬩綋" w:eastAsia="瀹嬩綋" w:cs="瀹嬩綋"/>
                <w:color w:val="000000" w:themeColor="text1"/>
                <w:kern w:val="0"/>
                <w:sz w:val="21"/>
                <w:szCs w:val="21"/>
                <w:u w:val="none" w:color="auto"/>
                <w:lang w:val="en-US" w:eastAsia="zh-CN" w:bidi="ar"/>
                <w14:textFill>
                  <w14:solidFill>
                    <w14:schemeClr w14:val="tx1"/>
                  </w14:solidFill>
                </w14:textFill>
              </w:rPr>
              <w:t xml:space="preserve">） </w:t>
            </w:r>
          </w:p>
          <w:p w14:paraId="69487032">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p>
        </w:tc>
      </w:tr>
      <w:tr w14:paraId="505E8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639" w:type="dxa"/>
            <w:vMerge w:val="continue"/>
            <w:tcBorders>
              <w:tl2br w:val="nil"/>
              <w:tr2bl w:val="nil"/>
            </w:tcBorders>
            <w:vAlign w:val="center"/>
          </w:tcPr>
          <w:p w14:paraId="11B13398">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p>
        </w:tc>
        <w:tc>
          <w:tcPr>
            <w:tcW w:w="741" w:type="dxa"/>
            <w:tcBorders>
              <w:tl2br w:val="nil"/>
              <w:tr2bl w:val="nil"/>
            </w:tcBorders>
            <w:vAlign w:val="center"/>
          </w:tcPr>
          <w:p w14:paraId="15A2CA72">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固废</w:t>
            </w:r>
          </w:p>
        </w:tc>
        <w:tc>
          <w:tcPr>
            <w:tcW w:w="5072" w:type="dxa"/>
            <w:tcBorders>
              <w:tl2br w:val="nil"/>
              <w:tr2bl w:val="nil"/>
            </w:tcBorders>
            <w:vAlign w:val="center"/>
          </w:tcPr>
          <w:p w14:paraId="49645A3D">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弃方全部运至</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弃渣场</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，施工弃渣严禁向水库和河道内倾倒</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②拆除的设备外售进行资源回收利用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③建筑垃圾收集后</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交由专业渣土公司</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运至</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城管部门指定地点处理处置；</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④沉淀池收集的污泥</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定期人工清理，经收集后外售砖厂制砖；</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⑤生活垃圾集中收集，定时清运处理</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；⑥</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废油</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采</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用储油桶暂存于危废暂存</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间</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内，</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及时交由</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有资质的单位处理处置</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p>
        </w:tc>
        <w:tc>
          <w:tcPr>
            <w:tcW w:w="2070" w:type="dxa"/>
            <w:tcBorders>
              <w:tl2br w:val="nil"/>
              <w:tr2bl w:val="nil"/>
            </w:tcBorders>
            <w:vAlign w:val="center"/>
          </w:tcPr>
          <w:p w14:paraId="06B492B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《一般工业固体废物贮存和填埋污染</w:t>
            </w:r>
          </w:p>
          <w:p w14:paraId="4C0628BE">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控制标准》（GB18599-2020）</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《危险废物贮存污染控制标准》（GB18597-20</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23</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p>
        </w:tc>
      </w:tr>
      <w:tr w14:paraId="25058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274EBDD6">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p>
        </w:tc>
        <w:tc>
          <w:tcPr>
            <w:tcW w:w="741" w:type="dxa"/>
            <w:tcBorders>
              <w:tl2br w:val="nil"/>
              <w:tr2bl w:val="nil"/>
            </w:tcBorders>
            <w:vAlign w:val="center"/>
          </w:tcPr>
          <w:p w14:paraId="0E73AD9F">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生态</w:t>
            </w:r>
          </w:p>
        </w:tc>
        <w:tc>
          <w:tcPr>
            <w:tcW w:w="5072" w:type="dxa"/>
            <w:tcBorders>
              <w:tl2br w:val="nil"/>
              <w:tr2bl w:val="nil"/>
            </w:tcBorders>
            <w:vAlign w:val="center"/>
          </w:tcPr>
          <w:p w14:paraId="57288EE0">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加强监管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，严禁</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生活污水和施工废水、生活垃圾与其他固体废弃物直接排放</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进</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入水库及下游河道</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②施工区设置警示牌</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③加强施工期渔业资源监测</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建立鱼类及时救护机制</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④优化工程设计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施工方案</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施工时序</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，尽量安排在枯水期施工，避免</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雨季施工</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，产噪较大的施工</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避开区域冬候鸟栖息时间</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⑤</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严格落实临时截排水沟、临时沉淀池、临时覆盖、挡土、临时工程植被恢复等各项水土保持措施；⑥</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划定施工活动范围，加强施工监理工作</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；⑦</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各施工</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临时用地及时</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实施植被修复措施</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；⑧</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进行</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施工期生态</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监测或调查</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9 \* GB3 \* MERGEFORMAT </w:instrTex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加强宣传，增强员工的保护意识，避免意外砍伐</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野生植物，</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严禁捕猎野生动物</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、水生生物等。</w:t>
            </w:r>
          </w:p>
        </w:tc>
        <w:tc>
          <w:tcPr>
            <w:tcW w:w="2070" w:type="dxa"/>
            <w:tcBorders>
              <w:tl2br w:val="nil"/>
              <w:tr2bl w:val="nil"/>
            </w:tcBorders>
            <w:vAlign w:val="center"/>
          </w:tcPr>
          <w:p w14:paraId="0E664AF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aps w:val="0"/>
                <w:smallCaps w:val="0"/>
                <w:color w:val="000000" w:themeColor="text1"/>
                <w:spacing w:val="0"/>
                <w:w w:val="100"/>
                <w:kern w:val="0"/>
                <w:position w:val="0"/>
                <w:sz w:val="21"/>
                <w:szCs w:val="21"/>
                <w:u w:val="none" w:color="auto"/>
                <w:vertAlign w:val="baseline"/>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维护</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区域</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生态系统的完整性以及结构和功能；保护工程影响区域水生生物的种群结构、数量、生物多样性以及生境</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保护地表植被及生产力；保护重点保护野生动植物。</w:t>
            </w:r>
          </w:p>
        </w:tc>
      </w:tr>
      <w:tr w14:paraId="73209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1DD7076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p>
        </w:tc>
        <w:tc>
          <w:tcPr>
            <w:tcW w:w="741" w:type="dxa"/>
            <w:tcBorders>
              <w:tl2br w:val="nil"/>
              <w:tr2bl w:val="nil"/>
            </w:tcBorders>
            <w:vAlign w:val="center"/>
          </w:tcPr>
          <w:p w14:paraId="447C76E8">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地下水、土壤</w:t>
            </w:r>
          </w:p>
        </w:tc>
        <w:tc>
          <w:tcPr>
            <w:tcW w:w="5072" w:type="dxa"/>
            <w:tcBorders>
              <w:tl2br w:val="nil"/>
              <w:tr2bl w:val="nil"/>
            </w:tcBorders>
            <w:vAlign w:val="center"/>
          </w:tcPr>
          <w:p w14:paraId="3A2EC2F3">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工程施工过程中各废污水的处理和回用，各项废污水处理构筑物应做好防渗措施</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管理，及时保养</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机械设备</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，防止跑、冒、滴、漏污染</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③各类固体废物应分类收集，做好收集管理工作</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及时清运处理</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④</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落实各项水土保持措施，对施工范围</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进行表土剥离，并集中堆置防护用于后期植被恢复。</w:t>
            </w:r>
          </w:p>
        </w:tc>
        <w:tc>
          <w:tcPr>
            <w:tcW w:w="2070" w:type="dxa"/>
            <w:tcBorders>
              <w:tl2br w:val="nil"/>
              <w:tr2bl w:val="nil"/>
            </w:tcBorders>
            <w:vAlign w:val="center"/>
          </w:tcPr>
          <w:p w14:paraId="6399F3BE">
            <w:pPr>
              <w:keepNext w:val="0"/>
              <w:keepLines w:val="0"/>
              <w:widowControl/>
              <w:suppressLineNumbers w:val="0"/>
              <w:spacing w:before="0" w:beforeAutospacing="0" w:after="0" w:afterAutospacing="0"/>
              <w:ind w:left="0" w:right="0"/>
              <w:jc w:val="left"/>
              <w:rPr>
                <w:rFonts w:hint="default" w:ascii="妤蜂綋" w:hAnsi="妤蜂綋" w:eastAsia="妤蜂綋" w:cs="妤蜂綋"/>
                <w:color w:val="000000" w:themeColor="text1"/>
                <w:kern w:val="0"/>
                <w:sz w:val="18"/>
                <w:szCs w:val="18"/>
                <w:u w:val="none" w:color="auto"/>
                <w:lang w:val="en-US" w:eastAsia="zh-CN" w:bidi="ar"/>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保障土壤、地下水不受污</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染，环境功能不受影响。</w:t>
            </w:r>
          </w:p>
        </w:tc>
      </w:tr>
      <w:tr w14:paraId="2EA06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restart"/>
            <w:tcBorders>
              <w:tl2br w:val="nil"/>
              <w:tr2bl w:val="nil"/>
            </w:tcBorders>
            <w:vAlign w:val="center"/>
          </w:tcPr>
          <w:p w14:paraId="6CF326F4">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运</w:t>
            </w:r>
          </w:p>
          <w:p w14:paraId="22847CA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营</w:t>
            </w:r>
          </w:p>
          <w:p w14:paraId="76B3D5BE">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期</w:t>
            </w:r>
          </w:p>
        </w:tc>
        <w:tc>
          <w:tcPr>
            <w:tcW w:w="741" w:type="dxa"/>
            <w:tcBorders>
              <w:tl2br w:val="nil"/>
              <w:tr2bl w:val="nil"/>
            </w:tcBorders>
            <w:vAlign w:val="center"/>
          </w:tcPr>
          <w:p w14:paraId="289EC8C4">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废气</w:t>
            </w:r>
          </w:p>
        </w:tc>
        <w:tc>
          <w:tcPr>
            <w:tcW w:w="5072" w:type="dxa"/>
            <w:tcBorders>
              <w:tl2br w:val="nil"/>
              <w:tr2bl w:val="nil"/>
            </w:tcBorders>
            <w:vAlign w:val="center"/>
          </w:tcPr>
          <w:p w14:paraId="0DD7BCA8">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管理所食堂油烟经</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油烟净化器装置</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处理</w:t>
            </w:r>
          </w:p>
        </w:tc>
        <w:tc>
          <w:tcPr>
            <w:tcW w:w="2070" w:type="dxa"/>
            <w:tcBorders>
              <w:tl2br w:val="nil"/>
              <w:tr2bl w:val="nil"/>
            </w:tcBorders>
            <w:vAlign w:val="center"/>
          </w:tcPr>
          <w:p w14:paraId="443F9750">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《饮食业油烟排放标准 (试行)》(GB18483-2001)</w:t>
            </w:r>
          </w:p>
        </w:tc>
      </w:tr>
      <w:tr w14:paraId="26E14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09262667">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FF0000"/>
                <w:spacing w:val="0"/>
                <w:w w:val="100"/>
                <w:kern w:val="0"/>
                <w:position w:val="0"/>
                <w:sz w:val="21"/>
                <w:szCs w:val="21"/>
                <w:u w:val="none" w:color="auto"/>
                <w:vertAlign w:val="baseline"/>
                <w:lang w:eastAsia="zh-CN"/>
              </w:rPr>
            </w:pPr>
          </w:p>
        </w:tc>
        <w:tc>
          <w:tcPr>
            <w:tcW w:w="741" w:type="dxa"/>
            <w:tcBorders>
              <w:tl2br w:val="nil"/>
              <w:tr2bl w:val="nil"/>
            </w:tcBorders>
            <w:vAlign w:val="center"/>
          </w:tcPr>
          <w:p w14:paraId="3ADF1BD2">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废水</w:t>
            </w:r>
          </w:p>
        </w:tc>
        <w:tc>
          <w:tcPr>
            <w:tcW w:w="5072" w:type="dxa"/>
            <w:tcBorders>
              <w:tl2br w:val="nil"/>
              <w:tr2bl w:val="nil"/>
            </w:tcBorders>
            <w:vAlign w:val="center"/>
          </w:tcPr>
          <w:p w14:paraId="14ECD223">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定期开展库区水质监测工作</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管理所生活污水经化粪池处理后用于周边田地施肥，严禁进入北汊水库库区。</w:t>
            </w:r>
          </w:p>
        </w:tc>
        <w:tc>
          <w:tcPr>
            <w:tcW w:w="2070" w:type="dxa"/>
            <w:tcBorders>
              <w:tl2br w:val="nil"/>
              <w:tr2bl w:val="nil"/>
            </w:tcBorders>
            <w:vAlign w:val="center"/>
          </w:tcPr>
          <w:p w14:paraId="31608D2E">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不外排</w:t>
            </w:r>
          </w:p>
        </w:tc>
      </w:tr>
      <w:tr w14:paraId="1274E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4615056B">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FF0000"/>
                <w:spacing w:val="0"/>
                <w:w w:val="100"/>
                <w:kern w:val="0"/>
                <w:position w:val="0"/>
                <w:sz w:val="21"/>
                <w:szCs w:val="21"/>
                <w:u w:val="none" w:color="auto"/>
                <w:vertAlign w:val="baseline"/>
                <w:lang w:eastAsia="zh-CN"/>
              </w:rPr>
            </w:pPr>
          </w:p>
        </w:tc>
        <w:tc>
          <w:tcPr>
            <w:tcW w:w="741" w:type="dxa"/>
            <w:tcBorders>
              <w:tl2br w:val="nil"/>
              <w:tr2bl w:val="nil"/>
            </w:tcBorders>
            <w:vAlign w:val="center"/>
          </w:tcPr>
          <w:p w14:paraId="70C2138F">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噪声</w:t>
            </w:r>
          </w:p>
        </w:tc>
        <w:tc>
          <w:tcPr>
            <w:tcW w:w="5072" w:type="dxa"/>
            <w:tcBorders>
              <w:tl2br w:val="nil"/>
              <w:tr2bl w:val="nil"/>
            </w:tcBorders>
            <w:vAlign w:val="center"/>
          </w:tcPr>
          <w:p w14:paraId="4E73329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隔声、减震</w:t>
            </w:r>
          </w:p>
        </w:tc>
        <w:tc>
          <w:tcPr>
            <w:tcW w:w="2070" w:type="dxa"/>
            <w:tcBorders>
              <w:tl2br w:val="nil"/>
              <w:tr2bl w:val="nil"/>
            </w:tcBorders>
            <w:vAlign w:val="center"/>
          </w:tcPr>
          <w:p w14:paraId="6C3AC25A">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《工业企业厂界环境噪声排放标准》（GB12348-2008）</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1</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类标准</w:t>
            </w:r>
          </w:p>
        </w:tc>
      </w:tr>
      <w:tr w14:paraId="63D9F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55600462">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FF0000"/>
                <w:spacing w:val="0"/>
                <w:w w:val="100"/>
                <w:kern w:val="0"/>
                <w:position w:val="0"/>
                <w:sz w:val="21"/>
                <w:szCs w:val="21"/>
                <w:u w:val="none" w:color="auto"/>
                <w:vertAlign w:val="baseline"/>
                <w:lang w:eastAsia="zh-CN"/>
              </w:rPr>
            </w:pPr>
          </w:p>
        </w:tc>
        <w:tc>
          <w:tcPr>
            <w:tcW w:w="741" w:type="dxa"/>
            <w:tcBorders>
              <w:tl2br w:val="nil"/>
              <w:tr2bl w:val="nil"/>
            </w:tcBorders>
            <w:vAlign w:val="center"/>
          </w:tcPr>
          <w:p w14:paraId="7E17C2E1">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固废</w:t>
            </w:r>
          </w:p>
        </w:tc>
        <w:tc>
          <w:tcPr>
            <w:tcW w:w="5072" w:type="dxa"/>
            <w:tcBorders>
              <w:tl2br w:val="nil"/>
              <w:tr2bl w:val="nil"/>
            </w:tcBorders>
            <w:vAlign w:val="center"/>
          </w:tcPr>
          <w:p w14:paraId="699FDE68">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管理人员的生活垃圾，垃圾桶集中收集后交由环卫部门定期清运</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处理</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p>
        </w:tc>
        <w:tc>
          <w:tcPr>
            <w:tcW w:w="2070" w:type="dxa"/>
            <w:tcBorders>
              <w:tl2br w:val="nil"/>
              <w:tr2bl w:val="nil"/>
            </w:tcBorders>
            <w:vAlign w:val="center"/>
          </w:tcPr>
          <w:p w14:paraId="6247889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pPr>
          </w:p>
        </w:tc>
      </w:tr>
      <w:tr w14:paraId="46797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639" w:type="dxa"/>
            <w:vMerge w:val="continue"/>
            <w:tcBorders>
              <w:tl2br w:val="nil"/>
              <w:tr2bl w:val="nil"/>
            </w:tcBorders>
            <w:vAlign w:val="center"/>
          </w:tcPr>
          <w:p w14:paraId="2D999DD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FF0000"/>
                <w:spacing w:val="0"/>
                <w:w w:val="100"/>
                <w:kern w:val="0"/>
                <w:position w:val="0"/>
                <w:sz w:val="21"/>
                <w:szCs w:val="21"/>
                <w:u w:val="none" w:color="auto"/>
                <w:vertAlign w:val="baseline"/>
                <w:lang w:eastAsia="zh-CN"/>
              </w:rPr>
            </w:pPr>
          </w:p>
        </w:tc>
        <w:tc>
          <w:tcPr>
            <w:tcW w:w="741" w:type="dxa"/>
            <w:tcBorders>
              <w:tl2br w:val="nil"/>
              <w:tr2bl w:val="nil"/>
            </w:tcBorders>
            <w:vAlign w:val="center"/>
          </w:tcPr>
          <w:p w14:paraId="47C038DA">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生态</w:t>
            </w:r>
          </w:p>
        </w:tc>
        <w:tc>
          <w:tcPr>
            <w:tcW w:w="5072" w:type="dxa"/>
            <w:tcBorders>
              <w:tl2br w:val="nil"/>
              <w:tr2bl w:val="nil"/>
            </w:tcBorders>
            <w:vAlign w:val="center"/>
          </w:tcPr>
          <w:p w14:paraId="54568819">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加强保护野生物种资源的宣传教育，提高民众保护野生动物的意识及法纪观念，严禁狩猎</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滥捕乱杀</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②加</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强绿化</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，提高植物覆盖率</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③严禁炸鱼、毒鱼、电鱼以及其它捕鱼作业等严重损害水产资源</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破坏</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水生</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生态的违法活动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④定期向水库投放当地原有鱼类的鱼苗，作为鱼类资源损失的生物补偿。⑤严禁在</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北汊水库</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库区内</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投饵</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养殖，防止水体受到污染</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p>
        </w:tc>
        <w:tc>
          <w:tcPr>
            <w:tcW w:w="2070" w:type="dxa"/>
            <w:tcBorders>
              <w:tl2br w:val="nil"/>
              <w:tr2bl w:val="nil"/>
            </w:tcBorders>
            <w:vAlign w:val="center"/>
          </w:tcPr>
          <w:p w14:paraId="485C0E9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pacing w:val="0"/>
                <w:w w:val="100"/>
                <w:position w:val="0"/>
                <w:sz w:val="24"/>
                <w:szCs w:val="24"/>
                <w:u w:val="none" w:color="auto"/>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维护</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区域</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生态系统的完整性以及结构和功能；保护工程影响区域水生生物的种群结构、数量、生物多样性以及生境</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保护地表植被及生产力；保护重点保护野生动植物。</w:t>
            </w:r>
          </w:p>
        </w:tc>
      </w:tr>
      <w:tr w14:paraId="66375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dxa"/>
            <w:vMerge w:val="continue"/>
            <w:tcBorders>
              <w:tl2br w:val="nil"/>
              <w:tr2bl w:val="nil"/>
            </w:tcBorders>
            <w:vAlign w:val="center"/>
          </w:tcPr>
          <w:p w14:paraId="78C3296F">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FF0000"/>
                <w:spacing w:val="0"/>
                <w:w w:val="100"/>
                <w:kern w:val="0"/>
                <w:position w:val="0"/>
                <w:sz w:val="21"/>
                <w:szCs w:val="21"/>
                <w:u w:val="none" w:color="auto"/>
                <w:vertAlign w:val="baseline"/>
                <w:lang w:eastAsia="zh-CN"/>
              </w:rPr>
            </w:pPr>
          </w:p>
        </w:tc>
        <w:tc>
          <w:tcPr>
            <w:tcW w:w="741" w:type="dxa"/>
            <w:tcBorders>
              <w:tl2br w:val="nil"/>
              <w:tr2bl w:val="nil"/>
            </w:tcBorders>
            <w:vAlign w:val="center"/>
          </w:tcPr>
          <w:p w14:paraId="3D3101B6">
            <w:pPr>
              <w:keepNext w:val="0"/>
              <w:keepLines w:val="0"/>
              <w:pageBreakBefore w:val="0"/>
              <w:widowControl w:val="0"/>
              <w:suppressLineNumbers w:val="0"/>
              <w:kinsoku w:val="0"/>
              <w:wordWrap w:val="0"/>
              <w:overflowPunct/>
              <w:topLinePunct/>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eastAsia="zh-CN"/>
                <w14:textFill>
                  <w14:solidFill>
                    <w14:schemeClr w14:val="tx1"/>
                  </w14:solidFill>
                </w14:textFill>
              </w:rPr>
              <w:t>地下水、土壤</w:t>
            </w:r>
          </w:p>
        </w:tc>
        <w:tc>
          <w:tcPr>
            <w:tcW w:w="5072" w:type="dxa"/>
            <w:tcBorders>
              <w:tl2br w:val="nil"/>
              <w:tr2bl w:val="nil"/>
            </w:tcBorders>
            <w:vAlign w:val="center"/>
          </w:tcPr>
          <w:p w14:paraId="4654C225">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000000" w:themeColor="text1"/>
                <w:spacing w:val="0"/>
                <w:w w:val="100"/>
                <w:position w:val="0"/>
                <w:sz w:val="24"/>
                <w:szCs w:val="24"/>
                <w:u w:val="none" w:color="auto"/>
                <w:lang w:eastAsia="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①</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fldChar w:fldCharType="end"/>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各类污废水、固体废物妥善处理处置，避免污染；</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②</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加强机械设备的维护保养，杜绝机械设备油类的跑、冒、滴、漏；</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③加强植被覆盖率，减少水土流失</w:t>
            </w: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等。</w:t>
            </w:r>
          </w:p>
        </w:tc>
        <w:tc>
          <w:tcPr>
            <w:tcW w:w="2070" w:type="dxa"/>
            <w:tcBorders>
              <w:tl2br w:val="nil"/>
              <w:tr2bl w:val="nil"/>
            </w:tcBorders>
            <w:vAlign w:val="center"/>
          </w:tcPr>
          <w:p w14:paraId="4E32766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pacing w:val="0"/>
                <w:w w:val="100"/>
                <w:position w:val="0"/>
                <w:sz w:val="24"/>
                <w:szCs w:val="24"/>
                <w:u w:val="none" w:color="auto"/>
                <w14:textFill>
                  <w14:solidFill>
                    <w14:schemeClr w14:val="tx1"/>
                  </w14:solidFill>
                </w14:textFill>
              </w:rPr>
            </w:pPr>
            <w:r>
              <w:rPr>
                <w:rFonts w:hint="eastAsia"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保障土壤、地下水不受污</w:t>
            </w:r>
            <w:r>
              <w:rPr>
                <w:rFonts w:hint="default" w:ascii="Times New Roman" w:hAnsi="Times New Roman" w:eastAsia="宋体" w:cs="Times New Roman"/>
                <w:b w:val="0"/>
                <w:bCs w:val="0"/>
                <w:caps w:val="0"/>
                <w:smallCaps w:val="0"/>
                <w:color w:val="000000" w:themeColor="text1"/>
                <w:spacing w:val="0"/>
                <w:w w:val="100"/>
                <w:kern w:val="0"/>
                <w:position w:val="0"/>
                <w:sz w:val="21"/>
                <w:szCs w:val="21"/>
                <w:u w:val="none" w:color="auto"/>
                <w:vertAlign w:val="baseline"/>
                <w:lang w:val="en-US" w:eastAsia="zh-CN"/>
                <w14:textFill>
                  <w14:solidFill>
                    <w14:schemeClr w14:val="tx1"/>
                  </w14:solidFill>
                </w14:textFill>
              </w:rPr>
              <w:t>染，环境功能不受影响。</w:t>
            </w:r>
          </w:p>
        </w:tc>
      </w:tr>
    </w:tbl>
    <w:p w14:paraId="34902DAE">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w w:val="100"/>
          <w:kern w:val="0"/>
          <w:position w:val="0"/>
          <w:szCs w:val="21"/>
          <w:u w:val="none" w:color="auto"/>
        </w:rPr>
      </w:pPr>
    </w:p>
    <w:p w14:paraId="69780A28">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aps w:val="0"/>
          <w:smallCaps w:val="0"/>
          <w:color w:val="auto"/>
          <w:spacing w:val="0"/>
          <w:w w:val="100"/>
          <w:kern w:val="0"/>
          <w:position w:val="0"/>
          <w:szCs w:val="21"/>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Cs w:val="21"/>
          <w:u w:val="none" w:color="auto"/>
          <w:lang w:val="en-US" w:eastAsia="zh-CN"/>
        </w:rPr>
        <w:t xml:space="preserve"> </w:t>
      </w:r>
    </w:p>
    <w:p w14:paraId="71785D67">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FF0000"/>
          <w:spacing w:val="0"/>
          <w:w w:val="100"/>
          <w:kern w:val="0"/>
          <w:position w:val="0"/>
          <w:szCs w:val="21"/>
          <w:u w:val="none" w:color="auto"/>
        </w:rPr>
      </w:pPr>
    </w:p>
    <w:p w14:paraId="1AD2B902">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FF0000"/>
          <w:spacing w:val="0"/>
          <w:w w:val="100"/>
          <w:kern w:val="0"/>
          <w:position w:val="0"/>
          <w:szCs w:val="21"/>
          <w:u w:val="none" w:color="auto"/>
        </w:rPr>
      </w:pPr>
    </w:p>
    <w:p w14:paraId="40D1758A">
      <w:pPr>
        <w:keepNext w:val="0"/>
        <w:keepLines w:val="0"/>
        <w:pageBreakBefore w:val="0"/>
        <w:widowControl w:val="0"/>
        <w:kinsoku w:val="0"/>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aps w:val="0"/>
          <w:smallCaps w:val="0"/>
          <w:color w:val="FF0000"/>
          <w:spacing w:val="0"/>
          <w:w w:val="100"/>
          <w:kern w:val="0"/>
          <w:position w:val="0"/>
          <w:szCs w:val="21"/>
          <w:u w:val="none" w:color="auto"/>
          <w:lang w:val="en-US" w:eastAsia="zh-CN"/>
        </w:rPr>
      </w:pPr>
      <w:r>
        <w:rPr>
          <w:rFonts w:hint="eastAsia" w:ascii="Times New Roman" w:hAnsi="Times New Roman" w:eastAsia="宋体" w:cs="Times New Roman"/>
          <w:b/>
          <w:bCs/>
          <w:caps w:val="0"/>
          <w:smallCaps w:val="0"/>
          <w:color w:val="FF0000"/>
          <w:spacing w:val="0"/>
          <w:w w:val="100"/>
          <w:kern w:val="0"/>
          <w:position w:val="0"/>
          <w:szCs w:val="21"/>
          <w:u w:val="none" w:color="auto"/>
          <w:lang w:val="en-US" w:eastAsia="zh-CN"/>
        </w:rPr>
        <w:t xml:space="preserve"> </w:t>
      </w:r>
    </w:p>
    <w:p w14:paraId="6A519824">
      <w:pPr>
        <w:pageBreakBefore w:val="0"/>
        <w:kinsoku w:val="0"/>
        <w:wordWrap w:val="0"/>
        <w:overflowPunct/>
        <w:topLinePunct/>
        <w:autoSpaceDE/>
        <w:autoSpaceDN/>
        <w:bidi w:val="0"/>
        <w:rPr>
          <w:rFonts w:hint="default" w:ascii="Times New Roman" w:hAnsi="Times New Roman" w:eastAsia="宋体" w:cs="Times New Roman"/>
          <w:b/>
          <w:bCs/>
          <w:caps w:val="0"/>
          <w:smallCaps w:val="0"/>
          <w:color w:val="FF0000"/>
          <w:spacing w:val="0"/>
          <w:w w:val="100"/>
          <w:kern w:val="0"/>
          <w:position w:val="0"/>
          <w:szCs w:val="21"/>
          <w:u w:val="none" w:color="auto"/>
        </w:rPr>
      </w:pPr>
      <w:r>
        <w:rPr>
          <w:rFonts w:hint="default" w:ascii="Times New Roman" w:hAnsi="Times New Roman" w:eastAsia="宋体" w:cs="Times New Roman"/>
          <w:b/>
          <w:bCs/>
          <w:caps w:val="0"/>
          <w:smallCaps w:val="0"/>
          <w:color w:val="FF0000"/>
          <w:spacing w:val="0"/>
          <w:w w:val="100"/>
          <w:kern w:val="0"/>
          <w:position w:val="0"/>
          <w:szCs w:val="21"/>
          <w:u w:val="none" w:color="auto"/>
        </w:rPr>
        <w:br w:type="page"/>
      </w:r>
    </w:p>
    <w:p w14:paraId="07BB810A">
      <w:pPr>
        <w:pStyle w:val="2"/>
        <w:bidi w:val="0"/>
        <w:rPr>
          <w:rFonts w:hint="default" w:ascii="Times New Roman" w:hAnsi="Times New Roman" w:cs="Times New Roman"/>
          <w:u w:val="none" w:color="auto"/>
        </w:rPr>
      </w:pPr>
      <w:bookmarkStart w:id="369" w:name="_Toc8266"/>
      <w:r>
        <w:rPr>
          <w:rFonts w:hint="default" w:ascii="Times New Roman" w:hAnsi="Times New Roman" w:cs="Times New Roman"/>
          <w:u w:val="none" w:color="auto"/>
        </w:rPr>
        <w:t>环境影响评价结论</w:t>
      </w:r>
      <w:bookmarkEnd w:id="369"/>
    </w:p>
    <w:p w14:paraId="4DE0EB19">
      <w:pPr>
        <w:pStyle w:val="3"/>
        <w:bidi w:val="0"/>
        <w:rPr>
          <w:rFonts w:hint="default" w:ascii="Times New Roman" w:hAnsi="Times New Roman" w:cs="Times New Roman"/>
          <w:u w:val="none" w:color="auto"/>
        </w:rPr>
      </w:pPr>
      <w:bookmarkStart w:id="370" w:name="_Toc4274"/>
      <w:r>
        <w:rPr>
          <w:rFonts w:hint="default" w:ascii="Times New Roman" w:hAnsi="Times New Roman" w:cs="Times New Roman"/>
          <w:u w:val="none" w:color="auto"/>
        </w:rPr>
        <w:t>项目概况</w:t>
      </w:r>
      <w:bookmarkEnd w:id="370"/>
    </w:p>
    <w:p w14:paraId="458EF134">
      <w:pPr>
        <w:keepNext w:val="0"/>
        <w:keepLines w:val="0"/>
        <w:pageBreakBefore w:val="0"/>
        <w:widowControl w:val="0"/>
        <w:overflowPunct/>
        <w:autoSpaceDE/>
        <w:autoSpaceDN/>
        <w:bidi w:val="0"/>
        <w:adjustRightInd/>
        <w:snapToGrid/>
        <w:spacing w:line="360" w:lineRule="auto"/>
        <w:ind w:left="0" w:firstLine="478"/>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北汊水库位于湖南省岳阳市华容县禹山镇境内，藕池河东支下游北侧，上西湖北部湖汊上，主坝坝址位于华容县禹山镇老河口村，距华容县城23km。北汊水库是一座低土坝、大库容的平原型水库，控制流域面积17.5k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u w:val="none" w:color="auto"/>
          <w:lang w:val="en-US" w:eastAsia="zh-CN"/>
        </w:rPr>
        <w:t>，主河道长度 3.25km，干流平均坡降3.3‰，水库正常蓄水位为30.50m，校核洪水位31.38m，总库容1423万m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u w:val="none" w:color="auto"/>
          <w:lang w:val="en-US" w:eastAsia="zh-CN"/>
        </w:rPr>
        <w:t>，是一座以灌溉、防洪为主，兼有养殖等综合效益的中型水库。</w:t>
      </w: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枢纽主要建筑物为主坝、6座副坝、泄洪闸、2座输水涵闸和2座进水涵等。该工程等别为III等，主要建筑物为3级，次要建筑物为4级。设计洪水标准为50年一遇，校核洪水标准为300年一遇，永久性泄水建筑物消能防冲设计洪水标准为50年一遇。</w:t>
      </w:r>
    </w:p>
    <w:p w14:paraId="0BF4270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北汊水库工程始建于1975年，1978 年建成，系典型的“三边”工程，并受当时技术水平和特殊年代的限制，该水库施工质量差，基础清基不彻底，运行过程中出现了诸多安全隐患。</w:t>
      </w:r>
      <w:r>
        <w:rPr>
          <w:rFonts w:hint="default" w:ascii="Times New Roman" w:hAnsi="Times New Roman" w:eastAsia="宋体" w:cs="Times New Roman"/>
          <w:color w:val="auto"/>
          <w:spacing w:val="0"/>
          <w:w w:val="100"/>
          <w:position w:val="0"/>
          <w:sz w:val="24"/>
          <w:szCs w:val="24"/>
          <w:highlight w:val="none"/>
          <w:u w:val="none" w:color="auto"/>
          <w:lang w:val="en-US" w:eastAsia="zh-CN"/>
        </w:rPr>
        <w:t>2021</w:t>
      </w:r>
      <w:r>
        <w:rPr>
          <w:rFonts w:hint="eastAsia" w:ascii="Times New Roman" w:hAnsi="Times New Roman" w:eastAsia="宋体" w:cs="Times New Roman"/>
          <w:color w:val="auto"/>
          <w:spacing w:val="0"/>
          <w:w w:val="100"/>
          <w:position w:val="0"/>
          <w:sz w:val="24"/>
          <w:szCs w:val="24"/>
          <w:highlight w:val="none"/>
          <w:u w:val="none" w:color="auto"/>
          <w:lang w:val="en-US" w:eastAsia="zh-CN"/>
        </w:rPr>
        <w:t>年</w:t>
      </w:r>
      <w:r>
        <w:rPr>
          <w:rFonts w:hint="default" w:ascii="Times New Roman" w:hAnsi="Times New Roman" w:eastAsia="宋体" w:cs="Times New Roman"/>
          <w:color w:val="auto"/>
          <w:spacing w:val="0"/>
          <w:w w:val="100"/>
          <w:position w:val="0"/>
          <w:sz w:val="24"/>
          <w:szCs w:val="24"/>
          <w:highlight w:val="none"/>
          <w:u w:val="none" w:color="auto"/>
          <w:lang w:val="en-US" w:eastAsia="zh-CN"/>
        </w:rPr>
        <w:t>3</w:t>
      </w:r>
      <w:r>
        <w:rPr>
          <w:rFonts w:hint="eastAsia" w:ascii="Times New Roman" w:hAnsi="Times New Roman" w:eastAsia="宋体" w:cs="Times New Roman"/>
          <w:color w:val="auto"/>
          <w:spacing w:val="0"/>
          <w:w w:val="100"/>
          <w:position w:val="0"/>
          <w:sz w:val="24"/>
          <w:szCs w:val="24"/>
          <w:highlight w:val="none"/>
          <w:u w:val="none" w:color="auto"/>
          <w:lang w:val="en-US" w:eastAsia="zh-CN"/>
        </w:rPr>
        <w:t>月，岳阳市水利局印发了《关于印发华容县北汊水库大坝安全鉴定成果的通知》（岳市水利函〔2021〕28号），评定北汊水库的大坝安全类别为“三类坝”。</w:t>
      </w:r>
    </w:p>
    <w:p w14:paraId="262956C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北汊水库具有灌溉、防洪等综合效益，设计灌溉面积9万亩，下游涉及北景港镇、禹山镇、新河乡、章华镇等4个乡镇，以及G234国道等的防洪安全。为确保水库的安全运行，保证下游人民生命财产安全和重要设施防洪安全，对水库大坝进行除险加固是必要的。</w:t>
      </w:r>
    </w:p>
    <w:p w14:paraId="0A3947DB">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lang w:val="en-US" w:eastAsia="zh-CN"/>
        </w:rPr>
      </w:pPr>
      <w:r>
        <w:rPr>
          <w:rFonts w:hint="default" w:ascii="Times New Roman" w:hAnsi="Times New Roman" w:eastAsia="宋体" w:cs="Times New Roman"/>
          <w:i w:val="0"/>
          <w:caps w:val="0"/>
          <w:color w:val="000000"/>
          <w:spacing w:val="0"/>
          <w:w w:val="100"/>
          <w:position w:val="0"/>
          <w:sz w:val="24"/>
          <w:szCs w:val="24"/>
          <w:u w:val="none" w:color="auto"/>
          <w:shd w:val="clear" w:fill="FFFFFF"/>
          <w:lang w:eastAsia="zh-CN"/>
        </w:rPr>
        <w:t>华容县</w:t>
      </w:r>
      <w:r>
        <w:rPr>
          <w:rFonts w:hint="eastAsia" w:ascii="Times New Roman" w:hAnsi="Times New Roman" w:eastAsia="宋体" w:cs="Times New Roman"/>
          <w:i w:val="0"/>
          <w:caps w:val="0"/>
          <w:color w:val="000000"/>
          <w:spacing w:val="0"/>
          <w:w w:val="100"/>
          <w:position w:val="0"/>
          <w:sz w:val="24"/>
          <w:szCs w:val="24"/>
          <w:u w:val="none" w:color="auto"/>
          <w:shd w:val="clear" w:fill="FFFFFF"/>
          <w:lang w:eastAsia="zh-CN"/>
        </w:rPr>
        <w:t>北汊水库</w:t>
      </w:r>
      <w:r>
        <w:rPr>
          <w:rFonts w:hint="default" w:ascii="Times New Roman" w:hAnsi="Times New Roman" w:eastAsia="宋体" w:cs="Times New Roman"/>
          <w:i w:val="0"/>
          <w:caps w:val="0"/>
          <w:color w:val="000000"/>
          <w:spacing w:val="0"/>
          <w:w w:val="100"/>
          <w:position w:val="0"/>
          <w:sz w:val="24"/>
          <w:szCs w:val="24"/>
          <w:u w:val="none" w:color="auto"/>
          <w:shd w:val="clear" w:fill="FFFFFF"/>
          <w:lang w:eastAsia="zh-CN"/>
        </w:rPr>
        <w:t>除险加固工程</w:t>
      </w:r>
      <w:r>
        <w:rPr>
          <w:rFonts w:hint="eastAsia" w:ascii="Times New Roman" w:hAnsi="Times New Roman" w:eastAsia="宋体" w:cs="Times New Roman"/>
          <w:i w:val="0"/>
          <w:caps w:val="0"/>
          <w:color w:val="000000"/>
          <w:spacing w:val="0"/>
          <w:w w:val="100"/>
          <w:position w:val="0"/>
          <w:sz w:val="24"/>
          <w:szCs w:val="24"/>
          <w:u w:val="none" w:color="auto"/>
          <w:shd w:val="clear" w:fill="FFFFFF"/>
          <w:lang w:eastAsia="zh-CN"/>
        </w:rPr>
        <w:t>初步设计概算</w:t>
      </w:r>
      <w:r>
        <w:rPr>
          <w:rFonts w:hint="default" w:ascii="Times New Roman" w:hAnsi="Times New Roman" w:eastAsia="宋体" w:cs="Times New Roman"/>
          <w:color w:val="auto"/>
          <w:spacing w:val="0"/>
          <w:w w:val="100"/>
          <w:position w:val="0"/>
          <w:sz w:val="24"/>
          <w:szCs w:val="24"/>
          <w:u w:val="none" w:color="auto"/>
          <w:lang w:eastAsia="zh-CN"/>
        </w:rPr>
        <w:t>总</w:t>
      </w:r>
      <w:r>
        <w:rPr>
          <w:rFonts w:hint="default" w:ascii="Times New Roman" w:hAnsi="Times New Roman" w:eastAsia="宋体" w:cs="Times New Roman"/>
          <w:color w:val="auto"/>
          <w:spacing w:val="0"/>
          <w:w w:val="100"/>
          <w:position w:val="0"/>
          <w:sz w:val="24"/>
          <w:szCs w:val="24"/>
          <w:highlight w:val="none"/>
          <w:u w:val="none" w:color="auto"/>
          <w:lang w:eastAsia="zh-CN"/>
        </w:rPr>
        <w:t>投资</w:t>
      </w:r>
      <w:r>
        <w:rPr>
          <w:rFonts w:hint="eastAsia" w:ascii="Times New Roman" w:hAnsi="Times New Roman" w:cs="Times New Roman"/>
          <w:color w:val="auto"/>
          <w:spacing w:val="0"/>
          <w:w w:val="100"/>
          <w:position w:val="0"/>
          <w:sz w:val="24"/>
          <w:szCs w:val="24"/>
          <w:highlight w:val="none"/>
          <w:u w:val="none" w:color="auto"/>
          <w:lang w:val="en-US" w:eastAsia="zh-CN"/>
        </w:rPr>
        <w:t>9733.03</w:t>
      </w:r>
      <w:r>
        <w:rPr>
          <w:rFonts w:hint="default" w:ascii="Times New Roman" w:hAnsi="Times New Roman" w:eastAsia="宋体" w:cs="Times New Roman"/>
          <w:color w:val="auto"/>
          <w:spacing w:val="0"/>
          <w:w w:val="100"/>
          <w:position w:val="0"/>
          <w:sz w:val="24"/>
          <w:szCs w:val="24"/>
          <w:highlight w:val="none"/>
          <w:u w:val="none" w:color="auto"/>
          <w:lang w:val="en-US" w:eastAsia="zh-CN"/>
        </w:rPr>
        <w:t>万元，工程主要建设内容包括：(一)主坝左坝肩防渗</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坝顶加高加宽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新建防浪墙</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坝顶路面改造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上游坝坡采用水泥土搅拌桩加固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现有预制块护坡整修</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下游坝坡培厚并采用水泥土搅拌桩加固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现有贴坡排水改造。(二)一至六副坝坝顶加高加宽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新建防浪墙</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坝顶路面改造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上游坝坡现有预制块护坡整修</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一至六副坝下游坝坡培厚</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一副坝、五副坝下游现有坝坡贴坡排水改造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其他副坝下游坝坡采用格宾石笼挡墙加固。(三)泄洪闸闸室段防渗</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启闭机房加固改造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更换拦污栅、工作闸门及启闭设备。(四)二副坝输水涵进口清淤</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更换拦污栅、工作闸门及启闭设备</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五副坝输水涵控制闸拆除重建</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新建工作桥</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更换拦污栅、检修闸门、工作闸门及启闭设备</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四副坝、五副坝进水涵拆除重建。(五)防汛公路改造，近坝库岸防护</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管理用房改造</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新建防汛仓库</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完善工程安全监测设施、标准化及信息化建设</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主坝及6座副坝白蚁防治。</w:t>
      </w:r>
    </w:p>
    <w:p w14:paraId="5F6C5824">
      <w:pPr>
        <w:pStyle w:val="3"/>
        <w:bidi w:val="0"/>
        <w:rPr>
          <w:rFonts w:hint="default" w:ascii="Times New Roman" w:hAnsi="Times New Roman" w:cs="Times New Roman"/>
          <w:u w:val="none" w:color="auto"/>
          <w:lang w:eastAsia="zh-CN"/>
        </w:rPr>
      </w:pPr>
      <w:bookmarkStart w:id="371" w:name="_Toc11768"/>
      <w:r>
        <w:rPr>
          <w:rFonts w:hint="eastAsia" w:ascii="Times New Roman" w:hAnsi="Times New Roman" w:cs="Times New Roman"/>
          <w:u w:val="none" w:color="auto"/>
          <w:lang w:eastAsia="zh-CN"/>
        </w:rPr>
        <w:t>建设项目环境</w:t>
      </w:r>
      <w:r>
        <w:rPr>
          <w:rFonts w:hint="default" w:ascii="Times New Roman" w:hAnsi="Times New Roman" w:cs="Times New Roman"/>
          <w:u w:val="none" w:color="auto"/>
          <w:lang w:eastAsia="zh-CN"/>
        </w:rPr>
        <w:t>合</w:t>
      </w:r>
      <w:r>
        <w:rPr>
          <w:rFonts w:hint="eastAsia" w:ascii="Times New Roman" w:hAnsi="Times New Roman" w:cs="Times New Roman"/>
          <w:u w:val="none" w:color="auto"/>
          <w:lang w:eastAsia="zh-CN"/>
        </w:rPr>
        <w:t>理</w:t>
      </w:r>
      <w:r>
        <w:rPr>
          <w:rFonts w:hint="default" w:ascii="Times New Roman" w:hAnsi="Times New Roman" w:cs="Times New Roman"/>
          <w:u w:val="none" w:color="auto"/>
          <w:lang w:eastAsia="zh-CN"/>
        </w:rPr>
        <w:t>性分析</w:t>
      </w:r>
      <w:bookmarkEnd w:id="371"/>
    </w:p>
    <w:p w14:paraId="34A7B3D1">
      <w:pPr>
        <w:keepNext w:val="0"/>
        <w:keepLines w:val="0"/>
        <w:pageBreakBefore w:val="0"/>
        <w:kinsoku w:val="0"/>
        <w:wordWrap w:val="0"/>
        <w:overflowPunct/>
        <w:topLinePunct/>
        <w:autoSpaceDE/>
        <w:autoSpaceDN/>
        <w:bidi w:val="0"/>
        <w:adjustRightInd w:val="0"/>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根据《产业结构调整指导目录》（20</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24</w:t>
      </w:r>
      <w:r>
        <w:rPr>
          <w:rFonts w:hint="default" w:ascii="Times New Roman" w:hAnsi="Times New Roman" w:eastAsia="宋体" w:cs="Times New Roman"/>
          <w:caps w:val="0"/>
          <w:smallCaps w:val="0"/>
          <w:color w:val="auto"/>
          <w:spacing w:val="0"/>
          <w:w w:val="100"/>
          <w:kern w:val="0"/>
          <w:position w:val="0"/>
          <w:sz w:val="24"/>
          <w:szCs w:val="24"/>
          <w:u w:val="none" w:color="auto"/>
        </w:rPr>
        <w:t>年本），</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本</w:t>
      </w:r>
      <w:r>
        <w:rPr>
          <w:rFonts w:hint="default" w:ascii="Times New Roman" w:hAnsi="Times New Roman" w:eastAsia="宋体" w:cs="Times New Roman"/>
          <w:caps w:val="0"/>
          <w:smallCaps w:val="0"/>
          <w:color w:val="auto"/>
          <w:spacing w:val="0"/>
          <w:w w:val="100"/>
          <w:kern w:val="0"/>
          <w:position w:val="0"/>
          <w:sz w:val="24"/>
          <w:szCs w:val="24"/>
          <w:u w:val="none" w:color="auto"/>
        </w:rPr>
        <w:t>项目属于鼓励类“二、水利</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-3防洪提升工程：</w:t>
      </w:r>
      <w:r>
        <w:rPr>
          <w:rFonts w:hint="default" w:ascii="Times New Roman" w:hAnsi="Times New Roman" w:eastAsia="宋体" w:cs="Times New Roman"/>
          <w:caps w:val="0"/>
          <w:smallCaps w:val="0"/>
          <w:color w:val="auto"/>
          <w:spacing w:val="0"/>
          <w:w w:val="100"/>
          <w:kern w:val="0"/>
          <w:position w:val="0"/>
          <w:sz w:val="24"/>
          <w:szCs w:val="24"/>
          <w:u w:val="none" w:color="auto"/>
        </w:rPr>
        <w:t>病险水库、水闸除险加固工程”，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同时本</w:t>
      </w:r>
      <w:r>
        <w:rPr>
          <w:rFonts w:hint="default" w:ascii="Times New Roman" w:hAnsi="Times New Roman" w:eastAsia="宋体" w:cs="Times New Roman"/>
          <w:caps w:val="0"/>
          <w:smallCaps w:val="0"/>
          <w:color w:val="auto"/>
          <w:spacing w:val="0"/>
          <w:w w:val="100"/>
          <w:kern w:val="0"/>
          <w:position w:val="0"/>
          <w:sz w:val="24"/>
          <w:szCs w:val="24"/>
          <w:u w:val="none" w:color="auto"/>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于</w:t>
      </w:r>
      <w:r>
        <w:rPr>
          <w:rFonts w:hint="eastAsia" w:ascii="Times New Roman" w:hAnsi="Times New Roman" w:eastAsia="宋体" w:cs="Times New Roman"/>
          <w:color w:val="auto"/>
          <w:spacing w:val="0"/>
          <w:w w:val="100"/>
          <w:position w:val="0"/>
          <w:sz w:val="24"/>
          <w:szCs w:val="24"/>
          <w:u w:val="none" w:color="auto"/>
          <w:lang w:val="en-US" w:eastAsia="zh-CN"/>
        </w:rPr>
        <w:t>2023年9月5日，取得了华容县发展和改革局《关于华容县北汊水库除险加固工程项目可行性研究报告的批复》（华发改投审〔2023〕70号），</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项目建设</w:t>
      </w:r>
      <w:r>
        <w:rPr>
          <w:rFonts w:hint="default" w:ascii="Times New Roman" w:hAnsi="Times New Roman" w:eastAsia="宋体" w:cs="Times New Roman"/>
          <w:caps w:val="0"/>
          <w:smallCaps w:val="0"/>
          <w:color w:val="auto"/>
          <w:spacing w:val="0"/>
          <w:w w:val="100"/>
          <w:kern w:val="0"/>
          <w:position w:val="0"/>
          <w:sz w:val="24"/>
          <w:szCs w:val="24"/>
          <w:u w:val="none" w:color="auto"/>
        </w:rPr>
        <w:t>符合国家产业政策的要求。</w:t>
      </w:r>
    </w:p>
    <w:p w14:paraId="0ADD77AC">
      <w:pPr>
        <w:keepNext w:val="0"/>
        <w:keepLines w:val="0"/>
        <w:pageBreakBefore w:val="0"/>
        <w:widowControl w:val="0"/>
        <w:overflowPunct/>
        <w:autoSpaceDE/>
        <w:autoSpaceDN/>
        <w:bidi w:val="0"/>
        <w:snapToGrid/>
        <w:spacing w:line="360" w:lineRule="auto"/>
        <w:ind w:left="0" w:right="0" w:firstLine="481"/>
        <w:textAlignment w:val="auto"/>
        <w:rPr>
          <w:rFonts w:hint="default" w:ascii="Times New Roman" w:hAnsi="Times New Roman" w:eastAsia="宋体" w:cs="Times New Roman"/>
          <w:color w:val="FF0000"/>
          <w:spacing w:val="0"/>
          <w:w w:val="100"/>
          <w:position w:val="0"/>
          <w:sz w:val="24"/>
          <w:szCs w:val="24"/>
          <w:u w:val="none" w:color="auto"/>
          <w:lang w:val="en-US" w:eastAsia="zh-CN"/>
        </w:rPr>
      </w:pPr>
      <w:r>
        <w:rPr>
          <w:rFonts w:hint="default" w:ascii="Times New Roman" w:hAnsi="Times New Roman" w:eastAsia="宋体" w:cs="Times New Roman"/>
          <w:color w:val="auto"/>
          <w:spacing w:val="0"/>
          <w:w w:val="100"/>
          <w:position w:val="0"/>
          <w:sz w:val="24"/>
          <w:szCs w:val="24"/>
          <w:u w:val="none" w:color="auto"/>
          <w:lang w:val="en-US" w:eastAsia="zh-CN"/>
        </w:rPr>
        <w:t>本工程建设符合</w:t>
      </w:r>
      <w:r>
        <w:rPr>
          <w:rFonts w:hint="default" w:ascii="Times New Roman" w:hAnsi="Times New Roman" w:eastAsia="宋体" w:cs="Times New Roman"/>
          <w:color w:val="auto"/>
          <w:spacing w:val="0"/>
          <w:w w:val="100"/>
          <w:kern w:val="0"/>
          <w:position w:val="0"/>
          <w:sz w:val="24"/>
          <w:highlight w:val="none"/>
          <w:u w:val="none" w:color="auto"/>
        </w:rPr>
        <w:t>《中华人民共和国长江保护法》</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rPr>
        <w:t>中华人民共和国</w:t>
      </w:r>
      <w:r>
        <w:rPr>
          <w:rFonts w:hint="eastAsia" w:ascii="Times New Roman" w:hAnsi="Times New Roman" w:eastAsia="宋体" w:cs="Times New Roman"/>
          <w:color w:val="auto"/>
          <w:spacing w:val="0"/>
          <w:w w:val="100"/>
          <w:kern w:val="0"/>
          <w:position w:val="0"/>
          <w:sz w:val="24"/>
          <w:highlight w:val="none"/>
          <w:u w:val="none" w:color="auto"/>
          <w:lang w:eastAsia="zh-CN"/>
        </w:rPr>
        <w:t>湿地保护</w:t>
      </w:r>
      <w:r>
        <w:rPr>
          <w:rFonts w:hint="default" w:ascii="Times New Roman" w:hAnsi="Times New Roman" w:eastAsia="宋体" w:cs="Times New Roman"/>
          <w:color w:val="auto"/>
          <w:spacing w:val="0"/>
          <w:w w:val="100"/>
          <w:kern w:val="0"/>
          <w:position w:val="0"/>
          <w:sz w:val="24"/>
          <w:highlight w:val="none"/>
          <w:u w:val="none" w:color="auto"/>
        </w:rPr>
        <w:t>法</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eastAsia" w:ascii="Times New Roman" w:hAnsi="Times New Roman" w:eastAsia="宋体" w:cs="Times New Roman"/>
          <w:color w:val="auto"/>
          <w:spacing w:val="0"/>
          <w:w w:val="100"/>
          <w:kern w:val="0"/>
          <w:position w:val="0"/>
          <w:sz w:val="24"/>
          <w:highlight w:val="none"/>
          <w:u w:val="none" w:color="auto"/>
          <w:lang w:eastAsia="zh-CN"/>
        </w:rPr>
        <w:t>国家级自然公园管理办法</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eastAsia" w:ascii="Times New Roman" w:hAnsi="Times New Roman" w:eastAsia="宋体" w:cs="Times New Roman"/>
          <w:color w:val="auto"/>
          <w:spacing w:val="0"/>
          <w:w w:val="100"/>
          <w:kern w:val="0"/>
          <w:position w:val="0"/>
          <w:sz w:val="24"/>
          <w:highlight w:val="none"/>
          <w:u w:val="none" w:color="auto"/>
          <w:lang w:eastAsia="zh-CN"/>
        </w:rPr>
        <w:t>湿地保护管理规定</w:t>
      </w:r>
      <w:r>
        <w:rPr>
          <w:rFonts w:hint="default" w:ascii="Times New Roman" w:hAnsi="Times New Roman" w:eastAsia="宋体" w:cs="Times New Roman"/>
          <w:color w:val="auto"/>
          <w:spacing w:val="0"/>
          <w:w w:val="100"/>
          <w:kern w:val="0"/>
          <w:position w:val="0"/>
          <w:sz w:val="24"/>
          <w:highlight w:val="none"/>
          <w:u w:val="none" w:color="auto"/>
          <w:lang w:eastAsia="zh-CN"/>
        </w:rPr>
        <w:t>》</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eastAsia" w:ascii="Times New Roman" w:hAnsi="Times New Roman" w:eastAsia="宋体" w:cs="Times New Roman"/>
          <w:b w:val="0"/>
          <w:bCs w:val="0"/>
          <w:color w:val="auto"/>
          <w:spacing w:val="0"/>
          <w:w w:val="100"/>
          <w:kern w:val="0"/>
          <w:position w:val="0"/>
          <w:sz w:val="24"/>
          <w:highlight w:val="none"/>
          <w:u w:val="none" w:color="auto"/>
          <w:lang w:val="en-US" w:eastAsia="zh-CN"/>
        </w:rPr>
        <w:t>《国家林业和草原局湿地管理司关于进步加强国家湿地公园征占用备案有关工作的通知》等</w:t>
      </w:r>
      <w:r>
        <w:rPr>
          <w:rFonts w:hint="default" w:ascii="Times New Roman" w:hAnsi="Times New Roman" w:eastAsia="宋体" w:cs="Times New Roman"/>
          <w:color w:val="auto"/>
          <w:spacing w:val="0"/>
          <w:w w:val="100"/>
          <w:position w:val="0"/>
          <w:sz w:val="24"/>
          <w:szCs w:val="24"/>
          <w:u w:val="none" w:color="auto"/>
          <w:lang w:val="en-US" w:eastAsia="zh-CN"/>
        </w:rPr>
        <w:t>相关</w:t>
      </w:r>
      <w:r>
        <w:rPr>
          <w:rFonts w:hint="eastAsia" w:ascii="Times New Roman" w:hAnsi="Times New Roman" w:eastAsia="宋体" w:cs="Times New Roman"/>
          <w:color w:val="auto"/>
          <w:spacing w:val="0"/>
          <w:w w:val="100"/>
          <w:position w:val="0"/>
          <w:sz w:val="24"/>
          <w:szCs w:val="24"/>
          <w:u w:val="none" w:color="auto"/>
          <w:lang w:val="en-US" w:eastAsia="zh-CN"/>
        </w:rPr>
        <w:t>法律法规的</w:t>
      </w:r>
      <w:r>
        <w:rPr>
          <w:rFonts w:hint="default" w:ascii="Times New Roman" w:hAnsi="Times New Roman" w:eastAsia="宋体" w:cs="Times New Roman"/>
          <w:color w:val="auto"/>
          <w:spacing w:val="0"/>
          <w:w w:val="100"/>
          <w:position w:val="0"/>
          <w:sz w:val="24"/>
          <w:szCs w:val="24"/>
          <w:u w:val="none" w:color="auto"/>
          <w:lang w:val="en-US" w:eastAsia="zh-CN"/>
        </w:rPr>
        <w:t>要求。</w:t>
      </w:r>
      <w:r>
        <w:rPr>
          <w:rFonts w:hint="default" w:ascii="Times New Roman" w:hAnsi="Times New Roman" w:eastAsia="宋体" w:cs="Times New Roman"/>
          <w:color w:val="FF0000"/>
          <w:spacing w:val="0"/>
          <w:w w:val="100"/>
          <w:position w:val="0"/>
          <w:sz w:val="24"/>
          <w:szCs w:val="24"/>
          <w:u w:val="none" w:color="auto"/>
          <w:lang w:val="en-US" w:eastAsia="zh-CN"/>
        </w:rPr>
        <w:t xml:space="preserve"> </w:t>
      </w:r>
    </w:p>
    <w:p w14:paraId="45E6A654">
      <w:pPr>
        <w:keepNext w:val="0"/>
        <w:keepLines w:val="0"/>
        <w:pageBreakBefore w:val="0"/>
        <w:widowControl w:val="0"/>
        <w:kinsoku w:val="0"/>
        <w:wordWrap w:val="0"/>
        <w:overflowPunct/>
        <w:topLinePunct/>
        <w:autoSpaceDE/>
        <w:autoSpaceDN/>
        <w:bidi w:val="0"/>
        <w:adjustRightInd w:val="0"/>
        <w:snapToGrid/>
        <w:spacing w:after="157" w:afterLines="50"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 </w:t>
      </w:r>
      <w:r>
        <w:rPr>
          <w:rFonts w:hint="default" w:ascii="Times New Roman" w:hAnsi="Times New Roman" w:eastAsia="宋体" w:cs="Times New Roman"/>
          <w:color w:val="auto"/>
          <w:spacing w:val="0"/>
          <w:w w:val="100"/>
          <w:kern w:val="0"/>
          <w:position w:val="0"/>
          <w:sz w:val="24"/>
          <w:highlight w:val="none"/>
          <w:u w:val="none" w:color="auto"/>
          <w:lang w:eastAsia="zh-CN"/>
        </w:rPr>
        <w:t>本工程</w:t>
      </w:r>
      <w:r>
        <w:rPr>
          <w:rFonts w:hint="default" w:ascii="Times New Roman" w:hAnsi="Times New Roman" w:eastAsia="宋体" w:cs="Times New Roman"/>
          <w:color w:val="auto"/>
          <w:spacing w:val="0"/>
          <w:w w:val="100"/>
          <w:kern w:val="0"/>
          <w:position w:val="0"/>
          <w:sz w:val="24"/>
          <w:highlight w:val="none"/>
          <w:u w:val="none" w:color="auto"/>
        </w:rPr>
        <w:t>建设不会破坏原有生态功能，项目建设符合</w:t>
      </w:r>
      <w:r>
        <w:rPr>
          <w:rFonts w:hint="default" w:ascii="Times New Roman" w:hAnsi="Times New Roman" w:eastAsia="宋体" w:cs="Times New Roman"/>
          <w:color w:val="auto"/>
          <w:spacing w:val="0"/>
          <w:w w:val="100"/>
          <w:kern w:val="0"/>
          <w:position w:val="0"/>
          <w:sz w:val="24"/>
          <w:highlight w:val="none"/>
          <w:u w:val="none" w:color="auto"/>
          <w:lang w:eastAsia="zh-CN"/>
        </w:rPr>
        <w:t>全国</w:t>
      </w:r>
      <w:r>
        <w:rPr>
          <w:rFonts w:hint="default" w:ascii="Times New Roman" w:hAnsi="Times New Roman" w:eastAsia="宋体" w:cs="Times New Roman"/>
          <w:color w:val="auto"/>
          <w:spacing w:val="0"/>
          <w:w w:val="100"/>
          <w:kern w:val="0"/>
          <w:position w:val="0"/>
          <w:sz w:val="24"/>
          <w:highlight w:val="none"/>
          <w:u w:val="none" w:color="auto"/>
        </w:rPr>
        <w:t>生态功能区划要求</w:t>
      </w:r>
      <w:r>
        <w:rPr>
          <w:rFonts w:hint="eastAsia" w:ascii="Times New Roman" w:hAnsi="Times New Roman" w:eastAsia="宋体" w:cs="Times New Roman"/>
          <w:color w:val="auto"/>
          <w:spacing w:val="0"/>
          <w:w w:val="100"/>
          <w:kern w:val="0"/>
          <w:position w:val="0"/>
          <w:sz w:val="24"/>
          <w:highlight w:val="none"/>
          <w:u w:val="none" w:color="auto"/>
          <w:lang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本工程实施不可避让</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湖南华容东湖国家湿地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公园</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本项目建设已获得华容县林业局</w:t>
      </w:r>
      <w:r>
        <w:rPr>
          <w:rFonts w:hint="eastAsia" w:ascii="Times New Roman" w:hAnsi="Times New Roman" w:eastAsia="宋体" w:cs="Times New Roman"/>
          <w:color w:val="auto"/>
          <w:spacing w:val="0"/>
          <w:w w:val="100"/>
          <w:kern w:val="0"/>
          <w:position w:val="0"/>
          <w:sz w:val="24"/>
          <w:highlight w:val="none"/>
          <w:u w:val="none" w:color="auto"/>
          <w:lang w:val="en-US" w:eastAsia="zh-CN"/>
        </w:rPr>
        <w:t>、湖南华容东湖国家湿地</w:t>
      </w:r>
      <w:r>
        <w:rPr>
          <w:rFonts w:hint="default" w:ascii="Times New Roman" w:hAnsi="Times New Roman" w:eastAsia="宋体" w:cs="Times New Roman"/>
          <w:color w:val="auto"/>
          <w:spacing w:val="0"/>
          <w:w w:val="100"/>
          <w:kern w:val="0"/>
          <w:position w:val="0"/>
          <w:sz w:val="24"/>
          <w:highlight w:val="none"/>
          <w:u w:val="none" w:color="auto"/>
          <w:lang w:val="en-US" w:eastAsia="zh-CN"/>
        </w:rPr>
        <w:t>公园</w:t>
      </w:r>
      <w:r>
        <w:rPr>
          <w:rFonts w:hint="eastAsia" w:ascii="Times New Roman" w:hAnsi="Times New Roman" w:eastAsia="宋体" w:cs="Times New Roman"/>
          <w:color w:val="auto"/>
          <w:spacing w:val="0"/>
          <w:w w:val="100"/>
          <w:kern w:val="0"/>
          <w:position w:val="0"/>
          <w:sz w:val="24"/>
          <w:highlight w:val="none"/>
          <w:u w:val="none" w:color="auto"/>
          <w:lang w:val="en-US" w:eastAsia="zh-CN"/>
        </w:rPr>
        <w:t>管理所</w:t>
      </w:r>
      <w:r>
        <w:rPr>
          <w:rFonts w:hint="default" w:ascii="Times New Roman" w:hAnsi="Times New Roman" w:eastAsia="宋体" w:cs="Times New Roman"/>
          <w:color w:val="auto"/>
          <w:spacing w:val="0"/>
          <w:w w:val="100"/>
          <w:kern w:val="0"/>
          <w:position w:val="0"/>
          <w:sz w:val="24"/>
          <w:highlight w:val="none"/>
          <w:u w:val="none" w:color="auto"/>
          <w:lang w:val="en-US" w:eastAsia="zh-CN"/>
        </w:rPr>
        <w:t>的</w:t>
      </w:r>
      <w:r>
        <w:rPr>
          <w:rFonts w:hint="eastAsia" w:ascii="Times New Roman" w:hAnsi="Times New Roman" w:eastAsia="宋体" w:cs="Times New Roman"/>
          <w:color w:val="auto"/>
          <w:spacing w:val="0"/>
          <w:w w:val="100"/>
          <w:kern w:val="0"/>
          <w:position w:val="0"/>
          <w:sz w:val="24"/>
          <w:highlight w:val="none"/>
          <w:u w:val="none" w:color="auto"/>
          <w:lang w:val="en-US" w:eastAsia="zh-CN"/>
        </w:rPr>
        <w:t>复函，原则支持华容县北汊水库除险加固工程在湖南华容东湖国家湿地公园（东湖省级重要湿地）内实施，</w:t>
      </w:r>
      <w:r>
        <w:rPr>
          <w:rFonts w:hint="default" w:ascii="Times New Roman" w:hAnsi="Times New Roman" w:eastAsia="宋体" w:cs="Times New Roman"/>
          <w:color w:val="auto"/>
          <w:spacing w:val="0"/>
          <w:w w:val="100"/>
          <w:kern w:val="0"/>
          <w:position w:val="0"/>
          <w:sz w:val="24"/>
          <w:highlight w:val="none"/>
          <w:u w:val="none" w:color="auto"/>
          <w:lang w:val="en-US" w:eastAsia="zh-CN"/>
        </w:rPr>
        <w:t>符合《湖南省主体功能区规划》相关要求</w:t>
      </w:r>
      <w:r>
        <w:rPr>
          <w:rFonts w:hint="default" w:ascii="Times New Roman" w:hAnsi="Times New Roman" w:eastAsia="宋体" w:cs="Times New Roman"/>
          <w:color w:val="auto"/>
          <w:spacing w:val="0"/>
          <w:w w:val="100"/>
          <w:kern w:val="0"/>
          <w:position w:val="0"/>
          <w:sz w:val="24"/>
          <w:highlight w:val="none"/>
          <w:u w:val="none" w:color="auto"/>
        </w:rPr>
        <w:t>。</w:t>
      </w:r>
    </w:p>
    <w:p w14:paraId="6E383A17">
      <w:pPr>
        <w:keepNext w:val="0"/>
        <w:keepLines w:val="0"/>
        <w:pageBreakBefore w:val="0"/>
        <w:overflowPunct/>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u w:val="none" w:color="auto"/>
        </w:rPr>
      </w:pP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除险加固工程通过采取工程措施对大坝维修加固，旨在消除大坝安全隐患，保障水库和流域防洪安全，确保枢纽工程安全可靠运行，符合《长江流域综合规划》《长江流域防洪规划》相关要求。</w:t>
      </w:r>
    </w:p>
    <w:p w14:paraId="13CB11F5">
      <w:pPr>
        <w:keepNext w:val="0"/>
        <w:keepLines w:val="0"/>
        <w:pageBreakBefore w:val="0"/>
        <w:kinsoku w:val="0"/>
        <w:wordWrap w:val="0"/>
        <w:overflowPunct/>
        <w:topLinePunct/>
        <w:autoSpaceDE/>
        <w:autoSpaceDN/>
        <w:bidi w:val="0"/>
        <w:adjustRightInd w:val="0"/>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highlight w:val="none"/>
          <w:u w:val="none" w:color="auto"/>
        </w:rPr>
      </w:pP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除险加固工程施工期生产</w:t>
      </w:r>
      <w:r>
        <w:rPr>
          <w:rFonts w:hint="eastAsia" w:ascii="Times New Roman" w:hAnsi="Times New Roman" w:eastAsia="宋体" w:cs="Times New Roman"/>
          <w:color w:val="auto"/>
          <w:spacing w:val="0"/>
          <w:w w:val="100"/>
          <w:kern w:val="0"/>
          <w:position w:val="0"/>
          <w:sz w:val="24"/>
          <w:highlight w:val="none"/>
          <w:u w:val="none" w:color="auto"/>
          <w:lang w:eastAsia="zh-CN"/>
        </w:rPr>
        <w:t>废</w:t>
      </w:r>
      <w:r>
        <w:rPr>
          <w:rFonts w:hint="default" w:ascii="Times New Roman" w:hAnsi="Times New Roman" w:eastAsia="宋体" w:cs="Times New Roman"/>
          <w:color w:val="auto"/>
          <w:spacing w:val="0"/>
          <w:w w:val="100"/>
          <w:kern w:val="0"/>
          <w:position w:val="0"/>
          <w:sz w:val="24"/>
          <w:highlight w:val="none"/>
          <w:u w:val="none" w:color="auto"/>
        </w:rPr>
        <w:t>水</w:t>
      </w:r>
      <w:r>
        <w:rPr>
          <w:rFonts w:hint="default" w:ascii="Times New Roman" w:hAnsi="Times New Roman" w:eastAsia="宋体" w:cs="Times New Roman"/>
          <w:color w:val="auto"/>
          <w:spacing w:val="0"/>
          <w:w w:val="100"/>
          <w:kern w:val="0"/>
          <w:position w:val="0"/>
          <w:sz w:val="24"/>
          <w:highlight w:val="none"/>
          <w:u w:val="none" w:color="auto"/>
          <w:lang w:eastAsia="zh-CN"/>
        </w:rPr>
        <w:t>经</w:t>
      </w:r>
      <w:r>
        <w:rPr>
          <w:rFonts w:hint="default" w:ascii="Times New Roman" w:hAnsi="Times New Roman" w:eastAsia="宋体" w:cs="Times New Roman"/>
          <w:color w:val="auto"/>
          <w:spacing w:val="0"/>
          <w:w w:val="100"/>
          <w:kern w:val="0"/>
          <w:position w:val="0"/>
          <w:sz w:val="24"/>
          <w:highlight w:val="none"/>
          <w:u w:val="none" w:color="auto"/>
        </w:rPr>
        <w:t>处理后回用，工程建设对周围水环境影响较小，施工结束后采取生态恢复等措施，将对生态环境影响降至最低。综上，</w:t>
      </w:r>
      <w:r>
        <w:rPr>
          <w:rFonts w:hint="eastAsia" w:ascii="Times New Roman" w:hAnsi="Times New Roman" w:eastAsia="宋体" w:cs="Times New Roman"/>
          <w:color w:val="auto"/>
          <w:spacing w:val="0"/>
          <w:w w:val="100"/>
          <w:kern w:val="0"/>
          <w:position w:val="0"/>
          <w:sz w:val="24"/>
          <w:highlight w:val="none"/>
          <w:u w:val="none" w:color="auto"/>
          <w:lang w:eastAsia="zh-CN"/>
        </w:rPr>
        <w:t>北汊水库</w:t>
      </w:r>
      <w:r>
        <w:rPr>
          <w:rFonts w:hint="default" w:ascii="Times New Roman" w:hAnsi="Times New Roman" w:eastAsia="宋体" w:cs="Times New Roman"/>
          <w:color w:val="auto"/>
          <w:spacing w:val="0"/>
          <w:w w:val="100"/>
          <w:kern w:val="0"/>
          <w:position w:val="0"/>
          <w:sz w:val="24"/>
          <w:highlight w:val="none"/>
          <w:u w:val="none" w:color="auto"/>
        </w:rPr>
        <w:t>除险加固工程总体符合《长江经济带生态环境保护规划》</w:t>
      </w:r>
      <w:r>
        <w:rPr>
          <w:rFonts w:hint="default" w:ascii="Times New Roman" w:hAnsi="Times New Roman" w:eastAsia="宋体" w:cs="Times New Roman"/>
          <w:color w:val="auto"/>
          <w:spacing w:val="0"/>
          <w:w w:val="100"/>
          <w:kern w:val="0"/>
          <w:position w:val="0"/>
          <w:sz w:val="24"/>
          <w:highlight w:val="none"/>
          <w:u w:val="none" w:color="auto"/>
          <w:lang w:eastAsia="zh-CN"/>
        </w:rPr>
        <w:t>相关</w:t>
      </w:r>
      <w:r>
        <w:rPr>
          <w:rFonts w:hint="default" w:ascii="Times New Roman" w:hAnsi="Times New Roman" w:eastAsia="宋体" w:cs="Times New Roman"/>
          <w:color w:val="auto"/>
          <w:spacing w:val="0"/>
          <w:w w:val="100"/>
          <w:kern w:val="0"/>
          <w:position w:val="0"/>
          <w:sz w:val="24"/>
          <w:highlight w:val="none"/>
          <w:u w:val="none" w:color="auto"/>
        </w:rPr>
        <w:t>要求。</w:t>
      </w:r>
    </w:p>
    <w:p w14:paraId="0BF4AAB4">
      <w:pPr>
        <w:pStyle w:val="106"/>
        <w:keepNext w:val="0"/>
        <w:keepLines w:val="0"/>
        <w:pageBreakBefore w:val="0"/>
        <w:overflowPunct/>
        <w:bidi w:val="0"/>
        <w:spacing w:line="360" w:lineRule="auto"/>
        <w:textAlignment w:val="auto"/>
        <w:rPr>
          <w:rFonts w:hint="eastAsia" w:cs="Times New Roman"/>
          <w:color w:val="auto"/>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本工程有利于水库洪水调蓄功能，对水源地的保护有利于生物多样性保护，对维护区域生态系统具有重要作用</w:t>
      </w:r>
      <w:r>
        <w:rPr>
          <w:rFonts w:hint="eastAsia"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符合《湖南省“十四五”生态环境保护规划》相关要求</w:t>
      </w:r>
      <w:r>
        <w:rPr>
          <w:rFonts w:hint="eastAsia" w:cs="Times New Roman"/>
          <w:color w:val="auto"/>
          <w:spacing w:val="0"/>
          <w:w w:val="100"/>
          <w:kern w:val="0"/>
          <w:position w:val="0"/>
          <w:sz w:val="24"/>
          <w:highlight w:val="none"/>
          <w:u w:val="none" w:color="auto"/>
          <w:lang w:val="en-US" w:eastAsia="zh-CN"/>
        </w:rPr>
        <w:t>。</w:t>
      </w:r>
    </w:p>
    <w:p w14:paraId="0D363C02">
      <w:pPr>
        <w:pStyle w:val="106"/>
        <w:keepNext w:val="0"/>
        <w:keepLines w:val="0"/>
        <w:pageBreakBefore w:val="0"/>
        <w:overflowPunct/>
        <w:bidi w:val="0"/>
        <w:spacing w:line="360" w:lineRule="auto"/>
        <w:textAlignment w:val="auto"/>
        <w:rPr>
          <w:rFonts w:hint="default" w:ascii="Times New Roman" w:hAnsi="Times New Roman" w:cs="Times New Roman"/>
          <w:color w:val="000000" w:themeColor="text1"/>
          <w:spacing w:val="0"/>
          <w:w w:val="100"/>
          <w:position w:val="0"/>
          <w:u w:val="none" w:color="auto"/>
          <w:lang w:val="en-US" w:eastAsia="zh-CN"/>
          <w14:textFill>
            <w14:solidFill>
              <w14:schemeClr w14:val="tx1"/>
            </w14:solidFill>
          </w14:textFill>
        </w:rPr>
      </w:pPr>
      <w:r>
        <w:rPr>
          <w:rFonts w:hint="default" w:ascii="Times New Roman" w:hAnsi="Times New Roman" w:cs="Times New Roman"/>
          <w:color w:val="000000" w:themeColor="text1"/>
          <w:spacing w:val="0"/>
          <w:w w:val="100"/>
          <w:position w:val="0"/>
          <w:u w:val="none" w:color="auto"/>
          <w:lang w:eastAsia="zh-CN"/>
          <w14:textFill>
            <w14:solidFill>
              <w14:schemeClr w14:val="tx1"/>
            </w14:solidFill>
          </w14:textFill>
        </w:rPr>
        <w:t>本项目为规划中提到的</w:t>
      </w:r>
      <w:r>
        <w:rPr>
          <w:rFonts w:hint="eastAsia" w:cs="Times New Roman"/>
          <w:color w:val="000000" w:themeColor="text1"/>
          <w:spacing w:val="0"/>
          <w:w w:val="100"/>
          <w:position w:val="0"/>
          <w:u w:val="none" w:color="auto"/>
          <w:lang w:eastAsia="zh-CN"/>
          <w14:textFill>
            <w14:solidFill>
              <w14:schemeClr w14:val="tx1"/>
            </w14:solidFill>
          </w14:textFill>
        </w:rPr>
        <w:t>北汊水库</w:t>
      </w:r>
      <w:r>
        <w:rPr>
          <w:rFonts w:hint="default" w:ascii="Times New Roman" w:hAnsi="Times New Roman" w:cs="Times New Roman"/>
          <w:color w:val="000000" w:themeColor="text1"/>
          <w:spacing w:val="0"/>
          <w:w w:val="100"/>
          <w:position w:val="0"/>
          <w:u w:val="none" w:color="auto"/>
          <w:lang w:eastAsia="zh-CN"/>
          <w14:textFill>
            <w14:solidFill>
              <w14:schemeClr w14:val="tx1"/>
            </w14:solidFill>
          </w14:textFill>
        </w:rPr>
        <w:t>除险加固工程，因此本项目与《岳阳市“十四五”水资源配置规划》相符。</w:t>
      </w:r>
    </w:p>
    <w:p w14:paraId="6EDE4F53">
      <w:pPr>
        <w:autoSpaceDE w:val="0"/>
        <w:autoSpaceDN w:val="0"/>
        <w:adjustRightInd w:val="0"/>
        <w:snapToGrid w:val="0"/>
        <w:spacing w:line="360" w:lineRule="auto"/>
        <w:ind w:firstLine="480" w:firstLineChars="200"/>
        <w:rPr>
          <w:rFonts w:hint="default" w:ascii="Times New Roman" w:hAnsi="Times New Roman" w:eastAsia="宋体" w:cs="Times New Roman"/>
          <w:color w:val="FF0000"/>
          <w:spacing w:val="0"/>
          <w:w w:val="100"/>
          <w:kern w:val="0"/>
          <w:position w:val="0"/>
          <w:sz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北汊水库除险加固工程</w:t>
      </w:r>
      <w:r>
        <w:rPr>
          <w:rFonts w:hint="eastAsia" w:ascii="Times New Roman" w:hAnsi="Times New Roman" w:eastAsia="宋体" w:cs="Times New Roman"/>
          <w:color w:val="auto"/>
          <w:spacing w:val="0"/>
          <w:w w:val="100"/>
          <w:kern w:val="0"/>
          <w:position w:val="0"/>
          <w:sz w:val="24"/>
          <w:highlight w:val="none"/>
          <w:u w:val="none" w:color="auto"/>
          <w:lang w:val="en-US" w:eastAsia="zh-CN"/>
        </w:rPr>
        <w:t>处于华容东</w:t>
      </w:r>
      <w:r>
        <w:rPr>
          <w:rFonts w:hint="default" w:ascii="Times New Roman" w:hAnsi="Times New Roman" w:eastAsia="宋体" w:cs="Times New Roman"/>
          <w:color w:val="auto"/>
          <w:spacing w:val="0"/>
          <w:w w:val="100"/>
          <w:kern w:val="0"/>
          <w:position w:val="0"/>
          <w:sz w:val="24"/>
          <w:highlight w:val="none"/>
          <w:u w:val="none" w:color="auto"/>
          <w:lang w:val="en-US" w:eastAsia="zh-CN"/>
        </w:rPr>
        <w:t>湖国家湿地公园的合理利用区</w:t>
      </w:r>
      <w:r>
        <w:rPr>
          <w:rFonts w:hint="eastAsia" w:ascii="Times New Roman" w:hAnsi="Times New Roman" w:eastAsia="宋体" w:cs="Times New Roman"/>
          <w:color w:val="auto"/>
          <w:spacing w:val="0"/>
          <w:w w:val="100"/>
          <w:kern w:val="0"/>
          <w:position w:val="0"/>
          <w:sz w:val="24"/>
          <w:highlight w:val="none"/>
          <w:u w:val="none" w:color="auto"/>
          <w:lang w:val="en-US" w:eastAsia="zh-CN"/>
        </w:rPr>
        <w:t>范围，</w:t>
      </w:r>
      <w:r>
        <w:rPr>
          <w:rFonts w:hint="default" w:ascii="Times New Roman" w:hAnsi="Times New Roman" w:eastAsia="宋体" w:cs="Times New Roman"/>
          <w:color w:val="auto"/>
          <w:spacing w:val="0"/>
          <w:w w:val="100"/>
          <w:kern w:val="0"/>
          <w:position w:val="0"/>
          <w:sz w:val="24"/>
          <w:highlight w:val="none"/>
          <w:u w:val="none" w:color="auto"/>
          <w:lang w:val="en-US" w:eastAsia="zh-CN"/>
        </w:rPr>
        <w:t>施工过程中会对湿地鸟类和野生动物造成暂时性的干扰影响</w:t>
      </w:r>
      <w:r>
        <w:rPr>
          <w:rFonts w:hint="eastAsia" w:ascii="Times New Roman" w:hAnsi="Times New Roman" w:eastAsia="宋体" w:cs="Times New Roman"/>
          <w:color w:val="auto"/>
          <w:spacing w:val="0"/>
          <w:w w:val="100"/>
          <w:kern w:val="0"/>
          <w:position w:val="0"/>
          <w:sz w:val="24"/>
          <w:highlight w:val="none"/>
          <w:u w:val="none" w:color="auto"/>
          <w:lang w:val="en-US" w:eastAsia="zh-CN"/>
        </w:rPr>
        <w:t>，但</w:t>
      </w:r>
      <w:r>
        <w:rPr>
          <w:rFonts w:hint="default" w:ascii="Times New Roman" w:hAnsi="Times New Roman" w:eastAsia="宋体" w:cs="Times New Roman"/>
          <w:color w:val="auto"/>
          <w:spacing w:val="0"/>
          <w:w w:val="100"/>
          <w:kern w:val="0"/>
          <w:position w:val="0"/>
          <w:sz w:val="24"/>
          <w:highlight w:val="none"/>
          <w:u w:val="none" w:color="auto"/>
          <w:lang w:val="en-US" w:eastAsia="zh-CN"/>
        </w:rPr>
        <w:t>随着施工结束，工程对湿地公园的影响逐渐减小。</w:t>
      </w:r>
      <w:r>
        <w:rPr>
          <w:rFonts w:hint="eastAsia" w:ascii="Times New Roman" w:hAnsi="Times New Roman" w:eastAsia="宋体" w:cs="Times New Roman"/>
          <w:color w:val="auto"/>
          <w:spacing w:val="0"/>
          <w:w w:val="100"/>
          <w:kern w:val="0"/>
          <w:position w:val="0"/>
          <w:sz w:val="24"/>
          <w:highlight w:val="none"/>
          <w:u w:val="none" w:color="auto"/>
          <w:lang w:val="en-US" w:eastAsia="zh-CN"/>
        </w:rPr>
        <w:t>本工程在</w:t>
      </w:r>
      <w:r>
        <w:rPr>
          <w:rFonts w:hint="default" w:ascii="Times New Roman" w:hAnsi="Times New Roman" w:eastAsia="宋体" w:cs="Times New Roman"/>
          <w:color w:val="auto"/>
          <w:spacing w:val="0"/>
          <w:w w:val="100"/>
          <w:kern w:val="0"/>
          <w:position w:val="0"/>
          <w:sz w:val="24"/>
          <w:highlight w:val="none"/>
          <w:u w:val="none" w:color="auto"/>
          <w:lang w:eastAsia="zh-CN"/>
        </w:rPr>
        <w:t>现有工程基础上进行加固</w:t>
      </w:r>
      <w:r>
        <w:rPr>
          <w:rFonts w:hint="eastAsia" w:ascii="Times New Roman" w:hAnsi="Times New Roman" w:eastAsia="宋体" w:cs="Times New Roman"/>
          <w:color w:val="auto"/>
          <w:spacing w:val="0"/>
          <w:w w:val="100"/>
          <w:kern w:val="0"/>
          <w:position w:val="0"/>
          <w:sz w:val="24"/>
          <w:highlight w:val="none"/>
          <w:u w:val="none" w:color="auto"/>
          <w:lang w:eastAsia="zh-CN"/>
        </w:rPr>
        <w:t>，为确保水库的安全运行具有重大意义</w:t>
      </w:r>
      <w:r>
        <w:rPr>
          <w:rFonts w:hint="default" w:ascii="Times New Roman" w:hAnsi="Times New Roman" w:eastAsia="宋体" w:cs="Times New Roman"/>
          <w:color w:val="auto"/>
          <w:spacing w:val="0"/>
          <w:w w:val="100"/>
          <w:kern w:val="0"/>
          <w:position w:val="0"/>
          <w:sz w:val="24"/>
          <w:highlight w:val="none"/>
          <w:u w:val="none" w:color="auto"/>
          <w:lang w:val="en-US" w:eastAsia="zh-CN"/>
        </w:rPr>
        <w:t>。本工程建设为了保障湿地公园功能的正常发挥，因此工程建设符合《湖</w:t>
      </w:r>
      <w:r>
        <w:rPr>
          <w:rFonts w:hint="eastAsia" w:ascii="Times New Roman" w:hAnsi="Times New Roman" w:eastAsia="宋体" w:cs="Times New Roman"/>
          <w:color w:val="auto"/>
          <w:spacing w:val="0"/>
          <w:w w:val="100"/>
          <w:kern w:val="0"/>
          <w:position w:val="0"/>
          <w:sz w:val="24"/>
          <w:highlight w:val="none"/>
          <w:u w:val="none" w:color="auto"/>
          <w:lang w:val="en-US" w:eastAsia="zh-CN"/>
        </w:rPr>
        <w:t>南华容东湖</w:t>
      </w:r>
      <w:r>
        <w:rPr>
          <w:rFonts w:hint="default" w:ascii="Times New Roman" w:hAnsi="Times New Roman" w:eastAsia="宋体" w:cs="Times New Roman"/>
          <w:color w:val="auto"/>
          <w:spacing w:val="0"/>
          <w:w w:val="100"/>
          <w:kern w:val="0"/>
          <w:position w:val="0"/>
          <w:sz w:val="24"/>
          <w:highlight w:val="none"/>
          <w:u w:val="none" w:color="auto"/>
          <w:lang w:val="en-US" w:eastAsia="zh-CN"/>
        </w:rPr>
        <w:t>国家湿地公园总体规划(201</w:t>
      </w:r>
      <w:r>
        <w:rPr>
          <w:rFonts w:hint="eastAsia" w:ascii="Times New Roman" w:hAnsi="Times New Roman" w:eastAsia="宋体" w:cs="Times New Roman"/>
          <w:color w:val="auto"/>
          <w:spacing w:val="0"/>
          <w:w w:val="100"/>
          <w:kern w:val="0"/>
          <w:position w:val="0"/>
          <w:sz w:val="24"/>
          <w:highlight w:val="none"/>
          <w:u w:val="none" w:color="auto"/>
          <w:lang w:val="en-US" w:eastAsia="zh-CN"/>
        </w:rPr>
        <w:t>3</w:t>
      </w:r>
      <w:r>
        <w:rPr>
          <w:rFonts w:hint="default" w:ascii="Times New Roman" w:hAnsi="Times New Roman" w:eastAsia="宋体" w:cs="Times New Roman"/>
          <w:color w:val="auto"/>
          <w:spacing w:val="0"/>
          <w:w w:val="100"/>
          <w:kern w:val="0"/>
          <w:position w:val="0"/>
          <w:sz w:val="24"/>
          <w:highlight w:val="none"/>
          <w:u w:val="none" w:color="auto"/>
          <w:lang w:val="en-US" w:eastAsia="zh-CN"/>
        </w:rPr>
        <w:t>-202</w:t>
      </w:r>
      <w:r>
        <w:rPr>
          <w:rFonts w:hint="eastAsia" w:ascii="Times New Roman" w:hAnsi="Times New Roman" w:eastAsia="宋体" w:cs="Times New Roman"/>
          <w:color w:val="auto"/>
          <w:spacing w:val="0"/>
          <w:w w:val="100"/>
          <w:kern w:val="0"/>
          <w:position w:val="0"/>
          <w:sz w:val="24"/>
          <w:highlight w:val="none"/>
          <w:u w:val="none" w:color="auto"/>
          <w:lang w:val="en-US" w:eastAsia="zh-CN"/>
        </w:rPr>
        <w:t>0年</w:t>
      </w:r>
      <w:r>
        <w:rPr>
          <w:rFonts w:hint="default" w:ascii="Times New Roman" w:hAnsi="Times New Roman" w:eastAsia="宋体" w:cs="Times New Roman"/>
          <w:color w:val="auto"/>
          <w:spacing w:val="0"/>
          <w:w w:val="100"/>
          <w:kern w:val="0"/>
          <w:position w:val="0"/>
          <w:sz w:val="24"/>
          <w:highlight w:val="none"/>
          <w:u w:val="none" w:color="auto"/>
          <w:lang w:val="en-US" w:eastAsia="zh-CN"/>
        </w:rPr>
        <w:t>)》。</w:t>
      </w:r>
    </w:p>
    <w:p w14:paraId="2B71D16A">
      <w:pPr>
        <w:keepNext w:val="0"/>
        <w:keepLines w:val="0"/>
        <w:pageBreakBefore w:val="0"/>
        <w:overflowPunct/>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w w:val="100"/>
          <w:kern w:val="0"/>
          <w:position w:val="0"/>
          <w:sz w:val="24"/>
          <w:highlight w:val="none"/>
          <w:u w:val="none" w:color="auto"/>
          <w:lang w:eastAsia="zh-CN"/>
        </w:rPr>
      </w:pPr>
      <w:r>
        <w:rPr>
          <w:rFonts w:hint="default" w:ascii="Times New Roman" w:hAnsi="Times New Roman" w:eastAsia="宋体" w:cs="Times New Roman"/>
          <w:color w:val="auto"/>
          <w:spacing w:val="0"/>
          <w:w w:val="100"/>
          <w:kern w:val="0"/>
          <w:position w:val="0"/>
          <w:sz w:val="24"/>
          <w:highlight w:val="none"/>
          <w:u w:val="none" w:color="auto"/>
          <w:lang w:val="en-US" w:eastAsia="zh-CN"/>
        </w:rPr>
        <w:t>项目符合《水利建设项目（河湖整治与防洪除涝工程）环境影响评价文件审批原则（试行）》（环办环评</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2018</w:t>
      </w:r>
      <w:r>
        <w:rPr>
          <w:rFonts w:hint="eastAsia" w:ascii="Times New Roman" w:hAnsi="Times New Roman" w:eastAsia="宋体" w:cs="Times New Roman"/>
          <w:color w:val="auto"/>
          <w:spacing w:val="0"/>
          <w:w w:val="100"/>
          <w:kern w:val="0"/>
          <w:position w:val="0"/>
          <w:sz w:val="24"/>
          <w:highlight w:val="none"/>
          <w:u w:val="none" w:color="auto"/>
          <w:lang w:val="en-US" w:eastAsia="zh-CN"/>
        </w:rPr>
        <w:t>〕</w:t>
      </w:r>
      <w:r>
        <w:rPr>
          <w:rFonts w:hint="default" w:ascii="Times New Roman" w:hAnsi="Times New Roman" w:eastAsia="宋体" w:cs="Times New Roman"/>
          <w:color w:val="auto"/>
          <w:spacing w:val="0"/>
          <w:w w:val="100"/>
          <w:kern w:val="0"/>
          <w:position w:val="0"/>
          <w:sz w:val="24"/>
          <w:highlight w:val="none"/>
          <w:u w:val="none" w:color="auto"/>
          <w:lang w:val="en-US" w:eastAsia="zh-CN"/>
        </w:rPr>
        <w:t>2号）的相关规定。</w:t>
      </w:r>
    </w:p>
    <w:p w14:paraId="3DA29258">
      <w:pPr>
        <w:autoSpaceDE w:val="0"/>
        <w:autoSpaceDN w:val="0"/>
        <w:adjustRightInd w:val="0"/>
        <w:snapToGrid w:val="0"/>
        <w:spacing w:line="360" w:lineRule="auto"/>
        <w:ind w:firstLine="480" w:firstLineChars="200"/>
        <w:rPr>
          <w:rFonts w:hint="default" w:ascii="Times New Roman" w:hAnsi="Times New Roman" w:eastAsia="宋体" w:cs="Times New Roman"/>
          <w:color w:val="auto"/>
          <w:spacing w:val="0"/>
          <w:w w:val="100"/>
          <w:kern w:val="0"/>
          <w:position w:val="0"/>
          <w:sz w:val="24"/>
          <w:highlight w:val="none"/>
          <w:u w:val="none" w:color="auto"/>
        </w:rPr>
      </w:pPr>
      <w:r>
        <w:rPr>
          <w:rFonts w:hint="default" w:ascii="Times New Roman" w:hAnsi="Times New Roman" w:eastAsia="宋体" w:cs="Times New Roman"/>
          <w:color w:val="auto"/>
          <w:spacing w:val="0"/>
          <w:w w:val="100"/>
          <w:kern w:val="0"/>
          <w:position w:val="0"/>
          <w:sz w:val="24"/>
          <w:highlight w:val="none"/>
          <w:u w:val="none" w:color="auto"/>
          <w:lang w:eastAsia="zh-CN"/>
        </w:rPr>
        <w:t>本项目位于岳阳市</w:t>
      </w:r>
      <w:r>
        <w:rPr>
          <w:rFonts w:hint="default" w:ascii="Times New Roman" w:hAnsi="Times New Roman" w:eastAsia="宋体" w:cs="Times New Roman"/>
          <w:color w:val="auto"/>
          <w:spacing w:val="0"/>
          <w:w w:val="100"/>
          <w:kern w:val="0"/>
          <w:position w:val="0"/>
          <w:sz w:val="24"/>
          <w:highlight w:val="none"/>
          <w:u w:val="none" w:color="auto"/>
        </w:rPr>
        <w:t>生态保护红线</w:t>
      </w:r>
      <w:r>
        <w:rPr>
          <w:rFonts w:hint="default" w:ascii="Times New Roman" w:hAnsi="Times New Roman" w:eastAsia="宋体" w:cs="Times New Roman"/>
          <w:color w:val="auto"/>
          <w:spacing w:val="0"/>
          <w:w w:val="100"/>
          <w:kern w:val="0"/>
          <w:position w:val="0"/>
          <w:sz w:val="24"/>
          <w:highlight w:val="none"/>
          <w:u w:val="none" w:color="auto"/>
          <w:lang w:eastAsia="zh-CN"/>
        </w:rPr>
        <w:t>范围内，</w:t>
      </w:r>
      <w:r>
        <w:rPr>
          <w:rFonts w:hint="default" w:ascii="Times New Roman" w:hAnsi="Times New Roman" w:eastAsia="宋体" w:cs="Times New Roman"/>
          <w:color w:val="auto"/>
          <w:spacing w:val="0"/>
          <w:w w:val="100"/>
          <w:kern w:val="0"/>
          <w:position w:val="0"/>
          <w:sz w:val="24"/>
          <w:highlight w:val="none"/>
          <w:u w:val="none" w:color="auto"/>
          <w:lang w:val="en-US" w:eastAsia="zh-CN"/>
        </w:rPr>
        <w:t xml:space="preserve">该工程属于“对生态功能不造成破坏的有限人为活动”中“6、必须且无法避让、符合县级以上国土空间规划的线性基础设施、通讯和防洪、供水设施建设和船舶航行、航道疏浚清淤等活动；已有的合法水利、交通运输等设施运行维护改造”类，项目符合《自然资源部 生态环境部 国家林业和草原局关于加强生态保护红线管理的通知（试行）》（自然资发〔2022〕142号）要求。 </w:t>
      </w:r>
    </w:p>
    <w:p w14:paraId="4373495D">
      <w:pPr>
        <w:pageBreakBefore w:val="0"/>
        <w:kinsoku w:val="0"/>
        <w:wordWrap w:val="0"/>
        <w:overflowPunct/>
        <w:topLinePunct/>
        <w:autoSpaceDE/>
        <w:autoSpaceDN/>
        <w:bidi w:val="0"/>
        <w:adjustRightInd w:val="0"/>
        <w:spacing w:line="360" w:lineRule="auto"/>
        <w:ind w:firstLine="480" w:firstLineChars="200"/>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本项目符合生态保护红线相关管理办法的规定</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项目的建设不会突破项目所在地的环境质量底线</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不会突破区域资源利用上线</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项目建设符合</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岳阳市生态环境准入及管控要求</w:t>
      </w:r>
      <w:r>
        <w:rPr>
          <w:rFonts w:hint="default" w:ascii="Times New Roman" w:hAnsi="Times New Roman" w:eastAsia="宋体" w:cs="Times New Roman"/>
          <w:caps w:val="0"/>
          <w:smallCaps w:val="0"/>
          <w:color w:val="auto"/>
          <w:spacing w:val="0"/>
          <w:w w:val="100"/>
          <w:kern w:val="0"/>
          <w:position w:val="0"/>
          <w:sz w:val="24"/>
          <w:szCs w:val="24"/>
          <w:u w:val="none" w:color="auto"/>
        </w:rPr>
        <w:t>清单的要求</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。因此项目符合“三线一单”管控要求。</w:t>
      </w:r>
    </w:p>
    <w:p w14:paraId="09DC79C8">
      <w:pPr>
        <w:pStyle w:val="3"/>
        <w:bidi w:val="0"/>
        <w:rPr>
          <w:rFonts w:hint="default"/>
          <w:u w:val="none" w:color="auto"/>
          <w:lang w:val="en-US" w:eastAsia="zh-CN"/>
        </w:rPr>
      </w:pPr>
      <w:bookmarkStart w:id="372" w:name="_Toc24091"/>
      <w:r>
        <w:rPr>
          <w:rFonts w:hint="default"/>
          <w:u w:val="none" w:color="auto"/>
          <w:lang w:val="en-US" w:eastAsia="zh-CN"/>
        </w:rPr>
        <w:t>选址合理性分析</w:t>
      </w:r>
      <w:bookmarkEnd w:id="372"/>
    </w:p>
    <w:p w14:paraId="438ECA60">
      <w:pPr>
        <w:keepNext w:val="0"/>
        <w:keepLines w:val="0"/>
        <w:pageBreakBefore w:val="0"/>
        <w:widowControl w:val="0"/>
        <w:overflowPunct/>
        <w:autoSpaceDE/>
        <w:autoSpaceDN/>
        <w:bidi w:val="0"/>
        <w:snapToGrid/>
        <w:spacing w:line="360" w:lineRule="auto"/>
        <w:ind w:left="0" w:right="0" w:firstLine="509"/>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主体工程选址合理性：</w:t>
      </w:r>
      <w:r>
        <w:rPr>
          <w:rFonts w:hint="default" w:ascii="Times New Roman" w:hAnsi="Times New Roman" w:eastAsia="宋体" w:cs="Times New Roman"/>
          <w:color w:val="auto"/>
          <w:spacing w:val="0"/>
          <w:w w:val="100"/>
          <w:position w:val="0"/>
          <w:sz w:val="24"/>
          <w:szCs w:val="24"/>
          <w:u w:val="none" w:color="auto"/>
          <w:lang w:val="en-US" w:eastAsia="zh-CN"/>
        </w:rPr>
        <w:t>本工程在原址基础上进行建设，不改变水库的特性，不改变原水库坝前坝下水文情势，不新增淹没占地</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lang w:val="en-US" w:eastAsia="zh-CN"/>
        </w:rPr>
        <w:t>工程建设涉及了岳阳市生态保护红线、湖南华容</w:t>
      </w:r>
      <w:r>
        <w:rPr>
          <w:rFonts w:hint="eastAsia" w:ascii="Times New Roman" w:hAnsi="Times New Roman" w:eastAsia="宋体" w:cs="Times New Roman"/>
          <w:color w:val="auto"/>
          <w:spacing w:val="0"/>
          <w:w w:val="100"/>
          <w:position w:val="0"/>
          <w:sz w:val="24"/>
          <w:szCs w:val="24"/>
          <w:u w:val="none" w:color="auto"/>
          <w:lang w:val="en-US" w:eastAsia="zh-CN"/>
        </w:rPr>
        <w:t>东湖国家湿地</w:t>
      </w:r>
      <w:r>
        <w:rPr>
          <w:rFonts w:hint="default" w:ascii="Times New Roman" w:hAnsi="Times New Roman" w:eastAsia="宋体" w:cs="Times New Roman"/>
          <w:color w:val="auto"/>
          <w:spacing w:val="0"/>
          <w:w w:val="100"/>
          <w:position w:val="0"/>
          <w:sz w:val="24"/>
          <w:szCs w:val="24"/>
          <w:u w:val="none" w:color="auto"/>
          <w:lang w:val="en-US" w:eastAsia="zh-CN"/>
        </w:rPr>
        <w:t>公园</w:t>
      </w:r>
      <w:r>
        <w:rPr>
          <w:rFonts w:hint="eastAsia" w:ascii="Times New Roman" w:hAnsi="Times New Roman" w:eastAsia="宋体" w:cs="Times New Roman"/>
          <w:color w:val="auto"/>
          <w:spacing w:val="0"/>
          <w:w w:val="100"/>
          <w:position w:val="0"/>
          <w:sz w:val="24"/>
          <w:szCs w:val="24"/>
          <w:u w:val="none" w:color="auto"/>
          <w:lang w:val="en-US" w:eastAsia="zh-CN"/>
        </w:rPr>
        <w:t>（省级重要湿地）</w:t>
      </w:r>
      <w:r>
        <w:rPr>
          <w:rFonts w:hint="default" w:ascii="Times New Roman" w:hAnsi="Times New Roman" w:eastAsia="宋体" w:cs="Times New Roman"/>
          <w:color w:val="auto"/>
          <w:spacing w:val="0"/>
          <w:w w:val="100"/>
          <w:position w:val="0"/>
          <w:sz w:val="24"/>
          <w:szCs w:val="24"/>
          <w:u w:val="none" w:color="auto"/>
          <w:lang w:val="en-US" w:eastAsia="zh-CN"/>
        </w:rPr>
        <w:t>等环境敏感区，但由于本项目在已有工程原址上进行加固，具有不可避让性，与相应环境敏感区的定位以及管理要求是相符的，因此在征得环境敏感区主管部门同意，且切实落实环评报告书提出的各项环境保护相关措施的基础上，本工程选址合理。</w:t>
      </w:r>
    </w:p>
    <w:p w14:paraId="785A9AF4">
      <w:pPr>
        <w:keepNext w:val="0"/>
        <w:keepLines w:val="0"/>
        <w:pageBreakBefore w:val="0"/>
        <w:widowControl w:val="0"/>
        <w:overflowPunct/>
        <w:autoSpaceDE/>
        <w:autoSpaceDN/>
        <w:bidi w:val="0"/>
        <w:snapToGrid/>
        <w:spacing w:line="360" w:lineRule="auto"/>
        <w:ind w:left="0" w:right="0" w:firstLine="509"/>
        <w:textAlignment w:val="auto"/>
        <w:rPr>
          <w:rFonts w:hint="default" w:ascii="Times New Roman" w:hAnsi="Times New Roman" w:eastAsia="宋体" w:cs="Times New Roman"/>
          <w:color w:val="auto"/>
          <w:spacing w:val="0"/>
          <w:w w:val="100"/>
          <w:position w:val="0"/>
          <w:sz w:val="24"/>
          <w:szCs w:val="24"/>
          <w:u w:val="none" w:color="auto"/>
          <w:lang w:val="en-US" w:eastAsia="zh-CN"/>
        </w:rPr>
      </w:pPr>
      <w:r>
        <w:rPr>
          <w:rFonts w:hint="eastAsia" w:ascii="Times New Roman" w:hAnsi="Times New Roman" w:eastAsia="宋体" w:cs="Times New Roman"/>
          <w:color w:val="auto"/>
          <w:spacing w:val="0"/>
          <w:w w:val="100"/>
          <w:position w:val="0"/>
          <w:sz w:val="24"/>
          <w:szCs w:val="24"/>
          <w:u w:val="none" w:color="auto"/>
          <w:lang w:val="en-US" w:eastAsia="zh-CN"/>
        </w:rPr>
        <w:t>取</w:t>
      </w:r>
      <w:r>
        <w:rPr>
          <w:rFonts w:hint="default" w:ascii="Times New Roman" w:hAnsi="Times New Roman" w:eastAsia="宋体" w:cs="Times New Roman"/>
          <w:color w:val="auto"/>
          <w:spacing w:val="0"/>
          <w:w w:val="100"/>
          <w:position w:val="0"/>
          <w:sz w:val="24"/>
          <w:szCs w:val="24"/>
          <w:u w:val="none" w:color="auto"/>
          <w:lang w:val="en-US" w:eastAsia="zh-CN"/>
        </w:rPr>
        <w:t>土场合理性分析</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侯家岭土料场开采及运输条件好，储量及质量基本满足设计及规范要求，选址均避开了环境敏感区域。开采前合理规划开采范围及开采时间，必要时在临居民一侧处设置围挡等抑尘及降噪措施，尽量减少对敏感点的影响；料场开采完毕后，需按照水土保持要求对临时占地进行恢复，在采取必要的措施后，项目取土对周边环境影响较小。因此从环境保护的角度分析，取土场选址是合理的</w:t>
      </w:r>
      <w:r>
        <w:rPr>
          <w:rFonts w:hint="default" w:ascii="Times New Roman" w:hAnsi="Times New Roman" w:eastAsia="宋体" w:cs="Times New Roman"/>
          <w:color w:val="auto"/>
          <w:spacing w:val="0"/>
          <w:w w:val="100"/>
          <w:position w:val="0"/>
          <w:sz w:val="24"/>
          <w:szCs w:val="24"/>
          <w:u w:val="none" w:color="auto"/>
          <w:lang w:val="en-US" w:eastAsia="zh-CN"/>
        </w:rPr>
        <w:t>。</w:t>
      </w:r>
    </w:p>
    <w:p w14:paraId="0AECBB40">
      <w:pPr>
        <w:keepNext w:val="0"/>
        <w:keepLines w:val="0"/>
        <w:pageBreakBefore w:val="0"/>
        <w:widowControl w:val="0"/>
        <w:numPr>
          <w:ilvl w:val="0"/>
          <w:numId w:val="0"/>
        </w:numPr>
        <w:kinsoku w:val="0"/>
        <w:wordWrap w:val="0"/>
        <w:overflowPunct/>
        <w:topLinePunct/>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cs="Times New Roman"/>
          <w:u w:val="none" w:color="auto"/>
          <w:lang w:val="en-US" w:eastAsia="zh-CN"/>
        </w:rPr>
        <w:t xml:space="preserve"> </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弃渣场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合理性分析：本项目弃渣场与取土场合建，</w:t>
      </w:r>
      <w:r>
        <w:rPr>
          <w:rFonts w:hint="eastAsia" w:ascii="Times New Roman" w:hAnsi="Times New Roman" w:eastAsia="宋体" w:cs="Times New Roman"/>
          <w:caps w:val="0"/>
          <w:smallCaps w:val="0"/>
          <w:color w:val="000000" w:themeColor="text1"/>
          <w:spacing w:val="0"/>
          <w:w w:val="100"/>
          <w:kern w:val="0"/>
          <w:position w:val="0"/>
          <w:sz w:val="24"/>
          <w:szCs w:val="24"/>
          <w:u w:val="none" w:color="auto"/>
          <w:lang w:val="en-US" w:eastAsia="zh-CN"/>
          <w14:textFill>
            <w14:solidFill>
              <w14:schemeClr w14:val="tx1"/>
            </w14:solidFill>
          </w14:textFill>
        </w:rPr>
        <w:t>弃渣场场地工程地质条件简单，稳定性好，适宜于弃渣堆填。弃渣场容量可满足项目弃渣要求。</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根据</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与</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敏感区关系识别，</w:t>
      </w:r>
      <w:r>
        <w:rPr>
          <w:rFonts w:hint="eastAsia"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弃渣场不涉及敏感区。采取相应措施后，对环境影响较小。</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因此，本工程</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弃渣场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选址从环境上分析是合理的。</w:t>
      </w:r>
    </w:p>
    <w:p w14:paraId="2CD8CC58">
      <w:pPr>
        <w:pStyle w:val="3"/>
        <w:bidi w:val="0"/>
        <w:rPr>
          <w:rFonts w:hint="default"/>
          <w:u w:val="none" w:color="auto"/>
          <w:lang w:val="en-US" w:eastAsia="zh-CN"/>
        </w:rPr>
      </w:pPr>
      <w:bookmarkStart w:id="373" w:name="_Toc31617"/>
      <w:r>
        <w:rPr>
          <w:rFonts w:hint="default"/>
          <w:u w:val="none" w:color="auto"/>
          <w:lang w:val="en-US" w:eastAsia="zh-CN"/>
        </w:rPr>
        <w:t>环境质量现状</w:t>
      </w:r>
      <w:bookmarkEnd w:id="373"/>
    </w:p>
    <w:p w14:paraId="2AAE32E8">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环境空气质量现状</w:t>
      </w:r>
    </w:p>
    <w:p w14:paraId="123314E9">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u w:val="none" w:color="auto"/>
          <w:lang w:val="en-US" w:eastAsia="zh-CN"/>
        </w:rPr>
      </w:pPr>
      <w:r>
        <w:rPr>
          <w:rFonts w:hint="default" w:ascii="Times New Roman" w:hAnsi="Times New Roman" w:eastAsia="宋体" w:cs="Times New Roman"/>
          <w:color w:val="auto"/>
          <w:spacing w:val="0"/>
          <w:w w:val="100"/>
          <w:kern w:val="0"/>
          <w:position w:val="0"/>
          <w:sz w:val="24"/>
          <w:u w:val="none" w:color="auto"/>
          <w:lang w:val="en-US" w:eastAsia="zh-CN"/>
        </w:rPr>
        <w:t>2023年度华容县SO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w:t>
      </w:r>
      <w:r>
        <w:rPr>
          <w:rFonts w:hint="default" w:ascii="Times New Roman" w:hAnsi="Times New Roman" w:eastAsia="宋体" w:cs="Times New Roman"/>
          <w:color w:val="auto"/>
          <w:spacing w:val="0"/>
          <w:w w:val="100"/>
          <w:kern w:val="0"/>
          <w:position w:val="0"/>
          <w:sz w:val="24"/>
          <w:u w:val="none" w:color="auto"/>
          <w:lang w:val="en-US" w:eastAsia="zh-CN"/>
        </w:rPr>
        <w:t>、NO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w:t>
      </w:r>
      <w:r>
        <w:rPr>
          <w:rFonts w:hint="default" w:ascii="Times New Roman" w:hAnsi="Times New Roman" w:eastAsia="宋体" w:cs="Times New Roman"/>
          <w:color w:val="auto"/>
          <w:spacing w:val="0"/>
          <w:w w:val="100"/>
          <w:kern w:val="0"/>
          <w:position w:val="0"/>
          <w:sz w:val="24"/>
          <w:u w:val="none" w:color="auto"/>
          <w:lang w:val="en-US" w:eastAsia="zh-CN"/>
        </w:rPr>
        <w:t>、PM</w:t>
      </w:r>
      <w:r>
        <w:rPr>
          <w:rFonts w:hint="default" w:ascii="Times New Roman" w:hAnsi="Times New Roman" w:eastAsia="宋体" w:cs="Times New Roman"/>
          <w:color w:val="auto"/>
          <w:spacing w:val="0"/>
          <w:w w:val="100"/>
          <w:kern w:val="0"/>
          <w:position w:val="0"/>
          <w:sz w:val="24"/>
          <w:u w:val="none" w:color="auto"/>
          <w:vertAlign w:val="subscript"/>
          <w:lang w:val="en-US" w:eastAsia="zh-CN"/>
        </w:rPr>
        <w:t>10</w:t>
      </w:r>
      <w:r>
        <w:rPr>
          <w:rFonts w:hint="default" w:ascii="Times New Roman" w:hAnsi="Times New Roman" w:eastAsia="宋体" w:cs="Times New Roman"/>
          <w:color w:val="auto"/>
          <w:spacing w:val="0"/>
          <w:w w:val="100"/>
          <w:kern w:val="0"/>
          <w:position w:val="0"/>
          <w:sz w:val="24"/>
          <w:u w:val="none" w:color="auto"/>
          <w:lang w:val="en-US" w:eastAsia="zh-CN"/>
        </w:rPr>
        <w:t>、PM</w:t>
      </w:r>
      <w:r>
        <w:rPr>
          <w:rFonts w:hint="default" w:ascii="Times New Roman" w:hAnsi="Times New Roman" w:eastAsia="宋体" w:cs="Times New Roman"/>
          <w:color w:val="auto"/>
          <w:spacing w:val="0"/>
          <w:w w:val="100"/>
          <w:kern w:val="0"/>
          <w:position w:val="0"/>
          <w:sz w:val="24"/>
          <w:u w:val="none" w:color="auto"/>
          <w:vertAlign w:val="subscript"/>
          <w:lang w:val="en-US" w:eastAsia="zh-CN"/>
        </w:rPr>
        <w:t>2.5</w:t>
      </w:r>
      <w:r>
        <w:rPr>
          <w:rFonts w:hint="default" w:ascii="Times New Roman" w:hAnsi="Times New Roman" w:eastAsia="宋体" w:cs="Times New Roman"/>
          <w:color w:val="auto"/>
          <w:spacing w:val="0"/>
          <w:w w:val="100"/>
          <w:kern w:val="0"/>
          <w:position w:val="0"/>
          <w:sz w:val="24"/>
          <w:u w:val="none" w:color="auto"/>
          <w:lang w:val="en-US" w:eastAsia="zh-CN"/>
        </w:rPr>
        <w:t>的年均浓度，以及CO第95百分位数24小时平均浓度、O</w:t>
      </w:r>
      <w:r>
        <w:rPr>
          <w:rFonts w:hint="default" w:ascii="Times New Roman" w:hAnsi="Times New Roman" w:eastAsia="宋体" w:cs="Times New Roman"/>
          <w:color w:val="auto"/>
          <w:spacing w:val="0"/>
          <w:w w:val="100"/>
          <w:kern w:val="0"/>
          <w:position w:val="0"/>
          <w:sz w:val="24"/>
          <w:u w:val="none" w:color="auto"/>
          <w:vertAlign w:val="subscript"/>
          <w:lang w:val="en-US" w:eastAsia="zh-CN"/>
        </w:rPr>
        <w:t>3</w:t>
      </w:r>
      <w:r>
        <w:rPr>
          <w:rFonts w:hint="default" w:ascii="Times New Roman" w:hAnsi="Times New Roman" w:eastAsia="宋体" w:cs="Times New Roman"/>
          <w:color w:val="auto"/>
          <w:spacing w:val="0"/>
          <w:w w:val="100"/>
          <w:kern w:val="0"/>
          <w:position w:val="0"/>
          <w:sz w:val="24"/>
          <w:u w:val="none" w:color="auto"/>
          <w:lang w:val="en-US" w:eastAsia="zh-CN"/>
        </w:rPr>
        <w:t>第90百分位数最大8小时平均浓度均能满足《环境空气质量标准》（GB3095-2012）及修改单中的二级标准要求，属于环境空气质量达标区。</w:t>
      </w:r>
    </w:p>
    <w:p w14:paraId="3D021F2D">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rPr>
      </w:pPr>
      <w:r>
        <w:rPr>
          <w:rFonts w:hint="default" w:ascii="Times New Roman" w:hAnsi="Times New Roman" w:eastAsia="宋体" w:cs="Times New Roman"/>
          <w:color w:val="auto"/>
          <w:spacing w:val="0"/>
          <w:w w:val="100"/>
          <w:position w:val="0"/>
          <w:sz w:val="24"/>
          <w:u w:val="none" w:color="auto"/>
        </w:rPr>
        <w:t>项目所在区域</w:t>
      </w:r>
      <w:r>
        <w:rPr>
          <w:rFonts w:hint="default" w:ascii="Times New Roman" w:hAnsi="Times New Roman" w:eastAsia="宋体" w:cs="Times New Roman"/>
          <w:color w:val="auto"/>
          <w:spacing w:val="0"/>
          <w:w w:val="100"/>
          <w:kern w:val="0"/>
          <w:position w:val="0"/>
          <w:sz w:val="24"/>
          <w:u w:val="none" w:color="auto"/>
        </w:rPr>
        <w:t>TSP满足《环境空气质量标准》（GB3095-2012）中二级标准要求。</w:t>
      </w:r>
      <w:r>
        <w:rPr>
          <w:rFonts w:hint="eastAsia" w:ascii="Times New Roman" w:hAnsi="Times New Roman" w:eastAsia="宋体" w:cs="Times New Roman"/>
          <w:color w:val="auto"/>
          <w:spacing w:val="0"/>
          <w:w w:val="100"/>
          <w:kern w:val="0"/>
          <w:position w:val="0"/>
          <w:sz w:val="24"/>
          <w:u w:val="none" w:color="auto"/>
          <w:lang w:val="en-US" w:eastAsia="zh-CN"/>
        </w:rPr>
        <w:t xml:space="preserve"> </w:t>
      </w:r>
    </w:p>
    <w:p w14:paraId="21F4C970">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地表水环境质量现状</w:t>
      </w:r>
    </w:p>
    <w:p w14:paraId="6D193FFF">
      <w:pPr>
        <w:keepNext w:val="0"/>
        <w:keepLines w:val="0"/>
        <w:pageBreakBefore w:val="0"/>
        <w:widowControl w:val="0"/>
        <w:overflowPunct/>
        <w:autoSpaceDE/>
        <w:autoSpaceDN/>
        <w:bidi w:val="0"/>
        <w:snapToGrid/>
        <w:spacing w:line="360" w:lineRule="auto"/>
        <w:ind w:left="0" w:right="0" w:firstLine="48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本项目为水库除险加固工程，为进一步了解区域地表水环境质量现状，本次环评委托</w:t>
      </w:r>
      <w:r>
        <w:rPr>
          <w:rFonts w:hint="default" w:ascii="Times New Roman" w:hAnsi="Times New Roman" w:eastAsia="宋体" w:cs="Times New Roman"/>
          <w:color w:val="auto"/>
          <w:spacing w:val="0"/>
          <w:w w:val="100"/>
          <w:position w:val="0"/>
          <w:sz w:val="24"/>
          <w:szCs w:val="24"/>
          <w:u w:val="none" w:color="auto"/>
          <w:lang w:eastAsia="zh-CN"/>
        </w:rPr>
        <w:t>湖南乾诚检测有限公司</w:t>
      </w:r>
      <w:r>
        <w:rPr>
          <w:rFonts w:hint="default" w:ascii="Times New Roman" w:hAnsi="Times New Roman" w:eastAsia="宋体" w:cs="Times New Roman"/>
          <w:color w:val="auto"/>
          <w:spacing w:val="0"/>
          <w:w w:val="100"/>
          <w:position w:val="0"/>
          <w:sz w:val="24"/>
          <w:szCs w:val="24"/>
          <w:u w:val="none" w:color="auto"/>
        </w:rPr>
        <w:t>对区域地表水环境质量现状进行监测</w:t>
      </w:r>
      <w:r>
        <w:rPr>
          <w:rFonts w:hint="default"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rPr>
        <w:t>根据监测结果可知，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监测点位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各监测因子中除总氮、总磷超标外，其它因子均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满足</w:t>
      </w:r>
      <w:r>
        <w:rPr>
          <w:rFonts w:hint="default" w:ascii="Times New Roman" w:hAnsi="Times New Roman" w:eastAsia="宋体" w:cs="Times New Roman"/>
          <w:caps w:val="0"/>
          <w:smallCaps w:val="0"/>
          <w:color w:val="auto"/>
          <w:spacing w:val="0"/>
          <w:w w:val="100"/>
          <w:kern w:val="0"/>
          <w:position w:val="0"/>
          <w:sz w:val="24"/>
          <w:szCs w:val="24"/>
          <w:u w:val="none" w:color="auto"/>
        </w:rPr>
        <w:t>《地表水环境质量标准》（GB3838-2002）Ⅲ类标准</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要求</w:t>
      </w:r>
      <w:r>
        <w:rPr>
          <w:rFonts w:hint="default" w:ascii="Times New Roman" w:hAnsi="Times New Roman" w:eastAsia="宋体" w:cs="Times New Roman"/>
          <w:color w:val="auto"/>
          <w:spacing w:val="0"/>
          <w:w w:val="100"/>
          <w:position w:val="0"/>
          <w:sz w:val="24"/>
          <w:szCs w:val="24"/>
          <w:u w:val="none" w:color="auto"/>
        </w:rPr>
        <w:t>。</w:t>
      </w:r>
    </w:p>
    <w:p w14:paraId="04C93FBC">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地下水环境现状</w:t>
      </w:r>
    </w:p>
    <w:p w14:paraId="594EAD74">
      <w:pPr>
        <w:keepNext w:val="0"/>
        <w:keepLines w:val="0"/>
        <w:pageBreakBefore w:val="0"/>
        <w:widowControl w:val="0"/>
        <w:overflowPunct/>
        <w:autoSpaceDE/>
        <w:autoSpaceDN/>
        <w:bidi w:val="0"/>
        <w:snapToGrid/>
        <w:spacing w:line="360" w:lineRule="auto"/>
        <w:ind w:left="0" w:right="0" w:firstLine="50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由区域地下水环境现状监测数据可知，各地下水监测点</w:t>
      </w:r>
      <w:r>
        <w:rPr>
          <w:rFonts w:hint="eastAsia" w:ascii="Times New Roman" w:hAnsi="Times New Roman" w:eastAsia="宋体" w:cs="Times New Roman"/>
          <w:color w:val="auto"/>
          <w:spacing w:val="0"/>
          <w:w w:val="100"/>
          <w:position w:val="0"/>
          <w:sz w:val="24"/>
          <w:szCs w:val="24"/>
          <w:u w:val="none" w:color="auto"/>
          <w:lang w:eastAsia="zh-CN"/>
        </w:rPr>
        <w:t>位</w:t>
      </w:r>
      <w:r>
        <w:rPr>
          <w:rFonts w:hint="default" w:ascii="Times New Roman" w:hAnsi="Times New Roman" w:eastAsia="宋体" w:cs="Times New Roman"/>
          <w:color w:val="auto"/>
          <w:spacing w:val="0"/>
          <w:w w:val="100"/>
          <w:position w:val="0"/>
          <w:sz w:val="24"/>
          <w:szCs w:val="24"/>
          <w:u w:val="none" w:color="auto"/>
        </w:rPr>
        <w:t>的水质均能满足《地下水环境质量标准》(</w:t>
      </w:r>
      <w:r>
        <w:rPr>
          <w:rFonts w:hint="default" w:ascii="Times New Roman" w:hAnsi="Times New Roman" w:eastAsia="Times New Roman" w:cs="Times New Roman"/>
          <w:color w:val="auto"/>
          <w:spacing w:val="0"/>
          <w:w w:val="100"/>
          <w:position w:val="0"/>
          <w:sz w:val="24"/>
          <w:szCs w:val="24"/>
          <w:u w:val="none" w:color="auto"/>
        </w:rPr>
        <w:t>GB/T14848-2017</w:t>
      </w:r>
      <w:r>
        <w:rPr>
          <w:rFonts w:hint="default" w:ascii="Times New Roman" w:hAnsi="Times New Roman" w:eastAsia="宋体" w:cs="Times New Roman"/>
          <w:color w:val="auto"/>
          <w:spacing w:val="0"/>
          <w:w w:val="100"/>
          <w:position w:val="0"/>
          <w:sz w:val="24"/>
          <w:szCs w:val="24"/>
          <w:u w:val="none" w:color="auto"/>
        </w:rPr>
        <w:t>)Ⅲ类水质标准。</w:t>
      </w:r>
    </w:p>
    <w:p w14:paraId="085CBCDD">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声环境现状</w:t>
      </w:r>
    </w:p>
    <w:p w14:paraId="51A9C18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为了解项目所在区域声环境质量现状，本次环评委托</w:t>
      </w:r>
      <w:r>
        <w:rPr>
          <w:rFonts w:hint="default" w:ascii="Times New Roman" w:hAnsi="Times New Roman" w:eastAsia="宋体" w:cs="Times New Roman"/>
          <w:color w:val="auto"/>
          <w:spacing w:val="0"/>
          <w:w w:val="100"/>
          <w:position w:val="0"/>
          <w:sz w:val="24"/>
          <w:szCs w:val="24"/>
          <w:u w:val="none" w:color="auto"/>
          <w:lang w:eastAsia="zh-CN"/>
        </w:rPr>
        <w:t>湖南乾诚检测有限公司</w:t>
      </w:r>
      <w:r>
        <w:rPr>
          <w:rFonts w:hint="default" w:ascii="Times New Roman" w:hAnsi="Times New Roman" w:eastAsia="宋体" w:cs="Times New Roman"/>
          <w:color w:val="auto"/>
          <w:spacing w:val="0"/>
          <w:w w:val="100"/>
          <w:position w:val="0"/>
          <w:sz w:val="24"/>
          <w:szCs w:val="24"/>
          <w:u w:val="none" w:color="auto"/>
        </w:rPr>
        <w:t>对区域</w:t>
      </w:r>
      <w:r>
        <w:rPr>
          <w:rFonts w:hint="default" w:ascii="Times New Roman" w:hAnsi="Times New Roman" w:eastAsia="宋体" w:cs="Times New Roman"/>
          <w:color w:val="auto"/>
          <w:spacing w:val="0"/>
          <w:w w:val="100"/>
          <w:position w:val="0"/>
          <w:sz w:val="24"/>
          <w:szCs w:val="24"/>
          <w:u w:val="none" w:color="auto"/>
          <w:lang w:eastAsia="zh-CN"/>
        </w:rPr>
        <w:t>声</w:t>
      </w:r>
      <w:r>
        <w:rPr>
          <w:rFonts w:hint="default" w:ascii="Times New Roman" w:hAnsi="Times New Roman" w:eastAsia="宋体" w:cs="Times New Roman"/>
          <w:color w:val="auto"/>
          <w:spacing w:val="0"/>
          <w:w w:val="100"/>
          <w:position w:val="0"/>
          <w:sz w:val="24"/>
          <w:szCs w:val="24"/>
          <w:u w:val="none" w:color="auto"/>
        </w:rPr>
        <w:t>环境质量现状进行监测</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。根据监测结果可知，</w:t>
      </w:r>
      <w:r>
        <w:rPr>
          <w:rFonts w:hint="default" w:ascii="Times New Roman" w:hAnsi="Times New Roman" w:eastAsia="宋体" w:cs="Times New Roman"/>
          <w:caps w:val="0"/>
          <w:smallCaps w:val="0"/>
          <w:color w:val="auto"/>
          <w:spacing w:val="0"/>
          <w:w w:val="100"/>
          <w:kern w:val="0"/>
          <w:position w:val="0"/>
          <w:sz w:val="24"/>
          <w:szCs w:val="24"/>
          <w:u w:val="none" w:color="auto"/>
        </w:rPr>
        <w:t>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各监测点位</w:t>
      </w:r>
      <w:r>
        <w:rPr>
          <w:rFonts w:hint="default" w:ascii="Times New Roman" w:hAnsi="Times New Roman" w:eastAsia="宋体" w:cs="Times New Roman"/>
          <w:caps w:val="0"/>
          <w:smallCaps w:val="0"/>
          <w:color w:val="auto"/>
          <w:spacing w:val="0"/>
          <w:w w:val="100"/>
          <w:kern w:val="0"/>
          <w:position w:val="0"/>
          <w:sz w:val="24"/>
          <w:szCs w:val="24"/>
          <w:u w:val="none" w:color="auto"/>
        </w:rPr>
        <w:t>昼间、夜间噪声监测值均满足《声环境质量标准》（GB3096-2008）1类标准限值要求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4BA3B0D7">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土壤环境质量现状</w:t>
      </w:r>
    </w:p>
    <w:p w14:paraId="1B6BECD0">
      <w:pPr>
        <w:adjustRightInd w:val="0"/>
        <w:snapToGrid w:val="0"/>
        <w:spacing w:line="360" w:lineRule="auto"/>
        <w:ind w:firstLine="480" w:firstLineChars="200"/>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从监测结果可看出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olor w:val="auto"/>
          <w:spacing w:val="0"/>
          <w:w w:val="100"/>
          <w:position w:val="0"/>
          <w:sz w:val="24"/>
          <w:szCs w:val="24"/>
          <w:u w:val="none" w:color="auto"/>
          <w:lang w:eastAsia="zh-CN"/>
        </w:rPr>
        <w:t>项目大坝</w:t>
      </w:r>
      <w:r>
        <w:rPr>
          <w:rFonts w:hint="default" w:ascii="Times New Roman" w:hAnsi="Times New Roman" w:eastAsia="宋体" w:cs="Times New Roman"/>
          <w:color w:val="auto"/>
          <w:sz w:val="24"/>
          <w:highlight w:val="none"/>
          <w:u w:val="none" w:color="auto"/>
          <w:lang w:eastAsia="zh-CN"/>
        </w:rPr>
        <w:t>土壤各项监测因子均满足《土壤环境质量</w:t>
      </w:r>
      <w:r>
        <w:rPr>
          <w:rFonts w:hint="default" w:ascii="Times New Roman" w:hAnsi="Times New Roman" w:eastAsia="宋体" w:cs="Times New Roman"/>
          <w:color w:val="auto"/>
          <w:sz w:val="24"/>
          <w:highlight w:val="none"/>
          <w:u w:val="none" w:color="auto"/>
          <w:lang w:val="en-US" w:eastAsia="zh-CN"/>
        </w:rPr>
        <w:t xml:space="preserve"> </w:t>
      </w:r>
      <w:r>
        <w:rPr>
          <w:rFonts w:hint="default" w:ascii="Times New Roman" w:hAnsi="Times New Roman" w:eastAsia="宋体" w:cs="Times New Roman"/>
          <w:color w:val="auto"/>
          <w:sz w:val="24"/>
          <w:highlight w:val="none"/>
          <w:u w:val="none" w:color="auto"/>
          <w:lang w:eastAsia="zh-CN"/>
        </w:rPr>
        <w:t>建设用地土壤污染风险管控标准（试行）》GB 36600-2018表</w:t>
      </w:r>
      <w:r>
        <w:rPr>
          <w:rFonts w:hint="default" w:ascii="Times New Roman" w:hAnsi="Times New Roman" w:eastAsia="宋体" w:cs="Times New Roman"/>
          <w:color w:val="auto"/>
          <w:sz w:val="24"/>
          <w:highlight w:val="none"/>
          <w:u w:val="none" w:color="auto"/>
          <w:lang w:val="en-US" w:eastAsia="zh-CN"/>
        </w:rPr>
        <w:t>1</w:t>
      </w:r>
      <w:r>
        <w:rPr>
          <w:rFonts w:hint="default" w:ascii="Times New Roman" w:hAnsi="Times New Roman" w:eastAsia="宋体" w:cs="Times New Roman"/>
          <w:color w:val="auto"/>
          <w:sz w:val="24"/>
          <w:highlight w:val="none"/>
          <w:u w:val="none" w:color="auto"/>
          <w:lang w:eastAsia="zh-CN"/>
        </w:rPr>
        <w:t>第二类用地筛选值要求。</w:t>
      </w:r>
      <w:r>
        <w:rPr>
          <w:rFonts w:hint="default" w:ascii="Times New Roman" w:hAnsi="Times New Roman" w:eastAsia="宋体" w:cs="Times New Roman"/>
          <w:color w:val="auto"/>
          <w:sz w:val="24"/>
          <w:highlight w:val="none"/>
          <w:u w:val="none" w:color="auto"/>
          <w:lang w:val="en-US" w:eastAsia="zh-CN"/>
        </w:rPr>
        <w:t>周边林地、农田监测因子可达到</w:t>
      </w:r>
      <w:r>
        <w:rPr>
          <w:rFonts w:hint="default" w:ascii="Times New Roman" w:hAnsi="Times New Roman" w:eastAsia="宋体" w:cs="Times New Roman"/>
          <w:b w:val="0"/>
          <w:bCs/>
          <w:caps w:val="0"/>
          <w:smallCaps w:val="0"/>
          <w:color w:val="auto"/>
          <w:spacing w:val="0"/>
          <w:w w:val="100"/>
          <w:position w:val="0"/>
          <w:sz w:val="24"/>
          <w:szCs w:val="24"/>
          <w:u w:val="none" w:color="auto"/>
        </w:rPr>
        <w:t>《土壤环境质量</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b w:val="0"/>
          <w:bCs/>
          <w:caps w:val="0"/>
          <w:smallCaps w:val="0"/>
          <w:color w:val="auto"/>
          <w:spacing w:val="0"/>
          <w:w w:val="100"/>
          <w:position w:val="0"/>
          <w:sz w:val="24"/>
          <w:szCs w:val="24"/>
          <w:u w:val="none" w:color="auto"/>
        </w:rPr>
        <w:t>农用地土壤污染风险管控标准》（GB15618-2018）中表1农用地土壤污染风险筛选值</w:t>
      </w:r>
      <w:r>
        <w:rPr>
          <w:rFonts w:hint="default" w:ascii="Times New Roman" w:hAnsi="Times New Roman" w:eastAsia="宋体" w:cs="Times New Roman"/>
          <w:b w:val="0"/>
          <w:bCs/>
          <w:caps w:val="0"/>
          <w:smallCaps w:val="0"/>
          <w:color w:val="auto"/>
          <w:spacing w:val="0"/>
          <w:w w:val="100"/>
          <w:position w:val="0"/>
          <w:sz w:val="24"/>
          <w:szCs w:val="24"/>
          <w:u w:val="none" w:color="auto"/>
          <w:lang w:val="en-US" w:eastAsia="zh-CN"/>
        </w:rPr>
        <w:t>要求</w:t>
      </w:r>
      <w:r>
        <w:rPr>
          <w:rFonts w:hint="default" w:ascii="Times New Roman" w:hAnsi="Times New Roman" w:eastAsia="宋体" w:cs="Times New Roman"/>
          <w:b w:val="0"/>
          <w:bCs/>
          <w:caps w:val="0"/>
          <w:smallCaps w:val="0"/>
          <w:color w:val="auto"/>
          <w:spacing w:val="0"/>
          <w:w w:val="100"/>
          <w:position w:val="0"/>
          <w:sz w:val="24"/>
          <w:szCs w:val="24"/>
          <w:u w:val="none" w:color="auto"/>
          <w:lang w:eastAsia="zh-CN"/>
        </w:rPr>
        <w:t>。</w:t>
      </w:r>
    </w:p>
    <w:p w14:paraId="3E9E69CA">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6</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生态环境现状</w:t>
      </w:r>
    </w:p>
    <w:p w14:paraId="2C31B57C">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根据调查，本工程涉及湖南华容东湖国家湿地公园和生态保护红线，地区的植物区系属亚热带常绿阔叶林区域—中亚热带常绿阔叶林地带—中亚热带典型常绿阔叶林北部植被亚地带—湘北植被区—洞庭湖平原及湖泊植被小区，评价区植被有4个植被型组、6个植被型及11个群系；动物区划属于东洋界—华中区—东部丘陵平原亚区—长江沿岸平原省—农田湿地动物群。评价区有陆生脊椎动物4纲19目54科93种，评价区范围内陆生脊椎动物中，未发现国家级重点保护野生动物，记录有湖南省重点保护野生动物34种。</w:t>
      </w:r>
    </w:p>
    <w:p w14:paraId="2C91E4D6">
      <w:pPr>
        <w:pStyle w:val="3"/>
        <w:bidi w:val="0"/>
        <w:rPr>
          <w:rFonts w:hint="default"/>
          <w:u w:val="none" w:color="auto"/>
          <w:lang w:val="en-US" w:eastAsia="zh-CN"/>
        </w:rPr>
      </w:pPr>
      <w:bookmarkStart w:id="374" w:name="_Toc2257"/>
      <w:r>
        <w:rPr>
          <w:rFonts w:hint="default"/>
          <w:u w:val="none" w:color="auto"/>
          <w:lang w:val="en-US" w:eastAsia="zh-CN"/>
        </w:rPr>
        <w:t>环境影响及保护措施</w:t>
      </w:r>
      <w:bookmarkEnd w:id="374"/>
    </w:p>
    <w:p w14:paraId="4D581180">
      <w:pPr>
        <w:keepNext w:val="0"/>
        <w:keepLines w:val="0"/>
        <w:pageBreakBefore w:val="0"/>
        <w:widowControl w:val="0"/>
        <w:kinsoku w:val="0"/>
        <w:wordWrap w:val="0"/>
        <w:overflowPunct/>
        <w:topLinePunct/>
        <w:autoSpaceDE/>
        <w:autoSpaceDN/>
        <w:bidi w:val="0"/>
        <w:adjustRightInd w:val="0"/>
        <w:snapToGrid/>
        <w:spacing w:line="360" w:lineRule="auto"/>
        <w:ind w:left="0" w:right="0" w:firstLine="482" w:firstLineChars="200"/>
        <w:textAlignment w:val="auto"/>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1、现有工程环境影响回顾性评价</w:t>
      </w:r>
    </w:p>
    <w:p w14:paraId="6B4F881B">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FF0000"/>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b w:val="0"/>
          <w:bCs w:val="0"/>
          <w:sz w:val="24"/>
          <w:szCs w:val="24"/>
          <w:u w:val="none" w:color="auto"/>
          <w:lang w:val="en-US" w:eastAsia="zh-CN"/>
        </w:rPr>
        <w:t>水质影响回顾分析</w:t>
      </w:r>
    </w:p>
    <w:p w14:paraId="16E78F9F">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根据2024年</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9</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月</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日对库区水环境质量现状监测结果，水库</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中心断面总磷、总氮超过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《地表水环境质量标准》（GB3838-2002）中III类水质标准</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，其他各因子可满足III类标准要求。超标原因可能是水库周边灌区农田</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氮肥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磷肥</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流失，通过地表径流汇入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同时北汊水库具有养殖功能，养殖废水也会导致总氮、总磷超标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52E688A4">
      <w:pPr>
        <w:widowControl w:val="0"/>
        <w:spacing w:before="0" w:after="0" w:afterLines="0" w:line="360" w:lineRule="auto"/>
        <w:ind w:right="0"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根据计算结果可知，</w:t>
      </w:r>
      <w:r>
        <w:rPr>
          <w:rFonts w:hint="eastAsia" w:ascii="Times New Roman" w:hAnsi="Times New Roman" w:eastAsia="宋体" w:cs="Times New Roman"/>
          <w:color w:val="auto"/>
          <w:kern w:val="2"/>
          <w:sz w:val="24"/>
          <w:szCs w:val="24"/>
          <w:u w:val="none" w:color="auto"/>
          <w:lang w:val="en-US" w:eastAsia="zh-CN" w:bidi="ar-SA"/>
        </w:rPr>
        <w:t>北汊水库</w:t>
      </w:r>
      <w:r>
        <w:rPr>
          <w:rFonts w:hint="default" w:ascii="Times New Roman" w:hAnsi="Times New Roman" w:eastAsia="宋体" w:cs="Times New Roman"/>
          <w:color w:val="auto"/>
          <w:kern w:val="2"/>
          <w:sz w:val="24"/>
          <w:szCs w:val="24"/>
          <w:u w:val="none" w:color="auto"/>
          <w:lang w:val="en-US" w:eastAsia="zh-CN" w:bidi="ar-SA"/>
        </w:rPr>
        <w:t>成库后富营养化程度属</w:t>
      </w:r>
      <w:r>
        <w:rPr>
          <w:rFonts w:hint="eastAsia" w:ascii="Times New Roman" w:hAnsi="Times New Roman" w:eastAsia="宋体" w:cs="Times New Roman"/>
          <w:color w:val="auto"/>
          <w:kern w:val="2"/>
          <w:sz w:val="24"/>
          <w:szCs w:val="24"/>
          <w:u w:val="none" w:color="auto"/>
          <w:lang w:val="en-US" w:eastAsia="zh-CN" w:bidi="ar-SA"/>
        </w:rPr>
        <w:t>贫</w:t>
      </w:r>
      <w:r>
        <w:rPr>
          <w:rFonts w:hint="default" w:ascii="Times New Roman" w:hAnsi="Times New Roman" w:eastAsia="宋体" w:cs="Times New Roman"/>
          <w:color w:val="auto"/>
          <w:kern w:val="2"/>
          <w:sz w:val="24"/>
          <w:szCs w:val="24"/>
          <w:u w:val="none" w:color="auto"/>
          <w:lang w:val="en-US" w:eastAsia="zh-CN" w:bidi="ar-SA"/>
        </w:rPr>
        <w:t>营养级，建设项目总体水质</w:t>
      </w:r>
      <w:r>
        <w:rPr>
          <w:rFonts w:hint="eastAsia" w:ascii="Times New Roman" w:hAnsi="Times New Roman" w:eastAsia="宋体" w:cs="Times New Roman"/>
          <w:color w:val="auto"/>
          <w:kern w:val="2"/>
          <w:sz w:val="24"/>
          <w:szCs w:val="24"/>
          <w:u w:val="none" w:color="auto"/>
          <w:lang w:val="en-US" w:eastAsia="zh-CN" w:bidi="ar-SA"/>
        </w:rPr>
        <w:t>基本</w:t>
      </w:r>
      <w:r>
        <w:rPr>
          <w:rFonts w:hint="default" w:ascii="Times New Roman" w:hAnsi="Times New Roman" w:eastAsia="宋体" w:cs="Times New Roman"/>
          <w:color w:val="auto"/>
          <w:kern w:val="2"/>
          <w:sz w:val="24"/>
          <w:szCs w:val="24"/>
          <w:u w:val="none" w:color="auto"/>
          <w:lang w:val="en-US" w:eastAsia="zh-CN" w:bidi="ar-SA"/>
        </w:rPr>
        <w:t>不会向富营养化状态转化。</w:t>
      </w:r>
    </w:p>
    <w:p w14:paraId="6B9A2470">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rPr>
        <w:t>由于大坝截流和水库引水供区域农业灌溉，水库蓄水导流造成坝后河段水量减小，水体自净能力降低，对下游水环境有一定影响</w:t>
      </w:r>
      <w:r>
        <w:rPr>
          <w:rFonts w:hint="eastAsia" w:ascii="Times New Roman" w:hAnsi="Times New Roman" w:eastAsia="宋体" w:cs="Times New Roman"/>
          <w:color w:val="auto"/>
          <w:sz w:val="24"/>
          <w:u w:val="none" w:color="auto"/>
          <w:lang w:eastAsia="zh-CN"/>
        </w:rPr>
        <w:t>。</w:t>
      </w:r>
    </w:p>
    <w:p w14:paraId="3699024C">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（2）水文情势影响</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回顾</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分析</w:t>
      </w:r>
    </w:p>
    <w:p w14:paraId="1844443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北汊水库</w:t>
      </w:r>
      <w:r>
        <w:rPr>
          <w:rFonts w:hint="default" w:ascii="Times New Roman" w:hAnsi="Times New Roman" w:eastAsia="宋体" w:cs="Times New Roman"/>
          <w:color w:val="000000"/>
          <w:kern w:val="0"/>
          <w:sz w:val="24"/>
          <w:szCs w:val="24"/>
          <w:u w:val="none" w:color="auto"/>
          <w:lang w:val="en-US" w:eastAsia="zh-CN" w:bidi="ar"/>
        </w:rPr>
        <w:t>建成后，</w:t>
      </w:r>
      <w:r>
        <w:rPr>
          <w:rFonts w:hint="default" w:ascii="Times New Roman" w:hAnsi="Times New Roman" w:eastAsia="宋体" w:cs="Times New Roman"/>
          <w:color w:val="auto"/>
          <w:spacing w:val="0"/>
          <w:w w:val="100"/>
          <w:position w:val="0"/>
          <w:sz w:val="24"/>
          <w:szCs w:val="24"/>
          <w:highlight w:val="none"/>
          <w:u w:val="none" w:color="auto"/>
          <w:lang w:val="en-US" w:eastAsia="zh-CN"/>
        </w:rPr>
        <w:t>水库正常蓄水位为30.50m，校核洪水位31.38m，总库容1423万m</w:t>
      </w:r>
      <w:r>
        <w:rPr>
          <w:rFonts w:hint="default" w:ascii="Times New Roman" w:hAnsi="Times New Roman" w:eastAsia="宋体" w:cs="Times New Roman"/>
          <w:color w:val="auto"/>
          <w:spacing w:val="0"/>
          <w:w w:val="100"/>
          <w:position w:val="0"/>
          <w:sz w:val="24"/>
          <w:szCs w:val="24"/>
          <w:highlight w:val="none"/>
          <w:u w:val="none" w:color="auto"/>
          <w:vertAlign w:val="superscript"/>
          <w:lang w:val="en-US" w:eastAsia="zh-CN"/>
        </w:rPr>
        <w:t>3</w:t>
      </w:r>
      <w:r>
        <w:rPr>
          <w:rFonts w:hint="eastAsia" w:ascii="Times New Roman" w:hAnsi="Times New Roman" w:eastAsia="宋体" w:cs="Times New Roman"/>
          <w:color w:val="000000"/>
          <w:kern w:val="0"/>
          <w:sz w:val="24"/>
          <w:szCs w:val="24"/>
          <w:u w:val="none" w:color="auto"/>
          <w:lang w:val="en-US" w:eastAsia="zh-CN" w:bidi="ar"/>
        </w:rPr>
        <w:t>。</w:t>
      </w:r>
      <w:r>
        <w:rPr>
          <w:rFonts w:hint="default" w:ascii="Times New Roman" w:hAnsi="Times New Roman" w:eastAsia="宋体" w:cs="Times New Roman"/>
          <w:color w:val="000000"/>
          <w:kern w:val="0"/>
          <w:sz w:val="24"/>
          <w:szCs w:val="24"/>
          <w:u w:val="none" w:color="auto"/>
          <w:lang w:val="en-US" w:eastAsia="zh-CN" w:bidi="ar"/>
        </w:rPr>
        <w:t>坝前水位抬升，水域面积变大，坝前水深增加，库区水体流速趋缓。</w:t>
      </w:r>
      <w:r>
        <w:rPr>
          <w:rFonts w:hint="eastAsia" w:ascii="Times New Roman" w:hAnsi="Times New Roman" w:eastAsia="宋体" w:cs="Times New Roman"/>
          <w:color w:val="auto"/>
          <w:sz w:val="24"/>
          <w:szCs w:val="24"/>
          <w:u w:val="none" w:color="auto"/>
          <w:lang w:eastAsia="zh-CN"/>
        </w:rPr>
        <w:t>北汊水库</w:t>
      </w:r>
      <w:r>
        <w:rPr>
          <w:rFonts w:hint="default" w:ascii="Times New Roman" w:hAnsi="Times New Roman" w:eastAsia="宋体" w:cs="Times New Roman"/>
          <w:color w:val="auto"/>
          <w:kern w:val="0"/>
          <w:sz w:val="24"/>
          <w:szCs w:val="24"/>
          <w:u w:val="none" w:color="auto"/>
          <w:lang w:val="en-US" w:eastAsia="zh-CN" w:bidi="ar"/>
        </w:rPr>
        <w:t>库区因河段内流速减缓而引起的泥沙淤积不严重，未见明显淤积现象，对水库下游河道泥沙影响较小</w:t>
      </w:r>
      <w:r>
        <w:rPr>
          <w:rFonts w:hint="eastAsia" w:ascii="Times New Roman" w:hAnsi="Times New Roman" w:eastAsia="宋体" w:cs="Times New Roman"/>
          <w:color w:val="auto"/>
          <w:kern w:val="0"/>
          <w:sz w:val="24"/>
          <w:szCs w:val="24"/>
          <w:u w:val="none" w:color="auto"/>
          <w:lang w:val="en-US" w:eastAsia="zh-CN" w:bidi="ar"/>
        </w:rPr>
        <w:t>。北汊水库</w:t>
      </w:r>
      <w:r>
        <w:rPr>
          <w:rFonts w:hint="default" w:ascii="Times New Roman" w:hAnsi="Times New Roman" w:eastAsia="宋体" w:cs="Times New Roman"/>
          <w:color w:val="auto"/>
          <w:kern w:val="0"/>
          <w:sz w:val="24"/>
          <w:szCs w:val="24"/>
          <w:u w:val="none" w:color="auto"/>
          <w:lang w:val="en-US" w:eastAsia="zh-CN" w:bidi="ar"/>
        </w:rPr>
        <w:t>出库流量基本可满足水库生态流量的管控要求，水库大坝蓄水有利于保障下游供水</w:t>
      </w:r>
      <w:r>
        <w:rPr>
          <w:rFonts w:hint="eastAsia" w:ascii="Times New Roman" w:hAnsi="Times New Roman" w:eastAsia="宋体"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水库调节库容小，水库水体温度仍基本保持天然径流状况，</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垂向分布大致相同，不存在水温分层现象</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p>
    <w:p w14:paraId="63570E79">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3</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）大气环境影响回顾分析</w:t>
      </w:r>
    </w:p>
    <w:p w14:paraId="43DD55A5">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气</w:t>
      </w:r>
      <w:r>
        <w:rPr>
          <w:rFonts w:hint="default" w:ascii="Times New Roman" w:hAnsi="Times New Roman" w:eastAsia="宋体" w:cs="Times New Roman"/>
          <w:caps w:val="0"/>
          <w:smallCaps w:val="0"/>
          <w:color w:val="auto"/>
          <w:spacing w:val="0"/>
          <w:w w:val="100"/>
          <w:kern w:val="0"/>
          <w:position w:val="0"/>
          <w:sz w:val="24"/>
          <w:szCs w:val="24"/>
          <w:u w:val="none" w:color="auto"/>
        </w:rPr>
        <w:t>影响主要是水库管理人员</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食堂油烟</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经抽油烟机引至楼顶排放。废气产生量小，未对大气环境造成较大影响。</w:t>
      </w:r>
    </w:p>
    <w:p w14:paraId="060B0415">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）声环境影响回顾分析</w:t>
      </w:r>
    </w:p>
    <w:p w14:paraId="3C8DD7DE">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水库营运期间主要是水泵、设备机房运行产生的噪声，经隔音、减震后噪声影响较小</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，通过现状监测结果可知，项目区域声环境</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能</w:t>
      </w:r>
      <w:r>
        <w:rPr>
          <w:rFonts w:hint="default" w:ascii="Times New Roman" w:hAnsi="Times New Roman" w:eastAsia="宋体" w:cs="Times New Roman"/>
          <w:caps w:val="0"/>
          <w:smallCaps w:val="0"/>
          <w:color w:val="auto"/>
          <w:spacing w:val="0"/>
          <w:w w:val="100"/>
          <w:kern w:val="0"/>
          <w:position w:val="0"/>
          <w:sz w:val="24"/>
          <w:szCs w:val="24"/>
          <w:u w:val="none" w:color="auto"/>
        </w:rPr>
        <w:t>满足《声环境质量标准》（GB3096-2008）1类标准限值要求</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37E468E2">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5</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）固体废物影响回顾分析</w:t>
      </w:r>
    </w:p>
    <w:p w14:paraId="3EEB255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水库营运期间产生的固体废物主要是水库管理人员产生的生活垃圾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集中收集后定期由环卫部门清</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理。</w:t>
      </w:r>
    </w:p>
    <w:p w14:paraId="5D59BDC1">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）生态环境影响回顾分析</w:t>
      </w:r>
    </w:p>
    <w:p w14:paraId="67EEF913">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区域野生动物已趋于稳定，水库运行对区域野生动物多样性未产生根本性影响，水库区域无外来物种入侵现状。</w:t>
      </w:r>
    </w:p>
    <w:p w14:paraId="1498782D">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经过</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40余</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年的运行，河段的水文情势逐步趋于相对稳定状态。</w:t>
      </w:r>
      <w:r>
        <w:rPr>
          <w:rFonts w:hint="default" w:ascii="Times New Roman" w:hAnsi="Times New Roman" w:eastAsia="宋体" w:cs="Times New Roman"/>
          <w:color w:val="auto"/>
          <w:spacing w:val="0"/>
          <w:w w:val="100"/>
          <w:position w:val="0"/>
          <w:sz w:val="24"/>
          <w:szCs w:val="24"/>
          <w:u w:val="none" w:color="auto"/>
          <w:lang w:val="en-US" w:eastAsia="zh-CN"/>
        </w:rPr>
        <w:t>水生生物</w:t>
      </w:r>
      <w:r>
        <w:rPr>
          <w:rFonts w:hint="default" w:ascii="Times New Roman" w:hAnsi="Times New Roman" w:eastAsia="浠垮畫" w:cs="Times New Roman"/>
          <w:color w:val="auto"/>
          <w:kern w:val="0"/>
          <w:sz w:val="24"/>
          <w:szCs w:val="24"/>
          <w:u w:val="none" w:color="auto"/>
          <w:lang w:val="en-US" w:eastAsia="zh-CN" w:bidi="ar"/>
        </w:rPr>
        <w:t>逐步适应生境变化，</w:t>
      </w:r>
      <w:r>
        <w:rPr>
          <w:rFonts w:hint="default" w:ascii="Times New Roman" w:hAnsi="Times New Roman" w:eastAsia="宋体" w:cs="Times New Roman"/>
          <w:color w:val="auto"/>
          <w:spacing w:val="0"/>
          <w:w w:val="100"/>
          <w:position w:val="0"/>
          <w:sz w:val="24"/>
          <w:szCs w:val="24"/>
          <w:u w:val="none" w:color="auto"/>
          <w:lang w:val="en-US" w:eastAsia="zh-CN"/>
        </w:rPr>
        <w:t>鱼类种群逐步趋于稳定。库区水体流速减缓、甚至静止，喜流水生活鱼类、产漂流性卵鱼类分布减少，适应静缓流水生活的定居性鱼类种群壮大，同时饵料生物组成的变化对鱼类结构产生间接影响，总体上库区鱼类多样性有所下降，种群结构趋于简单。</w:t>
      </w:r>
    </w:p>
    <w:p w14:paraId="42941A73">
      <w:pPr>
        <w:pageBreakBefore w:val="0"/>
        <w:kinsoku w:val="0"/>
        <w:wordWrap w:val="0"/>
        <w:overflowPunct/>
        <w:topLinePunct/>
        <w:autoSpaceDE/>
        <w:autoSpaceDN/>
        <w:bidi w:val="0"/>
        <w:adjustRightInd w:val="0"/>
        <w:spacing w:line="360" w:lineRule="auto"/>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水库坝下主要为经济鱼类，鱼类种类较单一，无珍稀保护级别的鱼类及当地特有的土著鱼类，未发现长距离洄游鱼类，也未发现有重要的鱼类“三场”。大坝设置有输水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涵闸</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，下游生态用水由水库管理人员按需放水，由输水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涵</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向下游</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灌区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供水。</w:t>
      </w:r>
    </w:p>
    <w:p w14:paraId="609287BA">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水库建成运行多年，区域生态系统已趋于稳定，植被恢复良好，水库建设和运行对区域生态环境影响可以接受。</w:t>
      </w:r>
    </w:p>
    <w:p w14:paraId="48715116">
      <w:pPr>
        <w:keepNext w:val="0"/>
        <w:keepLines w:val="0"/>
        <w:pageBreakBefore w:val="0"/>
        <w:widowControl w:val="0"/>
        <w:kinsoku w:val="0"/>
        <w:wordWrap w:val="0"/>
        <w:overflowPunct/>
        <w:topLinePunct/>
        <w:autoSpaceDE/>
        <w:autoSpaceDN/>
        <w:bidi w:val="0"/>
        <w:adjustRightInd w:val="0"/>
        <w:snapToGrid/>
        <w:spacing w:line="360" w:lineRule="auto"/>
        <w:ind w:left="0" w:righ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2、施工期环境影响及保护措施</w:t>
      </w:r>
    </w:p>
    <w:p w14:paraId="4B97E2B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大气</w:t>
      </w:r>
      <w:r>
        <w:rPr>
          <w:rFonts w:hint="default" w:ascii="Times New Roman" w:hAnsi="Times New Roman" w:eastAsia="宋体" w:cs="Times New Roman"/>
          <w:caps w:val="0"/>
          <w:smallCaps w:val="0"/>
          <w:color w:val="auto"/>
          <w:spacing w:val="0"/>
          <w:w w:val="100"/>
          <w:kern w:val="0"/>
          <w:position w:val="0"/>
          <w:sz w:val="24"/>
          <w:szCs w:val="24"/>
          <w:u w:val="none" w:color="auto"/>
        </w:rPr>
        <w:t>环境</w:t>
      </w:r>
    </w:p>
    <w:p w14:paraId="5064FE3B">
      <w:pPr>
        <w:pageBreakBefore w:val="0"/>
        <w:kinsoku w:val="0"/>
        <w:wordWrap w:val="0"/>
        <w:overflowPunct/>
        <w:topLinePunct/>
        <w:autoSpaceDE/>
        <w:autoSpaceDN/>
        <w:bidi w:val="0"/>
        <w:spacing w:line="500" w:lineRule="exact"/>
        <w:ind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本工程施工对局部区域的环境空气造成了影响，但影响的居民人数较少</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其中影响较大的居民点为</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大坝周边</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的</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老河口村、青山村、南岭</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村</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等</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居民点，</w:t>
      </w:r>
      <w:r>
        <w:rPr>
          <w:rFonts w:hint="default" w:ascii="Times New Roman" w:hAnsi="Times New Roman" w:eastAsia="宋体" w:cs="Times New Roman"/>
          <w:caps w:val="0"/>
          <w:smallCaps w:val="0"/>
          <w:color w:val="auto"/>
          <w:spacing w:val="0"/>
          <w:w w:val="100"/>
          <w:position w:val="0"/>
          <w:sz w:val="24"/>
          <w:szCs w:val="24"/>
          <w:u w:val="none" w:color="auto"/>
        </w:rPr>
        <w:t>局部时段将受扬尘影响较大。工程施工时间较短，且当地扩散条件较好，因此扬尘的影响具有区域有限、时间短的特点。</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施工期应做好施工扬尘的防护措施，如采取边界围挡、裸露地面覆盖、物料遮盖、施工场地洒水降尘、保证路面清洁干净、车辆冲洗等措施后，施工扬尘的去除率可达90%，可进一步减轻扬尘对周边环境影响。</w:t>
      </w:r>
    </w:p>
    <w:p w14:paraId="1D1C057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本工程交通运输扬尘主要影响</w:t>
      </w:r>
      <w:r>
        <w:rPr>
          <w:rFonts w:hint="eastAsia"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防汛公路沿线及运输道路沿线的</w:t>
      </w: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老河口村、青山村、南岭</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村</w:t>
      </w: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居民点等敏感目标。道路扬尘对周边环境空气质量和敏感目标有不利影响，但影响程度有限。</w:t>
      </w:r>
      <w:r>
        <w:rPr>
          <w:rFonts w:hint="default" w:ascii="Times New Roman" w:hAnsi="Times New Roman" w:eastAsia="宋体" w:cs="Times New Roman"/>
          <w:caps w:val="0"/>
          <w:smallCaps w:val="0"/>
          <w:color w:val="auto"/>
          <w:spacing w:val="0"/>
          <w:w w:val="100"/>
          <w:position w:val="0"/>
          <w:sz w:val="24"/>
          <w:szCs w:val="24"/>
          <w:u w:val="none" w:color="auto"/>
        </w:rPr>
        <w:t>项目物料运输车辆采用封闭车辆或加盖帆布，不超重装载，避免运输过程产生物料遗撒，减少扬尘产生；要求驾驶员在运输过程中做到文明驾驶，途经村庄时要减速慢行，以减少扬尘的产生量。同时在，运输道路上设专人定期清扫泥尘，配置洒水车及时洒水降尘。采取以上措施后，可有效</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减小</w:t>
      </w:r>
      <w:r>
        <w:rPr>
          <w:rFonts w:hint="default" w:ascii="Times New Roman" w:hAnsi="Times New Roman" w:eastAsia="宋体" w:cs="Times New Roman"/>
          <w:caps w:val="0"/>
          <w:smallCaps w:val="0"/>
          <w:color w:val="auto"/>
          <w:spacing w:val="0"/>
          <w:w w:val="100"/>
          <w:position w:val="0"/>
          <w:sz w:val="24"/>
          <w:szCs w:val="24"/>
          <w:u w:val="none" w:color="auto"/>
        </w:rPr>
        <w:t>运输</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扬尘对</w:t>
      </w:r>
      <w:r>
        <w:rPr>
          <w:rFonts w:hint="default" w:ascii="Times New Roman" w:hAnsi="Times New Roman" w:eastAsia="宋体" w:cs="Times New Roman"/>
          <w:caps w:val="0"/>
          <w:smallCaps w:val="0"/>
          <w:color w:val="auto"/>
          <w:spacing w:val="0"/>
          <w:w w:val="100"/>
          <w:position w:val="0"/>
          <w:sz w:val="24"/>
          <w:szCs w:val="24"/>
          <w:u w:val="none" w:color="auto"/>
        </w:rPr>
        <w:t>道路沿线居民的影响。</w:t>
      </w:r>
    </w:p>
    <w:p w14:paraId="74CBA7B9">
      <w:pPr>
        <w:spacing w:line="360" w:lineRule="auto"/>
        <w:ind w:left="-63" w:firstLine="480" w:firstLineChars="200"/>
        <w:rPr>
          <w:rFonts w:hint="default" w:ascii="Times New Roman" w:hAnsi="Times New Roman" w:eastAsia="宋体" w:cs="Times New Roman"/>
          <w:caps w:val="0"/>
          <w:smallCaps w:val="0"/>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position w:val="0"/>
          <w:sz w:val="24"/>
          <w:szCs w:val="24"/>
          <w:u w:val="none" w:color="auto"/>
        </w:rPr>
        <w:t>由于施工范围较</w:t>
      </w:r>
      <w:r>
        <w:rPr>
          <w:rFonts w:hint="default" w:ascii="Times New Roman" w:hAnsi="Times New Roman" w:eastAsia="宋体" w:cs="Times New Roman"/>
          <w:caps w:val="0"/>
          <w:smallCaps w:val="0"/>
          <w:color w:val="auto"/>
          <w:spacing w:val="0"/>
          <w:w w:val="100"/>
          <w:position w:val="0"/>
          <w:sz w:val="24"/>
          <w:szCs w:val="24"/>
          <w:u w:val="none" w:color="auto"/>
          <w:lang w:eastAsia="zh-CN"/>
        </w:rPr>
        <w:t>小</w:t>
      </w:r>
      <w:r>
        <w:rPr>
          <w:rFonts w:hint="default" w:ascii="Times New Roman" w:hAnsi="Times New Roman" w:eastAsia="宋体" w:cs="Times New Roman"/>
          <w:caps w:val="0"/>
          <w:smallCaps w:val="0"/>
          <w:color w:val="auto"/>
          <w:spacing w:val="0"/>
          <w:w w:val="100"/>
          <w:position w:val="0"/>
          <w:sz w:val="24"/>
          <w:szCs w:val="24"/>
          <w:u w:val="none" w:color="auto"/>
        </w:rPr>
        <w:t>，施工项目较为</w:t>
      </w:r>
      <w:r>
        <w:rPr>
          <w:rFonts w:hint="default" w:ascii="Times New Roman" w:hAnsi="Times New Roman" w:eastAsia="宋体" w:cs="Times New Roman"/>
          <w:caps w:val="0"/>
          <w:smallCaps w:val="0"/>
          <w:color w:val="auto"/>
          <w:spacing w:val="0"/>
          <w:w w:val="100"/>
          <w:position w:val="0"/>
          <w:sz w:val="24"/>
          <w:szCs w:val="24"/>
          <w:u w:val="none" w:color="auto"/>
          <w:lang w:eastAsia="zh-CN"/>
        </w:rPr>
        <w:t>集中</w:t>
      </w:r>
      <w:r>
        <w:rPr>
          <w:rFonts w:hint="default" w:ascii="Times New Roman" w:hAnsi="Times New Roman" w:eastAsia="宋体" w:cs="Times New Roman"/>
          <w:caps w:val="0"/>
          <w:smallCaps w:val="0"/>
          <w:color w:val="auto"/>
          <w:spacing w:val="0"/>
          <w:w w:val="100"/>
          <w:position w:val="0"/>
          <w:sz w:val="24"/>
          <w:szCs w:val="24"/>
          <w:u w:val="none" w:color="auto"/>
        </w:rPr>
        <w:t>，机械废气多为流动性、间歇性、无组织排放，污染源呈面源分布，污染物排放分散且强度不大</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lang w:val="en-US" w:eastAsia="zh-CN"/>
        </w:rPr>
        <w:t>同时项目</w:t>
      </w:r>
      <w:r>
        <w:rPr>
          <w:rFonts w:hint="default" w:ascii="Times New Roman" w:hAnsi="Times New Roman" w:eastAsia="宋体" w:cs="Times New Roman"/>
          <w:caps w:val="0"/>
          <w:smallCaps w:val="0"/>
          <w:color w:val="auto"/>
          <w:spacing w:val="0"/>
          <w:w w:val="100"/>
          <w:position w:val="0"/>
          <w:sz w:val="24"/>
          <w:szCs w:val="24"/>
          <w:u w:val="none" w:color="auto"/>
        </w:rPr>
        <w:t>位于农村地区，现状无大型污染源，施工区域地势开阔、污染物扩散条件好</w:t>
      </w:r>
      <w:r>
        <w:rPr>
          <w:rFonts w:hint="default" w:ascii="Times New Roman" w:hAnsi="Times New Roman" w:eastAsia="宋体" w:cs="Times New Roman"/>
          <w:caps w:val="0"/>
          <w:smallCaps w:val="0"/>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position w:val="0"/>
          <w:sz w:val="24"/>
          <w:szCs w:val="24"/>
          <w:u w:val="none" w:color="auto"/>
        </w:rPr>
        <w:t>燃油废气产生后在短时间内即扩散，对施工区域周边环境空气的影响程度有限，施工区周边的敏感点受燃油废气的影响较小。</w:t>
      </w:r>
    </w:p>
    <w:p w14:paraId="5CCBAB5E">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本工程使用商品沥青混凝土，道路沥青混凝土摊铺</w:t>
      </w:r>
      <w:r>
        <w:rPr>
          <w:rFonts w:hint="eastAsia" w:ascii="Times New Roman" w:hAnsi="Times New Roman" w:eastAsia="宋体" w:cs="Times New Roman"/>
          <w:color w:val="auto"/>
          <w:spacing w:val="0"/>
          <w:w w:val="100"/>
          <w:position w:val="0"/>
          <w:sz w:val="24"/>
          <w:szCs w:val="24"/>
          <w:highlight w:val="none"/>
          <w:u w:val="none" w:color="auto"/>
          <w:lang w:val="en-US" w:eastAsia="zh-CN"/>
        </w:rPr>
        <w:t>时</w:t>
      </w:r>
      <w:r>
        <w:rPr>
          <w:rFonts w:hint="default" w:ascii="Times New Roman" w:hAnsi="Times New Roman" w:eastAsia="宋体" w:cs="Times New Roman"/>
          <w:color w:val="auto"/>
          <w:spacing w:val="0"/>
          <w:w w:val="100"/>
          <w:position w:val="0"/>
          <w:sz w:val="24"/>
          <w:szCs w:val="24"/>
          <w:highlight w:val="none"/>
          <w:u w:val="none" w:color="auto"/>
          <w:lang w:val="en-US" w:eastAsia="zh-CN"/>
        </w:rPr>
        <w:t>会有少量沥青烟产生</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项目施工区域地势开阔，空气扩散条件较好</w:t>
      </w:r>
      <w:r>
        <w:rPr>
          <w:rFonts w:hint="eastAsia"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lang w:val="en-US" w:eastAsia="zh-CN"/>
        </w:rPr>
        <w:t>因此</w:t>
      </w:r>
      <w:r>
        <w:rPr>
          <w:rFonts w:hint="eastAsia" w:ascii="Times New Roman" w:hAnsi="Times New Roman" w:eastAsia="宋体" w:cs="Times New Roman"/>
          <w:color w:val="auto"/>
          <w:spacing w:val="0"/>
          <w:w w:val="100"/>
          <w:position w:val="0"/>
          <w:sz w:val="24"/>
          <w:szCs w:val="24"/>
          <w:highlight w:val="none"/>
          <w:u w:val="none" w:color="auto"/>
          <w:lang w:val="en-US" w:eastAsia="zh-CN"/>
        </w:rPr>
        <w:t>大坝坝顶路面、</w:t>
      </w:r>
      <w:r>
        <w:rPr>
          <w:rFonts w:hint="default" w:ascii="Times New Roman" w:hAnsi="Times New Roman" w:eastAsia="宋体" w:cs="Times New Roman"/>
          <w:color w:val="auto"/>
          <w:spacing w:val="0"/>
          <w:w w:val="100"/>
          <w:position w:val="0"/>
          <w:sz w:val="24"/>
          <w:szCs w:val="24"/>
          <w:highlight w:val="none"/>
          <w:u w:val="none" w:color="auto"/>
          <w:lang w:val="en-US" w:eastAsia="zh-CN"/>
        </w:rPr>
        <w:t>防汛公路改造沥青摊铺产生的沥青烟对区域环境空气质量的影响较小。</w:t>
      </w:r>
    </w:p>
    <w:p w14:paraId="6A7DD541">
      <w:pPr>
        <w:spacing w:line="360" w:lineRule="auto"/>
        <w:ind w:left="-63"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 xml:space="preserve"> </w:t>
      </w:r>
      <w:r>
        <w:rPr>
          <w:rFonts w:hint="default" w:ascii="Times New Roman" w:hAnsi="Times New Roman" w:eastAsia="宋体" w:cs="Times New Roman"/>
          <w:caps w:val="0"/>
          <w:smallCaps w:val="0"/>
          <w:color w:val="auto"/>
          <w:spacing w:val="0"/>
          <w:w w:val="100"/>
          <w:kern w:val="0"/>
          <w:position w:val="0"/>
          <w:sz w:val="24"/>
          <w:szCs w:val="24"/>
          <w:u w:val="none" w:color="auto"/>
        </w:rPr>
        <w:t>（2）地表水</w:t>
      </w:r>
    </w:p>
    <w:p w14:paraId="2122CB6F">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u w:val="none" w:color="auto"/>
          <w:lang w:val="en-US" w:eastAsia="zh-CN" w:bidi="ar"/>
        </w:rPr>
      </w:pPr>
      <w:r>
        <w:rPr>
          <w:rFonts w:hint="eastAsia" w:ascii="Times New Roman" w:hAnsi="Times New Roman" w:eastAsia="宋体" w:cs="Times New Roman"/>
          <w:color w:val="000000"/>
          <w:kern w:val="0"/>
          <w:sz w:val="24"/>
          <w:szCs w:val="24"/>
          <w:u w:val="none" w:color="auto"/>
          <w:lang w:val="en-US" w:eastAsia="zh-CN" w:bidi="ar"/>
        </w:rPr>
        <w:t>本工程是水库除险加固工程，不改变坝体位置，不改变水库设计正常蓄水位，不改变水库运行调度原则，本工程不进行增容。</w:t>
      </w:r>
      <w:r>
        <w:rPr>
          <w:rFonts w:hint="default" w:ascii="Times New Roman" w:hAnsi="Times New Roman" w:eastAsia="宋体" w:cs="Times New Roman"/>
          <w:color w:val="auto"/>
          <w:spacing w:val="0"/>
          <w:w w:val="100"/>
          <w:position w:val="0"/>
          <w:sz w:val="24"/>
          <w:szCs w:val="24"/>
          <w:u w:val="none" w:color="auto"/>
          <w:lang w:val="en-US" w:eastAsia="zh-CN"/>
        </w:rPr>
        <w:t>施工导流</w:t>
      </w:r>
      <w:r>
        <w:rPr>
          <w:rFonts w:hint="eastAsia" w:ascii="Times New Roman" w:hAnsi="Times New Roman" w:eastAsia="宋体" w:cs="Times New Roman"/>
          <w:color w:val="auto"/>
          <w:spacing w:val="0"/>
          <w:w w:val="100"/>
          <w:position w:val="0"/>
          <w:sz w:val="24"/>
          <w:szCs w:val="24"/>
          <w:u w:val="none" w:color="auto"/>
          <w:lang w:val="en-US" w:eastAsia="zh-CN"/>
        </w:rPr>
        <w:t>期间</w:t>
      </w:r>
      <w:r>
        <w:rPr>
          <w:rFonts w:hint="default" w:ascii="Times New Roman" w:hAnsi="Times New Roman" w:eastAsia="宋体" w:cs="Times New Roman"/>
          <w:color w:val="auto"/>
          <w:spacing w:val="0"/>
          <w:w w:val="100"/>
          <w:position w:val="0"/>
          <w:sz w:val="24"/>
          <w:szCs w:val="24"/>
          <w:u w:val="none" w:color="auto"/>
          <w:lang w:val="en-US" w:eastAsia="zh-CN"/>
        </w:rPr>
        <w:t>将导致</w:t>
      </w:r>
      <w:r>
        <w:rPr>
          <w:rFonts w:hint="eastAsia" w:ascii="Times New Roman" w:hAnsi="Times New Roman" w:eastAsia="宋体" w:cs="Times New Roman"/>
          <w:color w:val="auto"/>
          <w:spacing w:val="0"/>
          <w:w w:val="100"/>
          <w:position w:val="0"/>
          <w:sz w:val="24"/>
          <w:szCs w:val="24"/>
          <w:u w:val="none" w:color="auto"/>
          <w:lang w:val="en-US" w:eastAsia="zh-CN"/>
        </w:rPr>
        <w:t>北汊水库库区水位降低、</w:t>
      </w:r>
      <w:r>
        <w:rPr>
          <w:rFonts w:hint="default" w:ascii="Times New Roman" w:hAnsi="Times New Roman" w:eastAsia="宋体" w:cs="Times New Roman"/>
          <w:color w:val="auto"/>
          <w:spacing w:val="0"/>
          <w:w w:val="100"/>
          <w:position w:val="0"/>
          <w:sz w:val="24"/>
          <w:szCs w:val="24"/>
          <w:u w:val="none" w:color="auto"/>
          <w:lang w:val="en-US" w:eastAsia="zh-CN"/>
        </w:rPr>
        <w:t>水面面积减少</w:t>
      </w:r>
      <w:r>
        <w:rPr>
          <w:rFonts w:hint="eastAsia" w:ascii="Times New Roman" w:hAnsi="Times New Roman" w:eastAsia="宋体" w:cs="Times New Roman"/>
          <w:color w:val="auto"/>
          <w:spacing w:val="0"/>
          <w:w w:val="100"/>
          <w:position w:val="0"/>
          <w:sz w:val="24"/>
          <w:szCs w:val="24"/>
          <w:u w:val="none" w:color="auto"/>
          <w:lang w:val="en-US" w:eastAsia="zh-CN"/>
        </w:rPr>
        <w:t>、水</w:t>
      </w:r>
      <w:r>
        <w:rPr>
          <w:rFonts w:hint="default" w:ascii="Times New Roman" w:hAnsi="Times New Roman" w:eastAsia="宋体" w:cs="Times New Roman"/>
          <w:color w:val="auto"/>
          <w:spacing w:val="0"/>
          <w:w w:val="100"/>
          <w:position w:val="0"/>
          <w:sz w:val="24"/>
          <w:szCs w:val="24"/>
          <w:u w:val="none" w:color="auto"/>
          <w:lang w:val="en-US" w:eastAsia="zh-CN"/>
        </w:rPr>
        <w:t>容积</w:t>
      </w:r>
      <w:r>
        <w:rPr>
          <w:rFonts w:hint="eastAsia" w:ascii="Times New Roman" w:hAnsi="Times New Roman" w:eastAsia="宋体" w:cs="Times New Roman"/>
          <w:color w:val="auto"/>
          <w:spacing w:val="0"/>
          <w:w w:val="100"/>
          <w:position w:val="0"/>
          <w:sz w:val="24"/>
          <w:szCs w:val="24"/>
          <w:u w:val="none" w:color="auto"/>
          <w:lang w:val="en-US" w:eastAsia="zh-CN"/>
        </w:rPr>
        <w:t>减小</w:t>
      </w:r>
      <w:r>
        <w:rPr>
          <w:rFonts w:hint="default" w:ascii="Times New Roman" w:hAnsi="Times New Roman" w:eastAsia="宋体" w:cs="Times New Roman"/>
          <w:color w:val="auto"/>
          <w:spacing w:val="0"/>
          <w:w w:val="100"/>
          <w:position w:val="0"/>
          <w:sz w:val="24"/>
          <w:szCs w:val="24"/>
          <w:u w:val="none" w:color="auto"/>
          <w:lang w:val="en-US" w:eastAsia="zh-CN"/>
        </w:rPr>
        <w:t>，</w:t>
      </w:r>
      <w:r>
        <w:rPr>
          <w:rFonts w:hint="eastAsia" w:ascii="Times New Roman" w:hAnsi="Times New Roman" w:eastAsia="宋体" w:cs="Times New Roman"/>
          <w:color w:val="auto"/>
          <w:spacing w:val="0"/>
          <w:w w:val="100"/>
          <w:position w:val="0"/>
          <w:sz w:val="24"/>
          <w:szCs w:val="24"/>
          <w:u w:val="none" w:color="auto"/>
          <w:lang w:val="en-US" w:eastAsia="zh-CN"/>
        </w:rPr>
        <w:t>但是影响是短暂的。</w:t>
      </w:r>
      <w:r>
        <w:rPr>
          <w:rFonts w:hint="eastAsia" w:ascii="Times New Roman" w:hAnsi="Times New Roman" w:eastAsia="宋体" w:cs="Times New Roman"/>
          <w:color w:val="000000"/>
          <w:kern w:val="0"/>
          <w:sz w:val="24"/>
          <w:szCs w:val="24"/>
          <w:u w:val="none" w:color="auto"/>
          <w:lang w:val="en-US" w:eastAsia="zh-CN" w:bidi="ar"/>
        </w:rPr>
        <w:t>除险加固实施后水位变化不大，对库区的水温结构、流速等影响较小，对库区水文情势影响较小。</w:t>
      </w:r>
    </w:p>
    <w:p w14:paraId="356CB8F4">
      <w:pPr>
        <w:keepNext w:val="0"/>
        <w:keepLines w:val="0"/>
        <w:pageBreakBefore w:val="0"/>
        <w:widowControl w:val="0"/>
        <w:overflowPunct/>
        <w:autoSpaceDE/>
        <w:autoSpaceDN/>
        <w:bidi w:val="0"/>
        <w:snapToGrid/>
        <w:spacing w:line="360" w:lineRule="auto"/>
        <w:ind w:left="0" w:firstLine="480" w:firstLineChars="200"/>
        <w:textAlignment w:val="auto"/>
        <w:rPr>
          <w:rFonts w:hint="default" w:ascii="Times New Roman" w:hAnsi="Times New Roman" w:eastAsia="宋体" w:cs="Times New Roman"/>
          <w:color w:val="auto"/>
          <w:spacing w:val="0"/>
          <w:w w:val="100"/>
          <w:kern w:val="2"/>
          <w:position w:val="0"/>
          <w:sz w:val="24"/>
          <w:szCs w:val="24"/>
          <w:u w:val="none" w:color="auto"/>
          <w:lang w:val="en-US" w:eastAsia="zh-CN" w:bidi="ar-SA"/>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施工期主要生产废水为</w:t>
      </w:r>
      <w:r>
        <w:rPr>
          <w:rFonts w:hint="default" w:ascii="Times New Roman" w:hAnsi="Times New Roman" w:eastAsia="宋体" w:cs="Times New Roman"/>
          <w:color w:val="auto"/>
          <w:kern w:val="0"/>
          <w:sz w:val="24"/>
          <w:szCs w:val="24"/>
          <w:u w:val="none" w:color="auto"/>
          <w:lang w:val="en-US" w:eastAsia="zh-CN" w:bidi="ar"/>
        </w:rPr>
        <w:t>施工废水主要包括</w:t>
      </w:r>
      <w:r>
        <w:rPr>
          <w:rFonts w:hint="eastAsia" w:ascii="Times New Roman" w:hAnsi="Times New Roman" w:eastAsia="宋体" w:cs="Times New Roman"/>
          <w:color w:val="000000"/>
          <w:kern w:val="0"/>
          <w:sz w:val="24"/>
          <w:szCs w:val="24"/>
          <w:u w:val="none" w:color="auto"/>
          <w:lang w:val="en-US" w:eastAsia="zh-CN" w:bidi="ar"/>
        </w:rPr>
        <w:t>混凝土养护废水</w:t>
      </w:r>
      <w:r>
        <w:rPr>
          <w:rFonts w:hint="default" w:ascii="Times New Roman" w:hAnsi="Times New Roman" w:eastAsia="宋体" w:cs="Times New Roman"/>
          <w:color w:val="000000"/>
          <w:kern w:val="0"/>
          <w:sz w:val="24"/>
          <w:szCs w:val="24"/>
          <w:u w:val="none" w:color="auto"/>
          <w:lang w:val="en-US" w:eastAsia="zh-CN" w:bidi="ar"/>
        </w:rPr>
        <w:t>、机械设备冲洗</w:t>
      </w:r>
      <w:r>
        <w:rPr>
          <w:rFonts w:hint="eastAsia" w:ascii="Times New Roman" w:hAnsi="Times New Roman" w:eastAsia="宋体" w:cs="Times New Roman"/>
          <w:color w:val="000000"/>
          <w:kern w:val="0"/>
          <w:sz w:val="24"/>
          <w:szCs w:val="24"/>
          <w:u w:val="none" w:color="auto"/>
          <w:lang w:val="en-US" w:eastAsia="zh-CN" w:bidi="ar"/>
        </w:rPr>
        <w:t>含油</w:t>
      </w:r>
      <w:r>
        <w:rPr>
          <w:rFonts w:hint="default" w:ascii="Times New Roman" w:hAnsi="Times New Roman" w:eastAsia="宋体" w:cs="Times New Roman"/>
          <w:color w:val="000000"/>
          <w:kern w:val="0"/>
          <w:sz w:val="24"/>
          <w:szCs w:val="24"/>
          <w:u w:val="none" w:color="auto"/>
          <w:lang w:val="en-US" w:eastAsia="zh-CN" w:bidi="ar"/>
        </w:rPr>
        <w:t>废水、灌浆施工废水</w:t>
      </w:r>
      <w:r>
        <w:rPr>
          <w:rFonts w:hint="eastAsia" w:ascii="Times New Roman" w:hAnsi="Times New Roman" w:eastAsia="宋体" w:cs="Times New Roman"/>
          <w:color w:val="000000"/>
          <w:kern w:val="0"/>
          <w:sz w:val="24"/>
          <w:szCs w:val="24"/>
          <w:u w:val="none" w:color="auto"/>
          <w:lang w:val="en-US" w:eastAsia="zh-CN" w:bidi="ar"/>
        </w:rPr>
        <w:t>和</w:t>
      </w:r>
      <w:r>
        <w:rPr>
          <w:rFonts w:hint="default" w:ascii="Times New Roman" w:hAnsi="Times New Roman" w:eastAsia="宋体" w:cs="Times New Roman"/>
          <w:color w:val="000000"/>
          <w:kern w:val="0"/>
          <w:sz w:val="24"/>
          <w:szCs w:val="24"/>
          <w:u w:val="none" w:color="auto"/>
          <w:lang w:val="en-US" w:eastAsia="zh-CN" w:bidi="ar"/>
        </w:rPr>
        <w:t>基坑排水</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等</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，均经处理后回用，不外排，</w:t>
      </w:r>
      <w:r>
        <w:rPr>
          <w:rFonts w:hint="eastAsia" w:ascii="Times New Roman" w:hAnsi="Times New Roman" w:eastAsia="宋体" w:cs="Times New Roman"/>
          <w:color w:val="auto"/>
          <w:spacing w:val="0"/>
          <w:w w:val="100"/>
          <w:position w:val="0"/>
          <w:sz w:val="24"/>
          <w:szCs w:val="24"/>
          <w:u w:val="none" w:color="auto"/>
          <w:lang w:eastAsia="zh-CN"/>
        </w:rPr>
        <w:t>对地表水环境影响不大。</w:t>
      </w:r>
    </w:p>
    <w:p w14:paraId="28368FC0">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olor w:val="auto"/>
          <w:spacing w:val="0"/>
          <w:w w:val="100"/>
          <w:position w:val="0"/>
          <w:sz w:val="24"/>
          <w:szCs w:val="24"/>
          <w:u w:val="none" w:color="auto"/>
        </w:rPr>
      </w:pPr>
      <w:r>
        <w:rPr>
          <w:rFonts w:hint="eastAsia" w:ascii="Times New Roman" w:hAnsi="Times New Roman" w:eastAsia="宋体" w:cs="Times New Roman"/>
          <w:sz w:val="24"/>
          <w:szCs w:val="24"/>
          <w:u w:val="none" w:color="auto"/>
          <w:lang w:val="en-US" w:eastAsia="zh-CN"/>
        </w:rPr>
        <w:t>抛石护脚施工和</w:t>
      </w:r>
      <w:r>
        <w:rPr>
          <w:rFonts w:hint="eastAsia" w:ascii="Times New Roman" w:hAnsi="Times New Roman" w:eastAsia="宋体" w:cs="Times New Roman"/>
          <w:color w:val="000000"/>
          <w:kern w:val="0"/>
          <w:sz w:val="24"/>
          <w:szCs w:val="24"/>
          <w:u w:val="none" w:color="auto"/>
          <w:lang w:val="en-US" w:eastAsia="zh-CN" w:bidi="ar"/>
        </w:rPr>
        <w:t>围堰施工和拆除过程，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会使施工区域的水底的悬浮物、泥沙扩散进入水体，造成局部区域的SS浓度升高。但由于水库水体较为稳定，加上悬浮物以泥沙为主，较易在围堰周围下沉，故对库区水质影响不大</w:t>
      </w:r>
      <w:r>
        <w:rPr>
          <w:rFonts w:hint="eastAsia" w:ascii="Times New Roman" w:hAnsi="Times New Roman" w:eastAsia="宋体" w:cs="Times New Roman"/>
          <w:caps w:val="0"/>
          <w:smallCaps w:val="0"/>
          <w:color w:val="auto"/>
          <w:spacing w:val="0"/>
          <w:w w:val="100"/>
          <w:kern w:val="0"/>
          <w:position w:val="0"/>
          <w:sz w:val="24"/>
          <w:szCs w:val="24"/>
          <w:u w:val="none" w:color="auto"/>
        </w:rPr>
        <w:t>，局部升高的污染物浓度将会逐渐恢复至施工前水平。</w:t>
      </w:r>
      <w:r>
        <w:rPr>
          <w:rFonts w:hint="default" w:ascii="Times New Roman" w:hAnsi="Times New Roman" w:eastAsia="宋体" w:cs="Times New Roman"/>
          <w:color w:val="auto"/>
          <w:spacing w:val="0"/>
          <w:w w:val="100"/>
          <w:position w:val="0"/>
          <w:sz w:val="24"/>
          <w:szCs w:val="24"/>
          <w:u w:val="none" w:color="auto"/>
        </w:rPr>
        <w:t>同时对项目施工区域加强监测，必要时施工区外围采用防污帘防护，有效控制悬浮泥沙产生的污染，最大限度地减轻施工区域对周围水环境的影响。</w:t>
      </w:r>
    </w:p>
    <w:p w14:paraId="386608C4">
      <w:pPr>
        <w:keepNext w:val="0"/>
        <w:keepLines w:val="0"/>
        <w:pageBreakBefore w:val="0"/>
        <w:widowControl w:val="0"/>
        <w:tabs>
          <w:tab w:val="left" w:pos="135"/>
        </w:tabs>
        <w:overflowPunct/>
        <w:autoSpaceDE/>
        <w:autoSpaceDN/>
        <w:bidi w:val="0"/>
        <w:snapToGrid/>
        <w:spacing w:line="360" w:lineRule="auto"/>
        <w:ind w:left="0" w:right="0" w:firstLine="480"/>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项目施工现场不设置施工营地，也无工地食堂和工地宿舍，施工人员分散租用附近民房，生活污水利用周边已有的生活设施进行处理。因此，本项目施工生活污水不会对周边水体产生较大影响。</w:t>
      </w:r>
    </w:p>
    <w:p w14:paraId="79EEF271">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（3）地下水</w:t>
      </w:r>
    </w:p>
    <w:p w14:paraId="40FB0E79">
      <w:pPr>
        <w:keepNext w:val="0"/>
        <w:keepLines w:val="0"/>
        <w:pageBreakBefore w:val="0"/>
        <w:widowControl w:val="0"/>
        <w:kinsoku/>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lang w:val="en-US" w:eastAsia="zh-CN"/>
        </w:rPr>
        <w:t>区域</w:t>
      </w:r>
      <w:r>
        <w:rPr>
          <w:rFonts w:hint="default" w:ascii="Times New Roman" w:hAnsi="Times New Roman" w:eastAsia="宋体" w:cs="Times New Roman"/>
          <w:caps w:val="0"/>
          <w:smallCaps w:val="0"/>
          <w:color w:val="auto"/>
          <w:spacing w:val="0"/>
          <w:w w:val="100"/>
          <w:kern w:val="0"/>
          <w:position w:val="0"/>
          <w:sz w:val="24"/>
          <w:szCs w:val="24"/>
          <w:u w:val="none" w:color="auto"/>
        </w:rPr>
        <w:t>地下水埋深较浅，一般埋深</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1</w:t>
      </w:r>
      <w:r>
        <w:rPr>
          <w:rFonts w:hint="default" w:ascii="Times New Roman" w:hAnsi="Times New Roman" w:eastAsia="宋体" w:cs="Times New Roman"/>
          <w:caps w:val="0"/>
          <w:smallCaps w:val="0"/>
          <w:color w:val="auto"/>
          <w:spacing w:val="0"/>
          <w:w w:val="100"/>
          <w:kern w:val="0"/>
          <w:position w:val="0"/>
          <w:sz w:val="24"/>
          <w:szCs w:val="24"/>
          <w:u w:val="none" w:color="auto"/>
        </w:rPr>
        <w:t>.0~5.0m，</w:t>
      </w:r>
      <w:r>
        <w:rPr>
          <w:rFonts w:hint="default" w:ascii="Times New Roman" w:hAnsi="Times New Roman" w:eastAsia="宋体" w:cs="Times New Roman"/>
          <w:color w:val="auto"/>
          <w:spacing w:val="0"/>
          <w:w w:val="100"/>
          <w:position w:val="0"/>
          <w:sz w:val="24"/>
          <w:szCs w:val="24"/>
          <w:u w:val="none" w:color="auto"/>
        </w:rPr>
        <w:t>主要受大气降水和库水补给，受季节性影响大</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olor w:val="auto"/>
          <w:spacing w:val="0"/>
          <w:w w:val="100"/>
          <w:position w:val="0"/>
          <w:sz w:val="24"/>
          <w:szCs w:val="24"/>
          <w:u w:val="none" w:color="auto"/>
          <w:lang w:val="en-US" w:eastAsia="zh-CN"/>
        </w:rPr>
        <w:t>施工期</w:t>
      </w:r>
      <w:r>
        <w:rPr>
          <w:rFonts w:hint="eastAsia" w:ascii="Times New Roman" w:hAnsi="Times New Roman" w:eastAsia="宋体" w:cs="Times New Roman"/>
          <w:color w:val="auto"/>
          <w:spacing w:val="0"/>
          <w:w w:val="100"/>
          <w:position w:val="0"/>
          <w:sz w:val="24"/>
          <w:szCs w:val="24"/>
          <w:u w:val="none" w:color="auto"/>
          <w:lang w:val="en-US" w:eastAsia="zh-CN"/>
        </w:rPr>
        <w:t>导游降低</w:t>
      </w:r>
      <w:r>
        <w:rPr>
          <w:rFonts w:hint="default" w:ascii="Times New Roman" w:hAnsi="Times New Roman" w:eastAsia="宋体" w:cs="Times New Roman"/>
          <w:color w:val="auto"/>
          <w:spacing w:val="0"/>
          <w:w w:val="100"/>
          <w:position w:val="0"/>
          <w:sz w:val="24"/>
          <w:szCs w:val="24"/>
          <w:u w:val="none" w:color="auto"/>
          <w:lang w:val="en-US" w:eastAsia="zh-CN"/>
        </w:rPr>
        <w:t>水位不会影响库区地下水的补径排条件，对地下水水位影响较小。</w:t>
      </w:r>
      <w:r>
        <w:rPr>
          <w:rFonts w:hint="default" w:ascii="Times New Roman" w:hAnsi="Times New Roman" w:eastAsia="宋体" w:cs="Times New Roman"/>
          <w:caps w:val="0"/>
          <w:smallCaps w:val="0"/>
          <w:color w:val="auto"/>
          <w:spacing w:val="0"/>
          <w:w w:val="100"/>
          <w:kern w:val="0"/>
          <w:position w:val="0"/>
          <w:sz w:val="24"/>
          <w:szCs w:val="24"/>
          <w:u w:val="none" w:color="auto"/>
        </w:rPr>
        <w:t>工程施工期生产废水通过沉淀、隔油等措施处理后回用于施工工艺</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不外排</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项目区土体和岩体</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渗透性</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较弱，施工</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期</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对地下水质影响较小。</w:t>
      </w:r>
    </w:p>
    <w:p w14:paraId="2BB311DC">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（4）声环境</w:t>
      </w:r>
    </w:p>
    <w:p w14:paraId="2FF3E103">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施工期噪声污染源主要由施工作业机械产生和施工车辆运输交通噪声。通过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优先采用低噪声设备、绿化吸声、临时隔声屏障、距离衰减、合理安排施工时间，合理布置施工机械</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等措施</w:t>
      </w:r>
      <w:r>
        <w:rPr>
          <w:rFonts w:hint="default" w:ascii="Times New Roman" w:hAnsi="Times New Roman" w:eastAsia="宋体" w:cs="Times New Roman"/>
          <w:caps w:val="0"/>
          <w:smallCaps w:val="0"/>
          <w:color w:val="auto"/>
          <w:spacing w:val="0"/>
          <w:w w:val="100"/>
          <w:kern w:val="0"/>
          <w:position w:val="0"/>
          <w:sz w:val="24"/>
          <w:szCs w:val="24"/>
          <w:u w:val="none" w:color="auto"/>
        </w:rPr>
        <w:t>，可减少施工噪声对周围环境的影响。运输车辆在经过集镇和沿线居民集中居住点时，应限速禁鸣</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、合理安排运输时间</w:t>
      </w:r>
      <w:r>
        <w:rPr>
          <w:rFonts w:hint="default" w:ascii="Times New Roman" w:hAnsi="Times New Roman" w:eastAsia="宋体" w:cs="Times New Roman"/>
          <w:caps w:val="0"/>
          <w:smallCaps w:val="0"/>
          <w:color w:val="auto"/>
          <w:spacing w:val="0"/>
          <w:w w:val="100"/>
          <w:kern w:val="0"/>
          <w:position w:val="0"/>
          <w:sz w:val="24"/>
          <w:szCs w:val="24"/>
          <w:u w:val="none" w:color="auto"/>
        </w:rPr>
        <w:t>，减轻物料运输车辆的噪声影响。</w:t>
      </w:r>
    </w:p>
    <w:p w14:paraId="39E62E9B">
      <w:pPr>
        <w:pageBreakBefore w:val="0"/>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（5）固体废物</w:t>
      </w:r>
    </w:p>
    <w:p w14:paraId="7702265E">
      <w:pPr>
        <w:pageBreakBefore w:val="0"/>
        <w:numPr>
          <w:ilvl w:val="0"/>
          <w:numId w:val="0"/>
        </w:numPr>
        <w:kinsoku w:val="0"/>
        <w:wordWrap w:val="0"/>
        <w:overflowPunct/>
        <w:topLinePunct/>
        <w:autoSpaceDE/>
        <w:autoSpaceDN/>
        <w:bidi w:val="0"/>
        <w:adjustRightInd w:val="0"/>
        <w:spacing w:line="500" w:lineRule="exact"/>
        <w:ind w:firstLine="480" w:firstLineChars="200"/>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施工期固体废物主要是弃土</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、建筑垃圾、拆除的报废设备、</w:t>
      </w:r>
      <w:r>
        <w:rPr>
          <w:rFonts w:hint="default" w:ascii="Times New Roman" w:hAnsi="Times New Roman" w:eastAsia="宋体" w:cs="Times New Roman"/>
          <w:color w:val="auto"/>
          <w:spacing w:val="0"/>
          <w:w w:val="100"/>
          <w:position w:val="0"/>
          <w:sz w:val="24"/>
          <w:szCs w:val="24"/>
          <w:u w:val="none" w:color="auto"/>
          <w:lang w:val="en-US" w:eastAsia="zh-CN"/>
        </w:rPr>
        <w:t>沉淀池收集的污泥</w:t>
      </w:r>
      <w:r>
        <w:rPr>
          <w:rFonts w:hint="eastAsia" w:ascii="Times New Roman" w:hAnsi="Times New Roman" w:eastAsia="宋体" w:cs="Times New Roman"/>
          <w:color w:val="auto"/>
          <w:spacing w:val="0"/>
          <w:w w:val="10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施工人员生活垃圾</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、隔油池收集</w:t>
      </w:r>
      <w:r>
        <w:rPr>
          <w:rFonts w:hint="default" w:ascii="Times New Roman" w:hAnsi="Times New Roman" w:eastAsia="宋体" w:cs="Times New Roman"/>
          <w:color w:val="auto"/>
          <w:spacing w:val="0"/>
          <w:w w:val="100"/>
          <w:position w:val="0"/>
          <w:sz w:val="24"/>
          <w:szCs w:val="24"/>
          <w:u w:val="none" w:color="auto"/>
          <w:lang w:eastAsia="zh-CN"/>
        </w:rPr>
        <w:t>废油</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等</w:t>
      </w:r>
      <w:r>
        <w:rPr>
          <w:rFonts w:hint="default" w:ascii="Times New Roman" w:hAnsi="Times New Roman" w:eastAsia="宋体" w:cs="Times New Roman"/>
          <w:caps w:val="0"/>
          <w:smallCaps w:val="0"/>
          <w:color w:val="auto"/>
          <w:spacing w:val="0"/>
          <w:w w:val="100"/>
          <w:kern w:val="0"/>
          <w:position w:val="0"/>
          <w:sz w:val="24"/>
          <w:szCs w:val="24"/>
          <w:u w:val="none" w:color="auto"/>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项目弃方全部运至</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侯家岭弃渣场</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，施工弃渣严禁向水库和河道内倾倒</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olor w:val="auto"/>
          <w:spacing w:val="0"/>
          <w:w w:val="100"/>
          <w:position w:val="0"/>
          <w:sz w:val="24"/>
          <w:szCs w:val="24"/>
          <w:u w:val="none" w:color="auto"/>
        </w:rPr>
        <w:t>工程对金属结构及设备拆除后</w:t>
      </w:r>
      <w:r>
        <w:rPr>
          <w:rFonts w:hint="default" w:ascii="Times New Roman" w:hAnsi="Times New Roman" w:eastAsia="宋体" w:cs="Times New Roman"/>
          <w:color w:val="auto"/>
          <w:spacing w:val="0"/>
          <w:w w:val="100"/>
          <w:position w:val="0"/>
          <w:sz w:val="24"/>
          <w:szCs w:val="24"/>
          <w:u w:val="none" w:color="auto"/>
          <w:lang w:eastAsia="zh-CN"/>
        </w:rPr>
        <w:t>外售</w:t>
      </w:r>
      <w:r>
        <w:rPr>
          <w:rFonts w:hint="default" w:ascii="Times New Roman" w:hAnsi="Times New Roman" w:eastAsia="宋体" w:cs="Times New Roman"/>
          <w:color w:val="auto"/>
          <w:spacing w:val="0"/>
          <w:w w:val="100"/>
          <w:position w:val="0"/>
          <w:sz w:val="24"/>
          <w:szCs w:val="24"/>
          <w:u w:val="none" w:color="auto"/>
        </w:rPr>
        <w:t>进行资源回收</w:t>
      </w:r>
      <w:r>
        <w:rPr>
          <w:rFonts w:hint="default" w:ascii="Times New Roman" w:hAnsi="Times New Roman" w:eastAsia="宋体" w:cs="Times New Roman"/>
          <w:color w:val="auto"/>
          <w:spacing w:val="0"/>
          <w:w w:val="100"/>
          <w:position w:val="0"/>
          <w:sz w:val="24"/>
          <w:szCs w:val="24"/>
          <w:u w:val="none" w:color="auto"/>
          <w:lang w:eastAsia="zh-CN"/>
        </w:rPr>
        <w:t>利用</w:t>
      </w:r>
      <w:r>
        <w:rPr>
          <w:rFonts w:hint="eastAsia" w:ascii="Times New Roman" w:hAnsi="Times New Roman" w:eastAsia="宋体" w:cs="Times New Roman"/>
          <w:color w:val="auto"/>
          <w:spacing w:val="0"/>
          <w:w w:val="10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建筑垃圾</w:t>
      </w:r>
      <w:r>
        <w:rPr>
          <w:rFonts w:hint="default" w:ascii="Times New Roman" w:hAnsi="Times New Roman" w:eastAsia="宋体" w:cs="Times New Roman"/>
          <w:color w:val="auto"/>
          <w:spacing w:val="0"/>
          <w:w w:val="100"/>
          <w:position w:val="0"/>
          <w:sz w:val="24"/>
          <w:szCs w:val="24"/>
          <w:u w:val="none" w:color="auto"/>
          <w:lang w:val="en-US" w:eastAsia="zh-CN"/>
        </w:rPr>
        <w:t>收集后运至</w:t>
      </w:r>
      <w:r>
        <w:rPr>
          <w:rFonts w:hint="eastAsia" w:ascii="Times New Roman" w:hAnsi="Times New Roman" w:eastAsia="宋体" w:cs="Times New Roman"/>
          <w:color w:val="auto"/>
          <w:spacing w:val="0"/>
          <w:w w:val="100"/>
          <w:position w:val="0"/>
          <w:sz w:val="24"/>
          <w:szCs w:val="24"/>
          <w:u w:val="none" w:color="auto"/>
          <w:lang w:val="en-US" w:eastAsia="zh-CN"/>
        </w:rPr>
        <w:t>指定地点处理处置；</w:t>
      </w:r>
      <w:r>
        <w:rPr>
          <w:rFonts w:hint="eastAsia" w:ascii="Times New Roman" w:hAnsi="Times New Roman" w:eastAsia="宋体" w:cs="Times New Roman"/>
          <w:color w:val="auto"/>
          <w:sz w:val="24"/>
          <w:szCs w:val="24"/>
          <w:u w:val="none" w:color="auto"/>
          <w:lang w:val="en-US" w:eastAsia="zh-CN"/>
        </w:rPr>
        <w:t>各</w:t>
      </w:r>
      <w:r>
        <w:rPr>
          <w:rFonts w:hint="eastAsia" w:ascii="宋体" w:hAnsi="宋体" w:eastAsia="宋体" w:cs="宋体"/>
          <w:color w:val="auto"/>
          <w:kern w:val="0"/>
          <w:sz w:val="24"/>
          <w:szCs w:val="24"/>
          <w:u w:val="none" w:color="auto"/>
          <w:lang w:val="en-US" w:eastAsia="zh-CN" w:bidi="ar"/>
        </w:rPr>
        <w:t>沉淀池收集的污泥定期人工清理，经收集后外售砖厂制砖；</w:t>
      </w:r>
      <w:r>
        <w:rPr>
          <w:rFonts w:hint="default" w:ascii="Times New Roman" w:hAnsi="Times New Roman" w:eastAsia="宋体" w:cs="Times New Roman"/>
          <w:caps w:val="0"/>
          <w:smallCaps w:val="0"/>
          <w:color w:val="auto"/>
          <w:spacing w:val="0"/>
          <w:w w:val="100"/>
          <w:kern w:val="0"/>
          <w:position w:val="0"/>
          <w:sz w:val="24"/>
          <w:szCs w:val="24"/>
          <w:u w:val="none" w:color="auto"/>
        </w:rPr>
        <w:t>施工场地设置垃圾</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桶</w:t>
      </w:r>
      <w:r>
        <w:rPr>
          <w:rFonts w:hint="default" w:ascii="Times New Roman" w:hAnsi="Times New Roman" w:eastAsia="宋体" w:cs="Times New Roman"/>
          <w:caps w:val="0"/>
          <w:smallCaps w:val="0"/>
          <w:color w:val="auto"/>
          <w:spacing w:val="0"/>
          <w:w w:val="100"/>
          <w:kern w:val="0"/>
          <w:position w:val="0"/>
          <w:sz w:val="24"/>
          <w:szCs w:val="24"/>
          <w:u w:val="none" w:color="auto"/>
        </w:rPr>
        <w:t>，生活垃圾集中收集，定时清运处理</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废油</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经收集后交由</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有资质的单位接收处理并妥善处置</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。各类固废妥善收集处理处置后</w:t>
      </w:r>
      <w:r>
        <w:rPr>
          <w:rFonts w:hint="default" w:ascii="Times New Roman" w:hAnsi="Times New Roman" w:eastAsia="宋体" w:cs="Times New Roman"/>
          <w:caps w:val="0"/>
          <w:smallCaps w:val="0"/>
          <w:color w:val="auto"/>
          <w:spacing w:val="0"/>
          <w:w w:val="100"/>
          <w:kern w:val="0"/>
          <w:position w:val="0"/>
          <w:sz w:val="24"/>
          <w:szCs w:val="24"/>
          <w:u w:val="none" w:color="auto"/>
        </w:rPr>
        <w:t>对周边环境影响不大。</w:t>
      </w:r>
    </w:p>
    <w:p w14:paraId="4AE21698">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（6）生态</w:t>
      </w:r>
    </w:p>
    <w:p w14:paraId="3893A069">
      <w:pPr>
        <w:pageBreakBefore w:val="0"/>
        <w:numPr>
          <w:ilvl w:val="0"/>
          <w:numId w:val="0"/>
        </w:numPr>
        <w:kinsoku w:val="0"/>
        <w:wordWrap w:val="0"/>
        <w:overflowPunct/>
        <w:topLinePunct/>
        <w:autoSpaceDE/>
        <w:autoSpaceDN/>
        <w:bidi w:val="0"/>
        <w:adjustRightInd w:val="0"/>
        <w:spacing w:line="360" w:lineRule="auto"/>
        <w:ind w:firstLine="480" w:firstLineChars="200"/>
        <w:rPr>
          <w:rFonts w:hint="eastAsia" w:ascii="宋体" w:hAnsi="宋体" w:eastAsia="宋体" w:cs="宋体"/>
          <w:color w:val="auto"/>
          <w:kern w:val="0"/>
          <w:sz w:val="24"/>
          <w:szCs w:val="24"/>
          <w:u w:val="none" w:color="auto"/>
          <w:lang w:val="en-US" w:eastAsia="zh-CN" w:bidi="ar"/>
        </w:rPr>
      </w:pPr>
      <w:r>
        <w:rPr>
          <w:rFonts w:hint="eastAsia" w:ascii="宋体" w:hAnsi="宋体" w:eastAsia="宋体" w:cs="宋体"/>
          <w:color w:val="auto"/>
          <w:kern w:val="0"/>
          <w:sz w:val="24"/>
          <w:szCs w:val="24"/>
          <w:u w:val="none" w:color="auto"/>
          <w:lang w:val="en-US" w:eastAsia="zh-CN" w:bidi="ar"/>
        </w:rPr>
        <w:t>本工程对生态环境的影响主要表现为：工程占地、人为干扰、施工活动及施工活动产生的废水、扬尘等对动植物及其生境的影响。总体而言，工程建设对区域动植物的影响均较小。本工程在设计、施工及运营中，如采取本报告提出的减缓、避让、恢复、保护和加强管理等积极有效的保护措施，可将工程施工带来的负面影响减轻到生物、生态能够承载的程度。</w:t>
      </w:r>
    </w:p>
    <w:p w14:paraId="0B3D9736">
      <w:pPr>
        <w:keepNext w:val="0"/>
        <w:keepLines w:val="0"/>
        <w:pageBreakBefore w:val="0"/>
        <w:widowControl w:val="0"/>
        <w:kinsoku w:val="0"/>
        <w:wordWrap w:val="0"/>
        <w:overflowPunct/>
        <w:topLinePunct/>
        <w:autoSpaceDE/>
        <w:autoSpaceDN/>
        <w:bidi w:val="0"/>
        <w:adjustRightInd w:val="0"/>
        <w:snapToGrid/>
        <w:spacing w:line="360" w:lineRule="auto"/>
        <w:ind w:left="0" w:righ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3、</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营运期环境影响及保护措施</w:t>
      </w:r>
    </w:p>
    <w:p w14:paraId="2D6C7B9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（1）</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大</w:t>
      </w:r>
      <w:r>
        <w:rPr>
          <w:rFonts w:hint="default" w:ascii="Times New Roman" w:hAnsi="Times New Roman" w:eastAsia="宋体" w:cs="Times New Roman"/>
          <w:caps w:val="0"/>
          <w:smallCaps w:val="0"/>
          <w:color w:val="auto"/>
          <w:spacing w:val="0"/>
          <w:w w:val="100"/>
          <w:kern w:val="0"/>
          <w:position w:val="0"/>
          <w:sz w:val="24"/>
          <w:szCs w:val="24"/>
          <w:u w:val="none" w:color="auto"/>
        </w:rPr>
        <w:t>气环境</w:t>
      </w:r>
    </w:p>
    <w:p w14:paraId="4833616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水库为生态影响型项目，营运期无</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生产</w:t>
      </w:r>
      <w:r>
        <w:rPr>
          <w:rFonts w:hint="default" w:ascii="Times New Roman" w:hAnsi="Times New Roman" w:eastAsia="宋体" w:cs="Times New Roman"/>
          <w:caps w:val="0"/>
          <w:smallCaps w:val="0"/>
          <w:color w:val="auto"/>
          <w:spacing w:val="0"/>
          <w:w w:val="100"/>
          <w:kern w:val="0"/>
          <w:position w:val="0"/>
          <w:sz w:val="24"/>
          <w:szCs w:val="24"/>
          <w:u w:val="none" w:color="auto"/>
        </w:rPr>
        <w:t>废气影响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运行期不新增工程管理人员，水库管理人员日常生活产生的少量油烟废气经油烟净化器处理达标后排放，对环境影响较小</w:t>
      </w:r>
      <w:r>
        <w:rPr>
          <w:rFonts w:hint="default" w:ascii="Times New Roman" w:hAnsi="Times New Roman" w:eastAsia="宋体" w:cs="Times New Roman"/>
          <w:caps w:val="0"/>
          <w:smallCaps w:val="0"/>
          <w:color w:val="auto"/>
          <w:spacing w:val="0"/>
          <w:w w:val="100"/>
          <w:kern w:val="0"/>
          <w:position w:val="0"/>
          <w:sz w:val="24"/>
          <w:szCs w:val="24"/>
          <w:u w:val="none" w:color="auto"/>
        </w:rPr>
        <w:t>。</w:t>
      </w:r>
    </w:p>
    <w:p w14:paraId="7D05917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（2）地表水</w:t>
      </w:r>
    </w:p>
    <w:p w14:paraId="7F2A5B26">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本项目主体工程在原址基础上进行除险加固，不改变水库设计正常蓄水位，不进行增容，不改变水库流量、水位等工程特性，除险加固工程后防洪调度运用原则与现状调度运用原则基本一致，因而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运行期对库区、上下游水文情势无明显影响。</w:t>
      </w:r>
    </w:p>
    <w:p w14:paraId="17F9105F">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Times New Roman" w:cs="Times New Roman"/>
          <w:color w:val="auto"/>
          <w:spacing w:val="0"/>
          <w:w w:val="10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rPr>
        <w:t>本次除险加固工程完成后，水库运行本身不产生水污染物，运行期污废水主要为现有水库管理人员日常生活产生的生活污水，水库管理人员不变，运行期无新增废污水。水库已运行</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40</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余</w:t>
      </w:r>
      <w:r>
        <w:rPr>
          <w:rFonts w:hint="default" w:ascii="Times New Roman" w:hAnsi="Times New Roman" w:eastAsia="宋体" w:cs="Times New Roman"/>
          <w:caps w:val="0"/>
          <w:smallCaps w:val="0"/>
          <w:color w:val="auto"/>
          <w:spacing w:val="0"/>
          <w:w w:val="100"/>
          <w:kern w:val="0"/>
          <w:position w:val="0"/>
          <w:sz w:val="24"/>
          <w:szCs w:val="24"/>
          <w:u w:val="none" w:color="auto"/>
        </w:rPr>
        <w:t>年，</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本项目实施后</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运行期库区水质情况不会有明显变化，库区水体富营养化的程度不会增加</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发生富营养化的几率较小</w:t>
      </w:r>
      <w:r>
        <w:rPr>
          <w:rFonts w:hint="default" w:ascii="Times New Roman" w:hAnsi="Times New Roman" w:eastAsia="Times New Roman" w:cs="Times New Roman"/>
          <w:color w:val="auto"/>
          <w:spacing w:val="0"/>
          <w:w w:val="100"/>
          <w:position w:val="0"/>
          <w:sz w:val="24"/>
          <w:szCs w:val="24"/>
          <w:u w:val="none" w:color="auto"/>
          <w:lang w:val="en-US" w:eastAsia="zh-CN"/>
        </w:rPr>
        <w:t>。</w:t>
      </w:r>
    </w:p>
    <w:p w14:paraId="3ACE206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（3）地下水</w:t>
      </w:r>
    </w:p>
    <w:p w14:paraId="72304061">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eastAsia="zh-CN"/>
        </w:rPr>
      </w:pP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本项目</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管理人员生活污水处理设施和排水管道采取可靠的防渗防漏措施</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后</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可避免</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对地下水水质造成</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污染</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p>
    <w:p w14:paraId="038D62A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本</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次</w:t>
      </w:r>
      <w:r>
        <w:rPr>
          <w:rFonts w:hint="default" w:ascii="Times New Roman" w:hAnsi="Times New Roman" w:eastAsia="宋体" w:cs="Times New Roman"/>
          <w:caps w:val="0"/>
          <w:smallCaps w:val="0"/>
          <w:color w:val="auto"/>
          <w:spacing w:val="0"/>
          <w:w w:val="100"/>
          <w:kern w:val="0"/>
          <w:position w:val="0"/>
          <w:sz w:val="24"/>
          <w:szCs w:val="24"/>
          <w:u w:val="none" w:color="auto"/>
        </w:rPr>
        <w:t>除险加固</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完成</w:t>
      </w:r>
      <w:r>
        <w:rPr>
          <w:rFonts w:hint="default" w:ascii="Times New Roman" w:hAnsi="Times New Roman" w:eastAsia="宋体" w:cs="Times New Roman"/>
          <w:caps w:val="0"/>
          <w:smallCaps w:val="0"/>
          <w:color w:val="auto"/>
          <w:spacing w:val="0"/>
          <w:w w:val="100"/>
          <w:kern w:val="0"/>
          <w:position w:val="0"/>
          <w:sz w:val="24"/>
          <w:szCs w:val="24"/>
          <w:u w:val="none" w:color="auto"/>
        </w:rPr>
        <w:t>后</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，水库</w:t>
      </w:r>
      <w:r>
        <w:rPr>
          <w:rFonts w:hint="default" w:ascii="Times New Roman" w:hAnsi="Times New Roman" w:eastAsia="宋体" w:cs="Times New Roman"/>
          <w:caps w:val="0"/>
          <w:smallCaps w:val="0"/>
          <w:color w:val="auto"/>
          <w:spacing w:val="0"/>
          <w:w w:val="100"/>
          <w:kern w:val="0"/>
          <w:position w:val="0"/>
          <w:sz w:val="24"/>
          <w:szCs w:val="24"/>
          <w:u w:val="none" w:color="auto"/>
        </w:rPr>
        <w:t>设计蓄水位不变，设计库容不发生变化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。水库运行多年，水库蓄水对当地地下水的补给作用相对稳定，且项目所在区域地下水的补给来源主要为大气降水。因此北汊水库除险加固工程实施后，不会对本项目区域</w:t>
      </w:r>
      <w:r>
        <w:rPr>
          <w:rFonts w:hint="default" w:ascii="Times New Roman" w:hAnsi="Times New Roman" w:eastAsia="宋体" w:cs="Times New Roman"/>
          <w:caps w:val="0"/>
          <w:smallCaps w:val="0"/>
          <w:color w:val="auto"/>
          <w:spacing w:val="0"/>
          <w:w w:val="100"/>
          <w:kern w:val="0"/>
          <w:position w:val="0"/>
          <w:sz w:val="24"/>
          <w:szCs w:val="24"/>
          <w:u w:val="none" w:color="auto"/>
        </w:rPr>
        <w:t>地下水流场或地下水水位</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产生影响。</w:t>
      </w:r>
    </w:p>
    <w:p w14:paraId="5452DD1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（4）声环境</w:t>
      </w:r>
    </w:p>
    <w:p w14:paraId="71B95D80">
      <w:pPr>
        <w:keepNext w:val="0"/>
        <w:keepLines w:val="0"/>
        <w:pageBreakBefore w:val="0"/>
        <w:widowControl w:val="0"/>
        <w:overflowPunct/>
        <w:autoSpaceDE/>
        <w:autoSpaceDN/>
        <w:bidi w:val="0"/>
        <w:adjustRightInd/>
        <w:snapToGrid/>
        <w:spacing w:line="360" w:lineRule="auto"/>
        <w:ind w:left="0" w:right="0" w:firstLine="479"/>
        <w:textAlignment w:val="auto"/>
        <w:rPr>
          <w:rFonts w:hint="default" w:ascii="Times New Roman" w:hAnsi="Times New Roman" w:eastAsia="宋体" w:cs="Times New Roman"/>
          <w:caps w:val="0"/>
          <w:smallCaps w:val="0"/>
          <w:color w:val="FF0000"/>
          <w:spacing w:val="0"/>
          <w:w w:val="100"/>
          <w:kern w:val="0"/>
          <w:position w:val="0"/>
          <w:sz w:val="24"/>
          <w:szCs w:val="24"/>
          <w:u w:val="none" w:color="auto"/>
        </w:rPr>
      </w:pPr>
      <w:r>
        <w:rPr>
          <w:rFonts w:hint="default" w:ascii="Times New Roman" w:hAnsi="Times New Roman" w:eastAsia="宋体" w:cs="Times New Roman"/>
          <w:color w:val="auto"/>
          <w:spacing w:val="0"/>
          <w:w w:val="100"/>
          <w:position w:val="0"/>
          <w:sz w:val="24"/>
          <w:szCs w:val="24"/>
          <w:u w:val="none" w:color="auto"/>
        </w:rPr>
        <w:t>水库除险加固建设完成后，运行期噪声影响主要仍为除险加固前的启闭机等运转过程中产生的噪声，不新增噪声污染源，与工程建设前无重大变化</w:t>
      </w:r>
      <w:r>
        <w:rPr>
          <w:rFonts w:hint="eastAsia" w:ascii="Times New Roman" w:hAnsi="Times New Roman" w:eastAsia="宋体" w:cs="Times New Roman"/>
          <w:color w:val="auto"/>
          <w:spacing w:val="0"/>
          <w:w w:val="100"/>
          <w:position w:val="0"/>
          <w:sz w:val="24"/>
          <w:szCs w:val="24"/>
          <w:u w:val="none" w:color="auto"/>
          <w:lang w:eastAsia="zh-CN"/>
        </w:rPr>
        <w:t>，不会对周边声环境造成较大不利影响</w:t>
      </w:r>
      <w:r>
        <w:rPr>
          <w:rFonts w:hint="default" w:ascii="Times New Roman" w:hAnsi="Times New Roman" w:eastAsia="宋体" w:cs="Times New Roman"/>
          <w:color w:val="auto"/>
          <w:spacing w:val="0"/>
          <w:w w:val="100"/>
          <w:position w:val="0"/>
          <w:sz w:val="24"/>
          <w:szCs w:val="24"/>
          <w:u w:val="none" w:color="auto"/>
        </w:rPr>
        <w:t>。</w:t>
      </w:r>
    </w:p>
    <w:p w14:paraId="28FE5DE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（5）固体废物</w:t>
      </w:r>
    </w:p>
    <w:p w14:paraId="13D06FD4">
      <w:pPr>
        <w:keepNext w:val="0"/>
        <w:keepLines w:val="0"/>
        <w:pageBreakBefore w:val="0"/>
        <w:widowControl w:val="0"/>
        <w:overflowPunct/>
        <w:autoSpaceDE/>
        <w:autoSpaceDN/>
        <w:bidi w:val="0"/>
        <w:adjustRightInd/>
        <w:snapToGrid/>
        <w:spacing w:line="360" w:lineRule="auto"/>
        <w:ind w:left="0" w:right="0" w:firstLine="479"/>
        <w:textAlignment w:val="auto"/>
        <w:rPr>
          <w:rFonts w:hint="default" w:ascii="Times New Roman" w:hAnsi="Times New Roman" w:eastAsia="宋体" w:cs="Times New Roman"/>
          <w:color w:val="auto"/>
          <w:spacing w:val="0"/>
          <w:w w:val="10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水库管理所</w:t>
      </w:r>
      <w:r>
        <w:rPr>
          <w:rFonts w:hint="default" w:ascii="Times New Roman" w:hAnsi="Times New Roman" w:eastAsia="宋体" w:cs="Times New Roman"/>
          <w:caps w:val="0"/>
          <w:smallCaps w:val="0"/>
          <w:color w:val="auto"/>
          <w:spacing w:val="0"/>
          <w:w w:val="100"/>
          <w:kern w:val="0"/>
          <w:position w:val="0"/>
          <w:sz w:val="24"/>
          <w:szCs w:val="24"/>
          <w:u w:val="none" w:color="auto"/>
        </w:rPr>
        <w:t>设置生活垃圾收集桶，定时将收集的生活垃圾清运处理</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olor w:val="auto"/>
          <w:spacing w:val="0"/>
          <w:w w:val="100"/>
          <w:position w:val="0"/>
          <w:sz w:val="24"/>
          <w:szCs w:val="24"/>
          <w:u w:val="none" w:color="auto"/>
          <w:lang w:val="en-US" w:eastAsia="zh-CN"/>
        </w:rPr>
        <w:t>运营期产生的生活垃圾不会对区域环境产生不利影响。</w:t>
      </w:r>
    </w:p>
    <w:p w14:paraId="4F7A928A">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（6）土壤环境</w:t>
      </w:r>
    </w:p>
    <w:p w14:paraId="4529FA8D">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pPr>
      <w:bookmarkStart w:id="375" w:name="bookmark1045"/>
      <w:bookmarkStart w:id="376" w:name="bookmark1044"/>
      <w:r>
        <w:rPr>
          <w:rFonts w:hint="default" w:ascii="Times New Roman" w:hAnsi="Times New Roman" w:eastAsia="宋体" w:cs="Times New Roman"/>
          <w:caps w:val="0"/>
          <w:smallCaps w:val="0"/>
          <w:color w:val="auto"/>
          <w:spacing w:val="0"/>
          <w:w w:val="100"/>
          <w:kern w:val="0"/>
          <w:position w:val="0"/>
          <w:sz w:val="24"/>
          <w:szCs w:val="24"/>
          <w:u w:val="none" w:color="auto"/>
        </w:rPr>
        <w:t>根据本次现状监测，</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评价范围内的土壤</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无</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酸化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或</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碱化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，呈轻度</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盐化</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项目周边土壤各</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因子</w:t>
      </w:r>
      <w:r>
        <w:rPr>
          <w:rFonts w:hint="default" w:ascii="Times New Roman" w:hAnsi="Times New Roman" w:eastAsia="宋体" w:cs="Times New Roman"/>
          <w:caps w:val="0"/>
          <w:smallCaps w:val="0"/>
          <w:color w:val="auto"/>
          <w:spacing w:val="0"/>
          <w:w w:val="100"/>
          <w:kern w:val="0"/>
          <w:position w:val="0"/>
          <w:sz w:val="24"/>
          <w:szCs w:val="24"/>
          <w:u w:val="none" w:color="auto"/>
        </w:rPr>
        <w:t>均满足《土壤环境质量标准  农用地土壤污染风险管控标准》（GB15618-2018）中限值要求。</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水库监测点位</w:t>
      </w:r>
      <w:r>
        <w:rPr>
          <w:rFonts w:hint="default" w:ascii="Times New Roman" w:hAnsi="Times New Roman" w:eastAsia="宋体" w:cs="Times New Roman"/>
          <w:caps w:val="0"/>
          <w:smallCaps w:val="0"/>
          <w:color w:val="auto"/>
          <w:spacing w:val="0"/>
          <w:w w:val="100"/>
          <w:kern w:val="0"/>
          <w:position w:val="0"/>
          <w:sz w:val="24"/>
          <w:szCs w:val="24"/>
          <w:u w:val="none" w:color="auto"/>
        </w:rPr>
        <w:t>指标均</w:t>
      </w:r>
      <w:r>
        <w:rPr>
          <w:rFonts w:hint="default" w:ascii="Times New Roman" w:hAnsi="Times New Roman" w:eastAsia="宋体" w:cs="Times New Roman"/>
          <w:caps w:val="0"/>
          <w:smallCaps w:val="0"/>
          <w:color w:val="auto"/>
          <w:spacing w:val="0"/>
          <w:w w:val="100"/>
          <w:kern w:val="0"/>
          <w:position w:val="0"/>
          <w:sz w:val="24"/>
          <w:szCs w:val="24"/>
          <w:u w:val="none" w:color="auto"/>
          <w:lang w:val="en-US" w:eastAsia="zh-CN"/>
        </w:rPr>
        <w:t>达到</w:t>
      </w:r>
      <w:r>
        <w:rPr>
          <w:rFonts w:hint="default" w:ascii="Times New Roman" w:hAnsi="Times New Roman" w:eastAsia="宋体" w:cs="Times New Roman"/>
          <w:caps w:val="0"/>
          <w:smallCaps w:val="0"/>
          <w:color w:val="auto"/>
          <w:spacing w:val="0"/>
          <w:w w:val="100"/>
          <w:kern w:val="0"/>
          <w:position w:val="0"/>
          <w:sz w:val="24"/>
          <w:szCs w:val="24"/>
          <w:u w:val="none" w:color="auto"/>
        </w:rPr>
        <w:t>《土壤环境质量标准  建设用地土壤污染风险管控标准（试行）》（GB36600-2018）第二类用地筛选值。</w:t>
      </w:r>
    </w:p>
    <w:p w14:paraId="50B75255">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项目对土壤环境的影响主要是生态影响，主要表现在水位发生变化</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，可能造成土壤盐碱化</w:t>
      </w:r>
      <w:r>
        <w:rPr>
          <w:rFonts w:hint="default" w:ascii="Times New Roman" w:hAnsi="Times New Roman" w:eastAsia="宋体" w:cs="Times New Roman"/>
          <w:caps w:val="0"/>
          <w:smallCaps w:val="0"/>
          <w:color w:val="auto"/>
          <w:spacing w:val="0"/>
          <w:w w:val="100"/>
          <w:kern w:val="0"/>
          <w:position w:val="0"/>
          <w:sz w:val="24"/>
          <w:szCs w:val="24"/>
          <w:u w:val="none" w:color="auto"/>
        </w:rPr>
        <w:t>。项目已运行多年</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库区范围的土地利用现状没有发生大的改变，库岸两边仍然以种植农作物以及经济林木为主，植被覆盖率无大的改变，因此不会造成</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库区</w:t>
      </w:r>
      <w:r>
        <w:rPr>
          <w:rFonts w:hint="default" w:ascii="Times New Roman" w:hAnsi="Times New Roman" w:eastAsia="宋体" w:cs="Times New Roman"/>
          <w:caps w:val="0"/>
          <w:smallCaps w:val="0"/>
          <w:color w:val="auto"/>
          <w:spacing w:val="0"/>
          <w:w w:val="100"/>
          <w:kern w:val="0"/>
          <w:position w:val="0"/>
          <w:sz w:val="24"/>
          <w:szCs w:val="24"/>
          <w:u w:val="none" w:color="auto"/>
        </w:rPr>
        <w:t>盐渍化。在枯水季节调查期间，在库区范围内未发现水草丛生的沼泽化现象，不会造成河流沼泽化</w:t>
      </w:r>
      <w:r>
        <w:rPr>
          <w:rFonts w:hint="default"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default" w:ascii="Times New Roman" w:hAnsi="Times New Roman" w:eastAsia="宋体" w:cs="Times New Roman"/>
          <w:caps w:val="0"/>
          <w:smallCaps w:val="0"/>
          <w:color w:val="auto"/>
          <w:spacing w:val="0"/>
          <w:w w:val="100"/>
          <w:kern w:val="0"/>
          <w:position w:val="0"/>
          <w:sz w:val="24"/>
          <w:szCs w:val="24"/>
          <w:u w:val="none" w:color="auto"/>
        </w:rPr>
        <w:t>不会导致地下水位的大幅提高而产生土地浸没、引起沼泽化、</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加剧</w:t>
      </w:r>
      <w:r>
        <w:rPr>
          <w:rFonts w:hint="default" w:ascii="Times New Roman" w:hAnsi="Times New Roman" w:eastAsia="宋体" w:cs="Times New Roman"/>
          <w:caps w:val="0"/>
          <w:smallCaps w:val="0"/>
          <w:color w:val="auto"/>
          <w:spacing w:val="0"/>
          <w:w w:val="100"/>
          <w:kern w:val="0"/>
          <w:position w:val="0"/>
          <w:sz w:val="24"/>
          <w:szCs w:val="24"/>
          <w:u w:val="none" w:color="auto"/>
        </w:rPr>
        <w:t>盐碱化等土壤环境问题，不改变原有土壤生态功能。</w:t>
      </w:r>
    </w:p>
    <w:p w14:paraId="1EBDC4C4">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7</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）生态</w:t>
      </w:r>
    </w:p>
    <w:p w14:paraId="49D3DDF7">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工程建成后，评价区内自然景观体系的生物量及生产力不会发生明显的变化，大坝加</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固</w:t>
      </w:r>
      <w:r>
        <w:rPr>
          <w:rFonts w:hint="default" w:ascii="Times New Roman" w:hAnsi="Times New Roman" w:eastAsia="宋体" w:cs="Times New Roman"/>
          <w:caps w:val="0"/>
          <w:smallCaps w:val="0"/>
          <w:color w:val="auto"/>
          <w:spacing w:val="0"/>
          <w:w w:val="100"/>
          <w:kern w:val="0"/>
          <w:position w:val="0"/>
          <w:sz w:val="24"/>
          <w:szCs w:val="24"/>
          <w:u w:val="none" w:color="auto"/>
        </w:rPr>
        <w:t>工程结束后，坝体及坝体周边基本恢复为原有生态类型。</w:t>
      </w:r>
      <w:r>
        <w:rPr>
          <w:rFonts w:hint="eastAsia" w:ascii="Times New Roman" w:hAnsi="Times New Roman" w:eastAsia="宋体" w:cs="Times New Roman"/>
          <w:caps w:val="0"/>
          <w:smallCaps w:val="0"/>
          <w:color w:val="auto"/>
          <w:spacing w:val="0"/>
          <w:w w:val="100"/>
          <w:kern w:val="0"/>
          <w:position w:val="0"/>
          <w:sz w:val="24"/>
          <w:szCs w:val="24"/>
          <w:u w:val="none" w:color="auto"/>
          <w:lang w:eastAsia="zh-CN"/>
        </w:rPr>
        <w:t>随着</w:t>
      </w:r>
      <w:r>
        <w:rPr>
          <w:rFonts w:hint="default" w:ascii="Times New Roman" w:hAnsi="Times New Roman" w:eastAsia="宋体" w:cs="Times New Roman"/>
          <w:caps w:val="0"/>
          <w:smallCaps w:val="0"/>
          <w:color w:val="auto"/>
          <w:spacing w:val="0"/>
          <w:w w:val="100"/>
          <w:kern w:val="0"/>
          <w:position w:val="0"/>
          <w:sz w:val="24"/>
          <w:szCs w:val="24"/>
          <w:u w:val="none" w:color="auto"/>
        </w:rPr>
        <w:t>人类活动的减少，原有施工中迁移的陆生动物将会逐渐回到原有的栖息地进行生活与觅食，陆生动物将会逐渐增多，恢复原有生境，基本不会对陆生动物造成影响。</w:t>
      </w:r>
    </w:p>
    <w:p w14:paraId="73650A99">
      <w:pPr>
        <w:keepNext w:val="0"/>
        <w:keepLines w:val="0"/>
        <w:pageBreakBefore w:val="0"/>
        <w:widowControl w:val="0"/>
        <w:kinsoku w:val="0"/>
        <w:wordWrap w:val="0"/>
        <w:overflowPunct/>
        <w:topLinePunct/>
        <w:autoSpaceDE/>
        <w:autoSpaceDN/>
        <w:bidi w:val="0"/>
        <w:adjustRightInd w:val="0"/>
        <w:snapToGrid/>
        <w:spacing w:line="360" w:lineRule="auto"/>
        <w:ind w:left="0" w:right="0"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北汊水库已运行多年，水生动植物已经适应了水库的运行规律，本项目运行期不改变以往水库运行规律，不产生新的生态影响。因此，本工程运行期对水生生态环境不会造成影响。</w:t>
      </w:r>
    </w:p>
    <w:p w14:paraId="45FC8D81">
      <w:pPr>
        <w:keepNext w:val="0"/>
        <w:keepLines w:val="0"/>
        <w:pageBreakBefore w:val="0"/>
        <w:widowControl w:val="0"/>
        <w:kinsoku w:val="0"/>
        <w:wordWrap w:val="0"/>
        <w:overflowPunct/>
        <w:topLinePunct/>
        <w:autoSpaceDE/>
        <w:autoSpaceDN/>
        <w:bidi w:val="0"/>
        <w:adjustRightInd w:val="0"/>
        <w:snapToGrid/>
        <w:spacing w:line="360" w:lineRule="auto"/>
        <w:ind w:left="0" w:right="0" w:firstLine="482" w:firstLineChars="200"/>
        <w:textAlignment w:val="auto"/>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b/>
          <w:bCs/>
          <w:caps w:val="0"/>
          <w:smallCaps w:val="0"/>
          <w:color w:val="auto"/>
          <w:spacing w:val="0"/>
          <w:w w:val="100"/>
          <w:kern w:val="0"/>
          <w:position w:val="0"/>
          <w:sz w:val="24"/>
          <w:szCs w:val="24"/>
          <w:u w:val="none" w:color="auto"/>
          <w:lang w:val="en-US" w:eastAsia="zh-CN"/>
        </w:rPr>
        <w:t>4、</w:t>
      </w:r>
      <w:r>
        <w:rPr>
          <w:rFonts w:hint="default" w:ascii="Times New Roman" w:hAnsi="Times New Roman" w:eastAsia="宋体" w:cs="Times New Roman"/>
          <w:b/>
          <w:bCs/>
          <w:caps w:val="0"/>
          <w:smallCaps w:val="0"/>
          <w:color w:val="auto"/>
          <w:spacing w:val="0"/>
          <w:w w:val="100"/>
          <w:kern w:val="0"/>
          <w:position w:val="0"/>
          <w:sz w:val="24"/>
          <w:szCs w:val="24"/>
          <w:u w:val="none" w:color="auto"/>
          <w:lang w:val="en-US" w:eastAsia="zh-CN"/>
        </w:rPr>
        <w:t>环境风险</w:t>
      </w:r>
      <w:bookmarkEnd w:id="375"/>
      <w:bookmarkEnd w:id="376"/>
    </w:p>
    <w:p w14:paraId="51572987">
      <w:pPr>
        <w:keepNext w:val="0"/>
        <w:keepLines w:val="0"/>
        <w:pageBreakBefore w:val="0"/>
        <w:widowControl w:val="0"/>
        <w:overflowPunct/>
        <w:autoSpaceDE/>
        <w:autoSpaceDN/>
        <w:bidi w:val="0"/>
        <w:adjustRightInd/>
        <w:snapToGrid/>
        <w:spacing w:line="360" w:lineRule="auto"/>
        <w:ind w:left="0" w:right="0" w:firstLine="479"/>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eastAsia" w:ascii="Times New Roman" w:hAnsi="Times New Roman" w:eastAsia="宋体" w:cs="Times New Roman"/>
          <w:caps w:val="0"/>
          <w:smallCaps w:val="0"/>
          <w:color w:val="auto"/>
          <w:spacing w:val="0"/>
          <w:w w:val="100"/>
          <w:position w:val="0"/>
          <w:sz w:val="24"/>
          <w:szCs w:val="24"/>
          <w:u w:val="none" w:color="auto"/>
          <w:lang w:val="en-US" w:eastAsia="zh-CN"/>
        </w:rPr>
        <w:t>本项目风险物质主要为柴油、废油，环境风险潜势为Ⅰ。本工程根据工程施</w:t>
      </w: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 xml:space="preserve">工及运行特点、周围环境特点以及工程与周围环境之间的关系，施工期主要的环境风险为溢油污染风险、废水事故性排放、危险废物泄漏和火灾、爆炸次生污染事故；运行期主要的环境风险为溢油污染事故。经过风险分析和评价得出结论：项目事故风险水平较低，在进一步采取安全防范措施和事故应急措施后，基本满足国家有关环境保护和安全法规、标准的要求。 </w:t>
      </w:r>
    </w:p>
    <w:p w14:paraId="4847E27A">
      <w:pPr>
        <w:keepNext w:val="0"/>
        <w:keepLines w:val="0"/>
        <w:pageBreakBefore w:val="0"/>
        <w:widowControl w:val="0"/>
        <w:overflowPunct/>
        <w:autoSpaceDE/>
        <w:autoSpaceDN/>
        <w:bidi w:val="0"/>
        <w:adjustRightInd/>
        <w:snapToGrid/>
        <w:spacing w:line="360" w:lineRule="auto"/>
        <w:ind w:left="0" w:right="0" w:firstLine="479"/>
        <w:textAlignment w:val="auto"/>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pPr>
      <w:r>
        <w:rPr>
          <w:rFonts w:hint="eastAsia" w:ascii="Times New Roman" w:hAnsi="Times New Roman" w:eastAsia="宋体" w:cs="Times New Roman"/>
          <w:caps w:val="0"/>
          <w:smallCaps w:val="0"/>
          <w:color w:val="auto"/>
          <w:spacing w:val="0"/>
          <w:w w:val="100"/>
          <w:kern w:val="0"/>
          <w:position w:val="0"/>
          <w:sz w:val="24"/>
          <w:szCs w:val="24"/>
          <w:u w:val="none" w:color="auto"/>
          <w:lang w:val="en-US" w:eastAsia="zh-CN"/>
        </w:rPr>
        <w:t>建设单位需按照要求制定相应的环境风险事故防范措施和事故应急预案，当发生风险事故时立即启动事故应急预案，确保事故不扩大，不会对周边环境造成较大危害。在严格采取安全防护和风险防范措施的条件下，保障工程安全施工、安全运行，风险处于环境可接受的水平。</w:t>
      </w:r>
    </w:p>
    <w:p w14:paraId="761607A6">
      <w:pPr>
        <w:pStyle w:val="3"/>
        <w:bidi w:val="0"/>
        <w:rPr>
          <w:rFonts w:hint="default"/>
          <w:u w:val="none" w:color="auto"/>
          <w:lang w:val="en-US" w:eastAsia="zh-CN"/>
        </w:rPr>
      </w:pPr>
      <w:bookmarkStart w:id="377" w:name="_Toc9097"/>
      <w:r>
        <w:rPr>
          <w:rFonts w:hint="default"/>
          <w:u w:val="none" w:color="auto"/>
          <w:lang w:val="en-US" w:eastAsia="zh-CN"/>
        </w:rPr>
        <w:t>环境影响经济损益</w:t>
      </w:r>
      <w:bookmarkEnd w:id="377"/>
    </w:p>
    <w:p w14:paraId="53927858">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本工程的实施对当地的环境会产生短期的不利影响，但可通过适当的环境保护措施可</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尽量</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减</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小对环境的影响</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；同时项目的实施具有显著的经济效益、社会效益，水库工程建成后大大改善了当地</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灌溉、防洪</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条件，</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为下游</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 xml:space="preserve">工农业生产和人民生命财产提供可靠保障，对该地区的生态环境的良性循环和社会经济的发展将起积极的促进作用。综合来说，项目产生的环境效益大于环境损失，因此从环境影响经济损益角度分析，工程建设是可行的。 </w:t>
      </w:r>
    </w:p>
    <w:p w14:paraId="7D618EE5">
      <w:pPr>
        <w:pStyle w:val="3"/>
        <w:bidi w:val="0"/>
        <w:rPr>
          <w:rFonts w:hint="default"/>
          <w:u w:val="none" w:color="auto"/>
          <w:lang w:val="en-US" w:eastAsia="zh-CN"/>
        </w:rPr>
      </w:pPr>
      <w:bookmarkStart w:id="378" w:name="_Toc29147"/>
      <w:r>
        <w:rPr>
          <w:rFonts w:hint="default"/>
          <w:u w:val="none" w:color="auto"/>
          <w:lang w:val="en-US" w:eastAsia="zh-CN"/>
        </w:rPr>
        <w:t>环境管理与监测</w:t>
      </w:r>
      <w:bookmarkEnd w:id="378"/>
    </w:p>
    <w:p w14:paraId="40B2322E">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u w:val="none" w:color="auto"/>
        </w:rPr>
      </w:pPr>
      <w:r>
        <w:rPr>
          <w:rFonts w:hint="default" w:ascii="Times New Roman" w:hAnsi="Times New Roman" w:eastAsia="宋体" w:cs="Times New Roman"/>
          <w:caps w:val="0"/>
          <w:smallCaps w:val="0"/>
          <w:color w:val="auto"/>
          <w:spacing w:val="0"/>
          <w:w w:val="100"/>
          <w:kern w:val="0"/>
          <w:position w:val="0"/>
          <w:sz w:val="24"/>
          <w:szCs w:val="24"/>
          <w:u w:val="none" w:color="auto"/>
        </w:rPr>
        <w:t>建设单位应加强该项目环境保护管理工作，设置专门的环保机构，配备专业的环保管理人员，负责工程建设和运行过程中的环境管理工作及监测计划。</w:t>
      </w:r>
    </w:p>
    <w:p w14:paraId="6E461C7B">
      <w:pPr>
        <w:pStyle w:val="3"/>
        <w:bidi w:val="0"/>
        <w:rPr>
          <w:u w:val="none" w:color="auto"/>
        </w:rPr>
      </w:pPr>
      <w:bookmarkStart w:id="379" w:name="_Toc14372"/>
      <w:r>
        <w:rPr>
          <w:u w:val="none" w:color="auto"/>
          <w:lang w:val="en-US" w:eastAsia="zh-CN"/>
        </w:rPr>
        <w:t>公众参与</w:t>
      </w:r>
      <w:bookmarkEnd w:id="379"/>
      <w:r>
        <w:rPr>
          <w:u w:val="none" w:color="auto"/>
          <w:lang w:val="en-US" w:eastAsia="zh-CN"/>
        </w:rPr>
        <w:t xml:space="preserve"> </w:t>
      </w:r>
    </w:p>
    <w:p w14:paraId="0DAAF4BB">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建设单位按照《环境影响评价公众参与办法》的要求</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开展了</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环境影响评价</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公众参与</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并按照《关于发布《环境影响评价公众参与办法》配套文件的公告》(公告2018年第48号)的要求，编制了</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公众参与编制</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说明</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w:t>
      </w:r>
      <w:r>
        <w:rPr>
          <w:rFonts w:hint="default" w:ascii="Times New Roman" w:hAnsi="Times New Roman" w:eastAsia="宋体" w:cs="Times New Roman"/>
          <w:caps w:val="0"/>
          <w:smallCaps w:val="0"/>
          <w:color w:val="auto"/>
          <w:spacing w:val="0"/>
          <w:w w:val="100"/>
          <w:position w:val="0"/>
          <w:sz w:val="24"/>
          <w:szCs w:val="28"/>
          <w:u w:val="none" w:color="auto"/>
          <w:lang w:val="en-US" w:eastAsia="zh-CN"/>
        </w:rPr>
        <w:t>公示期间无公众前往建设单位查阅纸质版报告书，建设单位也未收到以书面、电话或网络等形式反馈的公众意见。</w:t>
      </w:r>
    </w:p>
    <w:p w14:paraId="6D785FB7">
      <w:pPr>
        <w:pStyle w:val="3"/>
        <w:bidi w:val="0"/>
        <w:rPr>
          <w:rFonts w:hint="default"/>
          <w:u w:val="none" w:color="auto"/>
          <w:lang w:val="en-US" w:eastAsia="zh-CN"/>
        </w:rPr>
      </w:pPr>
      <w:bookmarkStart w:id="380" w:name="_Toc27518"/>
      <w:r>
        <w:rPr>
          <w:rFonts w:hint="default"/>
          <w:u w:val="none" w:color="auto"/>
          <w:lang w:val="zh-CN" w:eastAsia="zh-CN"/>
        </w:rPr>
        <w:t>综合评价结论</w:t>
      </w:r>
      <w:bookmarkEnd w:id="380"/>
    </w:p>
    <w:p w14:paraId="1BB75B35">
      <w:pPr>
        <w:keepNext w:val="0"/>
        <w:keepLines w:val="0"/>
        <w:widowControl/>
        <w:suppressLineNumbers w:val="0"/>
        <w:spacing w:line="360" w:lineRule="auto"/>
        <w:ind w:firstLine="480" w:firstLineChars="200"/>
        <w:jc w:val="left"/>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eastAsia" w:ascii="瀹嬩綋" w:hAnsi="瀹嬩綋" w:eastAsia="瀹嬩綋" w:cs="瀹嬩綋"/>
          <w:color w:val="000000"/>
          <w:kern w:val="0"/>
          <w:sz w:val="24"/>
          <w:szCs w:val="24"/>
          <w:u w:val="none" w:color="auto"/>
          <w:lang w:val="en-US" w:eastAsia="zh-CN" w:bidi="ar"/>
        </w:rPr>
        <w:t>华容县北汊水库</w:t>
      </w:r>
      <w:r>
        <w:rPr>
          <w:rFonts w:ascii="瀹嬩綋" w:hAnsi="瀹嬩綋" w:eastAsia="瀹嬩綋" w:cs="瀹嬩綋"/>
          <w:color w:val="000000"/>
          <w:kern w:val="0"/>
          <w:sz w:val="24"/>
          <w:szCs w:val="24"/>
          <w:u w:val="none" w:color="auto"/>
          <w:lang w:val="en-US" w:eastAsia="zh-CN" w:bidi="ar"/>
        </w:rPr>
        <w:t>除险加固工程符合国家产业政策和相关规划要求。</w:t>
      </w: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 xml:space="preserve">本次除险加固工程基本是在原址基础上进行除险加固，不改变水库原功能和规模。本工程的实施，将使水库尽早根治各类工程隐患，发挥水库应有的效益，防洪体系得到完善，减免洪灾造成的损失以及对当地生态环境的破坏，保护当地人民生命财产安全，维护社会稳定。 </w:t>
      </w:r>
    </w:p>
    <w:p w14:paraId="4CAB2DE3">
      <w:pPr>
        <w:keepNext w:val="0"/>
        <w:keepLines w:val="0"/>
        <w:pageBreakBefore w:val="0"/>
        <w:widowControl w:val="0"/>
        <w:overflowPunct/>
        <w:autoSpaceDE/>
        <w:autoSpaceDN/>
        <w:bidi w:val="0"/>
        <w:adjustRightInd/>
        <w:snapToGrid/>
        <w:spacing w:line="360" w:lineRule="auto"/>
        <w:ind w:left="0" w:right="0" w:firstLine="480"/>
        <w:textAlignment w:val="auto"/>
        <w:rPr>
          <w:rFonts w:hint="default" w:ascii="Times New Roman" w:hAnsi="Times New Roman" w:eastAsia="宋体" w:cs="Times New Roman"/>
          <w:caps w:val="0"/>
          <w:smallCaps w:val="0"/>
          <w:color w:val="auto"/>
          <w:spacing w:val="0"/>
          <w:w w:val="100"/>
          <w:position w:val="0"/>
          <w:sz w:val="24"/>
          <w:szCs w:val="28"/>
          <w:u w:val="none" w:color="auto"/>
          <w:lang w:val="en-US" w:eastAsia="zh-CN"/>
        </w:rPr>
      </w:pPr>
      <w:r>
        <w:rPr>
          <w:rFonts w:hint="eastAsia" w:ascii="Times New Roman" w:hAnsi="Times New Roman" w:eastAsia="宋体" w:cs="Times New Roman"/>
          <w:caps w:val="0"/>
          <w:smallCaps w:val="0"/>
          <w:color w:val="auto"/>
          <w:spacing w:val="0"/>
          <w:w w:val="100"/>
          <w:position w:val="0"/>
          <w:sz w:val="24"/>
          <w:szCs w:val="28"/>
          <w:u w:val="none" w:color="auto"/>
          <w:lang w:val="en-US" w:eastAsia="zh-CN"/>
        </w:rPr>
        <w:t>工程建设对环境的不利影响主要集中在施工期，通过加强环境管理和采取适当的环保治理措施后，不利影响基本可以消除或减缓。因此，在严格落实本报告书提出的各项环境保护措施和要求的基础上，从环境保护角度考虑，本工程的建设是可行的。</w:t>
      </w:r>
    </w:p>
    <w:p w14:paraId="3D53A395">
      <w:pPr>
        <w:pStyle w:val="3"/>
        <w:bidi w:val="0"/>
        <w:rPr>
          <w:rFonts w:hint="default"/>
          <w:u w:val="none" w:color="auto"/>
          <w:lang w:val="en-US" w:eastAsia="zh-CN"/>
        </w:rPr>
      </w:pPr>
      <w:bookmarkStart w:id="381" w:name="_Toc12540"/>
      <w:r>
        <w:rPr>
          <w:rFonts w:hint="default"/>
          <w:u w:val="none" w:color="auto"/>
          <w:lang w:val="zh-CN" w:eastAsia="zh-CN"/>
        </w:rPr>
        <w:t>建议</w:t>
      </w:r>
      <w:bookmarkEnd w:id="381"/>
    </w:p>
    <w:p w14:paraId="3A2B34FB">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rPr>
      </w:pPr>
      <w:r>
        <w:rPr>
          <w:rFonts w:hint="default" w:ascii="Times New Roman" w:hAnsi="Times New Roman" w:eastAsia="宋体" w:cs="Times New Roman"/>
          <w:color w:val="auto"/>
          <w:spacing w:val="0"/>
          <w:w w:val="100"/>
          <w:position w:val="0"/>
          <w:sz w:val="24"/>
          <w:szCs w:val="24"/>
          <w:highlight w:val="none"/>
          <w:u w:val="none" w:color="auto"/>
          <w:lang w:val="en-US" w:eastAsia="zh-CN"/>
        </w:rPr>
        <w:t>1、</w:t>
      </w:r>
      <w:r>
        <w:rPr>
          <w:rFonts w:hint="default" w:ascii="Times New Roman" w:hAnsi="Times New Roman" w:eastAsia="宋体" w:cs="Times New Roman"/>
          <w:color w:val="auto"/>
          <w:spacing w:val="0"/>
          <w:w w:val="100"/>
          <w:position w:val="0"/>
          <w:sz w:val="24"/>
          <w:szCs w:val="24"/>
          <w:highlight w:val="none"/>
          <w:u w:val="none" w:color="auto"/>
        </w:rPr>
        <w:t>建议加强施工人员环保知识教育，并配备专门的环境保护人员，负责施工期和运行期的环境保护工作，落实好环境保护措施，将工程对环境的影响减小至最低程度。</w:t>
      </w:r>
    </w:p>
    <w:p w14:paraId="528CBDFC">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2、</w:t>
      </w:r>
      <w:r>
        <w:rPr>
          <w:rFonts w:hint="default" w:ascii="Times New Roman" w:hAnsi="Times New Roman" w:eastAsia="宋体" w:cs="Times New Roman"/>
          <w:color w:val="auto"/>
          <w:spacing w:val="0"/>
          <w:w w:val="100"/>
          <w:position w:val="0"/>
          <w:sz w:val="24"/>
          <w:szCs w:val="24"/>
          <w:highlight w:val="none"/>
          <w:u w:val="none" w:color="auto"/>
        </w:rPr>
        <w:t>环保投资要落实，要做到专款专用。</w:t>
      </w:r>
    </w:p>
    <w:p w14:paraId="0C8BF730">
      <w:pPr>
        <w:keepNext w:val="0"/>
        <w:keepLines w:val="0"/>
        <w:pageBreakBefore w:val="0"/>
        <w:widowControl w:val="0"/>
        <w:kinsoku w:val="0"/>
        <w:wordWrap w:val="0"/>
        <w:overflowPunct/>
        <w:topLinePunct/>
        <w:autoSpaceDE/>
        <w:autoSpaceDN/>
        <w:bidi w:val="0"/>
        <w:adjustRightInd w:val="0"/>
        <w:snapToGrid/>
        <w:spacing w:line="360" w:lineRule="auto"/>
        <w:ind w:firstLine="480" w:firstLineChars="200"/>
        <w:textAlignment w:val="auto"/>
        <w:rPr>
          <w:rFonts w:hint="default" w:ascii="Times New Roman" w:hAnsi="Times New Roman" w:eastAsia="宋体" w:cs="Times New Roman"/>
          <w:b/>
          <w:caps w:val="0"/>
          <w:smallCaps w:val="0"/>
          <w:color w:val="auto"/>
          <w:spacing w:val="0"/>
          <w:w w:val="100"/>
          <w:kern w:val="0"/>
          <w:position w:val="0"/>
          <w:sz w:val="24"/>
          <w:szCs w:val="24"/>
          <w:u w:val="none" w:color="auto"/>
          <w:lang w:val="en-US" w:eastAsia="zh-CN"/>
        </w:rPr>
      </w:pPr>
      <w:r>
        <w:rPr>
          <w:rFonts w:hint="default" w:ascii="Times New Roman" w:hAnsi="Times New Roman" w:eastAsia="宋体" w:cs="Times New Roman"/>
          <w:caps w:val="0"/>
          <w:smallCaps w:val="0"/>
          <w:color w:val="auto"/>
          <w:spacing w:val="0"/>
          <w:w w:val="100"/>
          <w:kern w:val="0"/>
          <w:position w:val="0"/>
          <w:sz w:val="24"/>
          <w:szCs w:val="24"/>
          <w:highlight w:val="none"/>
          <w:u w:val="none" w:color="auto"/>
          <w:lang w:val="en-US" w:eastAsia="zh-CN"/>
        </w:rPr>
        <w:t>3、</w:t>
      </w:r>
      <w:r>
        <w:rPr>
          <w:rFonts w:hint="default" w:ascii="Times New Roman" w:hAnsi="Times New Roman" w:eastAsia="宋体" w:cs="Times New Roman"/>
          <w:caps w:val="0"/>
          <w:smallCaps w:val="0"/>
          <w:color w:val="auto"/>
          <w:spacing w:val="0"/>
          <w:w w:val="100"/>
          <w:kern w:val="0"/>
          <w:position w:val="0"/>
          <w:sz w:val="24"/>
          <w:szCs w:val="24"/>
          <w:highlight w:val="none"/>
          <w:u w:val="none" w:color="auto"/>
        </w:rPr>
        <w:t>加强工程营运期的管理，积极落实各项环保措施。</w:t>
      </w:r>
    </w:p>
    <w:p w14:paraId="214F3E87">
      <w:pPr>
        <w:rPr>
          <w:rFonts w:ascii="Calibri" w:hAnsi="Calibri" w:eastAsia="宋体" w:cs="Times New Roman"/>
          <w:u w:val="none" w:color="auto"/>
        </w:rPr>
      </w:pPr>
    </w:p>
    <w:p w14:paraId="6784371B">
      <w:pPr>
        <w:keepNext w:val="0"/>
        <w:keepLines w:val="0"/>
        <w:pageBreakBefore w:val="0"/>
        <w:widowControl w:val="0"/>
        <w:kinsoku w:val="0"/>
        <w:wordWrap w:val="0"/>
        <w:overflowPunct/>
        <w:topLinePunct/>
        <w:autoSpaceDE/>
        <w:autoSpaceDN/>
        <w:bidi w:val="0"/>
        <w:adjustRightInd w:val="0"/>
        <w:snapToGrid/>
        <w:spacing w:line="360" w:lineRule="auto"/>
        <w:ind w:firstLine="482" w:firstLineChars="200"/>
        <w:textAlignment w:val="auto"/>
        <w:rPr>
          <w:rFonts w:hint="default" w:ascii="Times New Roman" w:hAnsi="Times New Roman" w:eastAsia="宋体" w:cs="Times New Roman"/>
          <w:b/>
          <w:caps w:val="0"/>
          <w:smallCaps w:val="0"/>
          <w:color w:val="FF0000"/>
          <w:spacing w:val="0"/>
          <w:w w:val="100"/>
          <w:kern w:val="0"/>
          <w:position w:val="0"/>
          <w:sz w:val="24"/>
          <w:szCs w:val="24"/>
          <w:u w:val="none" w:color="auto"/>
          <w:lang w:val="en-US" w:eastAsia="zh-CN"/>
        </w:rPr>
      </w:pPr>
    </w:p>
    <w:sectPr>
      <w:headerReference r:id="rId17" w:type="default"/>
      <w:footerReference r:id="rId18" w:type="default"/>
      <w:footerReference r:id="rId1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imSun,Bold">
    <w:altName w:val="宋体"/>
    <w:panose1 w:val="00000000000000000000"/>
    <w:charset w:val="86"/>
    <w:family w:val="auto"/>
    <w:pitch w:val="default"/>
    <w:sig w:usb0="00000000" w:usb1="00000000" w:usb2="00000000" w:usb3="00000000" w:csb0="00040000" w:csb1="00000000"/>
  </w:font>
  <w:font w:name="瀹嬩綋">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imesNewRomanPSMT">
    <w:altName w:val="Times New Roman"/>
    <w:panose1 w:val="00000000000000000000"/>
    <w:charset w:val="00"/>
    <w:family w:val="swiss"/>
    <w:pitch w:val="default"/>
    <w:sig w:usb0="00000000" w:usb1="00000000" w:usb2="00000000" w:usb3="00000000" w:csb0="00000001" w:csb1="00000000"/>
  </w:font>
  <w:font w:name="TTBFo00">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浠垮畫">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2FF" w:usb1="420024FF" w:usb2="00000000" w:usb3="00000000" w:csb0="2000019F" w:csb1="00000000"/>
  </w:font>
  <w:font w:name="妤蜂綋">
    <w:altName w:val="Segoe Print"/>
    <w:panose1 w:val="00000000000000000000"/>
    <w:charset w:val="00"/>
    <w:family w:val="auto"/>
    <w:pitch w:val="default"/>
    <w:sig w:usb0="00000000" w:usb1="00000000" w:usb2="00000000" w:usb3="00000000" w:csb0="00000000" w:csb1="00000000"/>
  </w:font>
  <w:font w:name="榛戜綋">
    <w:altName w:val="Segoe Print"/>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GENISO"/>
    <w:panose1 w:val="00000000000000000000"/>
    <w:charset w:val="00"/>
    <w:family w:val="auto"/>
    <w:pitch w:val="default"/>
    <w:sig w:usb0="00000000" w:usb1="00000000" w:usb2="00000000" w:usb3="00000000" w:csb0="00000000" w:csb1="00000000"/>
  </w:font>
  <w:font w:name="GENISO">
    <w:panose1 w:val="02000400000000000000"/>
    <w:charset w:val="00"/>
    <w:family w:val="auto"/>
    <w:pitch w:val="default"/>
    <w:sig w:usb0="00000003" w:usb1="00000000" w:usb2="00000040" w:usb3="00000000" w:csb0="000001F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CD7AE">
    <w:pPr>
      <w:pStyle w:val="26"/>
      <w:jc w:val="center"/>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61789172"/>
                          </w:sdtPr>
                          <w:sdtEndPr>
                            <w:rPr>
                              <w:rFonts w:ascii="Times New Roman" w:hAnsi="Times New Roman" w:cs="Times New Roman"/>
                            </w:rPr>
                          </w:sdtEndPr>
                          <w:sdtContent>
                            <w:p w14:paraId="152598AE">
                              <w:pPr>
                                <w:pStyle w:val="2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rPr>
                                <w:fldChar w:fldCharType="end"/>
                              </w:r>
                            </w:p>
                          </w:sdtContent>
                        </w:sdt>
                        <w:p w14:paraId="2264411D">
                          <w:pPr>
                            <w:rPr>
                              <w:rFonts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761789172"/>
                    </w:sdtPr>
                    <w:sdtEndPr>
                      <w:rPr>
                        <w:rFonts w:ascii="Times New Roman" w:hAnsi="Times New Roman" w:cs="Times New Roman"/>
                      </w:rPr>
                    </w:sdtEndPr>
                    <w:sdtContent>
                      <w:p w14:paraId="152598AE">
                        <w:pPr>
                          <w:pStyle w:val="2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rPr>
                          <w:fldChar w:fldCharType="end"/>
                        </w:r>
                      </w:p>
                    </w:sdtContent>
                  </w:sdt>
                  <w:p w14:paraId="2264411D">
                    <w:pPr>
                      <w:rPr>
                        <w:rFonts w:ascii="Times New Roman" w:hAnsi="Times New Roman" w:cs="Times New Roman"/>
                      </w:rPr>
                    </w:pPr>
                  </w:p>
                </w:txbxContent>
              </v:textbox>
            </v:shape>
          </w:pict>
        </mc:Fallback>
      </mc:AlternateContent>
    </w:r>
  </w:p>
  <w:p w14:paraId="1A83DB55">
    <w:pPr>
      <w:pStyle w:val="2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DE6BA">
    <w:pPr>
      <w:pStyle w:val="2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28A20">
                          <w:pPr>
                            <w:pStyle w:val="27"/>
                            <w:rPr>
                              <w:rStyle w:val="43"/>
                            </w:rPr>
                          </w:pPr>
                          <w:r>
                            <w:rPr>
                              <w:rStyle w:val="43"/>
                            </w:rPr>
                            <w:fldChar w:fldCharType="begin"/>
                          </w:r>
                          <w:r>
                            <w:rPr>
                              <w:rStyle w:val="43"/>
                            </w:rPr>
                            <w:instrText xml:space="preserve">PAGE  </w:instrText>
                          </w:r>
                          <w:r>
                            <w:rPr>
                              <w:rStyle w:val="43"/>
                            </w:rPr>
                            <w:fldChar w:fldCharType="separate"/>
                          </w:r>
                          <w:r>
                            <w:rPr>
                              <w:rStyle w:val="43"/>
                            </w:rPr>
                            <w:t>3</w:t>
                          </w:r>
                          <w:r>
                            <w:rPr>
                              <w:rStyle w:val="43"/>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7EA28A20">
                    <w:pPr>
                      <w:pStyle w:val="27"/>
                      <w:rPr>
                        <w:rStyle w:val="43"/>
                      </w:rPr>
                    </w:pPr>
                    <w:r>
                      <w:rPr>
                        <w:rStyle w:val="43"/>
                      </w:rPr>
                      <w:fldChar w:fldCharType="begin"/>
                    </w:r>
                    <w:r>
                      <w:rPr>
                        <w:rStyle w:val="43"/>
                      </w:rPr>
                      <w:instrText xml:space="preserve">PAGE  </w:instrText>
                    </w:r>
                    <w:r>
                      <w:rPr>
                        <w:rStyle w:val="43"/>
                      </w:rPr>
                      <w:fldChar w:fldCharType="separate"/>
                    </w:r>
                    <w:r>
                      <w:rPr>
                        <w:rStyle w:val="43"/>
                      </w:rPr>
                      <w:t>3</w:t>
                    </w:r>
                    <w:r>
                      <w:rPr>
                        <w:rStyle w:val="43"/>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EB2EE">
    <w:pPr>
      <w:pStyle w:val="27"/>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14:paraId="74327D83">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6249B">
    <w:pPr>
      <w:pStyle w:val="2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E3B65">
                          <w:pPr>
                            <w:pStyle w:val="2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8EE3B65">
                    <w:pPr>
                      <w:pStyle w:val="27"/>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BEB50">
    <w:pPr>
      <w:pStyle w:val="26"/>
      <w:jc w:val="center"/>
      <w:rPr>
        <w:rFonts w:ascii="Times New Roman" w:hAnsi="Times New Roman" w:cs="Times New Roman"/>
      </w:rPr>
    </w:pPr>
  </w:p>
  <w:p w14:paraId="4AE8AA30">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A0059">
    <w:pPr>
      <w:pStyle w:val="27"/>
      <w:tabs>
        <w:tab w:val="center" w:pos="4535"/>
        <w:tab w:val="clear" w:pos="4153"/>
      </w:tabs>
    </w:pPr>
    <w:r>
      <w:rPr>
        <w:sz w:val="18"/>
      </w:rPr>
      <mc:AlternateContent>
        <mc:Choice Requires="wps">
          <w:drawing>
            <wp:anchor distT="0" distB="0" distL="114300" distR="114300" simplePos="0" relativeHeight="251669504" behindDoc="0" locked="0" layoutInCell="1" allowOverlap="1">
              <wp:simplePos x="0" y="0"/>
              <wp:positionH relativeFrom="margin">
                <wp:posOffset>2568575</wp:posOffset>
              </wp:positionH>
              <wp:positionV relativeFrom="paragraph">
                <wp:posOffset>0</wp:posOffset>
              </wp:positionV>
              <wp:extent cx="222250" cy="23114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22250" cy="231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117268">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2.25pt;margin-top:0pt;height:18.2pt;width:17.5pt;mso-position-horizontal-relative:margin;z-index:251669504;mso-width-relative:page;mso-height-relative:page;" filled="f" stroked="f" coordsize="21600,21600" o:gfxdata="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S2x0q1QAAAAcBAAAPAAAAAAAAAAEAIAAAACIAAABkcnMvZG93bnJldi54&#10;bWxQSwECFAAUAAAACACHTuJAii2KoTYCAABjBAAADgAAAAAAAAABACAAAAAkAQAAZHJzL2Uyb0Rv&#10;Yy54bWxQSwUGAAAAAAYABgBZAQAAzAUAAAAA&#10;">
              <v:fill on="f" focussize="0,0"/>
              <v:stroke on="f" weight="0.5pt"/>
              <v:imagedata o:title=""/>
              <o:lock v:ext="edit" aspectratio="f"/>
              <v:textbox inset="0mm,0mm,0mm,0mm">
                <w:txbxContent>
                  <w:p w14:paraId="2A117268">
                    <w:pPr>
                      <w:pStyle w:val="2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59F24">
    <w:pPr>
      <w:pStyle w:val="27"/>
      <w:jc w:val="center"/>
      <w:rPr>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42474290"/>
                            <w:docPartObj>
                              <w:docPartGallery w:val="autotext"/>
                            </w:docPartObj>
                          </w:sdtPr>
                          <w:sdtEndPr>
                            <w:rPr>
                              <w:sz w:val="21"/>
                              <w:szCs w:val="21"/>
                            </w:rPr>
                          </w:sdtEndPr>
                          <w:sdtContent>
                            <w:p w14:paraId="5E6263F0">
                              <w:pPr>
                                <w:pStyle w:val="27"/>
                                <w:jc w:val="center"/>
                                <w:rPr>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PAGE   \* MERGEFORMAT</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zh-CN"/>
                                </w:rPr>
                                <w:t>-</w:t>
                              </w:r>
                              <w:r>
                                <w:rPr>
                                  <w:rFonts w:hint="default" w:ascii="Times New Roman" w:hAnsi="Times New Roman" w:eastAsia="宋体" w:cs="Times New Roman"/>
                                  <w:sz w:val="21"/>
                                  <w:szCs w:val="21"/>
                                </w:rPr>
                                <w:t xml:space="preserve"> 83 -</w:t>
                              </w:r>
                              <w:r>
                                <w:rPr>
                                  <w:rFonts w:hint="default" w:ascii="Times New Roman" w:hAnsi="Times New Roman" w:eastAsia="宋体" w:cs="Times New Roman"/>
                                  <w:sz w:val="21"/>
                                  <w:szCs w:val="21"/>
                                </w:rPr>
                                <w:fldChar w:fldCharType="end"/>
                              </w:r>
                            </w:p>
                          </w:sdtContent>
                        </w:sdt>
                        <w:p w14:paraId="57651647">
                          <w:pPr>
                            <w:rPr>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id w:val="1042474290"/>
                      <w:docPartObj>
                        <w:docPartGallery w:val="autotext"/>
                      </w:docPartObj>
                    </w:sdtPr>
                    <w:sdtEndPr>
                      <w:rPr>
                        <w:sz w:val="21"/>
                        <w:szCs w:val="21"/>
                      </w:rPr>
                    </w:sdtEndPr>
                    <w:sdtContent>
                      <w:p w14:paraId="5E6263F0">
                        <w:pPr>
                          <w:pStyle w:val="27"/>
                          <w:jc w:val="center"/>
                          <w:rPr>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PAGE   \* MERGEFORMAT</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zh-CN"/>
                          </w:rPr>
                          <w:t>-</w:t>
                        </w:r>
                        <w:r>
                          <w:rPr>
                            <w:rFonts w:hint="default" w:ascii="Times New Roman" w:hAnsi="Times New Roman" w:eastAsia="宋体" w:cs="Times New Roman"/>
                            <w:sz w:val="21"/>
                            <w:szCs w:val="21"/>
                          </w:rPr>
                          <w:t xml:space="preserve"> 83 -</w:t>
                        </w:r>
                        <w:r>
                          <w:rPr>
                            <w:rFonts w:hint="default" w:ascii="Times New Roman" w:hAnsi="Times New Roman" w:eastAsia="宋体" w:cs="Times New Roman"/>
                            <w:sz w:val="21"/>
                            <w:szCs w:val="21"/>
                          </w:rPr>
                          <w:fldChar w:fldCharType="end"/>
                        </w:r>
                      </w:p>
                    </w:sdtContent>
                  </w:sdt>
                  <w:p w14:paraId="57651647">
                    <w:pPr>
                      <w:rPr>
                        <w:sz w:val="21"/>
                        <w:szCs w:val="21"/>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4A00E">
    <w:pPr>
      <w:spacing w:line="185" w:lineRule="auto"/>
      <w:ind w:left="4068"/>
      <w:rPr>
        <w:rFonts w:hint="eastAsia" w:ascii="Times New Roman" w:hAnsi="Times New Roman" w:eastAsia="宋体" w:cs="Times New Roman"/>
        <w:sz w:val="21"/>
        <w:szCs w:val="21"/>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7FD8D">
                          <w:pPr>
                            <w:pStyle w:val="2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6A37FD8D">
                    <w:pPr>
                      <w:pStyle w:val="2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E057C">
    <w:pPr>
      <w:keepNext w:val="0"/>
      <w:keepLines w:val="0"/>
      <w:pageBreakBefore w:val="0"/>
      <w:widowControl w:val="0"/>
      <w:tabs>
        <w:tab w:val="center" w:pos="4153"/>
        <w:tab w:val="right" w:pos="8306"/>
      </w:tabs>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F1AE4">
                          <w:pPr>
                            <w:widowControl w:val="0"/>
                            <w:tabs>
                              <w:tab w:val="center" w:pos="4153"/>
                              <w:tab w:val="right" w:pos="8306"/>
                            </w:tabs>
                            <w:snapToGrid w:val="0"/>
                            <w:spacing w:line="240" w:lineRule="auto"/>
                            <w:ind w:firstLine="360" w:firstLineChars="200"/>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1</w:t>
                          </w:r>
                          <w:r>
                            <w:rPr>
                              <w:rFonts w:hint="eastAsia" w:ascii="Times New Roman" w:hAnsi="Times New Roman"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3D9w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t1Tg9uHgALnWMFWkaephIqSs9WqHd&#10;tT3PnSlOoOlMNyne8k2NUrbMh3vmMBooH8sT7vAppUFK01uUVMZ9/dd9jEfH4KWkwajlVGOzKJEf&#10;NDoJwDAYbjB2g6EP6tZgdidYSsuTiQcuyMEsnVFfsFGrmAMupjky5TQM5m3oxh0bycVqlYIO1tX7&#10;qnuAObQsbPWD5TFNlMrb1SFA2qR4FKhTBZ2KB0xi6lm/NXHU/zynqKd/iu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GA3D9w5AgAAcQQAAA4AAAAAAAAAAQAgAAAAHwEAAGRycy9lMm9Eb2Mu&#10;eG1sUEsFBgAAAAAGAAYAWQEAAMoFAAAAAA==&#10;">
              <v:fill on="f" focussize="0,0"/>
              <v:stroke on="f" weight="0.5pt"/>
              <v:imagedata o:title=""/>
              <o:lock v:ext="edit" aspectratio="f"/>
              <v:textbox inset="0mm,0mm,0mm,0mm" style="mso-fit-shape-to-text:t;">
                <w:txbxContent>
                  <w:p w14:paraId="60AF1AE4">
                    <w:pPr>
                      <w:widowControl w:val="0"/>
                      <w:tabs>
                        <w:tab w:val="center" w:pos="4153"/>
                        <w:tab w:val="right" w:pos="8306"/>
                      </w:tabs>
                      <w:snapToGrid w:val="0"/>
                      <w:spacing w:line="240" w:lineRule="auto"/>
                      <w:ind w:firstLine="360" w:firstLineChars="200"/>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1</w:t>
                    </w:r>
                    <w:r>
                      <w:rPr>
                        <w:rFonts w:hint="eastAsia" w:ascii="Times New Roman" w:hAnsi="Times New Roman" w:eastAsia="宋体" w:cs="Times New Roman"/>
                        <w:kern w:val="2"/>
                        <w:sz w:val="18"/>
                        <w:szCs w:val="18"/>
                        <w:lang w:val="en-US" w:eastAsia="zh-CN" w:bidi="ar-SA"/>
                      </w:rPr>
                      <w:fldChar w:fldCharType="end"/>
                    </w:r>
                  </w:p>
                </w:txbxContent>
              </v:textbox>
            </v:shape>
          </w:pict>
        </mc:Fallback>
      </mc:AlternateContent>
    </w:r>
  </w:p>
  <w:p w14:paraId="67693391">
    <w:pPr>
      <w:widowControl w:val="0"/>
      <w:kinsoku w:val="0"/>
      <w:overflowPunct w:val="0"/>
      <w:spacing w:before="0" w:line="14" w:lineRule="auto"/>
      <w:ind w:left="0" w:firstLine="400" w:firstLineChars="200"/>
      <w:jc w:val="both"/>
      <w:rPr>
        <w:rFonts w:ascii="Arial Unicode MS" w:hAnsi="Arial Unicode MS" w:eastAsia="宋体" w:cs="Times New Roman"/>
        <w:kern w:val="2"/>
        <w:sz w:val="20"/>
        <w:szCs w:val="20"/>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F983B">
    <w:pPr>
      <w:spacing w:line="196" w:lineRule="auto"/>
      <w:ind w:left="4265"/>
      <w:rPr>
        <w:rFonts w:hint="default" w:ascii="Times New Roman" w:hAnsi="Times New Roman" w:eastAsia="宋体" w:cs="Times New Roman"/>
        <w:sz w:val="17"/>
        <w:szCs w:val="17"/>
        <w:lang w:val="en-US" w:eastAsia="zh-CN"/>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BF78AA">
                          <w:pPr>
                            <w:pStyle w:val="27"/>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FBF78AA">
                    <w:pPr>
                      <w:pStyle w:val="27"/>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C8887">
    <w:pPr>
      <w:pStyle w:val="19"/>
      <w:spacing w:line="14" w:lineRule="auto"/>
      <w:rPr>
        <w:sz w:val="17"/>
      </w:rPr>
    </w:pPr>
    <w:r>
      <w:rPr>
        <w:sz w:val="17"/>
      </w:rPr>
      <mc:AlternateContent>
        <mc:Choice Requires="wps">
          <w:drawing>
            <wp:anchor distT="0" distB="0" distL="114300" distR="114300" simplePos="0" relativeHeight="251660288" behindDoc="0" locked="0" layoutInCell="1" allowOverlap="1">
              <wp:simplePos x="0" y="0"/>
              <wp:positionH relativeFrom="margin">
                <wp:posOffset>2515870</wp:posOffset>
              </wp:positionH>
              <wp:positionV relativeFrom="paragraph">
                <wp:posOffset>-304800</wp:posOffset>
              </wp:positionV>
              <wp:extent cx="412750" cy="18669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12750" cy="186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B8F84">
                          <w:pPr>
                            <w:pStyle w:val="2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8.1pt;margin-top:-24pt;height:14.7pt;width:32.5pt;mso-position-horizontal-relative:margin;z-index:251660288;mso-width-relative:page;mso-height-relative:page;" filled="f" stroked="f" coordsize="21600,21600" o:gfxdata="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60cU2AAAAAsBAAAPAAAAAAAAAAEAIAAAACIAAABkcnMvZG93bnJl&#10;di54bWxQSwECFAAUAAAACACHTuJAn6w86zYCAABjBAAADgAAAAAAAAABACAAAAAnAQAAZHJzL2Uy&#10;b0RvYy54bWxQSwUGAAAAAAYABgBZAQAAzwUAAAAA&#10;">
              <v:fill on="f" focussize="0,0"/>
              <v:stroke on="f" weight="0.5pt"/>
              <v:imagedata o:title=""/>
              <o:lock v:ext="edit" aspectratio="f"/>
              <v:textbox inset="0mm,0mm,0mm,0mm">
                <w:txbxContent>
                  <w:p w14:paraId="5C6B8F84">
                    <w:pPr>
                      <w:pStyle w:val="2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B94EB">
    <w:pPr>
      <w:pStyle w:val="28"/>
      <w:pBdr>
        <w:bottom w:val="none" w:color="auto" w:sz="0" w:space="1"/>
      </w:pBdr>
      <w:rPr>
        <w:rFonts w:hint="eastAsia"/>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0E31F">
    <w:pPr>
      <w:pStyle w:val="28"/>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C4F0B">
    <w:pPr>
      <w:widowControl w:val="0"/>
      <w:kinsoku w:val="0"/>
      <w:overflowPunct w:val="0"/>
      <w:spacing w:before="0" w:line="14" w:lineRule="auto"/>
      <w:ind w:left="0" w:firstLine="400" w:firstLineChars="200"/>
      <w:jc w:val="both"/>
      <w:rPr>
        <w:rFonts w:ascii="Arial Unicode MS" w:hAnsi="Arial Unicode MS" w:eastAsia="宋体" w:cs="Times New Roman"/>
        <w:kern w:val="2"/>
        <w:sz w:val="20"/>
        <w:szCs w:val="20"/>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D1DC8">
    <w:pPr>
      <w:pStyle w:val="2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C9C36">
    <w:pPr>
      <w:pStyle w:val="28"/>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A2E79">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C972D"/>
    <w:multiLevelType w:val="singleLevel"/>
    <w:tmpl w:val="85AC972D"/>
    <w:lvl w:ilvl="0" w:tentative="0">
      <w:start w:val="1"/>
      <w:numFmt w:val="decimal"/>
      <w:suff w:val="nothing"/>
      <w:lvlText w:val="%1．"/>
      <w:lvlJc w:val="left"/>
      <w:pPr>
        <w:ind w:left="0" w:firstLine="400"/>
      </w:pPr>
      <w:rPr>
        <w:rFonts w:hint="default"/>
      </w:rPr>
    </w:lvl>
  </w:abstractNum>
  <w:abstractNum w:abstractNumId="1">
    <w:nsid w:val="8CB3073E"/>
    <w:multiLevelType w:val="singleLevel"/>
    <w:tmpl w:val="8CB3073E"/>
    <w:lvl w:ilvl="0" w:tentative="0">
      <w:start w:val="1"/>
      <w:numFmt w:val="decimal"/>
      <w:lvlText w:val="(%1)"/>
      <w:lvlJc w:val="left"/>
      <w:pPr>
        <w:ind w:left="425" w:hanging="425"/>
      </w:pPr>
      <w:rPr>
        <w:rFonts w:hint="default"/>
      </w:rPr>
    </w:lvl>
  </w:abstractNum>
  <w:abstractNum w:abstractNumId="2">
    <w:nsid w:val="915B9AEC"/>
    <w:multiLevelType w:val="singleLevel"/>
    <w:tmpl w:val="915B9AEC"/>
    <w:lvl w:ilvl="0" w:tentative="0">
      <w:start w:val="1"/>
      <w:numFmt w:val="decimal"/>
      <w:pStyle w:val="8"/>
      <w:lvlText w:val="%1."/>
      <w:lvlJc w:val="left"/>
      <w:pPr>
        <w:tabs>
          <w:tab w:val="left" w:pos="2040"/>
        </w:tabs>
        <w:ind w:left="2040" w:hanging="360"/>
      </w:pPr>
    </w:lvl>
  </w:abstractNum>
  <w:abstractNum w:abstractNumId="3">
    <w:nsid w:val="A35CDB26"/>
    <w:multiLevelType w:val="singleLevel"/>
    <w:tmpl w:val="A35CDB26"/>
    <w:lvl w:ilvl="0" w:tentative="0">
      <w:start w:val="1"/>
      <w:numFmt w:val="chineseCounting"/>
      <w:suff w:val="nothing"/>
      <w:lvlText w:val="（%1）"/>
      <w:lvlJc w:val="left"/>
      <w:pPr>
        <w:ind w:left="0" w:firstLine="0"/>
      </w:pPr>
      <w:rPr>
        <w:rFonts w:hint="eastAsia"/>
      </w:rPr>
    </w:lvl>
  </w:abstractNum>
  <w:abstractNum w:abstractNumId="4">
    <w:nsid w:val="A98FC4E5"/>
    <w:multiLevelType w:val="singleLevel"/>
    <w:tmpl w:val="A98FC4E5"/>
    <w:lvl w:ilvl="0" w:tentative="0">
      <w:start w:val="1"/>
      <w:numFmt w:val="decimal"/>
      <w:lvlText w:val="(%1)"/>
      <w:lvlJc w:val="left"/>
      <w:pPr>
        <w:ind w:left="425" w:hanging="425"/>
      </w:pPr>
      <w:rPr>
        <w:rFonts w:hint="default"/>
      </w:rPr>
    </w:lvl>
  </w:abstractNum>
  <w:abstractNum w:abstractNumId="5">
    <w:nsid w:val="C39DDD45"/>
    <w:multiLevelType w:val="singleLevel"/>
    <w:tmpl w:val="C39DDD45"/>
    <w:lvl w:ilvl="0" w:tentative="0">
      <w:start w:val="1"/>
      <w:numFmt w:val="upperRoman"/>
      <w:suff w:val="nothing"/>
      <w:lvlText w:val="%1．"/>
      <w:lvlJc w:val="left"/>
      <w:pPr>
        <w:ind w:left="0" w:firstLine="0"/>
      </w:pPr>
      <w:rPr>
        <w:rFonts w:hint="default"/>
      </w:rPr>
    </w:lvl>
  </w:abstractNum>
  <w:abstractNum w:abstractNumId="6">
    <w:nsid w:val="C76BD5B7"/>
    <w:multiLevelType w:val="singleLevel"/>
    <w:tmpl w:val="C76BD5B7"/>
    <w:lvl w:ilvl="0" w:tentative="0">
      <w:start w:val="1"/>
      <w:numFmt w:val="decimal"/>
      <w:suff w:val="nothing"/>
      <w:lvlText w:val="（%1）"/>
      <w:lvlJc w:val="left"/>
    </w:lvl>
  </w:abstractNum>
  <w:abstractNum w:abstractNumId="7">
    <w:nsid w:val="CCB523A0"/>
    <w:multiLevelType w:val="singleLevel"/>
    <w:tmpl w:val="CCB523A0"/>
    <w:lvl w:ilvl="0" w:tentative="0">
      <w:start w:val="1"/>
      <w:numFmt w:val="decimal"/>
      <w:suff w:val="nothing"/>
      <w:lvlText w:val="（%1）"/>
      <w:lvlJc w:val="left"/>
    </w:lvl>
  </w:abstractNum>
  <w:abstractNum w:abstractNumId="8">
    <w:nsid w:val="CE697CBB"/>
    <w:multiLevelType w:val="singleLevel"/>
    <w:tmpl w:val="CE697CBB"/>
    <w:lvl w:ilvl="0" w:tentative="0">
      <w:start w:val="2"/>
      <w:numFmt w:val="decimal"/>
      <w:suff w:val="nothing"/>
      <w:lvlText w:val="%1、"/>
      <w:lvlJc w:val="left"/>
    </w:lvl>
  </w:abstractNum>
  <w:abstractNum w:abstractNumId="9">
    <w:nsid w:val="D4254CD1"/>
    <w:multiLevelType w:val="singleLevel"/>
    <w:tmpl w:val="D4254CD1"/>
    <w:lvl w:ilvl="0" w:tentative="0">
      <w:start w:val="1"/>
      <w:numFmt w:val="decimal"/>
      <w:lvlText w:val="(%1)"/>
      <w:lvlJc w:val="left"/>
      <w:pPr>
        <w:ind w:left="425" w:hanging="425"/>
      </w:pPr>
      <w:rPr>
        <w:rFonts w:hint="default"/>
      </w:rPr>
    </w:lvl>
  </w:abstractNum>
  <w:abstractNum w:abstractNumId="10">
    <w:nsid w:val="DB34D887"/>
    <w:multiLevelType w:val="singleLevel"/>
    <w:tmpl w:val="DB34D887"/>
    <w:lvl w:ilvl="0" w:tentative="0">
      <w:start w:val="8"/>
      <w:numFmt w:val="decimal"/>
      <w:suff w:val="nothing"/>
      <w:lvlText w:val="%1、"/>
      <w:lvlJc w:val="left"/>
      <w:pPr>
        <w:ind w:left="600" w:leftChars="0" w:firstLine="0" w:firstLineChars="0"/>
      </w:pPr>
    </w:lvl>
  </w:abstractNum>
  <w:abstractNum w:abstractNumId="11">
    <w:nsid w:val="E5349B5C"/>
    <w:multiLevelType w:val="singleLevel"/>
    <w:tmpl w:val="E5349B5C"/>
    <w:lvl w:ilvl="0" w:tentative="0">
      <w:start w:val="1"/>
      <w:numFmt w:val="decimal"/>
      <w:lvlText w:val="%1"/>
      <w:lvlJc w:val="left"/>
      <w:pPr>
        <w:tabs>
          <w:tab w:val="left" w:pos="420"/>
        </w:tabs>
        <w:ind w:left="425" w:leftChars="0" w:hanging="425" w:firstLineChars="0"/>
      </w:pPr>
      <w:rPr>
        <w:rFonts w:hint="default"/>
      </w:rPr>
    </w:lvl>
  </w:abstractNum>
  <w:abstractNum w:abstractNumId="12">
    <w:nsid w:val="FA76A11F"/>
    <w:multiLevelType w:val="singleLevel"/>
    <w:tmpl w:val="FA76A11F"/>
    <w:lvl w:ilvl="0" w:tentative="0">
      <w:start w:val="1"/>
      <w:numFmt w:val="decimal"/>
      <w:suff w:val="nothing"/>
      <w:lvlText w:val="%1"/>
      <w:lvlJc w:val="left"/>
      <w:pPr>
        <w:ind w:left="0" w:firstLine="0"/>
      </w:pPr>
      <w:rPr>
        <w:rFonts w:hint="default"/>
      </w:rPr>
    </w:lvl>
  </w:abstractNum>
  <w:abstractNum w:abstractNumId="13">
    <w:nsid w:val="FFC1AAD7"/>
    <w:multiLevelType w:val="singleLevel"/>
    <w:tmpl w:val="FFC1AAD7"/>
    <w:lvl w:ilvl="0" w:tentative="0">
      <w:start w:val="1"/>
      <w:numFmt w:val="decimal"/>
      <w:lvlText w:val="(%1)"/>
      <w:lvlJc w:val="left"/>
      <w:pPr>
        <w:ind w:left="425" w:hanging="425"/>
      </w:pPr>
      <w:rPr>
        <w:rFonts w:hint="default"/>
      </w:rPr>
    </w:lvl>
  </w:abstractNum>
  <w:abstractNum w:abstractNumId="14">
    <w:nsid w:val="17EE55E7"/>
    <w:multiLevelType w:val="singleLevel"/>
    <w:tmpl w:val="17EE55E7"/>
    <w:lvl w:ilvl="0" w:tentative="0">
      <w:start w:val="1"/>
      <w:numFmt w:val="decimal"/>
      <w:suff w:val="nothing"/>
      <w:lvlText w:val="%1）"/>
      <w:lvlJc w:val="left"/>
    </w:lvl>
  </w:abstractNum>
  <w:abstractNum w:abstractNumId="15">
    <w:nsid w:val="1E91DE6B"/>
    <w:multiLevelType w:val="singleLevel"/>
    <w:tmpl w:val="1E91DE6B"/>
    <w:lvl w:ilvl="0" w:tentative="0">
      <w:start w:val="2"/>
      <w:numFmt w:val="decimal"/>
      <w:suff w:val="nothing"/>
      <w:lvlText w:val="%1）"/>
      <w:lvlJc w:val="left"/>
    </w:lvl>
  </w:abstractNum>
  <w:abstractNum w:abstractNumId="16">
    <w:nsid w:val="30F079D9"/>
    <w:multiLevelType w:val="singleLevel"/>
    <w:tmpl w:val="30F079D9"/>
    <w:lvl w:ilvl="0" w:tentative="0">
      <w:start w:val="1"/>
      <w:numFmt w:val="decimal"/>
      <w:suff w:val="nothing"/>
      <w:lvlText w:val="%1．"/>
      <w:lvlJc w:val="left"/>
      <w:pPr>
        <w:ind w:left="0" w:firstLine="0"/>
      </w:pPr>
      <w:rPr>
        <w:rFonts w:hint="default"/>
      </w:rPr>
    </w:lvl>
  </w:abstractNum>
  <w:abstractNum w:abstractNumId="17">
    <w:nsid w:val="44D617DE"/>
    <w:multiLevelType w:val="singleLevel"/>
    <w:tmpl w:val="44D617DE"/>
    <w:lvl w:ilvl="0" w:tentative="0">
      <w:start w:val="1"/>
      <w:numFmt w:val="decimal"/>
      <w:lvlText w:val="(%1)"/>
      <w:lvlJc w:val="left"/>
      <w:pPr>
        <w:ind w:left="425" w:hanging="425"/>
      </w:pPr>
      <w:rPr>
        <w:rFonts w:hint="default"/>
      </w:rPr>
    </w:lvl>
  </w:abstractNum>
  <w:abstractNum w:abstractNumId="18">
    <w:nsid w:val="47C6770E"/>
    <w:multiLevelType w:val="singleLevel"/>
    <w:tmpl w:val="47C6770E"/>
    <w:lvl w:ilvl="0" w:tentative="0">
      <w:start w:val="6"/>
      <w:numFmt w:val="decimal"/>
      <w:suff w:val="nothing"/>
      <w:lvlText w:val="（%1）"/>
      <w:lvlJc w:val="left"/>
    </w:lvl>
  </w:abstractNum>
  <w:abstractNum w:abstractNumId="19">
    <w:nsid w:val="497A2EC4"/>
    <w:multiLevelType w:val="singleLevel"/>
    <w:tmpl w:val="497A2EC4"/>
    <w:lvl w:ilvl="0" w:tentative="0">
      <w:start w:val="1"/>
      <w:numFmt w:val="decimal"/>
      <w:lvlText w:val="(%1)"/>
      <w:lvlJc w:val="left"/>
      <w:pPr>
        <w:ind w:left="425" w:hanging="425"/>
      </w:pPr>
      <w:rPr>
        <w:rFonts w:hint="default"/>
        <w:color w:val="auto"/>
        <w:sz w:val="24"/>
        <w:szCs w:val="24"/>
      </w:rPr>
    </w:lvl>
  </w:abstractNum>
  <w:abstractNum w:abstractNumId="20">
    <w:nsid w:val="49B79CC3"/>
    <w:multiLevelType w:val="singleLevel"/>
    <w:tmpl w:val="49B79CC3"/>
    <w:lvl w:ilvl="0" w:tentative="0">
      <w:start w:val="1"/>
      <w:numFmt w:val="chineseCounting"/>
      <w:suff w:val="nothing"/>
      <w:lvlText w:val="%1、"/>
      <w:lvlJc w:val="left"/>
      <w:pPr>
        <w:ind w:left="0" w:firstLine="0"/>
      </w:pPr>
      <w:rPr>
        <w:rFonts w:hint="eastAsia"/>
      </w:rPr>
    </w:lvl>
  </w:abstractNum>
  <w:abstractNum w:abstractNumId="21">
    <w:nsid w:val="4DD00489"/>
    <w:multiLevelType w:val="singleLevel"/>
    <w:tmpl w:val="4DD00489"/>
    <w:lvl w:ilvl="0" w:tentative="0">
      <w:start w:val="1"/>
      <w:numFmt w:val="decimal"/>
      <w:suff w:val="nothing"/>
      <w:lvlText w:val="（%1）"/>
      <w:lvlJc w:val="left"/>
    </w:lvl>
  </w:abstractNum>
  <w:abstractNum w:abstractNumId="22">
    <w:nsid w:val="51018732"/>
    <w:multiLevelType w:val="singleLevel"/>
    <w:tmpl w:val="51018732"/>
    <w:lvl w:ilvl="0" w:tentative="0">
      <w:start w:val="4"/>
      <w:numFmt w:val="decimal"/>
      <w:suff w:val="nothing"/>
      <w:lvlText w:val="%1）"/>
      <w:lvlJc w:val="left"/>
    </w:lvl>
  </w:abstractNum>
  <w:abstractNum w:abstractNumId="23">
    <w:nsid w:val="52A45571"/>
    <w:multiLevelType w:val="singleLevel"/>
    <w:tmpl w:val="52A45571"/>
    <w:lvl w:ilvl="0" w:tentative="0">
      <w:start w:val="1"/>
      <w:numFmt w:val="decimal"/>
      <w:lvlText w:val="%1"/>
      <w:lvlJc w:val="left"/>
      <w:pPr>
        <w:tabs>
          <w:tab w:val="left" w:pos="420"/>
        </w:tabs>
        <w:ind w:left="425" w:leftChars="0" w:hanging="425" w:firstLineChars="0"/>
      </w:pPr>
      <w:rPr>
        <w:rFonts w:hint="default"/>
      </w:rPr>
    </w:lvl>
  </w:abstractNum>
  <w:abstractNum w:abstractNumId="24">
    <w:nsid w:val="59B8814D"/>
    <w:multiLevelType w:val="singleLevel"/>
    <w:tmpl w:val="59B8814D"/>
    <w:lvl w:ilvl="0" w:tentative="0">
      <w:start w:val="1"/>
      <w:numFmt w:val="chineseCounting"/>
      <w:suff w:val="nothing"/>
      <w:lvlText w:val="%1、"/>
      <w:lvlJc w:val="left"/>
    </w:lvl>
  </w:abstractNum>
  <w:abstractNum w:abstractNumId="25">
    <w:nsid w:val="5D0C4A9C"/>
    <w:multiLevelType w:val="multilevel"/>
    <w:tmpl w:val="5D0C4A9C"/>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ascii="Times New Roman" w:hAnsi="Times New Roman" w:cs="Times New Roman"/>
        <w:sz w:val="28"/>
        <w:szCs w:val="28"/>
      </w:rPr>
    </w:lvl>
    <w:lvl w:ilvl="3" w:tentative="0">
      <w:start w:val="1"/>
      <w:numFmt w:val="decimal"/>
      <w:pStyle w:val="5"/>
      <w:lvlText w:val="%1.%2.%3.%4."/>
      <w:lvlJc w:val="left"/>
      <w:pPr>
        <w:ind w:left="864" w:hanging="864"/>
      </w:pPr>
      <w:rPr>
        <w:rFonts w:hint="default" w:ascii="Times New Roman" w:hAnsi="Times New Roman" w:eastAsia="宋体" w:cs="Times New Roman"/>
        <w:sz w:val="24"/>
        <w:szCs w:val="24"/>
      </w:rPr>
    </w:lvl>
    <w:lvl w:ilvl="4" w:tentative="0">
      <w:start w:val="1"/>
      <w:numFmt w:val="decimal"/>
      <w:pStyle w:val="9"/>
      <w:lvlText w:val="%1.%2.%3.%4.%5."/>
      <w:lvlJc w:val="left"/>
      <w:pPr>
        <w:ind w:left="1008" w:hanging="1008"/>
      </w:pPr>
      <w:rPr>
        <w:rFonts w:hint="default"/>
      </w:rPr>
    </w:lvl>
    <w:lvl w:ilvl="5" w:tentative="0">
      <w:start w:val="1"/>
      <w:numFmt w:val="decimal"/>
      <w:pStyle w:val="10"/>
      <w:lvlText w:val="%1.%2.%3.%4.%5.%6."/>
      <w:lvlJc w:val="left"/>
      <w:pPr>
        <w:ind w:left="1151" w:hanging="1151"/>
      </w:pPr>
      <w:rPr>
        <w:rFonts w:hint="default"/>
      </w:rPr>
    </w:lvl>
    <w:lvl w:ilvl="6" w:tentative="0">
      <w:start w:val="1"/>
      <w:numFmt w:val="decimal"/>
      <w:pStyle w:val="11"/>
      <w:lvlText w:val="%1.%2.%3.%4.%5.%6.%7."/>
      <w:lvlJc w:val="left"/>
      <w:pPr>
        <w:ind w:left="1296" w:hanging="1296"/>
      </w:pPr>
      <w:rPr>
        <w:rFonts w:hint="default"/>
      </w:rPr>
    </w:lvl>
    <w:lvl w:ilvl="7" w:tentative="0">
      <w:start w:val="1"/>
      <w:numFmt w:val="decimal"/>
      <w:pStyle w:val="12"/>
      <w:lvlText w:val="%1.%2.%3.%4.%5.%6.%7.%8."/>
      <w:lvlJc w:val="left"/>
      <w:pPr>
        <w:ind w:left="1440" w:hanging="1440"/>
      </w:pPr>
      <w:rPr>
        <w:rFonts w:hint="default"/>
      </w:rPr>
    </w:lvl>
    <w:lvl w:ilvl="8" w:tentative="0">
      <w:start w:val="1"/>
      <w:numFmt w:val="decimal"/>
      <w:pStyle w:val="13"/>
      <w:lvlText w:val="%1.%2.%3.%4.%5.%6.%7.%8.%9."/>
      <w:lvlJc w:val="left"/>
      <w:pPr>
        <w:ind w:left="1583" w:hanging="1583"/>
      </w:pPr>
      <w:rPr>
        <w:rFonts w:hint="default"/>
      </w:rPr>
    </w:lvl>
  </w:abstractNum>
  <w:num w:numId="1">
    <w:abstractNumId w:val="25"/>
  </w:num>
  <w:num w:numId="2">
    <w:abstractNumId w:val="2"/>
  </w:num>
  <w:num w:numId="3">
    <w:abstractNumId w:val="6"/>
  </w:num>
  <w:num w:numId="4">
    <w:abstractNumId w:val="19"/>
  </w:num>
  <w:num w:numId="5">
    <w:abstractNumId w:val="17"/>
  </w:num>
  <w:num w:numId="6">
    <w:abstractNumId w:val="13"/>
  </w:num>
  <w:num w:numId="7">
    <w:abstractNumId w:val="4"/>
  </w:num>
  <w:num w:numId="8">
    <w:abstractNumId w:val="1"/>
  </w:num>
  <w:num w:numId="9">
    <w:abstractNumId w:val="9"/>
  </w:num>
  <w:num w:numId="10">
    <w:abstractNumId w:val="21"/>
  </w:num>
  <w:num w:numId="11">
    <w:abstractNumId w:val="22"/>
  </w:num>
  <w:num w:numId="12">
    <w:abstractNumId w:val="10"/>
  </w:num>
  <w:num w:numId="13">
    <w:abstractNumId w:val="14"/>
  </w:num>
  <w:num w:numId="14">
    <w:abstractNumId w:val="11"/>
  </w:num>
  <w:num w:numId="15">
    <w:abstractNumId w:val="5"/>
  </w:num>
  <w:num w:numId="16">
    <w:abstractNumId w:val="20"/>
  </w:num>
  <w:num w:numId="17">
    <w:abstractNumId w:val="3"/>
  </w:num>
  <w:num w:numId="18">
    <w:abstractNumId w:val="16"/>
  </w:num>
  <w:num w:numId="19">
    <w:abstractNumId w:val="24"/>
  </w:num>
  <w:num w:numId="20">
    <w:abstractNumId w:val="0"/>
    <w:lvlOverride w:ilvl="0">
      <w:startOverride w:val="1"/>
    </w:lvlOverride>
  </w:num>
  <w:num w:numId="21">
    <w:abstractNumId w:val="12"/>
  </w:num>
  <w:num w:numId="22">
    <w:abstractNumId w:val="8"/>
  </w:num>
  <w:num w:numId="23">
    <w:abstractNumId w:val="18"/>
  </w:num>
  <w:num w:numId="24">
    <w:abstractNumId w:val="23"/>
  </w:num>
  <w:num w:numId="25">
    <w:abstractNumId w:val="7"/>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4"/>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4ZTE5NjJiZThjZTkyNzg0Y2YyN2JhNWViMTRkN2IifQ=="/>
    <w:docVar w:name="KSO_WPS_MARK_KEY" w:val="cedbe36a-aaeb-4e70-9006-df8e96a4d0fe"/>
  </w:docVars>
  <w:rsids>
    <w:rsidRoot w:val="00172A27"/>
    <w:rsid w:val="00002699"/>
    <w:rsid w:val="00004D87"/>
    <w:rsid w:val="00014D3F"/>
    <w:rsid w:val="00020DFB"/>
    <w:rsid w:val="000408CC"/>
    <w:rsid w:val="0006111D"/>
    <w:rsid w:val="00086B49"/>
    <w:rsid w:val="000A179A"/>
    <w:rsid w:val="000B5534"/>
    <w:rsid w:val="000C4FE6"/>
    <w:rsid w:val="000E0EE7"/>
    <w:rsid w:val="00115D36"/>
    <w:rsid w:val="00157A28"/>
    <w:rsid w:val="00172A27"/>
    <w:rsid w:val="0017449D"/>
    <w:rsid w:val="00185821"/>
    <w:rsid w:val="001D5547"/>
    <w:rsid w:val="00236B7D"/>
    <w:rsid w:val="00257625"/>
    <w:rsid w:val="00267F4E"/>
    <w:rsid w:val="00272539"/>
    <w:rsid w:val="002811D8"/>
    <w:rsid w:val="00283E12"/>
    <w:rsid w:val="00286CC3"/>
    <w:rsid w:val="00287461"/>
    <w:rsid w:val="0029042F"/>
    <w:rsid w:val="002B4EE3"/>
    <w:rsid w:val="002C2CD6"/>
    <w:rsid w:val="002C4FBC"/>
    <w:rsid w:val="002D269B"/>
    <w:rsid w:val="002E0D05"/>
    <w:rsid w:val="00305E2F"/>
    <w:rsid w:val="00314AA5"/>
    <w:rsid w:val="003550AC"/>
    <w:rsid w:val="003564AC"/>
    <w:rsid w:val="003669D0"/>
    <w:rsid w:val="003A2AE3"/>
    <w:rsid w:val="003C708B"/>
    <w:rsid w:val="003E3C8E"/>
    <w:rsid w:val="003E68D2"/>
    <w:rsid w:val="00406E4A"/>
    <w:rsid w:val="00466CEF"/>
    <w:rsid w:val="004874D5"/>
    <w:rsid w:val="004C3342"/>
    <w:rsid w:val="004C7E3F"/>
    <w:rsid w:val="004C7F6D"/>
    <w:rsid w:val="004D5A58"/>
    <w:rsid w:val="004E5D0F"/>
    <w:rsid w:val="004F3799"/>
    <w:rsid w:val="004F70B0"/>
    <w:rsid w:val="0050607D"/>
    <w:rsid w:val="00522BE5"/>
    <w:rsid w:val="00527197"/>
    <w:rsid w:val="005537A2"/>
    <w:rsid w:val="005579A0"/>
    <w:rsid w:val="005616F7"/>
    <w:rsid w:val="00564286"/>
    <w:rsid w:val="00577718"/>
    <w:rsid w:val="0059511E"/>
    <w:rsid w:val="005C4A0B"/>
    <w:rsid w:val="005E693D"/>
    <w:rsid w:val="005F2823"/>
    <w:rsid w:val="005F65CD"/>
    <w:rsid w:val="0060500C"/>
    <w:rsid w:val="0062491F"/>
    <w:rsid w:val="0064412B"/>
    <w:rsid w:val="00657FEA"/>
    <w:rsid w:val="006A0209"/>
    <w:rsid w:val="006E235C"/>
    <w:rsid w:val="00745A2F"/>
    <w:rsid w:val="00761114"/>
    <w:rsid w:val="00764157"/>
    <w:rsid w:val="007947A9"/>
    <w:rsid w:val="00794BC7"/>
    <w:rsid w:val="007958E0"/>
    <w:rsid w:val="007A51B4"/>
    <w:rsid w:val="007C1649"/>
    <w:rsid w:val="007C6C34"/>
    <w:rsid w:val="007E1789"/>
    <w:rsid w:val="008102F1"/>
    <w:rsid w:val="008240EC"/>
    <w:rsid w:val="0083640A"/>
    <w:rsid w:val="00840778"/>
    <w:rsid w:val="00842391"/>
    <w:rsid w:val="008548C6"/>
    <w:rsid w:val="0085631D"/>
    <w:rsid w:val="0086090E"/>
    <w:rsid w:val="00871913"/>
    <w:rsid w:val="008D188A"/>
    <w:rsid w:val="0093041E"/>
    <w:rsid w:val="00931E4B"/>
    <w:rsid w:val="00936C22"/>
    <w:rsid w:val="009436F0"/>
    <w:rsid w:val="009448F7"/>
    <w:rsid w:val="00954297"/>
    <w:rsid w:val="0097304B"/>
    <w:rsid w:val="009741F0"/>
    <w:rsid w:val="009A4F37"/>
    <w:rsid w:val="009F2D8E"/>
    <w:rsid w:val="00A77DC8"/>
    <w:rsid w:val="00A77F1F"/>
    <w:rsid w:val="00A91176"/>
    <w:rsid w:val="00A95A9A"/>
    <w:rsid w:val="00AA0186"/>
    <w:rsid w:val="00AB0799"/>
    <w:rsid w:val="00AE4E5E"/>
    <w:rsid w:val="00B00546"/>
    <w:rsid w:val="00B17108"/>
    <w:rsid w:val="00B20412"/>
    <w:rsid w:val="00B23E51"/>
    <w:rsid w:val="00B31EA2"/>
    <w:rsid w:val="00B356B4"/>
    <w:rsid w:val="00B56E5F"/>
    <w:rsid w:val="00B9360B"/>
    <w:rsid w:val="00BC79E3"/>
    <w:rsid w:val="00C26FCD"/>
    <w:rsid w:val="00C36B5B"/>
    <w:rsid w:val="00C823C4"/>
    <w:rsid w:val="00C86D4A"/>
    <w:rsid w:val="00C93F1A"/>
    <w:rsid w:val="00CB181D"/>
    <w:rsid w:val="00CB4B10"/>
    <w:rsid w:val="00CB5A10"/>
    <w:rsid w:val="00CD3CD9"/>
    <w:rsid w:val="00CE32BE"/>
    <w:rsid w:val="00D074CA"/>
    <w:rsid w:val="00D107F3"/>
    <w:rsid w:val="00D63BAC"/>
    <w:rsid w:val="00D6442C"/>
    <w:rsid w:val="00D64AE1"/>
    <w:rsid w:val="00D7071A"/>
    <w:rsid w:val="00D7154A"/>
    <w:rsid w:val="00D72607"/>
    <w:rsid w:val="00D72704"/>
    <w:rsid w:val="00D87DC9"/>
    <w:rsid w:val="00DA5C53"/>
    <w:rsid w:val="00DE3995"/>
    <w:rsid w:val="00DF5ACA"/>
    <w:rsid w:val="00E077A2"/>
    <w:rsid w:val="00E215BB"/>
    <w:rsid w:val="00E330F1"/>
    <w:rsid w:val="00E35088"/>
    <w:rsid w:val="00E46AD2"/>
    <w:rsid w:val="00E928E8"/>
    <w:rsid w:val="00E93829"/>
    <w:rsid w:val="00EA1410"/>
    <w:rsid w:val="00EA5F78"/>
    <w:rsid w:val="00EB47A6"/>
    <w:rsid w:val="00EE5600"/>
    <w:rsid w:val="00EF0450"/>
    <w:rsid w:val="00EF50C1"/>
    <w:rsid w:val="00F053AE"/>
    <w:rsid w:val="00F055A4"/>
    <w:rsid w:val="00F059F0"/>
    <w:rsid w:val="00F418CB"/>
    <w:rsid w:val="00F51047"/>
    <w:rsid w:val="00F57141"/>
    <w:rsid w:val="00F72A45"/>
    <w:rsid w:val="00FA100E"/>
    <w:rsid w:val="00FC1EFF"/>
    <w:rsid w:val="00FC4D44"/>
    <w:rsid w:val="00FC5EFF"/>
    <w:rsid w:val="00FF5723"/>
    <w:rsid w:val="0112363F"/>
    <w:rsid w:val="01154EDD"/>
    <w:rsid w:val="012111C7"/>
    <w:rsid w:val="013B0DE8"/>
    <w:rsid w:val="014337F8"/>
    <w:rsid w:val="0156352C"/>
    <w:rsid w:val="015772A4"/>
    <w:rsid w:val="015E4AD6"/>
    <w:rsid w:val="016217D0"/>
    <w:rsid w:val="01657C13"/>
    <w:rsid w:val="01665B00"/>
    <w:rsid w:val="017B2F92"/>
    <w:rsid w:val="018114BC"/>
    <w:rsid w:val="01977661"/>
    <w:rsid w:val="019B3634"/>
    <w:rsid w:val="019D55FE"/>
    <w:rsid w:val="01A916EC"/>
    <w:rsid w:val="01AD5116"/>
    <w:rsid w:val="01C54B55"/>
    <w:rsid w:val="01CA4B35"/>
    <w:rsid w:val="01DA0A04"/>
    <w:rsid w:val="01E4104F"/>
    <w:rsid w:val="01E73903"/>
    <w:rsid w:val="01F33470"/>
    <w:rsid w:val="021576B2"/>
    <w:rsid w:val="0228102D"/>
    <w:rsid w:val="0228131B"/>
    <w:rsid w:val="0233386D"/>
    <w:rsid w:val="024261A6"/>
    <w:rsid w:val="024E4B4B"/>
    <w:rsid w:val="025D08EA"/>
    <w:rsid w:val="026954E1"/>
    <w:rsid w:val="026F657C"/>
    <w:rsid w:val="02753E85"/>
    <w:rsid w:val="02816CCE"/>
    <w:rsid w:val="02941414"/>
    <w:rsid w:val="029A38EC"/>
    <w:rsid w:val="029C7664"/>
    <w:rsid w:val="02A227A1"/>
    <w:rsid w:val="02A60F38"/>
    <w:rsid w:val="02B50726"/>
    <w:rsid w:val="02B90F12"/>
    <w:rsid w:val="02D36DFE"/>
    <w:rsid w:val="02DD1A2B"/>
    <w:rsid w:val="02EE59E6"/>
    <w:rsid w:val="02F30994"/>
    <w:rsid w:val="02F456F2"/>
    <w:rsid w:val="03065425"/>
    <w:rsid w:val="030C4334"/>
    <w:rsid w:val="030D0562"/>
    <w:rsid w:val="033E26AA"/>
    <w:rsid w:val="034F2928"/>
    <w:rsid w:val="0370464D"/>
    <w:rsid w:val="037D1DC8"/>
    <w:rsid w:val="03942A31"/>
    <w:rsid w:val="03960557"/>
    <w:rsid w:val="03990047"/>
    <w:rsid w:val="03A04F32"/>
    <w:rsid w:val="03A5079A"/>
    <w:rsid w:val="03A82039"/>
    <w:rsid w:val="03A964DC"/>
    <w:rsid w:val="03BE360A"/>
    <w:rsid w:val="03C02C74"/>
    <w:rsid w:val="03C230FA"/>
    <w:rsid w:val="03C91070"/>
    <w:rsid w:val="03D472D2"/>
    <w:rsid w:val="03D95BC8"/>
    <w:rsid w:val="03DD2CF7"/>
    <w:rsid w:val="03E017D2"/>
    <w:rsid w:val="03EC461B"/>
    <w:rsid w:val="03F62DA4"/>
    <w:rsid w:val="03F84D6E"/>
    <w:rsid w:val="041B34FA"/>
    <w:rsid w:val="041F679F"/>
    <w:rsid w:val="04267B2D"/>
    <w:rsid w:val="042B013B"/>
    <w:rsid w:val="042E0790"/>
    <w:rsid w:val="04310280"/>
    <w:rsid w:val="043B10FF"/>
    <w:rsid w:val="04432577"/>
    <w:rsid w:val="04575F38"/>
    <w:rsid w:val="045D1075"/>
    <w:rsid w:val="045D72C7"/>
    <w:rsid w:val="046D60B2"/>
    <w:rsid w:val="04824815"/>
    <w:rsid w:val="048C54B6"/>
    <w:rsid w:val="0491041F"/>
    <w:rsid w:val="04A65005"/>
    <w:rsid w:val="04C86263"/>
    <w:rsid w:val="04CF47A1"/>
    <w:rsid w:val="04D01847"/>
    <w:rsid w:val="04D2131B"/>
    <w:rsid w:val="04F84852"/>
    <w:rsid w:val="05025778"/>
    <w:rsid w:val="050B0AD1"/>
    <w:rsid w:val="050C331C"/>
    <w:rsid w:val="05157BA2"/>
    <w:rsid w:val="051A6E41"/>
    <w:rsid w:val="054A15F9"/>
    <w:rsid w:val="0562029E"/>
    <w:rsid w:val="056F1060"/>
    <w:rsid w:val="05720B50"/>
    <w:rsid w:val="05810D93"/>
    <w:rsid w:val="058979DF"/>
    <w:rsid w:val="058C7E64"/>
    <w:rsid w:val="05900FD6"/>
    <w:rsid w:val="05917228"/>
    <w:rsid w:val="059A3EA8"/>
    <w:rsid w:val="05A37935"/>
    <w:rsid w:val="05B66C8F"/>
    <w:rsid w:val="05B72A58"/>
    <w:rsid w:val="05C05834"/>
    <w:rsid w:val="05C375FE"/>
    <w:rsid w:val="05E03D0C"/>
    <w:rsid w:val="05E10046"/>
    <w:rsid w:val="060F639F"/>
    <w:rsid w:val="06175254"/>
    <w:rsid w:val="062C5D5F"/>
    <w:rsid w:val="062E2CC9"/>
    <w:rsid w:val="064E6EC7"/>
    <w:rsid w:val="065B0545"/>
    <w:rsid w:val="065D55C4"/>
    <w:rsid w:val="06624721"/>
    <w:rsid w:val="067526A6"/>
    <w:rsid w:val="067B1C86"/>
    <w:rsid w:val="0684454E"/>
    <w:rsid w:val="068F11D1"/>
    <w:rsid w:val="069D39AB"/>
    <w:rsid w:val="069F7723"/>
    <w:rsid w:val="06B76591"/>
    <w:rsid w:val="06BD229F"/>
    <w:rsid w:val="06BD404D"/>
    <w:rsid w:val="06C929F2"/>
    <w:rsid w:val="06CE1DB6"/>
    <w:rsid w:val="06D3561E"/>
    <w:rsid w:val="06E353EE"/>
    <w:rsid w:val="06EC048E"/>
    <w:rsid w:val="06F21F49"/>
    <w:rsid w:val="06F85D90"/>
    <w:rsid w:val="072639A0"/>
    <w:rsid w:val="07287718"/>
    <w:rsid w:val="07293490"/>
    <w:rsid w:val="07434552"/>
    <w:rsid w:val="076B1CFB"/>
    <w:rsid w:val="07726BE5"/>
    <w:rsid w:val="07747054"/>
    <w:rsid w:val="077566D6"/>
    <w:rsid w:val="07865C5F"/>
    <w:rsid w:val="078B1AAF"/>
    <w:rsid w:val="079D7F37"/>
    <w:rsid w:val="07CA07CF"/>
    <w:rsid w:val="07D17DB0"/>
    <w:rsid w:val="07D33C7D"/>
    <w:rsid w:val="07E5385B"/>
    <w:rsid w:val="07F12200"/>
    <w:rsid w:val="07FC0BA5"/>
    <w:rsid w:val="07FC2953"/>
    <w:rsid w:val="08033CE1"/>
    <w:rsid w:val="08144141"/>
    <w:rsid w:val="08192736"/>
    <w:rsid w:val="081E6D6D"/>
    <w:rsid w:val="0827483B"/>
    <w:rsid w:val="082F2D28"/>
    <w:rsid w:val="0852038F"/>
    <w:rsid w:val="0852630F"/>
    <w:rsid w:val="08711D61"/>
    <w:rsid w:val="087A4733"/>
    <w:rsid w:val="087B19F8"/>
    <w:rsid w:val="087E0CBB"/>
    <w:rsid w:val="08997829"/>
    <w:rsid w:val="08B31703"/>
    <w:rsid w:val="08B718E4"/>
    <w:rsid w:val="08C11B44"/>
    <w:rsid w:val="08D12032"/>
    <w:rsid w:val="08DD1A38"/>
    <w:rsid w:val="08F5187C"/>
    <w:rsid w:val="09095327"/>
    <w:rsid w:val="090E293E"/>
    <w:rsid w:val="09167A44"/>
    <w:rsid w:val="09181A0E"/>
    <w:rsid w:val="09265ED9"/>
    <w:rsid w:val="092C36E4"/>
    <w:rsid w:val="0935611C"/>
    <w:rsid w:val="09594185"/>
    <w:rsid w:val="09630EDC"/>
    <w:rsid w:val="097430E9"/>
    <w:rsid w:val="097F56F0"/>
    <w:rsid w:val="0983332C"/>
    <w:rsid w:val="099202DD"/>
    <w:rsid w:val="09945539"/>
    <w:rsid w:val="099948FD"/>
    <w:rsid w:val="09A11A04"/>
    <w:rsid w:val="09A6526C"/>
    <w:rsid w:val="09AF4121"/>
    <w:rsid w:val="09B84C5E"/>
    <w:rsid w:val="09BA2D54"/>
    <w:rsid w:val="09BA53E3"/>
    <w:rsid w:val="09D416ED"/>
    <w:rsid w:val="09D516AE"/>
    <w:rsid w:val="09D9119E"/>
    <w:rsid w:val="09DB4F16"/>
    <w:rsid w:val="09E241A0"/>
    <w:rsid w:val="09E55D95"/>
    <w:rsid w:val="09E67DC9"/>
    <w:rsid w:val="0A1C72DC"/>
    <w:rsid w:val="0A285C81"/>
    <w:rsid w:val="0A2C39C3"/>
    <w:rsid w:val="0A3C34DB"/>
    <w:rsid w:val="0A4D2D55"/>
    <w:rsid w:val="0A586566"/>
    <w:rsid w:val="0A5922DF"/>
    <w:rsid w:val="0A5F5B47"/>
    <w:rsid w:val="0A670D81"/>
    <w:rsid w:val="0A6C0264"/>
    <w:rsid w:val="0A80786B"/>
    <w:rsid w:val="0A884C87"/>
    <w:rsid w:val="0A8C4462"/>
    <w:rsid w:val="0A8F242E"/>
    <w:rsid w:val="0AA415AE"/>
    <w:rsid w:val="0AAF069E"/>
    <w:rsid w:val="0ABF0394"/>
    <w:rsid w:val="0AC0235E"/>
    <w:rsid w:val="0AC57974"/>
    <w:rsid w:val="0AC946EA"/>
    <w:rsid w:val="0AF67B2D"/>
    <w:rsid w:val="0AF67D0E"/>
    <w:rsid w:val="0B024724"/>
    <w:rsid w:val="0B0264D2"/>
    <w:rsid w:val="0B04224A"/>
    <w:rsid w:val="0B13248D"/>
    <w:rsid w:val="0B14757A"/>
    <w:rsid w:val="0B1D155E"/>
    <w:rsid w:val="0B1F52D6"/>
    <w:rsid w:val="0B204BAA"/>
    <w:rsid w:val="0B27418B"/>
    <w:rsid w:val="0B325009"/>
    <w:rsid w:val="0B3C7C36"/>
    <w:rsid w:val="0B3F3282"/>
    <w:rsid w:val="0B5D7BAD"/>
    <w:rsid w:val="0B5E289E"/>
    <w:rsid w:val="0B681241"/>
    <w:rsid w:val="0B705B32"/>
    <w:rsid w:val="0B7874EF"/>
    <w:rsid w:val="0B7E6FD7"/>
    <w:rsid w:val="0B8065C0"/>
    <w:rsid w:val="0B815649"/>
    <w:rsid w:val="0B834CF8"/>
    <w:rsid w:val="0B835865"/>
    <w:rsid w:val="0B882E7B"/>
    <w:rsid w:val="0B8B471A"/>
    <w:rsid w:val="0B971310"/>
    <w:rsid w:val="0B9E795E"/>
    <w:rsid w:val="0BAD643E"/>
    <w:rsid w:val="0BB17C72"/>
    <w:rsid w:val="0BB738DF"/>
    <w:rsid w:val="0BB772BD"/>
    <w:rsid w:val="0BC83278"/>
    <w:rsid w:val="0BCB2D68"/>
    <w:rsid w:val="0BDA2FAB"/>
    <w:rsid w:val="0BE43E2A"/>
    <w:rsid w:val="0BE61950"/>
    <w:rsid w:val="0BE67BA2"/>
    <w:rsid w:val="0BF00A21"/>
    <w:rsid w:val="0BF71DAF"/>
    <w:rsid w:val="0C0D3381"/>
    <w:rsid w:val="0C152235"/>
    <w:rsid w:val="0C1B3CF0"/>
    <w:rsid w:val="0C1D16F4"/>
    <w:rsid w:val="0C25691C"/>
    <w:rsid w:val="0C264442"/>
    <w:rsid w:val="0C2A5CE1"/>
    <w:rsid w:val="0C2C7CAB"/>
    <w:rsid w:val="0C2F1549"/>
    <w:rsid w:val="0C346B5F"/>
    <w:rsid w:val="0C41127C"/>
    <w:rsid w:val="0C4B4C0A"/>
    <w:rsid w:val="0C4F5747"/>
    <w:rsid w:val="0C547201"/>
    <w:rsid w:val="0C656D19"/>
    <w:rsid w:val="0C6D2071"/>
    <w:rsid w:val="0C6E02C3"/>
    <w:rsid w:val="0C8C0749"/>
    <w:rsid w:val="0CA65BEE"/>
    <w:rsid w:val="0CA710DF"/>
    <w:rsid w:val="0CAA6E21"/>
    <w:rsid w:val="0CBC6B0D"/>
    <w:rsid w:val="0CD21ED4"/>
    <w:rsid w:val="0CF602B9"/>
    <w:rsid w:val="0CFB142B"/>
    <w:rsid w:val="0D0C53E6"/>
    <w:rsid w:val="0D165FCE"/>
    <w:rsid w:val="0D224C0A"/>
    <w:rsid w:val="0D385B88"/>
    <w:rsid w:val="0D3B4E2B"/>
    <w:rsid w:val="0D3F57BC"/>
    <w:rsid w:val="0D4234FE"/>
    <w:rsid w:val="0D5A0848"/>
    <w:rsid w:val="0D653006"/>
    <w:rsid w:val="0D682F64"/>
    <w:rsid w:val="0D6945E7"/>
    <w:rsid w:val="0D6D52EE"/>
    <w:rsid w:val="0D6E6B91"/>
    <w:rsid w:val="0D7511DD"/>
    <w:rsid w:val="0D7C07BE"/>
    <w:rsid w:val="0D802B6D"/>
    <w:rsid w:val="0D906017"/>
    <w:rsid w:val="0D935B07"/>
    <w:rsid w:val="0D987165"/>
    <w:rsid w:val="0D9A585D"/>
    <w:rsid w:val="0DA27AF9"/>
    <w:rsid w:val="0DA9532B"/>
    <w:rsid w:val="0DAB1D0B"/>
    <w:rsid w:val="0DBA7E53"/>
    <w:rsid w:val="0DBB1668"/>
    <w:rsid w:val="0DD24882"/>
    <w:rsid w:val="0DD95F82"/>
    <w:rsid w:val="0DDF2AFB"/>
    <w:rsid w:val="0DDF6F9F"/>
    <w:rsid w:val="0DE545B5"/>
    <w:rsid w:val="0DF90060"/>
    <w:rsid w:val="0E1053AA"/>
    <w:rsid w:val="0E214EC1"/>
    <w:rsid w:val="0E2624D8"/>
    <w:rsid w:val="0E3435AE"/>
    <w:rsid w:val="0E39131C"/>
    <w:rsid w:val="0E4E3E52"/>
    <w:rsid w:val="0E511C4A"/>
    <w:rsid w:val="0E5246BE"/>
    <w:rsid w:val="0E572FD9"/>
    <w:rsid w:val="0E8121F7"/>
    <w:rsid w:val="0EA243A8"/>
    <w:rsid w:val="0EC20452"/>
    <w:rsid w:val="0EC75A69"/>
    <w:rsid w:val="0ECE329B"/>
    <w:rsid w:val="0ED939EE"/>
    <w:rsid w:val="0EDF7D30"/>
    <w:rsid w:val="0EF10D38"/>
    <w:rsid w:val="0EF116BE"/>
    <w:rsid w:val="0EF34AB0"/>
    <w:rsid w:val="0EFA4090"/>
    <w:rsid w:val="0F022F45"/>
    <w:rsid w:val="0F056591"/>
    <w:rsid w:val="0F0A004B"/>
    <w:rsid w:val="0F114895"/>
    <w:rsid w:val="0F1F58A5"/>
    <w:rsid w:val="0F222B14"/>
    <w:rsid w:val="0F226083"/>
    <w:rsid w:val="0F296723"/>
    <w:rsid w:val="0F325B5E"/>
    <w:rsid w:val="0F4B48EC"/>
    <w:rsid w:val="0F587009"/>
    <w:rsid w:val="0F5D461F"/>
    <w:rsid w:val="0F5D63CD"/>
    <w:rsid w:val="0F655282"/>
    <w:rsid w:val="0F6B6D3C"/>
    <w:rsid w:val="0F736D8E"/>
    <w:rsid w:val="0F7A2ADB"/>
    <w:rsid w:val="0F84392A"/>
    <w:rsid w:val="0FAA0D17"/>
    <w:rsid w:val="0FAE60DC"/>
    <w:rsid w:val="0FAE6C29"/>
    <w:rsid w:val="0FC1070A"/>
    <w:rsid w:val="0FC93A62"/>
    <w:rsid w:val="0FD06B9F"/>
    <w:rsid w:val="0FD857DC"/>
    <w:rsid w:val="0FD85A54"/>
    <w:rsid w:val="0FE916DA"/>
    <w:rsid w:val="0FF27310"/>
    <w:rsid w:val="0FF30ADF"/>
    <w:rsid w:val="0FFF1232"/>
    <w:rsid w:val="10065D7F"/>
    <w:rsid w:val="100827DD"/>
    <w:rsid w:val="10093E5F"/>
    <w:rsid w:val="10156CA8"/>
    <w:rsid w:val="102869DB"/>
    <w:rsid w:val="102B7205"/>
    <w:rsid w:val="103449E0"/>
    <w:rsid w:val="103A5A3C"/>
    <w:rsid w:val="103C5FE2"/>
    <w:rsid w:val="104135F9"/>
    <w:rsid w:val="10437371"/>
    <w:rsid w:val="10466E61"/>
    <w:rsid w:val="10561AFB"/>
    <w:rsid w:val="10693DB5"/>
    <w:rsid w:val="107C6D27"/>
    <w:rsid w:val="1084390D"/>
    <w:rsid w:val="10996901"/>
    <w:rsid w:val="109D3DC4"/>
    <w:rsid w:val="10A02163"/>
    <w:rsid w:val="10A11A07"/>
    <w:rsid w:val="10A67900"/>
    <w:rsid w:val="10CA1840"/>
    <w:rsid w:val="10CC55B8"/>
    <w:rsid w:val="10CD1330"/>
    <w:rsid w:val="10CD7582"/>
    <w:rsid w:val="10D73F5D"/>
    <w:rsid w:val="10D821AF"/>
    <w:rsid w:val="10DE709A"/>
    <w:rsid w:val="10E02E12"/>
    <w:rsid w:val="10E32902"/>
    <w:rsid w:val="11017E3D"/>
    <w:rsid w:val="110E3FF6"/>
    <w:rsid w:val="11103456"/>
    <w:rsid w:val="11124F95"/>
    <w:rsid w:val="111D5839"/>
    <w:rsid w:val="11276C93"/>
    <w:rsid w:val="113226AB"/>
    <w:rsid w:val="1134315E"/>
    <w:rsid w:val="115B4B8E"/>
    <w:rsid w:val="116E0688"/>
    <w:rsid w:val="117C7505"/>
    <w:rsid w:val="117F087D"/>
    <w:rsid w:val="11826A24"/>
    <w:rsid w:val="11831137"/>
    <w:rsid w:val="11876BE2"/>
    <w:rsid w:val="118B7221"/>
    <w:rsid w:val="118F65E6"/>
    <w:rsid w:val="11943BFC"/>
    <w:rsid w:val="1198193E"/>
    <w:rsid w:val="11A01074"/>
    <w:rsid w:val="11A025A1"/>
    <w:rsid w:val="11BF6ECB"/>
    <w:rsid w:val="11EE32E1"/>
    <w:rsid w:val="121A05A5"/>
    <w:rsid w:val="12386C7D"/>
    <w:rsid w:val="124745BC"/>
    <w:rsid w:val="12486EC1"/>
    <w:rsid w:val="12631F4C"/>
    <w:rsid w:val="126A32DB"/>
    <w:rsid w:val="127001C5"/>
    <w:rsid w:val="128A572B"/>
    <w:rsid w:val="12902616"/>
    <w:rsid w:val="1292638E"/>
    <w:rsid w:val="12970F7F"/>
    <w:rsid w:val="12AA14F5"/>
    <w:rsid w:val="12BD03DB"/>
    <w:rsid w:val="12CF1390"/>
    <w:rsid w:val="12D31BDC"/>
    <w:rsid w:val="12D76496"/>
    <w:rsid w:val="12D80F36"/>
    <w:rsid w:val="12DB1D83"/>
    <w:rsid w:val="12F232D0"/>
    <w:rsid w:val="12F42BA4"/>
    <w:rsid w:val="13076D7C"/>
    <w:rsid w:val="130B533F"/>
    <w:rsid w:val="13135720"/>
    <w:rsid w:val="1319085D"/>
    <w:rsid w:val="1319260B"/>
    <w:rsid w:val="131B0513"/>
    <w:rsid w:val="13223BB5"/>
    <w:rsid w:val="13346AFF"/>
    <w:rsid w:val="13347445"/>
    <w:rsid w:val="133745A2"/>
    <w:rsid w:val="13394A5B"/>
    <w:rsid w:val="133B4C77"/>
    <w:rsid w:val="13427DB4"/>
    <w:rsid w:val="134C0770"/>
    <w:rsid w:val="1351449B"/>
    <w:rsid w:val="13516249"/>
    <w:rsid w:val="13517FF7"/>
    <w:rsid w:val="136917E4"/>
    <w:rsid w:val="136A10B9"/>
    <w:rsid w:val="137B1518"/>
    <w:rsid w:val="13840288"/>
    <w:rsid w:val="139D323C"/>
    <w:rsid w:val="139E1FDB"/>
    <w:rsid w:val="13AA5959"/>
    <w:rsid w:val="13AE71F7"/>
    <w:rsid w:val="13BD743A"/>
    <w:rsid w:val="13CA1B57"/>
    <w:rsid w:val="13CE1647"/>
    <w:rsid w:val="13D33102"/>
    <w:rsid w:val="13E175CD"/>
    <w:rsid w:val="13E44F81"/>
    <w:rsid w:val="13E858DC"/>
    <w:rsid w:val="13ED41C3"/>
    <w:rsid w:val="13F07810"/>
    <w:rsid w:val="14136039"/>
    <w:rsid w:val="14157276"/>
    <w:rsid w:val="14224D88"/>
    <w:rsid w:val="142B6155"/>
    <w:rsid w:val="14467430"/>
    <w:rsid w:val="144813FA"/>
    <w:rsid w:val="14495172"/>
    <w:rsid w:val="14577972"/>
    <w:rsid w:val="146B1B39"/>
    <w:rsid w:val="147C72F5"/>
    <w:rsid w:val="147D2032"/>
    <w:rsid w:val="14824196"/>
    <w:rsid w:val="14860363"/>
    <w:rsid w:val="14A26966"/>
    <w:rsid w:val="14A423A8"/>
    <w:rsid w:val="14A625C4"/>
    <w:rsid w:val="14A66120"/>
    <w:rsid w:val="14B372C5"/>
    <w:rsid w:val="14B6684A"/>
    <w:rsid w:val="14BB5142"/>
    <w:rsid w:val="14BC1C9E"/>
    <w:rsid w:val="14C34F24"/>
    <w:rsid w:val="14EF5D19"/>
    <w:rsid w:val="14F25809"/>
    <w:rsid w:val="14F74BCE"/>
    <w:rsid w:val="14FE7D0A"/>
    <w:rsid w:val="1504048C"/>
    <w:rsid w:val="150C214B"/>
    <w:rsid w:val="151F196E"/>
    <w:rsid w:val="152A6D51"/>
    <w:rsid w:val="15307D47"/>
    <w:rsid w:val="153D6F1C"/>
    <w:rsid w:val="154052A5"/>
    <w:rsid w:val="154222ED"/>
    <w:rsid w:val="154428CD"/>
    <w:rsid w:val="1548367B"/>
    <w:rsid w:val="15485BF3"/>
    <w:rsid w:val="154B7E9E"/>
    <w:rsid w:val="154D3F83"/>
    <w:rsid w:val="15542020"/>
    <w:rsid w:val="15545B7C"/>
    <w:rsid w:val="155E2E9F"/>
    <w:rsid w:val="156264EB"/>
    <w:rsid w:val="15654F25"/>
    <w:rsid w:val="156A53A0"/>
    <w:rsid w:val="156D5D3B"/>
    <w:rsid w:val="15737478"/>
    <w:rsid w:val="15802E15"/>
    <w:rsid w:val="15874B6C"/>
    <w:rsid w:val="158E5532"/>
    <w:rsid w:val="15915022"/>
    <w:rsid w:val="159806D5"/>
    <w:rsid w:val="159D6AD0"/>
    <w:rsid w:val="15A524B3"/>
    <w:rsid w:val="15A5462A"/>
    <w:rsid w:val="15BA3C4A"/>
    <w:rsid w:val="15BB3E4D"/>
    <w:rsid w:val="15C26F8A"/>
    <w:rsid w:val="15D4648A"/>
    <w:rsid w:val="15E47071"/>
    <w:rsid w:val="15F1786F"/>
    <w:rsid w:val="160752E5"/>
    <w:rsid w:val="160929F2"/>
    <w:rsid w:val="16233DC3"/>
    <w:rsid w:val="1626576B"/>
    <w:rsid w:val="163065E9"/>
    <w:rsid w:val="16443E43"/>
    <w:rsid w:val="1651030E"/>
    <w:rsid w:val="165247B2"/>
    <w:rsid w:val="16610551"/>
    <w:rsid w:val="166B5873"/>
    <w:rsid w:val="166C5148"/>
    <w:rsid w:val="168E50BE"/>
    <w:rsid w:val="16A448E1"/>
    <w:rsid w:val="16AB3EC2"/>
    <w:rsid w:val="16B25250"/>
    <w:rsid w:val="16B54D41"/>
    <w:rsid w:val="16B965DF"/>
    <w:rsid w:val="16BA5EB3"/>
    <w:rsid w:val="16BC60CF"/>
    <w:rsid w:val="16BE59A3"/>
    <w:rsid w:val="16C90EC2"/>
    <w:rsid w:val="16E318AE"/>
    <w:rsid w:val="16EC3324"/>
    <w:rsid w:val="16F13FCB"/>
    <w:rsid w:val="16FC64CC"/>
    <w:rsid w:val="170140C6"/>
    <w:rsid w:val="170B2BB3"/>
    <w:rsid w:val="170B3A64"/>
    <w:rsid w:val="17123F41"/>
    <w:rsid w:val="1718265C"/>
    <w:rsid w:val="171C7831"/>
    <w:rsid w:val="17283764"/>
    <w:rsid w:val="17465999"/>
    <w:rsid w:val="17626C76"/>
    <w:rsid w:val="17631B99"/>
    <w:rsid w:val="17680005"/>
    <w:rsid w:val="177A18AE"/>
    <w:rsid w:val="177B159F"/>
    <w:rsid w:val="178937FF"/>
    <w:rsid w:val="17912E28"/>
    <w:rsid w:val="17A4103D"/>
    <w:rsid w:val="17A8705D"/>
    <w:rsid w:val="17B2302E"/>
    <w:rsid w:val="17BF5180"/>
    <w:rsid w:val="17C2027E"/>
    <w:rsid w:val="17CA481C"/>
    <w:rsid w:val="17D64F6F"/>
    <w:rsid w:val="17FE270A"/>
    <w:rsid w:val="18117D55"/>
    <w:rsid w:val="181810E3"/>
    <w:rsid w:val="181A12FF"/>
    <w:rsid w:val="1824217E"/>
    <w:rsid w:val="18251A52"/>
    <w:rsid w:val="182757CA"/>
    <w:rsid w:val="18297794"/>
    <w:rsid w:val="183A54FD"/>
    <w:rsid w:val="183F48C2"/>
    <w:rsid w:val="18493992"/>
    <w:rsid w:val="184D38AB"/>
    <w:rsid w:val="18512C72"/>
    <w:rsid w:val="188B5D59"/>
    <w:rsid w:val="18A14A8C"/>
    <w:rsid w:val="18CB43A7"/>
    <w:rsid w:val="18DA45EA"/>
    <w:rsid w:val="18F733EE"/>
    <w:rsid w:val="18F90F15"/>
    <w:rsid w:val="18FC6C57"/>
    <w:rsid w:val="191330C1"/>
    <w:rsid w:val="19157D18"/>
    <w:rsid w:val="192341E3"/>
    <w:rsid w:val="193208CA"/>
    <w:rsid w:val="19330A20"/>
    <w:rsid w:val="19375EE1"/>
    <w:rsid w:val="193C24A9"/>
    <w:rsid w:val="193E101D"/>
    <w:rsid w:val="193E2DCB"/>
    <w:rsid w:val="193F08F1"/>
    <w:rsid w:val="194303E2"/>
    <w:rsid w:val="194751DF"/>
    <w:rsid w:val="19540841"/>
    <w:rsid w:val="195E6FCA"/>
    <w:rsid w:val="196071E6"/>
    <w:rsid w:val="19687E48"/>
    <w:rsid w:val="196A3BC0"/>
    <w:rsid w:val="197B401F"/>
    <w:rsid w:val="19882298"/>
    <w:rsid w:val="1988673C"/>
    <w:rsid w:val="199019E9"/>
    <w:rsid w:val="19A03A86"/>
    <w:rsid w:val="19B412DF"/>
    <w:rsid w:val="19B46ECE"/>
    <w:rsid w:val="19B906A4"/>
    <w:rsid w:val="19D07AE3"/>
    <w:rsid w:val="19D76D7C"/>
    <w:rsid w:val="19DA53C4"/>
    <w:rsid w:val="19E3560C"/>
    <w:rsid w:val="19E971DB"/>
    <w:rsid w:val="1A030A7D"/>
    <w:rsid w:val="1A103D32"/>
    <w:rsid w:val="1A1F0E4F"/>
    <w:rsid w:val="1A495ECC"/>
    <w:rsid w:val="1A5F2FF9"/>
    <w:rsid w:val="1A7A1C08"/>
    <w:rsid w:val="1A7D7923"/>
    <w:rsid w:val="1A864A2A"/>
    <w:rsid w:val="1A9609E5"/>
    <w:rsid w:val="1A9651EB"/>
    <w:rsid w:val="1AAD645B"/>
    <w:rsid w:val="1AB175CD"/>
    <w:rsid w:val="1AB64489"/>
    <w:rsid w:val="1AD6629D"/>
    <w:rsid w:val="1AD82DAC"/>
    <w:rsid w:val="1ADF05DE"/>
    <w:rsid w:val="1AE17EB2"/>
    <w:rsid w:val="1AE479A2"/>
    <w:rsid w:val="1AF851FC"/>
    <w:rsid w:val="1B063DBD"/>
    <w:rsid w:val="1B0D514B"/>
    <w:rsid w:val="1B0F0EC3"/>
    <w:rsid w:val="1B1262BE"/>
    <w:rsid w:val="1B18764C"/>
    <w:rsid w:val="1B1D5B7A"/>
    <w:rsid w:val="1B28120B"/>
    <w:rsid w:val="1B2D30F7"/>
    <w:rsid w:val="1B30422F"/>
    <w:rsid w:val="1B324BB2"/>
    <w:rsid w:val="1B397CEE"/>
    <w:rsid w:val="1B485C9B"/>
    <w:rsid w:val="1B4E0BD0"/>
    <w:rsid w:val="1B530684"/>
    <w:rsid w:val="1B5508A0"/>
    <w:rsid w:val="1B6034CD"/>
    <w:rsid w:val="1B684130"/>
    <w:rsid w:val="1B740D26"/>
    <w:rsid w:val="1B7C407F"/>
    <w:rsid w:val="1B8160A5"/>
    <w:rsid w:val="1B860A5A"/>
    <w:rsid w:val="1B9211AC"/>
    <w:rsid w:val="1B9C51FF"/>
    <w:rsid w:val="1BA50EE0"/>
    <w:rsid w:val="1BAF693C"/>
    <w:rsid w:val="1BF26ABD"/>
    <w:rsid w:val="1BF43C15"/>
    <w:rsid w:val="1BFB1448"/>
    <w:rsid w:val="1C0C0F5F"/>
    <w:rsid w:val="1C0C5403"/>
    <w:rsid w:val="1C1442B7"/>
    <w:rsid w:val="1C166281"/>
    <w:rsid w:val="1C220782"/>
    <w:rsid w:val="1C3B7A96"/>
    <w:rsid w:val="1C7134B8"/>
    <w:rsid w:val="1C7A236C"/>
    <w:rsid w:val="1C850D11"/>
    <w:rsid w:val="1C961858"/>
    <w:rsid w:val="1CA05B4B"/>
    <w:rsid w:val="1CA40525"/>
    <w:rsid w:val="1CCB706C"/>
    <w:rsid w:val="1CD13F56"/>
    <w:rsid w:val="1CD8736B"/>
    <w:rsid w:val="1CF1573F"/>
    <w:rsid w:val="1CFE7B08"/>
    <w:rsid w:val="1D01483C"/>
    <w:rsid w:val="1D0165EA"/>
    <w:rsid w:val="1D04257E"/>
    <w:rsid w:val="1D271DC8"/>
    <w:rsid w:val="1D2D3883"/>
    <w:rsid w:val="1D37200B"/>
    <w:rsid w:val="1D473EC7"/>
    <w:rsid w:val="1D556936"/>
    <w:rsid w:val="1D5571B0"/>
    <w:rsid w:val="1D632E00"/>
    <w:rsid w:val="1D6B6D44"/>
    <w:rsid w:val="1D706292"/>
    <w:rsid w:val="1D725739"/>
    <w:rsid w:val="1D7B50F8"/>
    <w:rsid w:val="1D80267E"/>
    <w:rsid w:val="1D8334A3"/>
    <w:rsid w:val="1D837316"/>
    <w:rsid w:val="1D8E2134"/>
    <w:rsid w:val="1D970674"/>
    <w:rsid w:val="1DA04055"/>
    <w:rsid w:val="1DA82F09"/>
    <w:rsid w:val="1DAA6C81"/>
    <w:rsid w:val="1DB01DBE"/>
    <w:rsid w:val="1DD41F50"/>
    <w:rsid w:val="1E1B7B7F"/>
    <w:rsid w:val="1E1D38F7"/>
    <w:rsid w:val="1E2F7187"/>
    <w:rsid w:val="1E305C80"/>
    <w:rsid w:val="1E340C41"/>
    <w:rsid w:val="1E473A6A"/>
    <w:rsid w:val="1E57048B"/>
    <w:rsid w:val="1E696B3C"/>
    <w:rsid w:val="1E696D2A"/>
    <w:rsid w:val="1E6B3BCA"/>
    <w:rsid w:val="1E74103D"/>
    <w:rsid w:val="1E7E1EBC"/>
    <w:rsid w:val="1E804ED9"/>
    <w:rsid w:val="1E845724"/>
    <w:rsid w:val="1E90231B"/>
    <w:rsid w:val="1E984D2C"/>
    <w:rsid w:val="1EA71413"/>
    <w:rsid w:val="1EB10E48"/>
    <w:rsid w:val="1EB63404"/>
    <w:rsid w:val="1EC2624D"/>
    <w:rsid w:val="1EC5043C"/>
    <w:rsid w:val="1EC73863"/>
    <w:rsid w:val="1EF67CA4"/>
    <w:rsid w:val="1F3A2287"/>
    <w:rsid w:val="1F505606"/>
    <w:rsid w:val="1F545F03"/>
    <w:rsid w:val="1F6D3AFE"/>
    <w:rsid w:val="1F737547"/>
    <w:rsid w:val="1F833C2E"/>
    <w:rsid w:val="1F9C6BC4"/>
    <w:rsid w:val="1FAC55B4"/>
    <w:rsid w:val="1FBB7EFD"/>
    <w:rsid w:val="1FBF443B"/>
    <w:rsid w:val="1FC009DE"/>
    <w:rsid w:val="1FC63B1B"/>
    <w:rsid w:val="1FD147C1"/>
    <w:rsid w:val="1FD91AA0"/>
    <w:rsid w:val="1FDC333E"/>
    <w:rsid w:val="1FDF7E41"/>
    <w:rsid w:val="1FE30229"/>
    <w:rsid w:val="1FE551D6"/>
    <w:rsid w:val="1FEB3581"/>
    <w:rsid w:val="200603BB"/>
    <w:rsid w:val="20084133"/>
    <w:rsid w:val="20136211"/>
    <w:rsid w:val="20250841"/>
    <w:rsid w:val="202B4087"/>
    <w:rsid w:val="202C4905"/>
    <w:rsid w:val="20301BA3"/>
    <w:rsid w:val="203D202F"/>
    <w:rsid w:val="20482782"/>
    <w:rsid w:val="20566C4C"/>
    <w:rsid w:val="206375BB"/>
    <w:rsid w:val="206452BC"/>
    <w:rsid w:val="2068364E"/>
    <w:rsid w:val="20684BD2"/>
    <w:rsid w:val="20686980"/>
    <w:rsid w:val="206F5F60"/>
    <w:rsid w:val="207A6C37"/>
    <w:rsid w:val="208A4B48"/>
    <w:rsid w:val="20967991"/>
    <w:rsid w:val="20AA51EA"/>
    <w:rsid w:val="20BE3F69"/>
    <w:rsid w:val="20C46457"/>
    <w:rsid w:val="20C55B80"/>
    <w:rsid w:val="20C91B14"/>
    <w:rsid w:val="20D44015"/>
    <w:rsid w:val="20DD111C"/>
    <w:rsid w:val="20E34258"/>
    <w:rsid w:val="20E57FD0"/>
    <w:rsid w:val="20E701EC"/>
    <w:rsid w:val="20FB5A46"/>
    <w:rsid w:val="2104775E"/>
    <w:rsid w:val="2109560A"/>
    <w:rsid w:val="21117017"/>
    <w:rsid w:val="211D0A6D"/>
    <w:rsid w:val="211D776A"/>
    <w:rsid w:val="211E4218"/>
    <w:rsid w:val="2129610F"/>
    <w:rsid w:val="2130749E"/>
    <w:rsid w:val="213204A0"/>
    <w:rsid w:val="215A6C10"/>
    <w:rsid w:val="218D2B42"/>
    <w:rsid w:val="2197576F"/>
    <w:rsid w:val="219C67FF"/>
    <w:rsid w:val="21A1039B"/>
    <w:rsid w:val="21A47E8B"/>
    <w:rsid w:val="21B06830"/>
    <w:rsid w:val="21B43475"/>
    <w:rsid w:val="21C1459A"/>
    <w:rsid w:val="21CD73E2"/>
    <w:rsid w:val="21D02A2F"/>
    <w:rsid w:val="21DA38AD"/>
    <w:rsid w:val="21E14C3C"/>
    <w:rsid w:val="21E260B9"/>
    <w:rsid w:val="21E452D3"/>
    <w:rsid w:val="21F650AC"/>
    <w:rsid w:val="22031056"/>
    <w:rsid w:val="220628F4"/>
    <w:rsid w:val="22101493"/>
    <w:rsid w:val="221548E5"/>
    <w:rsid w:val="2217065D"/>
    <w:rsid w:val="22235254"/>
    <w:rsid w:val="223E208E"/>
    <w:rsid w:val="22456F79"/>
    <w:rsid w:val="2247085D"/>
    <w:rsid w:val="225B2C40"/>
    <w:rsid w:val="225B679C"/>
    <w:rsid w:val="22673393"/>
    <w:rsid w:val="227E692E"/>
    <w:rsid w:val="22816B17"/>
    <w:rsid w:val="228660B6"/>
    <w:rsid w:val="22873FB4"/>
    <w:rsid w:val="228844FC"/>
    <w:rsid w:val="228E4DC3"/>
    <w:rsid w:val="229B303C"/>
    <w:rsid w:val="22A7378F"/>
    <w:rsid w:val="22C81958"/>
    <w:rsid w:val="22CD6F6E"/>
    <w:rsid w:val="22DD4148"/>
    <w:rsid w:val="232C638A"/>
    <w:rsid w:val="232E2103"/>
    <w:rsid w:val="233C481F"/>
    <w:rsid w:val="235651B5"/>
    <w:rsid w:val="235A4CA6"/>
    <w:rsid w:val="236E0751"/>
    <w:rsid w:val="237B0F4A"/>
    <w:rsid w:val="238E0DF3"/>
    <w:rsid w:val="23987286"/>
    <w:rsid w:val="23A41016"/>
    <w:rsid w:val="23B6137F"/>
    <w:rsid w:val="23C640E9"/>
    <w:rsid w:val="23C93BD9"/>
    <w:rsid w:val="23CD71CE"/>
    <w:rsid w:val="23DA7B95"/>
    <w:rsid w:val="23E26F0C"/>
    <w:rsid w:val="23E63F0A"/>
    <w:rsid w:val="23EF0DD0"/>
    <w:rsid w:val="23F52C20"/>
    <w:rsid w:val="24082954"/>
    <w:rsid w:val="24083164"/>
    <w:rsid w:val="240D7F6A"/>
    <w:rsid w:val="24150BCD"/>
    <w:rsid w:val="241850CF"/>
    <w:rsid w:val="241E3F25"/>
    <w:rsid w:val="2420605F"/>
    <w:rsid w:val="24217E4E"/>
    <w:rsid w:val="24303C58"/>
    <w:rsid w:val="244905A6"/>
    <w:rsid w:val="244F40DF"/>
    <w:rsid w:val="245416F5"/>
    <w:rsid w:val="2466767A"/>
    <w:rsid w:val="247D585E"/>
    <w:rsid w:val="2480073C"/>
    <w:rsid w:val="24857B00"/>
    <w:rsid w:val="24930266"/>
    <w:rsid w:val="24A361D8"/>
    <w:rsid w:val="24AB588C"/>
    <w:rsid w:val="24BD373E"/>
    <w:rsid w:val="24BE74B6"/>
    <w:rsid w:val="24DF4AF2"/>
    <w:rsid w:val="24E76E48"/>
    <w:rsid w:val="24EC4023"/>
    <w:rsid w:val="250F187D"/>
    <w:rsid w:val="25207829"/>
    <w:rsid w:val="253B59B4"/>
    <w:rsid w:val="25421E95"/>
    <w:rsid w:val="255045B2"/>
    <w:rsid w:val="2560785E"/>
    <w:rsid w:val="25641E0C"/>
    <w:rsid w:val="258A1146"/>
    <w:rsid w:val="259721E1"/>
    <w:rsid w:val="25AC5561"/>
    <w:rsid w:val="25B06DFF"/>
    <w:rsid w:val="25CC175F"/>
    <w:rsid w:val="25D16D75"/>
    <w:rsid w:val="25D725DE"/>
    <w:rsid w:val="25DE68D6"/>
    <w:rsid w:val="25E35429"/>
    <w:rsid w:val="25E62821"/>
    <w:rsid w:val="25E90563"/>
    <w:rsid w:val="2609650F"/>
    <w:rsid w:val="260C113A"/>
    <w:rsid w:val="260E1D77"/>
    <w:rsid w:val="26127ABA"/>
    <w:rsid w:val="261F0520"/>
    <w:rsid w:val="2624216D"/>
    <w:rsid w:val="26263565"/>
    <w:rsid w:val="262E37BF"/>
    <w:rsid w:val="26347A30"/>
    <w:rsid w:val="26377520"/>
    <w:rsid w:val="264A7253"/>
    <w:rsid w:val="264F6618"/>
    <w:rsid w:val="265744C7"/>
    <w:rsid w:val="265A4FBD"/>
    <w:rsid w:val="265A6D6B"/>
    <w:rsid w:val="2666061F"/>
    <w:rsid w:val="2669218B"/>
    <w:rsid w:val="26747E2C"/>
    <w:rsid w:val="267D6D31"/>
    <w:rsid w:val="2681079B"/>
    <w:rsid w:val="26A5448A"/>
    <w:rsid w:val="26A561C0"/>
    <w:rsid w:val="26A76454"/>
    <w:rsid w:val="26AD3924"/>
    <w:rsid w:val="26C053DF"/>
    <w:rsid w:val="26C055ED"/>
    <w:rsid w:val="26D0702D"/>
    <w:rsid w:val="26D46B1D"/>
    <w:rsid w:val="26D55CAD"/>
    <w:rsid w:val="26D905D7"/>
    <w:rsid w:val="26DB0755"/>
    <w:rsid w:val="26DD1D72"/>
    <w:rsid w:val="26DD58C5"/>
    <w:rsid w:val="26E620ED"/>
    <w:rsid w:val="26E66F3A"/>
    <w:rsid w:val="26EA6341"/>
    <w:rsid w:val="26EC030B"/>
    <w:rsid w:val="26EE4083"/>
    <w:rsid w:val="26F70A5D"/>
    <w:rsid w:val="270F7B55"/>
    <w:rsid w:val="272476AE"/>
    <w:rsid w:val="272C4BAB"/>
    <w:rsid w:val="27343A60"/>
    <w:rsid w:val="273448E2"/>
    <w:rsid w:val="273A72C8"/>
    <w:rsid w:val="27421CD9"/>
    <w:rsid w:val="27441EF5"/>
    <w:rsid w:val="275259B1"/>
    <w:rsid w:val="2758774E"/>
    <w:rsid w:val="276709BA"/>
    <w:rsid w:val="2767173F"/>
    <w:rsid w:val="27764078"/>
    <w:rsid w:val="27767BD4"/>
    <w:rsid w:val="27A02EA3"/>
    <w:rsid w:val="27A8648E"/>
    <w:rsid w:val="27AB1F74"/>
    <w:rsid w:val="27AC35F6"/>
    <w:rsid w:val="27B0758A"/>
    <w:rsid w:val="27BA52C6"/>
    <w:rsid w:val="27BD1CA7"/>
    <w:rsid w:val="27C8417C"/>
    <w:rsid w:val="27E15995"/>
    <w:rsid w:val="27FA25B3"/>
    <w:rsid w:val="2801645C"/>
    <w:rsid w:val="28041684"/>
    <w:rsid w:val="28081174"/>
    <w:rsid w:val="281624B1"/>
    <w:rsid w:val="2824520B"/>
    <w:rsid w:val="282E04AF"/>
    <w:rsid w:val="2835183D"/>
    <w:rsid w:val="28410435"/>
    <w:rsid w:val="28497097"/>
    <w:rsid w:val="28552718"/>
    <w:rsid w:val="28575C58"/>
    <w:rsid w:val="28700AC7"/>
    <w:rsid w:val="28795BCE"/>
    <w:rsid w:val="28877790"/>
    <w:rsid w:val="289B3C41"/>
    <w:rsid w:val="28B0060B"/>
    <w:rsid w:val="28B27332"/>
    <w:rsid w:val="28C47D5D"/>
    <w:rsid w:val="28D42E04"/>
    <w:rsid w:val="28D7376B"/>
    <w:rsid w:val="28E76FDC"/>
    <w:rsid w:val="28EF7C3E"/>
    <w:rsid w:val="28F811E9"/>
    <w:rsid w:val="28F96D0F"/>
    <w:rsid w:val="290B259E"/>
    <w:rsid w:val="29115E06"/>
    <w:rsid w:val="2912392D"/>
    <w:rsid w:val="291476A5"/>
    <w:rsid w:val="29360E37"/>
    <w:rsid w:val="2939535D"/>
    <w:rsid w:val="296C799C"/>
    <w:rsid w:val="297C34E8"/>
    <w:rsid w:val="298011DE"/>
    <w:rsid w:val="29842E57"/>
    <w:rsid w:val="29885A63"/>
    <w:rsid w:val="2999695D"/>
    <w:rsid w:val="299B6018"/>
    <w:rsid w:val="29A547A1"/>
    <w:rsid w:val="29B80978"/>
    <w:rsid w:val="29C63095"/>
    <w:rsid w:val="29C767F6"/>
    <w:rsid w:val="29D60DFE"/>
    <w:rsid w:val="29DA08EE"/>
    <w:rsid w:val="29DF67D6"/>
    <w:rsid w:val="29E31B12"/>
    <w:rsid w:val="29F85218"/>
    <w:rsid w:val="2A0B6CFA"/>
    <w:rsid w:val="2A0C143D"/>
    <w:rsid w:val="2A13795C"/>
    <w:rsid w:val="2A250F09"/>
    <w:rsid w:val="2A2924FF"/>
    <w:rsid w:val="2A2A4D60"/>
    <w:rsid w:val="2A30050E"/>
    <w:rsid w:val="2A351FC9"/>
    <w:rsid w:val="2A44297A"/>
    <w:rsid w:val="2A563C52"/>
    <w:rsid w:val="2A6D1762"/>
    <w:rsid w:val="2A84085A"/>
    <w:rsid w:val="2A97233B"/>
    <w:rsid w:val="2AA37CE8"/>
    <w:rsid w:val="2AA66A22"/>
    <w:rsid w:val="2AAA4765"/>
    <w:rsid w:val="2AB23619"/>
    <w:rsid w:val="2ABC4498"/>
    <w:rsid w:val="2AD90BA6"/>
    <w:rsid w:val="2AE13EFE"/>
    <w:rsid w:val="2AE337D3"/>
    <w:rsid w:val="2AF33AB5"/>
    <w:rsid w:val="2AF754D0"/>
    <w:rsid w:val="2AF7727E"/>
    <w:rsid w:val="2AFC2671"/>
    <w:rsid w:val="2AFE23BA"/>
    <w:rsid w:val="2B033E75"/>
    <w:rsid w:val="2B252F4A"/>
    <w:rsid w:val="2B2B40BE"/>
    <w:rsid w:val="2B2F07C6"/>
    <w:rsid w:val="2B3E783B"/>
    <w:rsid w:val="2B523154"/>
    <w:rsid w:val="2B595843"/>
    <w:rsid w:val="2B612949"/>
    <w:rsid w:val="2B8A7979"/>
    <w:rsid w:val="2B8C58B9"/>
    <w:rsid w:val="2BAC1E16"/>
    <w:rsid w:val="2BB5659B"/>
    <w:rsid w:val="2BBB474F"/>
    <w:rsid w:val="2BC01D66"/>
    <w:rsid w:val="2BCC2593"/>
    <w:rsid w:val="2BCC505D"/>
    <w:rsid w:val="2BCF1FA9"/>
    <w:rsid w:val="2BD61589"/>
    <w:rsid w:val="2BE23A8A"/>
    <w:rsid w:val="2BE94E19"/>
    <w:rsid w:val="2BEC4909"/>
    <w:rsid w:val="2BFD6B16"/>
    <w:rsid w:val="2C19675C"/>
    <w:rsid w:val="2C200535"/>
    <w:rsid w:val="2C245E51"/>
    <w:rsid w:val="2C26606D"/>
    <w:rsid w:val="2C3C763E"/>
    <w:rsid w:val="2C4024A7"/>
    <w:rsid w:val="2C586E0A"/>
    <w:rsid w:val="2C5C77A6"/>
    <w:rsid w:val="2C6667BF"/>
    <w:rsid w:val="2C6E3570"/>
    <w:rsid w:val="2C762E60"/>
    <w:rsid w:val="2C8114F5"/>
    <w:rsid w:val="2C865298"/>
    <w:rsid w:val="2C875551"/>
    <w:rsid w:val="2CA156F3"/>
    <w:rsid w:val="2CA51C3B"/>
    <w:rsid w:val="2CB13D67"/>
    <w:rsid w:val="2CB90C8F"/>
    <w:rsid w:val="2CBA0563"/>
    <w:rsid w:val="2CBF7EDC"/>
    <w:rsid w:val="2CD55C01"/>
    <w:rsid w:val="2CD93381"/>
    <w:rsid w:val="2CEE645F"/>
    <w:rsid w:val="2CF00429"/>
    <w:rsid w:val="2CF32A7C"/>
    <w:rsid w:val="2CF94F11"/>
    <w:rsid w:val="2D0318B6"/>
    <w:rsid w:val="2D214A86"/>
    <w:rsid w:val="2D261AFF"/>
    <w:rsid w:val="2D26209C"/>
    <w:rsid w:val="2D263E4A"/>
    <w:rsid w:val="2D401274"/>
    <w:rsid w:val="2D4349FC"/>
    <w:rsid w:val="2D517119"/>
    <w:rsid w:val="2D5B7F98"/>
    <w:rsid w:val="2D662499"/>
    <w:rsid w:val="2D6E2A94"/>
    <w:rsid w:val="2D6F57F1"/>
    <w:rsid w:val="2D8F42CD"/>
    <w:rsid w:val="2D910C3C"/>
    <w:rsid w:val="2D971301"/>
    <w:rsid w:val="2DA21723"/>
    <w:rsid w:val="2DBB3A91"/>
    <w:rsid w:val="2DC0604D"/>
    <w:rsid w:val="2DE7182C"/>
    <w:rsid w:val="2DE921A1"/>
    <w:rsid w:val="2DEA52E6"/>
    <w:rsid w:val="2DEB0874"/>
    <w:rsid w:val="2DEF248E"/>
    <w:rsid w:val="2DF06AD7"/>
    <w:rsid w:val="2DF83A39"/>
    <w:rsid w:val="2E045F3A"/>
    <w:rsid w:val="2E187C37"/>
    <w:rsid w:val="2E2E6C70"/>
    <w:rsid w:val="2E352597"/>
    <w:rsid w:val="2E496043"/>
    <w:rsid w:val="2E4D76FE"/>
    <w:rsid w:val="2E586286"/>
    <w:rsid w:val="2E5D564A"/>
    <w:rsid w:val="2E61338C"/>
    <w:rsid w:val="2E666BF4"/>
    <w:rsid w:val="2E684462"/>
    <w:rsid w:val="2E6E6CFB"/>
    <w:rsid w:val="2E717347"/>
    <w:rsid w:val="2E786928"/>
    <w:rsid w:val="2E7C7FCC"/>
    <w:rsid w:val="2E951288"/>
    <w:rsid w:val="2EA555C2"/>
    <w:rsid w:val="2EB711FE"/>
    <w:rsid w:val="2EC63193"/>
    <w:rsid w:val="2ECE5CF5"/>
    <w:rsid w:val="2ED10293"/>
    <w:rsid w:val="2EE30245"/>
    <w:rsid w:val="2F021969"/>
    <w:rsid w:val="2F034443"/>
    <w:rsid w:val="2F065CE2"/>
    <w:rsid w:val="2F186FF1"/>
    <w:rsid w:val="2F350375"/>
    <w:rsid w:val="2F3B4A65"/>
    <w:rsid w:val="2F3C6C58"/>
    <w:rsid w:val="2F436F36"/>
    <w:rsid w:val="2F5051AF"/>
    <w:rsid w:val="2F5E167A"/>
    <w:rsid w:val="2F603644"/>
    <w:rsid w:val="2F634EE2"/>
    <w:rsid w:val="2F6A6270"/>
    <w:rsid w:val="2F6F1AD9"/>
    <w:rsid w:val="2F6F7D2B"/>
    <w:rsid w:val="2F715851"/>
    <w:rsid w:val="2F8B61E7"/>
    <w:rsid w:val="2F923A19"/>
    <w:rsid w:val="2F9432ED"/>
    <w:rsid w:val="2FA1311B"/>
    <w:rsid w:val="2FA31782"/>
    <w:rsid w:val="2FA84FEB"/>
    <w:rsid w:val="2FBD76A3"/>
    <w:rsid w:val="2FBE65BC"/>
    <w:rsid w:val="2FC260AC"/>
    <w:rsid w:val="2FC31E25"/>
    <w:rsid w:val="2FC516F9"/>
    <w:rsid w:val="2FCC0CD9"/>
    <w:rsid w:val="2FD656B4"/>
    <w:rsid w:val="2FD97742"/>
    <w:rsid w:val="2FEC3129"/>
    <w:rsid w:val="2FF21573"/>
    <w:rsid w:val="2FFE71FF"/>
    <w:rsid w:val="30073ABF"/>
    <w:rsid w:val="30474218"/>
    <w:rsid w:val="305C66DF"/>
    <w:rsid w:val="308710A4"/>
    <w:rsid w:val="30912C79"/>
    <w:rsid w:val="30971D75"/>
    <w:rsid w:val="30A25EDE"/>
    <w:rsid w:val="30A92DC8"/>
    <w:rsid w:val="30B4367E"/>
    <w:rsid w:val="30B874AF"/>
    <w:rsid w:val="30BF25EC"/>
    <w:rsid w:val="30C70FEC"/>
    <w:rsid w:val="30CB0F91"/>
    <w:rsid w:val="30D065A7"/>
    <w:rsid w:val="30D81900"/>
    <w:rsid w:val="30DC13F0"/>
    <w:rsid w:val="30E73954"/>
    <w:rsid w:val="30EE1FA4"/>
    <w:rsid w:val="30EE409A"/>
    <w:rsid w:val="31012C04"/>
    <w:rsid w:val="31083F93"/>
    <w:rsid w:val="310D54B7"/>
    <w:rsid w:val="310F1477"/>
    <w:rsid w:val="31126BC0"/>
    <w:rsid w:val="311961A0"/>
    <w:rsid w:val="312132A7"/>
    <w:rsid w:val="31232B7B"/>
    <w:rsid w:val="31280C5D"/>
    <w:rsid w:val="313B6AF7"/>
    <w:rsid w:val="313E79B5"/>
    <w:rsid w:val="3167608D"/>
    <w:rsid w:val="316E7B6E"/>
    <w:rsid w:val="31794E91"/>
    <w:rsid w:val="317C228B"/>
    <w:rsid w:val="318F1FBE"/>
    <w:rsid w:val="31975317"/>
    <w:rsid w:val="319A0963"/>
    <w:rsid w:val="31B934DF"/>
    <w:rsid w:val="31C456B1"/>
    <w:rsid w:val="31C679AA"/>
    <w:rsid w:val="31CA73E8"/>
    <w:rsid w:val="31E3230A"/>
    <w:rsid w:val="31EF0CAF"/>
    <w:rsid w:val="32155A2F"/>
    <w:rsid w:val="321E77E6"/>
    <w:rsid w:val="322070BA"/>
    <w:rsid w:val="322A60BA"/>
    <w:rsid w:val="32306F34"/>
    <w:rsid w:val="32326DEE"/>
    <w:rsid w:val="32362DE4"/>
    <w:rsid w:val="324F174E"/>
    <w:rsid w:val="32607DFF"/>
    <w:rsid w:val="326660F9"/>
    <w:rsid w:val="326C0551"/>
    <w:rsid w:val="3276317E"/>
    <w:rsid w:val="327E4A5B"/>
    <w:rsid w:val="32891103"/>
    <w:rsid w:val="32931F82"/>
    <w:rsid w:val="329D695D"/>
    <w:rsid w:val="32B53CA7"/>
    <w:rsid w:val="32BD6FFF"/>
    <w:rsid w:val="32D138F0"/>
    <w:rsid w:val="32DC7485"/>
    <w:rsid w:val="32EA03C0"/>
    <w:rsid w:val="32EA4287"/>
    <w:rsid w:val="331035D3"/>
    <w:rsid w:val="331210F9"/>
    <w:rsid w:val="332826CA"/>
    <w:rsid w:val="3341553A"/>
    <w:rsid w:val="334212B2"/>
    <w:rsid w:val="334A74A8"/>
    <w:rsid w:val="33680D19"/>
    <w:rsid w:val="3371492B"/>
    <w:rsid w:val="337C6572"/>
    <w:rsid w:val="33830002"/>
    <w:rsid w:val="338673F1"/>
    <w:rsid w:val="338866DE"/>
    <w:rsid w:val="3390201E"/>
    <w:rsid w:val="33AE06F6"/>
    <w:rsid w:val="33B026C0"/>
    <w:rsid w:val="33B201E6"/>
    <w:rsid w:val="33B2468A"/>
    <w:rsid w:val="33BE4DDD"/>
    <w:rsid w:val="33C06DA7"/>
    <w:rsid w:val="33CB12A8"/>
    <w:rsid w:val="33D939C5"/>
    <w:rsid w:val="33E52369"/>
    <w:rsid w:val="33E70452"/>
    <w:rsid w:val="33ED56C2"/>
    <w:rsid w:val="33F86541"/>
    <w:rsid w:val="341D49C0"/>
    <w:rsid w:val="341F7742"/>
    <w:rsid w:val="34491F6E"/>
    <w:rsid w:val="344B21A4"/>
    <w:rsid w:val="344C0532"/>
    <w:rsid w:val="34592D57"/>
    <w:rsid w:val="34594B05"/>
    <w:rsid w:val="345C0152"/>
    <w:rsid w:val="34692F9B"/>
    <w:rsid w:val="34727975"/>
    <w:rsid w:val="34825E0A"/>
    <w:rsid w:val="348668D6"/>
    <w:rsid w:val="34897199"/>
    <w:rsid w:val="348F0527"/>
    <w:rsid w:val="34915E4D"/>
    <w:rsid w:val="34930017"/>
    <w:rsid w:val="349B3370"/>
    <w:rsid w:val="34B12734"/>
    <w:rsid w:val="34BA5BCC"/>
    <w:rsid w:val="34BD621C"/>
    <w:rsid w:val="34BF705E"/>
    <w:rsid w:val="34C24459"/>
    <w:rsid w:val="34D025DB"/>
    <w:rsid w:val="34D16D92"/>
    <w:rsid w:val="34D4418C"/>
    <w:rsid w:val="34DA5C46"/>
    <w:rsid w:val="34E40873"/>
    <w:rsid w:val="34E70363"/>
    <w:rsid w:val="34EC7728"/>
    <w:rsid w:val="34EE16F2"/>
    <w:rsid w:val="34F73B2A"/>
    <w:rsid w:val="351851E8"/>
    <w:rsid w:val="35234FE0"/>
    <w:rsid w:val="352944D8"/>
    <w:rsid w:val="35405771"/>
    <w:rsid w:val="354663FC"/>
    <w:rsid w:val="354B6B44"/>
    <w:rsid w:val="354C1FBC"/>
    <w:rsid w:val="35551771"/>
    <w:rsid w:val="3562481D"/>
    <w:rsid w:val="35631BA2"/>
    <w:rsid w:val="356A42EB"/>
    <w:rsid w:val="35935DF5"/>
    <w:rsid w:val="359D37E4"/>
    <w:rsid w:val="35A86FA2"/>
    <w:rsid w:val="35AD335B"/>
    <w:rsid w:val="35B673A3"/>
    <w:rsid w:val="35BA7826"/>
    <w:rsid w:val="35C10BB4"/>
    <w:rsid w:val="35C16CFA"/>
    <w:rsid w:val="35DA1C76"/>
    <w:rsid w:val="36034D29"/>
    <w:rsid w:val="360A024A"/>
    <w:rsid w:val="362370A7"/>
    <w:rsid w:val="36266C69"/>
    <w:rsid w:val="36281DFD"/>
    <w:rsid w:val="362E7A13"/>
    <w:rsid w:val="36415851"/>
    <w:rsid w:val="36421CF5"/>
    <w:rsid w:val="36545F5B"/>
    <w:rsid w:val="36552292"/>
    <w:rsid w:val="3659703F"/>
    <w:rsid w:val="365F19E6"/>
    <w:rsid w:val="36B349A1"/>
    <w:rsid w:val="36B67FED"/>
    <w:rsid w:val="36BA60D8"/>
    <w:rsid w:val="36C00E6C"/>
    <w:rsid w:val="36CB7677"/>
    <w:rsid w:val="36DB3EF8"/>
    <w:rsid w:val="36EE7787"/>
    <w:rsid w:val="36F95ADC"/>
    <w:rsid w:val="36FF1994"/>
    <w:rsid w:val="37025E6D"/>
    <w:rsid w:val="370C641A"/>
    <w:rsid w:val="371A4A20"/>
    <w:rsid w:val="372D31AA"/>
    <w:rsid w:val="37386C54"/>
    <w:rsid w:val="374049B2"/>
    <w:rsid w:val="3748158D"/>
    <w:rsid w:val="37607F59"/>
    <w:rsid w:val="37734130"/>
    <w:rsid w:val="37857701"/>
    <w:rsid w:val="37892F67"/>
    <w:rsid w:val="37893954"/>
    <w:rsid w:val="378D51F2"/>
    <w:rsid w:val="3793032E"/>
    <w:rsid w:val="37936580"/>
    <w:rsid w:val="37A75B88"/>
    <w:rsid w:val="37AD17E4"/>
    <w:rsid w:val="37B451F4"/>
    <w:rsid w:val="37B56F1A"/>
    <w:rsid w:val="37D03331"/>
    <w:rsid w:val="37D42E21"/>
    <w:rsid w:val="37D44BCF"/>
    <w:rsid w:val="37D87655"/>
    <w:rsid w:val="37F078B1"/>
    <w:rsid w:val="380156B4"/>
    <w:rsid w:val="38060B00"/>
    <w:rsid w:val="38284F1B"/>
    <w:rsid w:val="383E029A"/>
    <w:rsid w:val="384004B6"/>
    <w:rsid w:val="384653A1"/>
    <w:rsid w:val="384855BD"/>
    <w:rsid w:val="384B0D26"/>
    <w:rsid w:val="3851621F"/>
    <w:rsid w:val="38521F98"/>
    <w:rsid w:val="38653A79"/>
    <w:rsid w:val="386E2DF5"/>
    <w:rsid w:val="386E3E1F"/>
    <w:rsid w:val="387168C2"/>
    <w:rsid w:val="3882287D"/>
    <w:rsid w:val="38877E93"/>
    <w:rsid w:val="38883C0B"/>
    <w:rsid w:val="388C7E77"/>
    <w:rsid w:val="388D4D7E"/>
    <w:rsid w:val="38926838"/>
    <w:rsid w:val="38934A8A"/>
    <w:rsid w:val="38AE3672"/>
    <w:rsid w:val="38B95B73"/>
    <w:rsid w:val="38C04D73"/>
    <w:rsid w:val="38D23B40"/>
    <w:rsid w:val="38D86941"/>
    <w:rsid w:val="38E30E42"/>
    <w:rsid w:val="38EA21D0"/>
    <w:rsid w:val="38EF5A38"/>
    <w:rsid w:val="38F35173"/>
    <w:rsid w:val="38F4304F"/>
    <w:rsid w:val="39027EFE"/>
    <w:rsid w:val="39225E0E"/>
    <w:rsid w:val="39237490"/>
    <w:rsid w:val="39250466"/>
    <w:rsid w:val="392E6561"/>
    <w:rsid w:val="3942025E"/>
    <w:rsid w:val="3962620A"/>
    <w:rsid w:val="39672100"/>
    <w:rsid w:val="398264EB"/>
    <w:rsid w:val="39836BEC"/>
    <w:rsid w:val="3987309A"/>
    <w:rsid w:val="398919E9"/>
    <w:rsid w:val="398C37FF"/>
    <w:rsid w:val="398D26F5"/>
    <w:rsid w:val="398E05B1"/>
    <w:rsid w:val="39B26C5B"/>
    <w:rsid w:val="39C66799"/>
    <w:rsid w:val="39C97F04"/>
    <w:rsid w:val="39D43DF0"/>
    <w:rsid w:val="39EF3F42"/>
    <w:rsid w:val="39F23A32"/>
    <w:rsid w:val="39F552D0"/>
    <w:rsid w:val="3A013C75"/>
    <w:rsid w:val="3A03191D"/>
    <w:rsid w:val="3A0A0D7C"/>
    <w:rsid w:val="3A0C77AD"/>
    <w:rsid w:val="3A1B7437"/>
    <w:rsid w:val="3A1C0AAF"/>
    <w:rsid w:val="3A1F40FB"/>
    <w:rsid w:val="3A2B0E33"/>
    <w:rsid w:val="3A2D4A6A"/>
    <w:rsid w:val="3A2F4904"/>
    <w:rsid w:val="3A6755D2"/>
    <w:rsid w:val="3A705338"/>
    <w:rsid w:val="3A88330C"/>
    <w:rsid w:val="3A8A5A19"/>
    <w:rsid w:val="3A937F88"/>
    <w:rsid w:val="3A96260F"/>
    <w:rsid w:val="3A9B19D4"/>
    <w:rsid w:val="3AD061D5"/>
    <w:rsid w:val="3AD62A0C"/>
    <w:rsid w:val="3ADB15FE"/>
    <w:rsid w:val="3ADE7B13"/>
    <w:rsid w:val="3AE96BE3"/>
    <w:rsid w:val="3B003F2D"/>
    <w:rsid w:val="3B0532F1"/>
    <w:rsid w:val="3B0F23C2"/>
    <w:rsid w:val="3B185EF0"/>
    <w:rsid w:val="3B1D688D"/>
    <w:rsid w:val="3B28022C"/>
    <w:rsid w:val="3B2A0FAA"/>
    <w:rsid w:val="3B2F036E"/>
    <w:rsid w:val="3B3360B0"/>
    <w:rsid w:val="3B3616FD"/>
    <w:rsid w:val="3B365BA1"/>
    <w:rsid w:val="3B375EE6"/>
    <w:rsid w:val="3B380EFD"/>
    <w:rsid w:val="3B3F2CA7"/>
    <w:rsid w:val="3B4A51A8"/>
    <w:rsid w:val="3B602C1D"/>
    <w:rsid w:val="3B660234"/>
    <w:rsid w:val="3B6C3370"/>
    <w:rsid w:val="3B742225"/>
    <w:rsid w:val="3B8763FC"/>
    <w:rsid w:val="3B8E778B"/>
    <w:rsid w:val="3B9A1C8B"/>
    <w:rsid w:val="3BA448B8"/>
    <w:rsid w:val="3BCE5DD9"/>
    <w:rsid w:val="3BD11425"/>
    <w:rsid w:val="3BD346EF"/>
    <w:rsid w:val="3BE64ED1"/>
    <w:rsid w:val="3BF25D57"/>
    <w:rsid w:val="3C060B76"/>
    <w:rsid w:val="3C073006"/>
    <w:rsid w:val="3C0812EB"/>
    <w:rsid w:val="3C183F8D"/>
    <w:rsid w:val="3C2E6878"/>
    <w:rsid w:val="3C320116"/>
    <w:rsid w:val="3C355E58"/>
    <w:rsid w:val="3C36625B"/>
    <w:rsid w:val="3C37572C"/>
    <w:rsid w:val="3C3A346E"/>
    <w:rsid w:val="3C3C0F95"/>
    <w:rsid w:val="3C3F2833"/>
    <w:rsid w:val="3C5A64FA"/>
    <w:rsid w:val="3C6D73A0"/>
    <w:rsid w:val="3C720E5A"/>
    <w:rsid w:val="3C7C3A87"/>
    <w:rsid w:val="3C8A7D35"/>
    <w:rsid w:val="3CA408E8"/>
    <w:rsid w:val="3CA8662A"/>
    <w:rsid w:val="3CB45437"/>
    <w:rsid w:val="3CC571DC"/>
    <w:rsid w:val="3CC66207"/>
    <w:rsid w:val="3CD54360"/>
    <w:rsid w:val="3CDB671C"/>
    <w:rsid w:val="3D001FC2"/>
    <w:rsid w:val="3D115F7D"/>
    <w:rsid w:val="3D1C4922"/>
    <w:rsid w:val="3D1D0DC6"/>
    <w:rsid w:val="3D2C5F0E"/>
    <w:rsid w:val="3D385C00"/>
    <w:rsid w:val="3D510A70"/>
    <w:rsid w:val="3D5C644F"/>
    <w:rsid w:val="3D5D11C3"/>
    <w:rsid w:val="3D5F318D"/>
    <w:rsid w:val="3D633667"/>
    <w:rsid w:val="3D7A7FC6"/>
    <w:rsid w:val="3D7E738B"/>
    <w:rsid w:val="3D803103"/>
    <w:rsid w:val="3D8628AB"/>
    <w:rsid w:val="3D880131"/>
    <w:rsid w:val="3D8D4BD2"/>
    <w:rsid w:val="3D960B78"/>
    <w:rsid w:val="3D962926"/>
    <w:rsid w:val="3D9975E2"/>
    <w:rsid w:val="3DA70690"/>
    <w:rsid w:val="3DBF59D9"/>
    <w:rsid w:val="3DC47494"/>
    <w:rsid w:val="3DC6320C"/>
    <w:rsid w:val="3DC94AAA"/>
    <w:rsid w:val="3DD551FD"/>
    <w:rsid w:val="3DD573E1"/>
    <w:rsid w:val="3DDD6FC1"/>
    <w:rsid w:val="3DE12C05"/>
    <w:rsid w:val="3DEE759F"/>
    <w:rsid w:val="3DF95693"/>
    <w:rsid w:val="3DFA1107"/>
    <w:rsid w:val="3DFA2EB5"/>
    <w:rsid w:val="3DFA4C63"/>
    <w:rsid w:val="3E047890"/>
    <w:rsid w:val="3E0E070F"/>
    <w:rsid w:val="3E0F6DB6"/>
    <w:rsid w:val="3E173A67"/>
    <w:rsid w:val="3E1D4DF6"/>
    <w:rsid w:val="3E344E11"/>
    <w:rsid w:val="3E4460BF"/>
    <w:rsid w:val="3E4D1237"/>
    <w:rsid w:val="3E502AD5"/>
    <w:rsid w:val="3E573195"/>
    <w:rsid w:val="3E611186"/>
    <w:rsid w:val="3E71796A"/>
    <w:rsid w:val="3E720C9E"/>
    <w:rsid w:val="3E79027E"/>
    <w:rsid w:val="3E7E3AE6"/>
    <w:rsid w:val="3E8F4FD7"/>
    <w:rsid w:val="3E970704"/>
    <w:rsid w:val="3E9C5D1B"/>
    <w:rsid w:val="3EB01141"/>
    <w:rsid w:val="3EB968CD"/>
    <w:rsid w:val="3EC534C3"/>
    <w:rsid w:val="3EC84D62"/>
    <w:rsid w:val="3ECF7E9E"/>
    <w:rsid w:val="3EDC25BB"/>
    <w:rsid w:val="3EE576C2"/>
    <w:rsid w:val="3EEF22EE"/>
    <w:rsid w:val="3F0062A9"/>
    <w:rsid w:val="3F010273"/>
    <w:rsid w:val="3F0A35CC"/>
    <w:rsid w:val="3F11495A"/>
    <w:rsid w:val="3F171845"/>
    <w:rsid w:val="3F283A52"/>
    <w:rsid w:val="3F285800"/>
    <w:rsid w:val="3F4F7231"/>
    <w:rsid w:val="3F5F19E8"/>
    <w:rsid w:val="3F6F342F"/>
    <w:rsid w:val="3F775573"/>
    <w:rsid w:val="3FA56E51"/>
    <w:rsid w:val="3FC25C55"/>
    <w:rsid w:val="3FC62645"/>
    <w:rsid w:val="3FCB2D5B"/>
    <w:rsid w:val="3FCF2120"/>
    <w:rsid w:val="3FDD1FEF"/>
    <w:rsid w:val="3FDD2A8F"/>
    <w:rsid w:val="3FEA69B4"/>
    <w:rsid w:val="3FF43934"/>
    <w:rsid w:val="400A4965"/>
    <w:rsid w:val="400C0C7E"/>
    <w:rsid w:val="400C6354"/>
    <w:rsid w:val="40302BBE"/>
    <w:rsid w:val="40341A69"/>
    <w:rsid w:val="40345961"/>
    <w:rsid w:val="406B3BF6"/>
    <w:rsid w:val="40730666"/>
    <w:rsid w:val="407C22A8"/>
    <w:rsid w:val="408E1921"/>
    <w:rsid w:val="40926C7D"/>
    <w:rsid w:val="40965C32"/>
    <w:rsid w:val="409969B6"/>
    <w:rsid w:val="409F1AF2"/>
    <w:rsid w:val="409F1C07"/>
    <w:rsid w:val="40A35A86"/>
    <w:rsid w:val="40A50042"/>
    <w:rsid w:val="40AB5373"/>
    <w:rsid w:val="40C714CB"/>
    <w:rsid w:val="40F07927"/>
    <w:rsid w:val="40F956A6"/>
    <w:rsid w:val="40FC6F44"/>
    <w:rsid w:val="411C3143"/>
    <w:rsid w:val="412F7BD3"/>
    <w:rsid w:val="41462DB0"/>
    <w:rsid w:val="41466412"/>
    <w:rsid w:val="414C3A28"/>
    <w:rsid w:val="4159417D"/>
    <w:rsid w:val="415A408D"/>
    <w:rsid w:val="415C79E3"/>
    <w:rsid w:val="415E375B"/>
    <w:rsid w:val="41636FC4"/>
    <w:rsid w:val="416777BC"/>
    <w:rsid w:val="41686388"/>
    <w:rsid w:val="41831414"/>
    <w:rsid w:val="4184690C"/>
    <w:rsid w:val="4185518C"/>
    <w:rsid w:val="41BF069E"/>
    <w:rsid w:val="41D103D1"/>
    <w:rsid w:val="41D67795"/>
    <w:rsid w:val="41DE2AA4"/>
    <w:rsid w:val="41EC0D67"/>
    <w:rsid w:val="41F320F5"/>
    <w:rsid w:val="4204629C"/>
    <w:rsid w:val="4205657E"/>
    <w:rsid w:val="42093C6B"/>
    <w:rsid w:val="420C6C26"/>
    <w:rsid w:val="42110360"/>
    <w:rsid w:val="421F3F50"/>
    <w:rsid w:val="422B7AE1"/>
    <w:rsid w:val="422E312E"/>
    <w:rsid w:val="423D0D9C"/>
    <w:rsid w:val="42415557"/>
    <w:rsid w:val="42434581"/>
    <w:rsid w:val="424B1F31"/>
    <w:rsid w:val="424C40B0"/>
    <w:rsid w:val="42552DB0"/>
    <w:rsid w:val="425B0CB6"/>
    <w:rsid w:val="42611755"/>
    <w:rsid w:val="42732927"/>
    <w:rsid w:val="42734FE4"/>
    <w:rsid w:val="4281325B"/>
    <w:rsid w:val="42867A85"/>
    <w:rsid w:val="42927B60"/>
    <w:rsid w:val="42AD499A"/>
    <w:rsid w:val="42C35F6C"/>
    <w:rsid w:val="42D27F5D"/>
    <w:rsid w:val="42DF6B1E"/>
    <w:rsid w:val="43014CE6"/>
    <w:rsid w:val="431F0A1F"/>
    <w:rsid w:val="433701C1"/>
    <w:rsid w:val="43607C5E"/>
    <w:rsid w:val="436E069F"/>
    <w:rsid w:val="43707776"/>
    <w:rsid w:val="437159C8"/>
    <w:rsid w:val="437F7674"/>
    <w:rsid w:val="43853221"/>
    <w:rsid w:val="438D0328"/>
    <w:rsid w:val="438D20D6"/>
    <w:rsid w:val="43A318F9"/>
    <w:rsid w:val="43A94938"/>
    <w:rsid w:val="43AF64F0"/>
    <w:rsid w:val="43CB3014"/>
    <w:rsid w:val="43E53CC0"/>
    <w:rsid w:val="43EE551E"/>
    <w:rsid w:val="43F565F9"/>
    <w:rsid w:val="44000AFA"/>
    <w:rsid w:val="44150A49"/>
    <w:rsid w:val="441B1DD7"/>
    <w:rsid w:val="441B3B85"/>
    <w:rsid w:val="441D78FE"/>
    <w:rsid w:val="44242A3A"/>
    <w:rsid w:val="442701F2"/>
    <w:rsid w:val="44472BCC"/>
    <w:rsid w:val="444C3D3F"/>
    <w:rsid w:val="44572251"/>
    <w:rsid w:val="445E522D"/>
    <w:rsid w:val="44605B5D"/>
    <w:rsid w:val="446B0469"/>
    <w:rsid w:val="446C43E1"/>
    <w:rsid w:val="447137A5"/>
    <w:rsid w:val="448636F5"/>
    <w:rsid w:val="44901E7E"/>
    <w:rsid w:val="44953938"/>
    <w:rsid w:val="449F0313"/>
    <w:rsid w:val="44A24605"/>
    <w:rsid w:val="44AA399F"/>
    <w:rsid w:val="44B70052"/>
    <w:rsid w:val="44BC3D05"/>
    <w:rsid w:val="44D04970"/>
    <w:rsid w:val="44D426B2"/>
    <w:rsid w:val="44DA134B"/>
    <w:rsid w:val="44E126D9"/>
    <w:rsid w:val="44ED6924"/>
    <w:rsid w:val="44F12995"/>
    <w:rsid w:val="45012D7B"/>
    <w:rsid w:val="451552E7"/>
    <w:rsid w:val="453273D9"/>
    <w:rsid w:val="453540BD"/>
    <w:rsid w:val="454315E6"/>
    <w:rsid w:val="45542840"/>
    <w:rsid w:val="455E6037"/>
    <w:rsid w:val="457F787C"/>
    <w:rsid w:val="458319E2"/>
    <w:rsid w:val="45905EAD"/>
    <w:rsid w:val="45BA29C7"/>
    <w:rsid w:val="45BB10DA"/>
    <w:rsid w:val="45BB117C"/>
    <w:rsid w:val="45BC4EF4"/>
    <w:rsid w:val="45C5333C"/>
    <w:rsid w:val="45C94BB9"/>
    <w:rsid w:val="45D24718"/>
    <w:rsid w:val="45D43FEC"/>
    <w:rsid w:val="45D53D3D"/>
    <w:rsid w:val="45D72D53"/>
    <w:rsid w:val="45DA3562"/>
    <w:rsid w:val="45DE4E6B"/>
    <w:rsid w:val="45EC1315"/>
    <w:rsid w:val="45FB5A1D"/>
    <w:rsid w:val="45FE550D"/>
    <w:rsid w:val="46156A6D"/>
    <w:rsid w:val="461940F5"/>
    <w:rsid w:val="463C33A6"/>
    <w:rsid w:val="463E3B5B"/>
    <w:rsid w:val="464F7B16"/>
    <w:rsid w:val="46584C1D"/>
    <w:rsid w:val="465B64BB"/>
    <w:rsid w:val="46690750"/>
    <w:rsid w:val="46692F52"/>
    <w:rsid w:val="466B25F0"/>
    <w:rsid w:val="466E4440"/>
    <w:rsid w:val="46875502"/>
    <w:rsid w:val="469043B7"/>
    <w:rsid w:val="46C2478C"/>
    <w:rsid w:val="46CB3641"/>
    <w:rsid w:val="46D324F5"/>
    <w:rsid w:val="46D7149A"/>
    <w:rsid w:val="46E76ED6"/>
    <w:rsid w:val="46EE5581"/>
    <w:rsid w:val="46F04E55"/>
    <w:rsid w:val="46F25071"/>
    <w:rsid w:val="46F43381"/>
    <w:rsid w:val="46FD7572"/>
    <w:rsid w:val="46FE4EBD"/>
    <w:rsid w:val="47017063"/>
    <w:rsid w:val="47044125"/>
    <w:rsid w:val="471054F8"/>
    <w:rsid w:val="471C20EE"/>
    <w:rsid w:val="471D19C3"/>
    <w:rsid w:val="471F2A33"/>
    <w:rsid w:val="4723347D"/>
    <w:rsid w:val="4729393A"/>
    <w:rsid w:val="474927B8"/>
    <w:rsid w:val="47540C2B"/>
    <w:rsid w:val="475C698F"/>
    <w:rsid w:val="47611F52"/>
    <w:rsid w:val="476615BC"/>
    <w:rsid w:val="477535AD"/>
    <w:rsid w:val="479C6A6B"/>
    <w:rsid w:val="479D1AB9"/>
    <w:rsid w:val="47A878A3"/>
    <w:rsid w:val="47CD33E9"/>
    <w:rsid w:val="47D31F7A"/>
    <w:rsid w:val="47D6229D"/>
    <w:rsid w:val="47EF15B1"/>
    <w:rsid w:val="48176812"/>
    <w:rsid w:val="48384D06"/>
    <w:rsid w:val="48401E0D"/>
    <w:rsid w:val="48455675"/>
    <w:rsid w:val="484D15CB"/>
    <w:rsid w:val="485458B8"/>
    <w:rsid w:val="486755EB"/>
    <w:rsid w:val="4874505C"/>
    <w:rsid w:val="48A95C04"/>
    <w:rsid w:val="48AC15F7"/>
    <w:rsid w:val="48AC2FFE"/>
    <w:rsid w:val="48AC4B4A"/>
    <w:rsid w:val="48B16866"/>
    <w:rsid w:val="48B21D43"/>
    <w:rsid w:val="48CB08E7"/>
    <w:rsid w:val="48F7696F"/>
    <w:rsid w:val="490948F4"/>
    <w:rsid w:val="49221512"/>
    <w:rsid w:val="496449F3"/>
    <w:rsid w:val="49753D38"/>
    <w:rsid w:val="49792DBC"/>
    <w:rsid w:val="497A30FC"/>
    <w:rsid w:val="497C2C57"/>
    <w:rsid w:val="4999737A"/>
    <w:rsid w:val="49A63EF1"/>
    <w:rsid w:val="49B6143D"/>
    <w:rsid w:val="49BC54C3"/>
    <w:rsid w:val="49C01457"/>
    <w:rsid w:val="49CD3395"/>
    <w:rsid w:val="49D05807"/>
    <w:rsid w:val="49DB1DED"/>
    <w:rsid w:val="49EB7B56"/>
    <w:rsid w:val="49ED1B55"/>
    <w:rsid w:val="49EF7646"/>
    <w:rsid w:val="49F11610"/>
    <w:rsid w:val="49F26D29"/>
    <w:rsid w:val="49F64E79"/>
    <w:rsid w:val="49FE524A"/>
    <w:rsid w:val="49FE5B0F"/>
    <w:rsid w:val="49FF2EE4"/>
    <w:rsid w:val="4A003601"/>
    <w:rsid w:val="4A062BE2"/>
    <w:rsid w:val="4A084BAC"/>
    <w:rsid w:val="4A2A2D74"/>
    <w:rsid w:val="4A2C2590"/>
    <w:rsid w:val="4A2F038B"/>
    <w:rsid w:val="4A394D65"/>
    <w:rsid w:val="4A3F40DE"/>
    <w:rsid w:val="4A4F6337"/>
    <w:rsid w:val="4A565917"/>
    <w:rsid w:val="4A7D10F6"/>
    <w:rsid w:val="4A857FAB"/>
    <w:rsid w:val="4A905BF8"/>
    <w:rsid w:val="4AA03036"/>
    <w:rsid w:val="4AA2290B"/>
    <w:rsid w:val="4AA3336D"/>
    <w:rsid w:val="4AB93327"/>
    <w:rsid w:val="4ABF34BD"/>
    <w:rsid w:val="4AC03AB0"/>
    <w:rsid w:val="4AC1382E"/>
    <w:rsid w:val="4AC960E9"/>
    <w:rsid w:val="4ADA0FDC"/>
    <w:rsid w:val="4AEF69FE"/>
    <w:rsid w:val="4AF313B8"/>
    <w:rsid w:val="4AF84C20"/>
    <w:rsid w:val="4B02784D"/>
    <w:rsid w:val="4B0A11C5"/>
    <w:rsid w:val="4B1F3F5B"/>
    <w:rsid w:val="4B29302C"/>
    <w:rsid w:val="4B2A4FBA"/>
    <w:rsid w:val="4B313C65"/>
    <w:rsid w:val="4B35552D"/>
    <w:rsid w:val="4B3627D7"/>
    <w:rsid w:val="4B441C23"/>
    <w:rsid w:val="4B445CE3"/>
    <w:rsid w:val="4B48362D"/>
    <w:rsid w:val="4B496A70"/>
    <w:rsid w:val="4B4F71EE"/>
    <w:rsid w:val="4B62209A"/>
    <w:rsid w:val="4B634665"/>
    <w:rsid w:val="4B645E12"/>
    <w:rsid w:val="4B797B0F"/>
    <w:rsid w:val="4B7E42BD"/>
    <w:rsid w:val="4B9A7A86"/>
    <w:rsid w:val="4BA23E5F"/>
    <w:rsid w:val="4BB24899"/>
    <w:rsid w:val="4BBD5522"/>
    <w:rsid w:val="4BBF74EC"/>
    <w:rsid w:val="4BCD1C09"/>
    <w:rsid w:val="4BD765E4"/>
    <w:rsid w:val="4BF278C2"/>
    <w:rsid w:val="4BFA2B9A"/>
    <w:rsid w:val="4C013661"/>
    <w:rsid w:val="4C0575F5"/>
    <w:rsid w:val="4C0D46FC"/>
    <w:rsid w:val="4C101250"/>
    <w:rsid w:val="4C286E40"/>
    <w:rsid w:val="4C612F2D"/>
    <w:rsid w:val="4C6562E6"/>
    <w:rsid w:val="4C6B0485"/>
    <w:rsid w:val="4C765DFD"/>
    <w:rsid w:val="4C7E2F03"/>
    <w:rsid w:val="4C8147A2"/>
    <w:rsid w:val="4C8C2C21"/>
    <w:rsid w:val="4CAC78DB"/>
    <w:rsid w:val="4CAF130F"/>
    <w:rsid w:val="4CB37051"/>
    <w:rsid w:val="4CBB5F06"/>
    <w:rsid w:val="4CC529EA"/>
    <w:rsid w:val="4CC53AED"/>
    <w:rsid w:val="4CCE79E7"/>
    <w:rsid w:val="4CDE22ED"/>
    <w:rsid w:val="4CE92A73"/>
    <w:rsid w:val="4CEA2347"/>
    <w:rsid w:val="4CF86A29"/>
    <w:rsid w:val="4CFB09F8"/>
    <w:rsid w:val="4D0005C3"/>
    <w:rsid w:val="4D0D6D1C"/>
    <w:rsid w:val="4D243AAB"/>
    <w:rsid w:val="4D2769E5"/>
    <w:rsid w:val="4D2E492A"/>
    <w:rsid w:val="4D3E639F"/>
    <w:rsid w:val="4D4C3002"/>
    <w:rsid w:val="4D4C6E88"/>
    <w:rsid w:val="4D522188"/>
    <w:rsid w:val="4D626C4B"/>
    <w:rsid w:val="4D6D5452"/>
    <w:rsid w:val="4D700028"/>
    <w:rsid w:val="4D700A9E"/>
    <w:rsid w:val="4D782049"/>
    <w:rsid w:val="4DA80092"/>
    <w:rsid w:val="4DC1754C"/>
    <w:rsid w:val="4DDB65E6"/>
    <w:rsid w:val="4DDB7CE1"/>
    <w:rsid w:val="4DDD3C5A"/>
    <w:rsid w:val="4DDE5966"/>
    <w:rsid w:val="4DDF5C24"/>
    <w:rsid w:val="4DE84AD8"/>
    <w:rsid w:val="4DFC1A95"/>
    <w:rsid w:val="4E036414"/>
    <w:rsid w:val="4E0833CC"/>
    <w:rsid w:val="4E08517B"/>
    <w:rsid w:val="4E141D71"/>
    <w:rsid w:val="4E255D2C"/>
    <w:rsid w:val="4E275E26"/>
    <w:rsid w:val="4E342CAC"/>
    <w:rsid w:val="4E3B72FE"/>
    <w:rsid w:val="4E473EF5"/>
    <w:rsid w:val="4E481A1B"/>
    <w:rsid w:val="4E5001FB"/>
    <w:rsid w:val="4E555EE6"/>
    <w:rsid w:val="4E5D3ACD"/>
    <w:rsid w:val="4E606ECD"/>
    <w:rsid w:val="4E7D7917"/>
    <w:rsid w:val="4E946A0E"/>
    <w:rsid w:val="4E9B166B"/>
    <w:rsid w:val="4E9D3737"/>
    <w:rsid w:val="4E9E3C4F"/>
    <w:rsid w:val="4EBE3A8B"/>
    <w:rsid w:val="4ED11A10"/>
    <w:rsid w:val="4ED17C62"/>
    <w:rsid w:val="4EE642BA"/>
    <w:rsid w:val="4EF10FC6"/>
    <w:rsid w:val="4EFC670B"/>
    <w:rsid w:val="4EFD4A24"/>
    <w:rsid w:val="4F0022F6"/>
    <w:rsid w:val="4F0D6B70"/>
    <w:rsid w:val="4F0F42E7"/>
    <w:rsid w:val="4F1D75D8"/>
    <w:rsid w:val="4F2E29BF"/>
    <w:rsid w:val="4F381A8F"/>
    <w:rsid w:val="4F3F2A07"/>
    <w:rsid w:val="4F4421E2"/>
    <w:rsid w:val="4F5F0DCA"/>
    <w:rsid w:val="4F7D74A2"/>
    <w:rsid w:val="4F8C5937"/>
    <w:rsid w:val="4F8E4E5D"/>
    <w:rsid w:val="4F912F4E"/>
    <w:rsid w:val="4FA7451F"/>
    <w:rsid w:val="4FBE01E7"/>
    <w:rsid w:val="4FC27B0F"/>
    <w:rsid w:val="4FC557CF"/>
    <w:rsid w:val="4FC926E8"/>
    <w:rsid w:val="4FD95020"/>
    <w:rsid w:val="4FEB08B0"/>
    <w:rsid w:val="4FF36264"/>
    <w:rsid w:val="50106568"/>
    <w:rsid w:val="501301BD"/>
    <w:rsid w:val="501A2F43"/>
    <w:rsid w:val="501E5D00"/>
    <w:rsid w:val="50210776"/>
    <w:rsid w:val="50355B90"/>
    <w:rsid w:val="503F59C8"/>
    <w:rsid w:val="504F3352"/>
    <w:rsid w:val="50593A6B"/>
    <w:rsid w:val="50597F0F"/>
    <w:rsid w:val="5060304C"/>
    <w:rsid w:val="50616DC4"/>
    <w:rsid w:val="506643DA"/>
    <w:rsid w:val="506B379F"/>
    <w:rsid w:val="507A1C34"/>
    <w:rsid w:val="50874A7C"/>
    <w:rsid w:val="508B5BEF"/>
    <w:rsid w:val="50A136F6"/>
    <w:rsid w:val="50A218B6"/>
    <w:rsid w:val="50A53155"/>
    <w:rsid w:val="50BA2E68"/>
    <w:rsid w:val="50C57353"/>
    <w:rsid w:val="50C80BF1"/>
    <w:rsid w:val="50CC248F"/>
    <w:rsid w:val="50D70E34"/>
    <w:rsid w:val="50D81429"/>
    <w:rsid w:val="50E023DF"/>
    <w:rsid w:val="50E21D6B"/>
    <w:rsid w:val="50E70B0B"/>
    <w:rsid w:val="5106201A"/>
    <w:rsid w:val="510E0CFA"/>
    <w:rsid w:val="51144057"/>
    <w:rsid w:val="511B51C5"/>
    <w:rsid w:val="514135E6"/>
    <w:rsid w:val="514A5AAA"/>
    <w:rsid w:val="514F4E6E"/>
    <w:rsid w:val="5153495F"/>
    <w:rsid w:val="5153670D"/>
    <w:rsid w:val="51575D8B"/>
    <w:rsid w:val="515801C7"/>
    <w:rsid w:val="5159161C"/>
    <w:rsid w:val="51644DBE"/>
    <w:rsid w:val="51713037"/>
    <w:rsid w:val="517C5F9F"/>
    <w:rsid w:val="517F2EC9"/>
    <w:rsid w:val="51844B18"/>
    <w:rsid w:val="518D7044"/>
    <w:rsid w:val="51A056CA"/>
    <w:rsid w:val="51A759CE"/>
    <w:rsid w:val="51BF3DA2"/>
    <w:rsid w:val="51CB0999"/>
    <w:rsid w:val="51DC4954"/>
    <w:rsid w:val="51E732F9"/>
    <w:rsid w:val="52132340"/>
    <w:rsid w:val="521701AA"/>
    <w:rsid w:val="522D3402"/>
    <w:rsid w:val="523F4EE3"/>
    <w:rsid w:val="524D6A1B"/>
    <w:rsid w:val="526C7ABA"/>
    <w:rsid w:val="526D43A4"/>
    <w:rsid w:val="528079D5"/>
    <w:rsid w:val="5285323E"/>
    <w:rsid w:val="52946083"/>
    <w:rsid w:val="529C40E3"/>
    <w:rsid w:val="529F2AD5"/>
    <w:rsid w:val="52BE22AC"/>
    <w:rsid w:val="52C06024"/>
    <w:rsid w:val="52D41ACF"/>
    <w:rsid w:val="52DC6673"/>
    <w:rsid w:val="52FB52AE"/>
    <w:rsid w:val="52FF3146"/>
    <w:rsid w:val="53081779"/>
    <w:rsid w:val="530A3743"/>
    <w:rsid w:val="5311687F"/>
    <w:rsid w:val="5314011E"/>
    <w:rsid w:val="5322283B"/>
    <w:rsid w:val="53340AB5"/>
    <w:rsid w:val="53431EED"/>
    <w:rsid w:val="534E1882"/>
    <w:rsid w:val="534F55FA"/>
    <w:rsid w:val="53607807"/>
    <w:rsid w:val="53740BBC"/>
    <w:rsid w:val="537D43E8"/>
    <w:rsid w:val="5382777D"/>
    <w:rsid w:val="53901E9A"/>
    <w:rsid w:val="5391176E"/>
    <w:rsid w:val="53985D65"/>
    <w:rsid w:val="539A6875"/>
    <w:rsid w:val="53B13BBE"/>
    <w:rsid w:val="53D82303"/>
    <w:rsid w:val="53DC50DF"/>
    <w:rsid w:val="53DD23CC"/>
    <w:rsid w:val="53FA37B7"/>
    <w:rsid w:val="53FA5565"/>
    <w:rsid w:val="54040192"/>
    <w:rsid w:val="540B4957"/>
    <w:rsid w:val="541C3153"/>
    <w:rsid w:val="541D3002"/>
    <w:rsid w:val="54303E2B"/>
    <w:rsid w:val="543C4F78"/>
    <w:rsid w:val="54433CEA"/>
    <w:rsid w:val="544E765F"/>
    <w:rsid w:val="544F3B03"/>
    <w:rsid w:val="54501629"/>
    <w:rsid w:val="545509EE"/>
    <w:rsid w:val="54576077"/>
    <w:rsid w:val="545B1A21"/>
    <w:rsid w:val="545F0AD7"/>
    <w:rsid w:val="5460600E"/>
    <w:rsid w:val="546450D5"/>
    <w:rsid w:val="546C1BDE"/>
    <w:rsid w:val="548924EE"/>
    <w:rsid w:val="549A09D4"/>
    <w:rsid w:val="54BC6CBF"/>
    <w:rsid w:val="54BE2A37"/>
    <w:rsid w:val="54C34F6C"/>
    <w:rsid w:val="54C52AB6"/>
    <w:rsid w:val="54D20290"/>
    <w:rsid w:val="54D2203E"/>
    <w:rsid w:val="54D538DD"/>
    <w:rsid w:val="54DC4C6B"/>
    <w:rsid w:val="54F5099E"/>
    <w:rsid w:val="54FA3343"/>
    <w:rsid w:val="55095279"/>
    <w:rsid w:val="551408A9"/>
    <w:rsid w:val="553D1BAE"/>
    <w:rsid w:val="554A3FF9"/>
    <w:rsid w:val="55546EF7"/>
    <w:rsid w:val="556A2277"/>
    <w:rsid w:val="556F5ADF"/>
    <w:rsid w:val="55770614"/>
    <w:rsid w:val="557D644E"/>
    <w:rsid w:val="558D5A85"/>
    <w:rsid w:val="55A75146"/>
    <w:rsid w:val="55AD03B6"/>
    <w:rsid w:val="55B55BE8"/>
    <w:rsid w:val="55B670AB"/>
    <w:rsid w:val="55BD4A9D"/>
    <w:rsid w:val="55CB540B"/>
    <w:rsid w:val="55DB3175"/>
    <w:rsid w:val="55DB51BF"/>
    <w:rsid w:val="55E95892"/>
    <w:rsid w:val="55F52488"/>
    <w:rsid w:val="55F72D5A"/>
    <w:rsid w:val="55FB55C5"/>
    <w:rsid w:val="56130B60"/>
    <w:rsid w:val="56140089"/>
    <w:rsid w:val="561623FF"/>
    <w:rsid w:val="561D378D"/>
    <w:rsid w:val="56204218"/>
    <w:rsid w:val="562B40FC"/>
    <w:rsid w:val="562E2303"/>
    <w:rsid w:val="5632548A"/>
    <w:rsid w:val="563B3C13"/>
    <w:rsid w:val="563F54B2"/>
    <w:rsid w:val="563F7BDE"/>
    <w:rsid w:val="5640538D"/>
    <w:rsid w:val="56424FA2"/>
    <w:rsid w:val="56464A92"/>
    <w:rsid w:val="565D4ACB"/>
    <w:rsid w:val="568D0913"/>
    <w:rsid w:val="568E2409"/>
    <w:rsid w:val="56B04601"/>
    <w:rsid w:val="56B35ADD"/>
    <w:rsid w:val="56B7164C"/>
    <w:rsid w:val="56B75BA4"/>
    <w:rsid w:val="56BF65F2"/>
    <w:rsid w:val="56C65BD3"/>
    <w:rsid w:val="56D54068"/>
    <w:rsid w:val="56DE2F1C"/>
    <w:rsid w:val="56E570DB"/>
    <w:rsid w:val="56EA18C1"/>
    <w:rsid w:val="56F05AF2"/>
    <w:rsid w:val="56F444EE"/>
    <w:rsid w:val="56FE744E"/>
    <w:rsid w:val="56FF2E93"/>
    <w:rsid w:val="5705494D"/>
    <w:rsid w:val="57062473"/>
    <w:rsid w:val="57063664"/>
    <w:rsid w:val="57106E4E"/>
    <w:rsid w:val="5717229D"/>
    <w:rsid w:val="571A1A7B"/>
    <w:rsid w:val="57390153"/>
    <w:rsid w:val="57430FD1"/>
    <w:rsid w:val="5748483A"/>
    <w:rsid w:val="57572CCF"/>
    <w:rsid w:val="57715B3F"/>
    <w:rsid w:val="57837373"/>
    <w:rsid w:val="578D049F"/>
    <w:rsid w:val="578F2469"/>
    <w:rsid w:val="57925195"/>
    <w:rsid w:val="579371D1"/>
    <w:rsid w:val="579B705F"/>
    <w:rsid w:val="57B41ECF"/>
    <w:rsid w:val="57B97BF0"/>
    <w:rsid w:val="57DB745C"/>
    <w:rsid w:val="57DE6F4C"/>
    <w:rsid w:val="57E50D9C"/>
    <w:rsid w:val="58070251"/>
    <w:rsid w:val="58156E12"/>
    <w:rsid w:val="58260705"/>
    <w:rsid w:val="58344A22"/>
    <w:rsid w:val="583E267D"/>
    <w:rsid w:val="584E2DDF"/>
    <w:rsid w:val="58513F4A"/>
    <w:rsid w:val="58533496"/>
    <w:rsid w:val="5855720E"/>
    <w:rsid w:val="58647451"/>
    <w:rsid w:val="58650145"/>
    <w:rsid w:val="587A0A23"/>
    <w:rsid w:val="587F072F"/>
    <w:rsid w:val="58820A4C"/>
    <w:rsid w:val="58874450"/>
    <w:rsid w:val="58951CDF"/>
    <w:rsid w:val="58AB32D2"/>
    <w:rsid w:val="58AE2DC2"/>
    <w:rsid w:val="58BC728D"/>
    <w:rsid w:val="58CB5722"/>
    <w:rsid w:val="58CB74D0"/>
    <w:rsid w:val="58DC348C"/>
    <w:rsid w:val="58E6430A"/>
    <w:rsid w:val="58E80082"/>
    <w:rsid w:val="58EA204C"/>
    <w:rsid w:val="59034EBC"/>
    <w:rsid w:val="59246BE1"/>
    <w:rsid w:val="59262959"/>
    <w:rsid w:val="592D3CE7"/>
    <w:rsid w:val="5939268C"/>
    <w:rsid w:val="593B5D5C"/>
    <w:rsid w:val="593C3F2A"/>
    <w:rsid w:val="59486D73"/>
    <w:rsid w:val="59505C28"/>
    <w:rsid w:val="59527B1B"/>
    <w:rsid w:val="59585F4B"/>
    <w:rsid w:val="59590F80"/>
    <w:rsid w:val="59613991"/>
    <w:rsid w:val="59771406"/>
    <w:rsid w:val="597F31C9"/>
    <w:rsid w:val="5980475F"/>
    <w:rsid w:val="59814033"/>
    <w:rsid w:val="59965D30"/>
    <w:rsid w:val="59B368E2"/>
    <w:rsid w:val="59B461B6"/>
    <w:rsid w:val="59BC506B"/>
    <w:rsid w:val="59BE5287"/>
    <w:rsid w:val="59D5279A"/>
    <w:rsid w:val="59D6612D"/>
    <w:rsid w:val="59D92725"/>
    <w:rsid w:val="59DA04B5"/>
    <w:rsid w:val="59E15C36"/>
    <w:rsid w:val="59EB1D3E"/>
    <w:rsid w:val="5A00764E"/>
    <w:rsid w:val="5A014CB3"/>
    <w:rsid w:val="5A056A12"/>
    <w:rsid w:val="5A0667C2"/>
    <w:rsid w:val="5A10631A"/>
    <w:rsid w:val="5A276C1B"/>
    <w:rsid w:val="5A315A59"/>
    <w:rsid w:val="5A380B96"/>
    <w:rsid w:val="5A4C2893"/>
    <w:rsid w:val="5A4C7F90"/>
    <w:rsid w:val="5A4F7E41"/>
    <w:rsid w:val="5A5F6904"/>
    <w:rsid w:val="5A847F27"/>
    <w:rsid w:val="5A8B33BB"/>
    <w:rsid w:val="5A951B44"/>
    <w:rsid w:val="5A954896"/>
    <w:rsid w:val="5A993325"/>
    <w:rsid w:val="5AC02939"/>
    <w:rsid w:val="5ACE0D05"/>
    <w:rsid w:val="5AD22D98"/>
    <w:rsid w:val="5B01254C"/>
    <w:rsid w:val="5B062A42"/>
    <w:rsid w:val="5B0730E9"/>
    <w:rsid w:val="5B0D2022"/>
    <w:rsid w:val="5B127639"/>
    <w:rsid w:val="5B2A17F9"/>
    <w:rsid w:val="5B3E6680"/>
    <w:rsid w:val="5B445318"/>
    <w:rsid w:val="5B6F4A8B"/>
    <w:rsid w:val="5B780343"/>
    <w:rsid w:val="5B7C2D04"/>
    <w:rsid w:val="5B863B83"/>
    <w:rsid w:val="5B8F47E5"/>
    <w:rsid w:val="5BA81D4B"/>
    <w:rsid w:val="5BD91F04"/>
    <w:rsid w:val="5BE03293"/>
    <w:rsid w:val="5BF43AE9"/>
    <w:rsid w:val="5C1B251D"/>
    <w:rsid w:val="5C3A6E47"/>
    <w:rsid w:val="5C4C0928"/>
    <w:rsid w:val="5C645C72"/>
    <w:rsid w:val="5CB14C2F"/>
    <w:rsid w:val="5CB83936"/>
    <w:rsid w:val="5CBA1D36"/>
    <w:rsid w:val="5CC20BEA"/>
    <w:rsid w:val="5CC26E3C"/>
    <w:rsid w:val="5CD8555F"/>
    <w:rsid w:val="5CE84AF5"/>
    <w:rsid w:val="5CF8460C"/>
    <w:rsid w:val="5D1551BE"/>
    <w:rsid w:val="5D301FF8"/>
    <w:rsid w:val="5D4F60A9"/>
    <w:rsid w:val="5D6879E4"/>
    <w:rsid w:val="5D6D4FFA"/>
    <w:rsid w:val="5D775E79"/>
    <w:rsid w:val="5D7D58C9"/>
    <w:rsid w:val="5D7E7207"/>
    <w:rsid w:val="5D7F6ADB"/>
    <w:rsid w:val="5D8714F7"/>
    <w:rsid w:val="5D881E34"/>
    <w:rsid w:val="5D8D2FA6"/>
    <w:rsid w:val="5D8F563D"/>
    <w:rsid w:val="5D935A76"/>
    <w:rsid w:val="5D944335"/>
    <w:rsid w:val="5DBB3FB7"/>
    <w:rsid w:val="5DC42082"/>
    <w:rsid w:val="5DD3337B"/>
    <w:rsid w:val="5DE0757A"/>
    <w:rsid w:val="5DED60CA"/>
    <w:rsid w:val="5E0F557C"/>
    <w:rsid w:val="5E144916"/>
    <w:rsid w:val="5E1E62F4"/>
    <w:rsid w:val="5E4A70E9"/>
    <w:rsid w:val="5E510478"/>
    <w:rsid w:val="5E5135C6"/>
    <w:rsid w:val="5E5C7B4C"/>
    <w:rsid w:val="5E5E2B95"/>
    <w:rsid w:val="5E6A32E8"/>
    <w:rsid w:val="5EA67D79"/>
    <w:rsid w:val="5EC023C8"/>
    <w:rsid w:val="5ED97D8E"/>
    <w:rsid w:val="5EF1163D"/>
    <w:rsid w:val="5EF13A09"/>
    <w:rsid w:val="5EF609FC"/>
    <w:rsid w:val="5EF7101F"/>
    <w:rsid w:val="5F021772"/>
    <w:rsid w:val="5F0C439F"/>
    <w:rsid w:val="5F0D4E3C"/>
    <w:rsid w:val="5F1A4539"/>
    <w:rsid w:val="5F1A6ABC"/>
    <w:rsid w:val="5F1C0A86"/>
    <w:rsid w:val="5F29316F"/>
    <w:rsid w:val="5F5B3D80"/>
    <w:rsid w:val="5F677827"/>
    <w:rsid w:val="5F7F112E"/>
    <w:rsid w:val="5F812FDF"/>
    <w:rsid w:val="5F9C5723"/>
    <w:rsid w:val="5FA24513"/>
    <w:rsid w:val="5FA36AB1"/>
    <w:rsid w:val="5FA9575F"/>
    <w:rsid w:val="5FBC7B73"/>
    <w:rsid w:val="5FC52ECB"/>
    <w:rsid w:val="5FCD1D80"/>
    <w:rsid w:val="5FCE083C"/>
    <w:rsid w:val="5FCF5AF8"/>
    <w:rsid w:val="5FD44EBD"/>
    <w:rsid w:val="5FE5531C"/>
    <w:rsid w:val="5FE61306"/>
    <w:rsid w:val="5FEE21E9"/>
    <w:rsid w:val="60002155"/>
    <w:rsid w:val="600532C8"/>
    <w:rsid w:val="60060082"/>
    <w:rsid w:val="600A20CC"/>
    <w:rsid w:val="601259E5"/>
    <w:rsid w:val="6022031E"/>
    <w:rsid w:val="60290D6B"/>
    <w:rsid w:val="602F47E9"/>
    <w:rsid w:val="603911C4"/>
    <w:rsid w:val="60393974"/>
    <w:rsid w:val="603957F6"/>
    <w:rsid w:val="604D2EC1"/>
    <w:rsid w:val="60681AA9"/>
    <w:rsid w:val="60725CB4"/>
    <w:rsid w:val="60730B79"/>
    <w:rsid w:val="6083515A"/>
    <w:rsid w:val="6089214B"/>
    <w:rsid w:val="60AC61D6"/>
    <w:rsid w:val="60AE2C7C"/>
    <w:rsid w:val="60B072AB"/>
    <w:rsid w:val="60B92304"/>
    <w:rsid w:val="60BD1DF5"/>
    <w:rsid w:val="60C018E5"/>
    <w:rsid w:val="60C2565D"/>
    <w:rsid w:val="60CB67FA"/>
    <w:rsid w:val="60D522AC"/>
    <w:rsid w:val="60D86C2E"/>
    <w:rsid w:val="60E17CBF"/>
    <w:rsid w:val="60E455D3"/>
    <w:rsid w:val="60E5591C"/>
    <w:rsid w:val="60E72032"/>
    <w:rsid w:val="60EF159F"/>
    <w:rsid w:val="60F021CA"/>
    <w:rsid w:val="60F60EB1"/>
    <w:rsid w:val="611A2DA3"/>
    <w:rsid w:val="6139765C"/>
    <w:rsid w:val="613D1F5B"/>
    <w:rsid w:val="616D55C9"/>
    <w:rsid w:val="61720E31"/>
    <w:rsid w:val="617821BF"/>
    <w:rsid w:val="617B4C27"/>
    <w:rsid w:val="618F0137"/>
    <w:rsid w:val="619A0388"/>
    <w:rsid w:val="619A05C2"/>
    <w:rsid w:val="619C4C7D"/>
    <w:rsid w:val="619D5782"/>
    <w:rsid w:val="61A44D62"/>
    <w:rsid w:val="61AB4343"/>
    <w:rsid w:val="61C62F2B"/>
    <w:rsid w:val="61C7057D"/>
    <w:rsid w:val="61D27B22"/>
    <w:rsid w:val="61D94A0C"/>
    <w:rsid w:val="61D95C8A"/>
    <w:rsid w:val="61E138C1"/>
    <w:rsid w:val="61ED495B"/>
    <w:rsid w:val="61F6755D"/>
    <w:rsid w:val="61F71336"/>
    <w:rsid w:val="61FA1A30"/>
    <w:rsid w:val="61FA4982"/>
    <w:rsid w:val="62127F1E"/>
    <w:rsid w:val="6223355D"/>
    <w:rsid w:val="622C5484"/>
    <w:rsid w:val="62344338"/>
    <w:rsid w:val="623A1223"/>
    <w:rsid w:val="623F6839"/>
    <w:rsid w:val="6242474F"/>
    <w:rsid w:val="6253120A"/>
    <w:rsid w:val="628A21AA"/>
    <w:rsid w:val="62922E0D"/>
    <w:rsid w:val="629628FD"/>
    <w:rsid w:val="62A25746"/>
    <w:rsid w:val="62A56FE4"/>
    <w:rsid w:val="62C531E2"/>
    <w:rsid w:val="62CA49E9"/>
    <w:rsid w:val="62D6719E"/>
    <w:rsid w:val="62DB2A06"/>
    <w:rsid w:val="62E948A5"/>
    <w:rsid w:val="62E96ED1"/>
    <w:rsid w:val="62FF4946"/>
    <w:rsid w:val="63096ABB"/>
    <w:rsid w:val="632C3261"/>
    <w:rsid w:val="633A3BD0"/>
    <w:rsid w:val="633F11E7"/>
    <w:rsid w:val="63417E63"/>
    <w:rsid w:val="634265E1"/>
    <w:rsid w:val="635F7193"/>
    <w:rsid w:val="63770981"/>
    <w:rsid w:val="63A23524"/>
    <w:rsid w:val="63A948B2"/>
    <w:rsid w:val="63C93446"/>
    <w:rsid w:val="63E8362C"/>
    <w:rsid w:val="63FA59E3"/>
    <w:rsid w:val="6410048D"/>
    <w:rsid w:val="6416019A"/>
    <w:rsid w:val="64234664"/>
    <w:rsid w:val="64346872"/>
    <w:rsid w:val="643E09E6"/>
    <w:rsid w:val="644D16E1"/>
    <w:rsid w:val="644D5916"/>
    <w:rsid w:val="64546739"/>
    <w:rsid w:val="645C1924"/>
    <w:rsid w:val="64610CE9"/>
    <w:rsid w:val="64651BA3"/>
    <w:rsid w:val="646A4041"/>
    <w:rsid w:val="646F0987"/>
    <w:rsid w:val="64740A1C"/>
    <w:rsid w:val="64975EE1"/>
    <w:rsid w:val="64B928D3"/>
    <w:rsid w:val="64BE613B"/>
    <w:rsid w:val="64D771FD"/>
    <w:rsid w:val="64E01D65"/>
    <w:rsid w:val="64FB738F"/>
    <w:rsid w:val="65102E3B"/>
    <w:rsid w:val="65110961"/>
    <w:rsid w:val="65363F24"/>
    <w:rsid w:val="65384140"/>
    <w:rsid w:val="65510D5D"/>
    <w:rsid w:val="655206E5"/>
    <w:rsid w:val="65817895"/>
    <w:rsid w:val="6589499B"/>
    <w:rsid w:val="658E6FFE"/>
    <w:rsid w:val="65953340"/>
    <w:rsid w:val="65A41006"/>
    <w:rsid w:val="65A6554D"/>
    <w:rsid w:val="65A96DEB"/>
    <w:rsid w:val="65AA1F2B"/>
    <w:rsid w:val="65C872F8"/>
    <w:rsid w:val="65E6594A"/>
    <w:rsid w:val="65EB7404"/>
    <w:rsid w:val="65EF10CA"/>
    <w:rsid w:val="65FC516D"/>
    <w:rsid w:val="661A1A97"/>
    <w:rsid w:val="66256220"/>
    <w:rsid w:val="662A22D0"/>
    <w:rsid w:val="66382B7E"/>
    <w:rsid w:val="663F6C1C"/>
    <w:rsid w:val="664F7993"/>
    <w:rsid w:val="666004F6"/>
    <w:rsid w:val="66603F40"/>
    <w:rsid w:val="66650F64"/>
    <w:rsid w:val="66833198"/>
    <w:rsid w:val="668A09CB"/>
    <w:rsid w:val="668C4743"/>
    <w:rsid w:val="668D2269"/>
    <w:rsid w:val="668F1B3D"/>
    <w:rsid w:val="66925AD1"/>
    <w:rsid w:val="66996E60"/>
    <w:rsid w:val="669C425A"/>
    <w:rsid w:val="66A76294"/>
    <w:rsid w:val="66C0619B"/>
    <w:rsid w:val="66CB4B3F"/>
    <w:rsid w:val="66DA6994"/>
    <w:rsid w:val="66E16111"/>
    <w:rsid w:val="66F4572D"/>
    <w:rsid w:val="66FE7DFC"/>
    <w:rsid w:val="670342D9"/>
    <w:rsid w:val="671C40A3"/>
    <w:rsid w:val="67205B23"/>
    <w:rsid w:val="672C55DE"/>
    <w:rsid w:val="673C7440"/>
    <w:rsid w:val="673E0C66"/>
    <w:rsid w:val="67505E2C"/>
    <w:rsid w:val="675416B1"/>
    <w:rsid w:val="676217A2"/>
    <w:rsid w:val="67674868"/>
    <w:rsid w:val="6775762B"/>
    <w:rsid w:val="6777652E"/>
    <w:rsid w:val="677F6056"/>
    <w:rsid w:val="679B17DE"/>
    <w:rsid w:val="67AC051E"/>
    <w:rsid w:val="67BD26DA"/>
    <w:rsid w:val="67E934CF"/>
    <w:rsid w:val="67ED1031"/>
    <w:rsid w:val="67FA1B80"/>
    <w:rsid w:val="68062C00"/>
    <w:rsid w:val="680D1348"/>
    <w:rsid w:val="680D6CEA"/>
    <w:rsid w:val="681349F0"/>
    <w:rsid w:val="6817719C"/>
    <w:rsid w:val="683A3D2B"/>
    <w:rsid w:val="68430416"/>
    <w:rsid w:val="684B418A"/>
    <w:rsid w:val="68572B2F"/>
    <w:rsid w:val="685748DD"/>
    <w:rsid w:val="685A261F"/>
    <w:rsid w:val="68772F9A"/>
    <w:rsid w:val="688020CA"/>
    <w:rsid w:val="688A7ED0"/>
    <w:rsid w:val="689A6483"/>
    <w:rsid w:val="68AB69D7"/>
    <w:rsid w:val="68B24209"/>
    <w:rsid w:val="68C33D20"/>
    <w:rsid w:val="68C47A98"/>
    <w:rsid w:val="68D0468F"/>
    <w:rsid w:val="68D20407"/>
    <w:rsid w:val="68E0628C"/>
    <w:rsid w:val="68FB170C"/>
    <w:rsid w:val="690164B5"/>
    <w:rsid w:val="69053464"/>
    <w:rsid w:val="69085BD7"/>
    <w:rsid w:val="69091A4F"/>
    <w:rsid w:val="69132EFA"/>
    <w:rsid w:val="692769A5"/>
    <w:rsid w:val="693764BC"/>
    <w:rsid w:val="694A4441"/>
    <w:rsid w:val="694F2375"/>
    <w:rsid w:val="69540E1C"/>
    <w:rsid w:val="69674FF3"/>
    <w:rsid w:val="69685626"/>
    <w:rsid w:val="696E0130"/>
    <w:rsid w:val="69710F95"/>
    <w:rsid w:val="69725FA0"/>
    <w:rsid w:val="69731BEA"/>
    <w:rsid w:val="69780FAF"/>
    <w:rsid w:val="69833C19"/>
    <w:rsid w:val="69845BA5"/>
    <w:rsid w:val="698F00A6"/>
    <w:rsid w:val="69B95123"/>
    <w:rsid w:val="69C064B2"/>
    <w:rsid w:val="69CA7330"/>
    <w:rsid w:val="69CB5582"/>
    <w:rsid w:val="69D16911"/>
    <w:rsid w:val="69DF102E"/>
    <w:rsid w:val="69DF4B8A"/>
    <w:rsid w:val="69F83E9D"/>
    <w:rsid w:val="6A034C97"/>
    <w:rsid w:val="6A054F1C"/>
    <w:rsid w:val="6A0A4452"/>
    <w:rsid w:val="6A0B3BD1"/>
    <w:rsid w:val="6A0E3AFF"/>
    <w:rsid w:val="6A25335A"/>
    <w:rsid w:val="6A350C4E"/>
    <w:rsid w:val="6A425119"/>
    <w:rsid w:val="6A45564A"/>
    <w:rsid w:val="6A4946F9"/>
    <w:rsid w:val="6A4B221F"/>
    <w:rsid w:val="6A5C267E"/>
    <w:rsid w:val="6A721EA2"/>
    <w:rsid w:val="6A731776"/>
    <w:rsid w:val="6A7770C8"/>
    <w:rsid w:val="6A7C7D4D"/>
    <w:rsid w:val="6A8120E5"/>
    <w:rsid w:val="6A915904"/>
    <w:rsid w:val="6A99742E"/>
    <w:rsid w:val="6AA47B81"/>
    <w:rsid w:val="6AA656A7"/>
    <w:rsid w:val="6AC87D14"/>
    <w:rsid w:val="6ADE3093"/>
    <w:rsid w:val="6AED32D6"/>
    <w:rsid w:val="6AFC3403"/>
    <w:rsid w:val="6AFF0A3C"/>
    <w:rsid w:val="6B036F9E"/>
    <w:rsid w:val="6B056872"/>
    <w:rsid w:val="6B122D3D"/>
    <w:rsid w:val="6B1E5B86"/>
    <w:rsid w:val="6B2D7B77"/>
    <w:rsid w:val="6B3730AC"/>
    <w:rsid w:val="6B4C26F3"/>
    <w:rsid w:val="6B5E6668"/>
    <w:rsid w:val="6B672A51"/>
    <w:rsid w:val="6B8579B3"/>
    <w:rsid w:val="6B8F0831"/>
    <w:rsid w:val="6B92577F"/>
    <w:rsid w:val="6B9D4CFC"/>
    <w:rsid w:val="6BA0659B"/>
    <w:rsid w:val="6BA90931"/>
    <w:rsid w:val="6BB64010"/>
    <w:rsid w:val="6BB9765C"/>
    <w:rsid w:val="6BC24763"/>
    <w:rsid w:val="6BC95AF1"/>
    <w:rsid w:val="6BCE3108"/>
    <w:rsid w:val="6BD3649F"/>
    <w:rsid w:val="6BD83F86"/>
    <w:rsid w:val="6BDD77EF"/>
    <w:rsid w:val="6BDF3567"/>
    <w:rsid w:val="6BEC5C84"/>
    <w:rsid w:val="6BFF7765"/>
    <w:rsid w:val="6C045BF9"/>
    <w:rsid w:val="6C092392"/>
    <w:rsid w:val="6C225202"/>
    <w:rsid w:val="6C283D33"/>
    <w:rsid w:val="6C465394"/>
    <w:rsid w:val="6C4909E0"/>
    <w:rsid w:val="6C517895"/>
    <w:rsid w:val="6C604763"/>
    <w:rsid w:val="6C6209EB"/>
    <w:rsid w:val="6C6677E4"/>
    <w:rsid w:val="6C667D48"/>
    <w:rsid w:val="6C6B5FEF"/>
    <w:rsid w:val="6C7A503E"/>
    <w:rsid w:val="6C7D68DC"/>
    <w:rsid w:val="6C8B724B"/>
    <w:rsid w:val="6C9C4FB4"/>
    <w:rsid w:val="6C9C6D62"/>
    <w:rsid w:val="6CAE4CE7"/>
    <w:rsid w:val="6CB322FE"/>
    <w:rsid w:val="6CD96208"/>
    <w:rsid w:val="6CE60925"/>
    <w:rsid w:val="6CED1CB3"/>
    <w:rsid w:val="6CF272CA"/>
    <w:rsid w:val="6CF546C4"/>
    <w:rsid w:val="6D3A4464"/>
    <w:rsid w:val="6D3E606B"/>
    <w:rsid w:val="6D464F20"/>
    <w:rsid w:val="6D51787C"/>
    <w:rsid w:val="6D633D24"/>
    <w:rsid w:val="6D763A57"/>
    <w:rsid w:val="6D7640DA"/>
    <w:rsid w:val="6D7A6383"/>
    <w:rsid w:val="6D853C9A"/>
    <w:rsid w:val="6D8D2B4F"/>
    <w:rsid w:val="6D947231"/>
    <w:rsid w:val="6D9E2FAE"/>
    <w:rsid w:val="6D9F05F2"/>
    <w:rsid w:val="6DA12E6C"/>
    <w:rsid w:val="6DB71E61"/>
    <w:rsid w:val="6DBC4466"/>
    <w:rsid w:val="6DC06618"/>
    <w:rsid w:val="6DD469CF"/>
    <w:rsid w:val="6DDD474D"/>
    <w:rsid w:val="6DF31070"/>
    <w:rsid w:val="6E001573"/>
    <w:rsid w:val="6E0B0643"/>
    <w:rsid w:val="6E1B015A"/>
    <w:rsid w:val="6E1D2124"/>
    <w:rsid w:val="6E2C32A1"/>
    <w:rsid w:val="6E396833"/>
    <w:rsid w:val="6E3D6323"/>
    <w:rsid w:val="6E444846"/>
    <w:rsid w:val="6E5F44EB"/>
    <w:rsid w:val="6E755215"/>
    <w:rsid w:val="6E7C1563"/>
    <w:rsid w:val="6E7F2DDF"/>
    <w:rsid w:val="6E866CA7"/>
    <w:rsid w:val="6E881C94"/>
    <w:rsid w:val="6EA463A2"/>
    <w:rsid w:val="6EB011EB"/>
    <w:rsid w:val="6EC6456A"/>
    <w:rsid w:val="6ECF78C3"/>
    <w:rsid w:val="6ED10099"/>
    <w:rsid w:val="6ED906B7"/>
    <w:rsid w:val="6EDA29F5"/>
    <w:rsid w:val="6EE544EB"/>
    <w:rsid w:val="6EED5F9B"/>
    <w:rsid w:val="6F033C3B"/>
    <w:rsid w:val="6F05168C"/>
    <w:rsid w:val="6F06045E"/>
    <w:rsid w:val="6F143527"/>
    <w:rsid w:val="6F327E52"/>
    <w:rsid w:val="6F3B6D06"/>
    <w:rsid w:val="6F3F5890"/>
    <w:rsid w:val="6F4F630E"/>
    <w:rsid w:val="6F5B2DE1"/>
    <w:rsid w:val="6F5E29F5"/>
    <w:rsid w:val="6F631DB9"/>
    <w:rsid w:val="6F697E4D"/>
    <w:rsid w:val="6F6B6EC0"/>
    <w:rsid w:val="6F6D49E6"/>
    <w:rsid w:val="6F6F723A"/>
    <w:rsid w:val="6F853CD0"/>
    <w:rsid w:val="6F9B77A5"/>
    <w:rsid w:val="6FA7439C"/>
    <w:rsid w:val="6FA75B64"/>
    <w:rsid w:val="6FBD596D"/>
    <w:rsid w:val="6FC0720B"/>
    <w:rsid w:val="6FD76303"/>
    <w:rsid w:val="6FD9651F"/>
    <w:rsid w:val="6FDF5851"/>
    <w:rsid w:val="6FEC0000"/>
    <w:rsid w:val="6FEF7AF1"/>
    <w:rsid w:val="6FF15617"/>
    <w:rsid w:val="700732D0"/>
    <w:rsid w:val="700B6AFB"/>
    <w:rsid w:val="70147557"/>
    <w:rsid w:val="7019691C"/>
    <w:rsid w:val="701B6B38"/>
    <w:rsid w:val="701D465E"/>
    <w:rsid w:val="701D640C"/>
    <w:rsid w:val="7022453D"/>
    <w:rsid w:val="703674CE"/>
    <w:rsid w:val="70531E2E"/>
    <w:rsid w:val="705A694B"/>
    <w:rsid w:val="70622071"/>
    <w:rsid w:val="70671D7D"/>
    <w:rsid w:val="70716758"/>
    <w:rsid w:val="7072610B"/>
    <w:rsid w:val="70732D80"/>
    <w:rsid w:val="70763D6E"/>
    <w:rsid w:val="707B1384"/>
    <w:rsid w:val="707B72F7"/>
    <w:rsid w:val="709474F3"/>
    <w:rsid w:val="70A00DEB"/>
    <w:rsid w:val="70B92859"/>
    <w:rsid w:val="70BC27CE"/>
    <w:rsid w:val="70C44AD9"/>
    <w:rsid w:val="70C525FF"/>
    <w:rsid w:val="70CD7E32"/>
    <w:rsid w:val="70D0347E"/>
    <w:rsid w:val="70F3716D"/>
    <w:rsid w:val="70F50332"/>
    <w:rsid w:val="70FB1847"/>
    <w:rsid w:val="71044B32"/>
    <w:rsid w:val="7113780F"/>
    <w:rsid w:val="711A0B9D"/>
    <w:rsid w:val="71232991"/>
    <w:rsid w:val="71353C29"/>
    <w:rsid w:val="71632544"/>
    <w:rsid w:val="716F713B"/>
    <w:rsid w:val="71737F1D"/>
    <w:rsid w:val="71755DD4"/>
    <w:rsid w:val="71775FF0"/>
    <w:rsid w:val="717B6442"/>
    <w:rsid w:val="71A14E1B"/>
    <w:rsid w:val="71B40FF2"/>
    <w:rsid w:val="71C32FE3"/>
    <w:rsid w:val="71CA25C3"/>
    <w:rsid w:val="71D7083C"/>
    <w:rsid w:val="71D945B4"/>
    <w:rsid w:val="71DD11C4"/>
    <w:rsid w:val="71E74F23"/>
    <w:rsid w:val="71EA1B3B"/>
    <w:rsid w:val="71F16917"/>
    <w:rsid w:val="71F72C8D"/>
    <w:rsid w:val="71FB09CF"/>
    <w:rsid w:val="71FC02A3"/>
    <w:rsid w:val="720A6E64"/>
    <w:rsid w:val="721722DF"/>
    <w:rsid w:val="72180821"/>
    <w:rsid w:val="72516841"/>
    <w:rsid w:val="727D2B35"/>
    <w:rsid w:val="729055BB"/>
    <w:rsid w:val="72916C3D"/>
    <w:rsid w:val="7298446F"/>
    <w:rsid w:val="7298621E"/>
    <w:rsid w:val="72B35B55"/>
    <w:rsid w:val="72B8066E"/>
    <w:rsid w:val="72BD7A32"/>
    <w:rsid w:val="72BE4740"/>
    <w:rsid w:val="72CD2BE8"/>
    <w:rsid w:val="72D27981"/>
    <w:rsid w:val="72D74F98"/>
    <w:rsid w:val="72EC0317"/>
    <w:rsid w:val="73025992"/>
    <w:rsid w:val="730E028E"/>
    <w:rsid w:val="730E64E0"/>
    <w:rsid w:val="73116E3A"/>
    <w:rsid w:val="731A6C33"/>
    <w:rsid w:val="731D4975"/>
    <w:rsid w:val="73217D59"/>
    <w:rsid w:val="733741DA"/>
    <w:rsid w:val="733D0B73"/>
    <w:rsid w:val="736600CA"/>
    <w:rsid w:val="737E3665"/>
    <w:rsid w:val="73886292"/>
    <w:rsid w:val="738F5872"/>
    <w:rsid w:val="739E7864"/>
    <w:rsid w:val="73A03226"/>
    <w:rsid w:val="73AD7311"/>
    <w:rsid w:val="73B10055"/>
    <w:rsid w:val="73BA21C4"/>
    <w:rsid w:val="73BB407D"/>
    <w:rsid w:val="73CC2623"/>
    <w:rsid w:val="73E57241"/>
    <w:rsid w:val="73F743B1"/>
    <w:rsid w:val="740438D8"/>
    <w:rsid w:val="740A6CA7"/>
    <w:rsid w:val="74213FF1"/>
    <w:rsid w:val="74286AC6"/>
    <w:rsid w:val="74404DBF"/>
    <w:rsid w:val="7443040B"/>
    <w:rsid w:val="74510D7A"/>
    <w:rsid w:val="74534AF2"/>
    <w:rsid w:val="7479207F"/>
    <w:rsid w:val="74806553"/>
    <w:rsid w:val="748A428C"/>
    <w:rsid w:val="74AE3AD6"/>
    <w:rsid w:val="74AF5AA0"/>
    <w:rsid w:val="74C432FA"/>
    <w:rsid w:val="74CB28DA"/>
    <w:rsid w:val="74D379E1"/>
    <w:rsid w:val="74E27C24"/>
    <w:rsid w:val="74E57285"/>
    <w:rsid w:val="74FD05BA"/>
    <w:rsid w:val="74FE790A"/>
    <w:rsid w:val="7501454E"/>
    <w:rsid w:val="7507768A"/>
    <w:rsid w:val="750B0F29"/>
    <w:rsid w:val="751678CE"/>
    <w:rsid w:val="7518696C"/>
    <w:rsid w:val="75322959"/>
    <w:rsid w:val="75324707"/>
    <w:rsid w:val="75326F53"/>
    <w:rsid w:val="753D2178"/>
    <w:rsid w:val="753E264A"/>
    <w:rsid w:val="756A6FD2"/>
    <w:rsid w:val="75736ACE"/>
    <w:rsid w:val="7577036C"/>
    <w:rsid w:val="75882579"/>
    <w:rsid w:val="7589647F"/>
    <w:rsid w:val="758D4034"/>
    <w:rsid w:val="75913D16"/>
    <w:rsid w:val="75992AB4"/>
    <w:rsid w:val="75A94C83"/>
    <w:rsid w:val="75BE0DF8"/>
    <w:rsid w:val="75BE243F"/>
    <w:rsid w:val="75BF3AC1"/>
    <w:rsid w:val="75C13CDD"/>
    <w:rsid w:val="75D27C98"/>
    <w:rsid w:val="75D94B83"/>
    <w:rsid w:val="75E35A02"/>
    <w:rsid w:val="75E4177A"/>
    <w:rsid w:val="75E43528"/>
    <w:rsid w:val="75E961AB"/>
    <w:rsid w:val="75F37C14"/>
    <w:rsid w:val="75F419BD"/>
    <w:rsid w:val="75F72581"/>
    <w:rsid w:val="75FD5D40"/>
    <w:rsid w:val="760D2A7F"/>
    <w:rsid w:val="760D3D02"/>
    <w:rsid w:val="7619035D"/>
    <w:rsid w:val="762304F4"/>
    <w:rsid w:val="762B1157"/>
    <w:rsid w:val="763C06C2"/>
    <w:rsid w:val="76466500"/>
    <w:rsid w:val="764C7A4B"/>
    <w:rsid w:val="765B67F1"/>
    <w:rsid w:val="765C57B4"/>
    <w:rsid w:val="76607052"/>
    <w:rsid w:val="766823AB"/>
    <w:rsid w:val="767B0AFF"/>
    <w:rsid w:val="767B3E8C"/>
    <w:rsid w:val="768C6099"/>
    <w:rsid w:val="76A24EE0"/>
    <w:rsid w:val="76AA651F"/>
    <w:rsid w:val="76B31946"/>
    <w:rsid w:val="76B64EC4"/>
    <w:rsid w:val="76C577FD"/>
    <w:rsid w:val="76D31F1A"/>
    <w:rsid w:val="76DF08BF"/>
    <w:rsid w:val="76E16AC1"/>
    <w:rsid w:val="76E94618"/>
    <w:rsid w:val="76EA5970"/>
    <w:rsid w:val="76EE316F"/>
    <w:rsid w:val="76FD5224"/>
    <w:rsid w:val="771138F3"/>
    <w:rsid w:val="77180494"/>
    <w:rsid w:val="77277B70"/>
    <w:rsid w:val="772A7E2E"/>
    <w:rsid w:val="773500A6"/>
    <w:rsid w:val="7735677E"/>
    <w:rsid w:val="773724A9"/>
    <w:rsid w:val="773F135E"/>
    <w:rsid w:val="77400C32"/>
    <w:rsid w:val="77510B0F"/>
    <w:rsid w:val="77813724"/>
    <w:rsid w:val="7783749C"/>
    <w:rsid w:val="77860D3A"/>
    <w:rsid w:val="77901BB9"/>
    <w:rsid w:val="77931C2F"/>
    <w:rsid w:val="779A47E6"/>
    <w:rsid w:val="779C055E"/>
    <w:rsid w:val="77A411C1"/>
    <w:rsid w:val="77A53FBF"/>
    <w:rsid w:val="77A85155"/>
    <w:rsid w:val="77B749AC"/>
    <w:rsid w:val="77C81353"/>
    <w:rsid w:val="77CA44B0"/>
    <w:rsid w:val="77CE4490"/>
    <w:rsid w:val="77F32E40"/>
    <w:rsid w:val="77F71C38"/>
    <w:rsid w:val="77F739E6"/>
    <w:rsid w:val="77FB6923"/>
    <w:rsid w:val="78054355"/>
    <w:rsid w:val="78105060"/>
    <w:rsid w:val="783928CF"/>
    <w:rsid w:val="784A78C1"/>
    <w:rsid w:val="78544995"/>
    <w:rsid w:val="785625AD"/>
    <w:rsid w:val="7863107C"/>
    <w:rsid w:val="78643617"/>
    <w:rsid w:val="78762B5D"/>
    <w:rsid w:val="78764F7E"/>
    <w:rsid w:val="787E75A4"/>
    <w:rsid w:val="788259A6"/>
    <w:rsid w:val="78901B8C"/>
    <w:rsid w:val="78915BE9"/>
    <w:rsid w:val="78964FAD"/>
    <w:rsid w:val="789E20B4"/>
    <w:rsid w:val="78A23952"/>
    <w:rsid w:val="78B74F24"/>
    <w:rsid w:val="78BC20BC"/>
    <w:rsid w:val="78DE70C8"/>
    <w:rsid w:val="78ED6ECA"/>
    <w:rsid w:val="78F87A16"/>
    <w:rsid w:val="79020895"/>
    <w:rsid w:val="79072FBD"/>
    <w:rsid w:val="790C1713"/>
    <w:rsid w:val="791660EE"/>
    <w:rsid w:val="792A3948"/>
    <w:rsid w:val="792F71B0"/>
    <w:rsid w:val="79566E57"/>
    <w:rsid w:val="79690914"/>
    <w:rsid w:val="79751067"/>
    <w:rsid w:val="797E1DD7"/>
    <w:rsid w:val="799D236B"/>
    <w:rsid w:val="79AE2485"/>
    <w:rsid w:val="79BF16D8"/>
    <w:rsid w:val="79C93160"/>
    <w:rsid w:val="79CE4C1B"/>
    <w:rsid w:val="79ED50A1"/>
    <w:rsid w:val="79FA77BE"/>
    <w:rsid w:val="7A08012D"/>
    <w:rsid w:val="7A0B4EBF"/>
    <w:rsid w:val="7A1B7E60"/>
    <w:rsid w:val="7A252A8D"/>
    <w:rsid w:val="7A454EDD"/>
    <w:rsid w:val="7A467FEA"/>
    <w:rsid w:val="7A4822D7"/>
    <w:rsid w:val="7A523156"/>
    <w:rsid w:val="7A546ECE"/>
    <w:rsid w:val="7A5471AB"/>
    <w:rsid w:val="7A634FA4"/>
    <w:rsid w:val="7A70182E"/>
    <w:rsid w:val="7A7255A6"/>
    <w:rsid w:val="7A8A0B42"/>
    <w:rsid w:val="7A9048BA"/>
    <w:rsid w:val="7AA01D0C"/>
    <w:rsid w:val="7AAA4D40"/>
    <w:rsid w:val="7AAB138A"/>
    <w:rsid w:val="7AB21E46"/>
    <w:rsid w:val="7AB71FDE"/>
    <w:rsid w:val="7ABE4C8F"/>
    <w:rsid w:val="7AD63D87"/>
    <w:rsid w:val="7AD71474"/>
    <w:rsid w:val="7ADA3086"/>
    <w:rsid w:val="7AEF4E49"/>
    <w:rsid w:val="7AF34939"/>
    <w:rsid w:val="7AF5797B"/>
    <w:rsid w:val="7B113011"/>
    <w:rsid w:val="7B147161"/>
    <w:rsid w:val="7B172D5C"/>
    <w:rsid w:val="7B3F5F83"/>
    <w:rsid w:val="7B4329E3"/>
    <w:rsid w:val="7B476A33"/>
    <w:rsid w:val="7B4A02D1"/>
    <w:rsid w:val="7B51165F"/>
    <w:rsid w:val="7B65510B"/>
    <w:rsid w:val="7B6E3DF9"/>
    <w:rsid w:val="7B7315D6"/>
    <w:rsid w:val="7B762E74"/>
    <w:rsid w:val="7B77530A"/>
    <w:rsid w:val="7B8C30A7"/>
    <w:rsid w:val="7BBF481B"/>
    <w:rsid w:val="7BC63DFB"/>
    <w:rsid w:val="7BC72961"/>
    <w:rsid w:val="7BDD144D"/>
    <w:rsid w:val="7BEB3997"/>
    <w:rsid w:val="7BFE1DCD"/>
    <w:rsid w:val="7C0466D2"/>
    <w:rsid w:val="7C06069C"/>
    <w:rsid w:val="7C1151E9"/>
    <w:rsid w:val="7C254DB4"/>
    <w:rsid w:val="7C26489A"/>
    <w:rsid w:val="7C2A2EC2"/>
    <w:rsid w:val="7C484810"/>
    <w:rsid w:val="7C570EF7"/>
    <w:rsid w:val="7C6F7FEF"/>
    <w:rsid w:val="7C8D4919"/>
    <w:rsid w:val="7C8F4BFB"/>
    <w:rsid w:val="7C920181"/>
    <w:rsid w:val="7C96137D"/>
    <w:rsid w:val="7C9A0DE4"/>
    <w:rsid w:val="7CA0289E"/>
    <w:rsid w:val="7CAF09B7"/>
    <w:rsid w:val="7CB70E02"/>
    <w:rsid w:val="7CBC60B4"/>
    <w:rsid w:val="7CC6546E"/>
    <w:rsid w:val="7CC924D2"/>
    <w:rsid w:val="7CD04806"/>
    <w:rsid w:val="7CD442F6"/>
    <w:rsid w:val="7CE41091"/>
    <w:rsid w:val="7CF36E72"/>
    <w:rsid w:val="7CF37A17"/>
    <w:rsid w:val="7CF76237"/>
    <w:rsid w:val="7CFA23EA"/>
    <w:rsid w:val="7D11554A"/>
    <w:rsid w:val="7D133D8E"/>
    <w:rsid w:val="7D1808AD"/>
    <w:rsid w:val="7D1D7A52"/>
    <w:rsid w:val="7D231EC9"/>
    <w:rsid w:val="7D2A2168"/>
    <w:rsid w:val="7D470F6C"/>
    <w:rsid w:val="7D5611AF"/>
    <w:rsid w:val="7D567A86"/>
    <w:rsid w:val="7D58185B"/>
    <w:rsid w:val="7D6A07B6"/>
    <w:rsid w:val="7D761851"/>
    <w:rsid w:val="7D82316D"/>
    <w:rsid w:val="7D8B14D8"/>
    <w:rsid w:val="7D8C697F"/>
    <w:rsid w:val="7D9677FD"/>
    <w:rsid w:val="7DB14637"/>
    <w:rsid w:val="7DB21766"/>
    <w:rsid w:val="7DD62B71"/>
    <w:rsid w:val="7DF10ED8"/>
    <w:rsid w:val="7E040C0B"/>
    <w:rsid w:val="7E08541B"/>
    <w:rsid w:val="7E1B1ABA"/>
    <w:rsid w:val="7E1F5A45"/>
    <w:rsid w:val="7E2412AD"/>
    <w:rsid w:val="7E2D63B4"/>
    <w:rsid w:val="7E344BFB"/>
    <w:rsid w:val="7E386B07"/>
    <w:rsid w:val="7E3F1C43"/>
    <w:rsid w:val="7E417B8F"/>
    <w:rsid w:val="7E462FD2"/>
    <w:rsid w:val="7E5751DF"/>
    <w:rsid w:val="7E8B6C36"/>
    <w:rsid w:val="7E8E4951"/>
    <w:rsid w:val="7E9006F1"/>
    <w:rsid w:val="7EA45F4A"/>
    <w:rsid w:val="7EA74116"/>
    <w:rsid w:val="7ECD724F"/>
    <w:rsid w:val="7ED20D09"/>
    <w:rsid w:val="7EDD7358"/>
    <w:rsid w:val="7EE675E9"/>
    <w:rsid w:val="7EF46ED2"/>
    <w:rsid w:val="7EF60E67"/>
    <w:rsid w:val="7EFB200E"/>
    <w:rsid w:val="7EFE38AC"/>
    <w:rsid w:val="7F052E8D"/>
    <w:rsid w:val="7F0864D9"/>
    <w:rsid w:val="7F0E67A8"/>
    <w:rsid w:val="7F2350C1"/>
    <w:rsid w:val="7F2826D7"/>
    <w:rsid w:val="7F2D5F40"/>
    <w:rsid w:val="7F3177DE"/>
    <w:rsid w:val="7F387385"/>
    <w:rsid w:val="7F3B065C"/>
    <w:rsid w:val="7F3E1EFB"/>
    <w:rsid w:val="7F536173"/>
    <w:rsid w:val="7F8F6BFA"/>
    <w:rsid w:val="7F947D6D"/>
    <w:rsid w:val="7F9C388A"/>
    <w:rsid w:val="7F9D2987"/>
    <w:rsid w:val="7FA02BB5"/>
    <w:rsid w:val="7FA53D28"/>
    <w:rsid w:val="7FB83A5B"/>
    <w:rsid w:val="7FC40652"/>
    <w:rsid w:val="7FDA2680"/>
    <w:rsid w:val="7FE231CE"/>
    <w:rsid w:val="7FEF56DC"/>
    <w:rsid w:val="7FF11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0" w:semiHidden="0" w:name="heading 3"/>
    <w:lsdException w:qFormat="1" w:uiPriority="9" w:semiHidden="0" w:name="heading 4"/>
    <w:lsdException w:qFormat="1" w:unhideWhenUsed="0" w:uiPriority="1" w:semiHidden="0" w:name="heading 5"/>
    <w:lsdException w:qFormat="1" w:unhideWhenUsed="0" w:uiPriority="1"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numPr>
        <w:ilvl w:val="0"/>
        <w:numId w:val="1"/>
      </w:numPr>
      <w:spacing w:line="360" w:lineRule="auto"/>
      <w:ind w:left="432" w:hanging="432"/>
      <w:outlineLvl w:val="0"/>
    </w:pPr>
    <w:rPr>
      <w:rFonts w:eastAsia="宋体" w:asciiTheme="minorAscii" w:hAnsiTheme="minorAscii"/>
      <w:b/>
      <w:bCs/>
      <w:kern w:val="44"/>
      <w:sz w:val="32"/>
      <w:szCs w:val="44"/>
    </w:rPr>
  </w:style>
  <w:style w:type="paragraph" w:styleId="3">
    <w:name w:val="heading 2"/>
    <w:basedOn w:val="1"/>
    <w:next w:val="1"/>
    <w:qFormat/>
    <w:uiPriority w:val="1"/>
    <w:pPr>
      <w:numPr>
        <w:ilvl w:val="1"/>
        <w:numId w:val="1"/>
      </w:numPr>
      <w:spacing w:line="360" w:lineRule="auto"/>
      <w:ind w:left="575" w:hanging="575"/>
      <w:jc w:val="left"/>
      <w:outlineLvl w:val="1"/>
    </w:pPr>
    <w:rPr>
      <w:rFonts w:ascii="宋体" w:hAnsi="宋体" w:eastAsia="宋体" w:cs="宋体"/>
      <w:b/>
      <w:bCs/>
      <w:sz w:val="30"/>
      <w:szCs w:val="32"/>
      <w:lang w:val="zh-CN" w:bidi="zh-CN"/>
    </w:rPr>
  </w:style>
  <w:style w:type="paragraph" w:styleId="4">
    <w:name w:val="heading 3"/>
    <w:basedOn w:val="1"/>
    <w:next w:val="1"/>
    <w:link w:val="45"/>
    <w:unhideWhenUsed/>
    <w:qFormat/>
    <w:uiPriority w:val="0"/>
    <w:pPr>
      <w:keepNext/>
      <w:keepLines/>
      <w:numPr>
        <w:ilvl w:val="2"/>
        <w:numId w:val="1"/>
      </w:numPr>
      <w:spacing w:line="360" w:lineRule="auto"/>
      <w:ind w:left="0" w:firstLine="0"/>
      <w:outlineLvl w:val="2"/>
    </w:pPr>
    <w:rPr>
      <w:rFonts w:eastAsia="宋体" w:asciiTheme="minorAscii" w:hAnsiTheme="minorAscii"/>
      <w:b/>
      <w:bCs/>
      <w:sz w:val="28"/>
      <w:szCs w:val="32"/>
    </w:rPr>
  </w:style>
  <w:style w:type="paragraph" w:styleId="5">
    <w:name w:val="heading 4"/>
    <w:basedOn w:val="1"/>
    <w:next w:val="6"/>
    <w:link w:val="46"/>
    <w:unhideWhenUsed/>
    <w:qFormat/>
    <w:uiPriority w:val="9"/>
    <w:pPr>
      <w:keepNext/>
      <w:keepLines/>
      <w:numPr>
        <w:ilvl w:val="3"/>
        <w:numId w:val="1"/>
      </w:numPr>
      <w:spacing w:line="360" w:lineRule="auto"/>
      <w:ind w:left="0" w:firstLine="0"/>
      <w:outlineLvl w:val="3"/>
    </w:pPr>
    <w:rPr>
      <w:rFonts w:eastAsia="宋体" w:asciiTheme="majorAscii" w:hAnsiTheme="majorAscii" w:cstheme="majorBidi"/>
      <w:b/>
      <w:bCs/>
      <w:sz w:val="24"/>
      <w:szCs w:val="28"/>
    </w:rPr>
  </w:style>
  <w:style w:type="paragraph" w:styleId="9">
    <w:name w:val="heading 5"/>
    <w:basedOn w:val="1"/>
    <w:next w:val="1"/>
    <w:qFormat/>
    <w:uiPriority w:val="1"/>
    <w:pPr>
      <w:numPr>
        <w:ilvl w:val="4"/>
        <w:numId w:val="1"/>
      </w:numPr>
      <w:spacing w:line="360" w:lineRule="auto"/>
      <w:ind w:left="1009" w:hanging="1009"/>
      <w:outlineLvl w:val="4"/>
    </w:pPr>
    <w:rPr>
      <w:rFonts w:ascii="宋体" w:hAnsi="宋体" w:eastAsia="宋体" w:cs="宋体"/>
      <w:b/>
      <w:bCs/>
      <w:sz w:val="24"/>
      <w:szCs w:val="24"/>
    </w:rPr>
  </w:style>
  <w:style w:type="paragraph" w:styleId="10">
    <w:name w:val="heading 6"/>
    <w:basedOn w:val="1"/>
    <w:next w:val="1"/>
    <w:qFormat/>
    <w:uiPriority w:val="1"/>
    <w:pPr>
      <w:numPr>
        <w:ilvl w:val="5"/>
        <w:numId w:val="1"/>
      </w:numPr>
      <w:ind w:left="1151" w:hanging="1151"/>
      <w:outlineLvl w:val="5"/>
    </w:pPr>
    <w:rPr>
      <w:rFonts w:ascii="宋体" w:hAnsi="宋体" w:eastAsia="宋体" w:cs="宋体"/>
      <w:b/>
      <w:bCs/>
      <w:sz w:val="24"/>
      <w:szCs w:val="24"/>
      <w:lang w:val="zh-CN" w:eastAsia="zh-CN" w:bidi="zh-CN"/>
    </w:rPr>
  </w:style>
  <w:style w:type="paragraph" w:styleId="11">
    <w:name w:val="heading 7"/>
    <w:basedOn w:val="1"/>
    <w:next w:val="1"/>
    <w:unhideWhenUsed/>
    <w:qFormat/>
    <w:uiPriority w:val="9"/>
    <w:pPr>
      <w:keepNext/>
      <w:keepLines/>
      <w:numPr>
        <w:ilvl w:val="6"/>
        <w:numId w:val="1"/>
      </w:numPr>
      <w:tabs>
        <w:tab w:val="left" w:pos="1296"/>
      </w:tabs>
      <w:spacing w:line="360" w:lineRule="auto"/>
      <w:ind w:left="1296" w:hanging="1296" w:firstLineChars="0"/>
      <w:outlineLvl w:val="6"/>
    </w:pPr>
  </w:style>
  <w:style w:type="paragraph" w:styleId="12">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3">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41">
    <w:name w:val="Default Paragraph Font"/>
    <w:semiHidden/>
    <w:unhideWhenUsed/>
    <w:qFormat/>
    <w:uiPriority w:val="1"/>
  </w:style>
  <w:style w:type="table" w:default="1" w:styleId="3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1"/>
    <w:next w:val="7"/>
    <w:unhideWhenUsed/>
    <w:qFormat/>
    <w:uiPriority w:val="99"/>
    <w:pPr>
      <w:ind w:firstLine="420" w:firstLineChars="100"/>
    </w:pPr>
  </w:style>
  <w:style w:type="paragraph" w:styleId="7">
    <w:name w:val="Plain Text"/>
    <w:basedOn w:val="1"/>
    <w:next w:val="8"/>
    <w:qFormat/>
    <w:uiPriority w:val="0"/>
    <w:pPr>
      <w:ind w:firstLine="200"/>
    </w:pPr>
    <w:rPr>
      <w:rFonts w:ascii="宋体" w:hAnsi="Courier New"/>
      <w:szCs w:val="24"/>
    </w:rPr>
  </w:style>
  <w:style w:type="paragraph" w:styleId="8">
    <w:name w:val="List Number 5"/>
    <w:basedOn w:val="1"/>
    <w:semiHidden/>
    <w:unhideWhenUsed/>
    <w:qFormat/>
    <w:uiPriority w:val="99"/>
    <w:pPr>
      <w:numPr>
        <w:ilvl w:val="0"/>
        <w:numId w:val="2"/>
      </w:numPr>
    </w:pPr>
  </w:style>
  <w:style w:type="paragraph" w:styleId="14">
    <w:name w:val="toc 7"/>
    <w:basedOn w:val="1"/>
    <w:next w:val="1"/>
    <w:unhideWhenUsed/>
    <w:qFormat/>
    <w:uiPriority w:val="39"/>
    <w:pPr>
      <w:ind w:left="2520" w:leftChars="1200"/>
    </w:pPr>
  </w:style>
  <w:style w:type="paragraph" w:styleId="15">
    <w:name w:val="table of authorities"/>
    <w:basedOn w:val="1"/>
    <w:next w:val="1"/>
    <w:qFormat/>
    <w:uiPriority w:val="0"/>
    <w:pPr>
      <w:ind w:left="420" w:leftChars="200"/>
    </w:pPr>
  </w:style>
  <w:style w:type="paragraph" w:styleId="16">
    <w:name w:val="Normal Indent"/>
    <w:basedOn w:val="1"/>
    <w:next w:val="1"/>
    <w:unhideWhenUsed/>
    <w:qFormat/>
    <w:uiPriority w:val="0"/>
    <w:pPr>
      <w:ind w:firstLine="420"/>
    </w:pPr>
    <w:rPr>
      <w:sz w:val="28"/>
      <w:szCs w:val="24"/>
    </w:rPr>
  </w:style>
  <w:style w:type="paragraph" w:styleId="17">
    <w:name w:val="caption"/>
    <w:basedOn w:val="1"/>
    <w:next w:val="1"/>
    <w:qFormat/>
    <w:uiPriority w:val="0"/>
    <w:pPr>
      <w:spacing w:before="152" w:after="160"/>
    </w:pPr>
    <w:rPr>
      <w:rFonts w:ascii="Arial" w:hAnsi="Arial" w:eastAsia="黑体" w:cs="Arial"/>
      <w:sz w:val="20"/>
      <w:szCs w:val="20"/>
    </w:rPr>
  </w:style>
  <w:style w:type="paragraph" w:styleId="18">
    <w:name w:val="annotation text"/>
    <w:basedOn w:val="1"/>
    <w:semiHidden/>
    <w:unhideWhenUsed/>
    <w:qFormat/>
    <w:uiPriority w:val="99"/>
    <w:pPr>
      <w:jc w:val="left"/>
    </w:pPr>
  </w:style>
  <w:style w:type="paragraph" w:styleId="19">
    <w:name w:val="Body Text"/>
    <w:basedOn w:val="1"/>
    <w:next w:val="1"/>
    <w:link w:val="50"/>
    <w:unhideWhenUsed/>
    <w:qFormat/>
    <w:uiPriority w:val="99"/>
    <w:pPr>
      <w:shd w:val="clear" w:color="auto" w:fill="FFFFFF"/>
      <w:spacing w:line="437" w:lineRule="auto"/>
      <w:ind w:firstLine="400"/>
    </w:pPr>
    <w:rPr>
      <w:rFonts w:hint="eastAsia" w:ascii="黑体" w:eastAsia="黑体"/>
      <w:sz w:val="22"/>
      <w:lang w:val="zh-CN"/>
    </w:rPr>
  </w:style>
  <w:style w:type="paragraph" w:styleId="20">
    <w:name w:val="Body Text Indent"/>
    <w:basedOn w:val="1"/>
    <w:qFormat/>
    <w:uiPriority w:val="0"/>
    <w:pPr>
      <w:spacing w:after="120"/>
      <w:ind w:left="420" w:leftChars="200"/>
    </w:pPr>
    <w:rPr>
      <w:kern w:val="0"/>
      <w:sz w:val="24"/>
      <w:szCs w:val="20"/>
    </w:rPr>
  </w:style>
  <w:style w:type="paragraph" w:styleId="21">
    <w:name w:val="List 2"/>
    <w:basedOn w:val="1"/>
    <w:qFormat/>
    <w:uiPriority w:val="0"/>
    <w:pPr>
      <w:ind w:left="100" w:leftChars="200" w:hanging="200" w:hangingChars="200"/>
    </w:pPr>
  </w:style>
  <w:style w:type="paragraph" w:styleId="22">
    <w:name w:val="toc 5"/>
    <w:basedOn w:val="1"/>
    <w:next w:val="1"/>
    <w:unhideWhenUsed/>
    <w:qFormat/>
    <w:uiPriority w:val="39"/>
    <w:pPr>
      <w:ind w:left="1680" w:leftChars="800"/>
    </w:pPr>
  </w:style>
  <w:style w:type="paragraph" w:styleId="23">
    <w:name w:val="toc 3"/>
    <w:basedOn w:val="1"/>
    <w:next w:val="1"/>
    <w:unhideWhenUsed/>
    <w:qFormat/>
    <w:uiPriority w:val="39"/>
    <w:pPr>
      <w:spacing w:line="360" w:lineRule="auto"/>
      <w:ind w:left="400" w:leftChars="400"/>
    </w:pPr>
    <w:rPr>
      <w:rFonts w:ascii="Times New Roman" w:hAnsi="Times New Roman" w:eastAsia="宋体"/>
    </w:rPr>
  </w:style>
  <w:style w:type="paragraph" w:styleId="24">
    <w:name w:val="toc 8"/>
    <w:basedOn w:val="1"/>
    <w:next w:val="1"/>
    <w:unhideWhenUsed/>
    <w:qFormat/>
    <w:uiPriority w:val="39"/>
    <w:pPr>
      <w:ind w:left="2940" w:leftChars="1400"/>
    </w:pPr>
  </w:style>
  <w:style w:type="paragraph" w:styleId="25">
    <w:name w:val="Date"/>
    <w:basedOn w:val="1"/>
    <w:next w:val="1"/>
    <w:link w:val="84"/>
    <w:semiHidden/>
    <w:unhideWhenUsed/>
    <w:qFormat/>
    <w:uiPriority w:val="99"/>
    <w:pPr>
      <w:ind w:left="100" w:leftChars="2500"/>
    </w:pPr>
  </w:style>
  <w:style w:type="paragraph" w:styleId="26">
    <w:name w:val="Body Text Indent 2"/>
    <w:basedOn w:val="1"/>
    <w:next w:val="1"/>
    <w:qFormat/>
    <w:uiPriority w:val="0"/>
    <w:pPr>
      <w:spacing w:after="120" w:line="480" w:lineRule="auto"/>
      <w:ind w:left="420" w:leftChars="200"/>
    </w:pPr>
  </w:style>
  <w:style w:type="paragraph" w:styleId="27">
    <w:name w:val="footer"/>
    <w:basedOn w:val="1"/>
    <w:link w:val="51"/>
    <w:unhideWhenUsed/>
    <w:qFormat/>
    <w:uiPriority w:val="99"/>
    <w:pPr>
      <w:tabs>
        <w:tab w:val="center" w:pos="4153"/>
        <w:tab w:val="right" w:pos="8306"/>
      </w:tabs>
      <w:snapToGrid w:val="0"/>
      <w:jc w:val="left"/>
    </w:pPr>
    <w:rPr>
      <w:sz w:val="18"/>
      <w:szCs w:val="18"/>
    </w:rPr>
  </w:style>
  <w:style w:type="paragraph" w:styleId="28">
    <w:name w:val="header"/>
    <w:basedOn w:val="1"/>
    <w:next w:val="1"/>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unhideWhenUsed/>
    <w:qFormat/>
    <w:uiPriority w:val="39"/>
    <w:pPr>
      <w:spacing w:line="360" w:lineRule="auto"/>
    </w:pPr>
    <w:rPr>
      <w:rFonts w:ascii="Times New Roman" w:hAnsi="Times New Roman" w:eastAsia="宋体"/>
      <w:spacing w:val="10"/>
      <w:sz w:val="28"/>
    </w:rPr>
  </w:style>
  <w:style w:type="paragraph" w:styleId="30">
    <w:name w:val="toc 4"/>
    <w:basedOn w:val="1"/>
    <w:next w:val="1"/>
    <w:unhideWhenUsed/>
    <w:qFormat/>
    <w:uiPriority w:val="39"/>
    <w:pPr>
      <w:ind w:left="1260" w:leftChars="600"/>
    </w:pPr>
  </w:style>
  <w:style w:type="paragraph" w:styleId="31">
    <w:name w:val="List"/>
    <w:basedOn w:val="21"/>
    <w:next w:val="1"/>
    <w:qFormat/>
    <w:uiPriority w:val="0"/>
    <w:pPr>
      <w:spacing w:line="240" w:lineRule="auto"/>
      <w:ind w:left="0" w:firstLine="0" w:firstLineChars="0"/>
      <w:contextualSpacing/>
      <w:jc w:val="center"/>
    </w:pPr>
  </w:style>
  <w:style w:type="paragraph" w:styleId="32">
    <w:name w:val="toc 6"/>
    <w:basedOn w:val="1"/>
    <w:next w:val="1"/>
    <w:unhideWhenUsed/>
    <w:qFormat/>
    <w:uiPriority w:val="39"/>
    <w:pPr>
      <w:ind w:left="2100" w:leftChars="1000"/>
    </w:pPr>
  </w:style>
  <w:style w:type="paragraph" w:styleId="33">
    <w:name w:val="Body Text Indent 3"/>
    <w:basedOn w:val="1"/>
    <w:qFormat/>
    <w:uiPriority w:val="0"/>
    <w:pPr>
      <w:ind w:firstLine="495"/>
    </w:pPr>
  </w:style>
  <w:style w:type="paragraph" w:styleId="34">
    <w:name w:val="toc 2"/>
    <w:basedOn w:val="1"/>
    <w:next w:val="1"/>
    <w:unhideWhenUsed/>
    <w:qFormat/>
    <w:uiPriority w:val="39"/>
    <w:pPr>
      <w:spacing w:line="360" w:lineRule="auto"/>
      <w:ind w:left="200" w:leftChars="200"/>
    </w:pPr>
    <w:rPr>
      <w:rFonts w:ascii="Times New Roman" w:hAnsi="Times New Roman" w:eastAsia="宋体"/>
      <w:spacing w:val="10"/>
      <w:sz w:val="24"/>
    </w:rPr>
  </w:style>
  <w:style w:type="paragraph" w:styleId="35">
    <w:name w:val="toc 9"/>
    <w:basedOn w:val="1"/>
    <w:next w:val="1"/>
    <w:unhideWhenUsed/>
    <w:qFormat/>
    <w:uiPriority w:val="39"/>
    <w:pPr>
      <w:ind w:left="3360" w:leftChars="1600"/>
    </w:pPr>
  </w:style>
  <w:style w:type="paragraph" w:styleId="36">
    <w:name w:val="Normal (Web)"/>
    <w:basedOn w:val="1"/>
    <w:qFormat/>
    <w:uiPriority w:val="0"/>
    <w:pPr>
      <w:spacing w:before="100" w:beforeAutospacing="1" w:after="100" w:afterAutospacing="1"/>
    </w:pPr>
    <w:rPr>
      <w:rFonts w:ascii="宋体" w:hAnsi="宋体" w:eastAsia="等线" w:cs="宋体"/>
      <w:sz w:val="24"/>
      <w:szCs w:val="22"/>
      <w:lang w:val="en-US" w:eastAsia="zh-CN" w:bidi="ar-SA"/>
    </w:rPr>
  </w:style>
  <w:style w:type="paragraph" w:styleId="37">
    <w:name w:val="Title"/>
    <w:basedOn w:val="1"/>
    <w:next w:val="1"/>
    <w:qFormat/>
    <w:uiPriority w:val="0"/>
    <w:pPr>
      <w:spacing w:before="240" w:after="60"/>
      <w:jc w:val="center"/>
      <w:outlineLvl w:val="0"/>
    </w:pPr>
    <w:rPr>
      <w:rFonts w:ascii="Arial" w:hAnsi="Arial" w:cs="Arial"/>
      <w:b/>
      <w:bCs/>
      <w:sz w:val="32"/>
      <w:szCs w:val="32"/>
    </w:rPr>
  </w:style>
  <w:style w:type="paragraph" w:styleId="38">
    <w:name w:val="Body Text First Indent 2"/>
    <w:basedOn w:val="20"/>
    <w:next w:val="1"/>
    <w:unhideWhenUsed/>
    <w:qFormat/>
    <w:uiPriority w:val="99"/>
    <w:pPr>
      <w:spacing w:before="120" w:after="120"/>
      <w:ind w:firstLine="420" w:firstLineChars="200"/>
    </w:pPr>
  </w:style>
  <w:style w:type="table" w:styleId="40">
    <w:name w:val="Table Grid"/>
    <w:basedOn w:val="3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style>
  <w:style w:type="character" w:styleId="44">
    <w:name w:val="Hyperlink"/>
    <w:basedOn w:val="41"/>
    <w:unhideWhenUsed/>
    <w:qFormat/>
    <w:uiPriority w:val="99"/>
    <w:rPr>
      <w:color w:val="0563C1" w:themeColor="hyperlink"/>
      <w:u w:val="single"/>
      <w14:textFill>
        <w14:solidFill>
          <w14:schemeClr w14:val="hlink"/>
        </w14:solidFill>
      </w14:textFill>
    </w:rPr>
  </w:style>
  <w:style w:type="character" w:customStyle="1" w:styleId="45">
    <w:name w:val="标题 3 Char"/>
    <w:link w:val="4"/>
    <w:qFormat/>
    <w:uiPriority w:val="0"/>
    <w:rPr>
      <w:rFonts w:eastAsia="宋体" w:asciiTheme="minorAscii" w:hAnsiTheme="minorAscii"/>
      <w:b/>
      <w:bCs/>
      <w:sz w:val="28"/>
      <w:szCs w:val="32"/>
    </w:rPr>
  </w:style>
  <w:style w:type="character" w:customStyle="1" w:styleId="46">
    <w:name w:val="标题 4 字符"/>
    <w:basedOn w:val="41"/>
    <w:link w:val="5"/>
    <w:semiHidden/>
    <w:qFormat/>
    <w:uiPriority w:val="9"/>
    <w:rPr>
      <w:rFonts w:eastAsia="宋体" w:asciiTheme="majorAscii" w:hAnsiTheme="majorAscii" w:cstheme="majorBidi"/>
      <w:b/>
      <w:bCs/>
      <w:kern w:val="2"/>
      <w:sz w:val="24"/>
      <w:szCs w:val="28"/>
    </w:rPr>
  </w:style>
  <w:style w:type="paragraph" w:customStyle="1" w:styleId="47">
    <w:name w:val="xl27"/>
    <w:basedOn w:val="1"/>
    <w:next w:val="26"/>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8">
    <w:name w:val="_Style 1"/>
    <w:basedOn w:val="1"/>
    <w:qFormat/>
    <w:uiPriority w:val="99"/>
    <w:pPr>
      <w:ind w:firstLine="420" w:firstLineChars="200"/>
    </w:pPr>
  </w:style>
  <w:style w:type="paragraph" w:customStyle="1" w:styleId="49">
    <w:name w:val="正文缩进2"/>
    <w:basedOn w:val="1"/>
    <w:unhideWhenUsed/>
    <w:qFormat/>
    <w:uiPriority w:val="0"/>
    <w:pPr>
      <w:ind w:firstLine="720" w:firstLineChars="200"/>
    </w:pPr>
  </w:style>
  <w:style w:type="character" w:customStyle="1" w:styleId="50">
    <w:name w:val="正文文本 字符1"/>
    <w:basedOn w:val="41"/>
    <w:link w:val="19"/>
    <w:unhideWhenUsed/>
    <w:qFormat/>
    <w:uiPriority w:val="99"/>
    <w:rPr>
      <w:rFonts w:hint="eastAsia" w:ascii="黑体" w:hAnsi="Times New Roman" w:eastAsia="黑体"/>
      <w:sz w:val="22"/>
      <w:lang w:val="zh-CN" w:eastAsia="zh-CN"/>
    </w:rPr>
  </w:style>
  <w:style w:type="character" w:customStyle="1" w:styleId="51">
    <w:name w:val="页脚 字符"/>
    <w:basedOn w:val="41"/>
    <w:link w:val="27"/>
    <w:qFormat/>
    <w:uiPriority w:val="99"/>
    <w:rPr>
      <w:sz w:val="18"/>
      <w:szCs w:val="18"/>
    </w:rPr>
  </w:style>
  <w:style w:type="character" w:customStyle="1" w:styleId="52">
    <w:name w:val="页眉 字符"/>
    <w:basedOn w:val="41"/>
    <w:link w:val="28"/>
    <w:qFormat/>
    <w:uiPriority w:val="99"/>
    <w:rPr>
      <w:sz w:val="18"/>
      <w:szCs w:val="18"/>
    </w:rPr>
  </w:style>
  <w:style w:type="paragraph" w:customStyle="1" w:styleId="53">
    <w:name w:val="标题 #4"/>
    <w:basedOn w:val="1"/>
    <w:link w:val="54"/>
    <w:unhideWhenUsed/>
    <w:qFormat/>
    <w:uiPriority w:val="99"/>
    <w:pPr>
      <w:shd w:val="clear" w:color="auto" w:fill="FFFFFF"/>
      <w:spacing w:after="200"/>
      <w:outlineLvl w:val="3"/>
    </w:pPr>
    <w:rPr>
      <w:rFonts w:hint="eastAsia" w:ascii="黑体" w:eastAsia="黑体"/>
      <w:sz w:val="28"/>
      <w:lang w:val="zh-CN"/>
    </w:rPr>
  </w:style>
  <w:style w:type="character" w:customStyle="1" w:styleId="54">
    <w:name w:val="标题 #4_"/>
    <w:basedOn w:val="41"/>
    <w:link w:val="53"/>
    <w:unhideWhenUsed/>
    <w:qFormat/>
    <w:uiPriority w:val="99"/>
    <w:rPr>
      <w:rFonts w:hint="eastAsia" w:ascii="黑体" w:eastAsia="黑体"/>
      <w:sz w:val="28"/>
      <w:lang w:val="zh-CN" w:eastAsia="zh-CN"/>
    </w:rPr>
  </w:style>
  <w:style w:type="character" w:customStyle="1" w:styleId="55">
    <w:name w:val="正文文本 字符"/>
    <w:basedOn w:val="41"/>
    <w:unhideWhenUsed/>
    <w:qFormat/>
    <w:uiPriority w:val="99"/>
    <w:rPr>
      <w:rFonts w:hint="eastAsia" w:ascii="黑体" w:eastAsia="黑体"/>
      <w:sz w:val="22"/>
      <w:lang w:val="zh-CN" w:eastAsia="zh-CN"/>
    </w:rPr>
  </w:style>
  <w:style w:type="paragraph" w:customStyle="1" w:styleId="56">
    <w:name w:val="标题 #5"/>
    <w:basedOn w:val="1"/>
    <w:link w:val="57"/>
    <w:unhideWhenUsed/>
    <w:qFormat/>
    <w:uiPriority w:val="99"/>
    <w:pPr>
      <w:shd w:val="clear" w:color="auto" w:fill="FFFFFF"/>
      <w:spacing w:line="408" w:lineRule="auto"/>
      <w:ind w:firstLine="480"/>
      <w:outlineLvl w:val="4"/>
    </w:pPr>
    <w:rPr>
      <w:rFonts w:hint="eastAsia" w:ascii="黑体" w:eastAsia="黑体"/>
      <w:b/>
      <w:sz w:val="22"/>
      <w:lang w:val="zh-CN"/>
    </w:rPr>
  </w:style>
  <w:style w:type="character" w:customStyle="1" w:styleId="57">
    <w:name w:val="标题 #5_"/>
    <w:basedOn w:val="41"/>
    <w:link w:val="56"/>
    <w:unhideWhenUsed/>
    <w:qFormat/>
    <w:uiPriority w:val="99"/>
    <w:rPr>
      <w:rFonts w:hint="eastAsia" w:ascii="黑体" w:eastAsia="黑体"/>
      <w:b/>
      <w:sz w:val="22"/>
      <w:lang w:val="zh-CN" w:eastAsia="zh-CN"/>
    </w:rPr>
  </w:style>
  <w:style w:type="paragraph" w:customStyle="1" w:styleId="58">
    <w:name w:val="正文文本 (2)"/>
    <w:basedOn w:val="1"/>
    <w:link w:val="59"/>
    <w:unhideWhenUsed/>
    <w:qFormat/>
    <w:uiPriority w:val="99"/>
    <w:pPr>
      <w:shd w:val="clear" w:color="auto" w:fill="FFFFFF"/>
    </w:pPr>
    <w:rPr>
      <w:rFonts w:hint="eastAsia" w:ascii="Times New Roman" w:hAnsi="Times New Roman"/>
      <w:sz w:val="24"/>
    </w:rPr>
  </w:style>
  <w:style w:type="character" w:customStyle="1" w:styleId="59">
    <w:name w:val="正文文本 (2)_"/>
    <w:basedOn w:val="41"/>
    <w:link w:val="58"/>
    <w:unhideWhenUsed/>
    <w:qFormat/>
    <w:uiPriority w:val="99"/>
    <w:rPr>
      <w:rFonts w:hint="eastAsia" w:ascii="Times New Roman" w:hAnsi="Times New Roman"/>
      <w:sz w:val="24"/>
      <w:lang w:eastAsia="zh-CN"/>
    </w:rPr>
  </w:style>
  <w:style w:type="paragraph" w:customStyle="1" w:styleId="60">
    <w:name w:val="标题 #3"/>
    <w:basedOn w:val="1"/>
    <w:link w:val="61"/>
    <w:unhideWhenUsed/>
    <w:qFormat/>
    <w:uiPriority w:val="99"/>
    <w:pPr>
      <w:shd w:val="clear" w:color="auto" w:fill="FFFFFF"/>
      <w:spacing w:after="30"/>
      <w:outlineLvl w:val="2"/>
    </w:pPr>
    <w:rPr>
      <w:rFonts w:hint="eastAsia" w:ascii="Times New Roman" w:hAnsi="Times New Roman"/>
      <w:b/>
      <w:sz w:val="28"/>
    </w:rPr>
  </w:style>
  <w:style w:type="character" w:customStyle="1" w:styleId="61">
    <w:name w:val="标题 #3_"/>
    <w:basedOn w:val="41"/>
    <w:link w:val="60"/>
    <w:unhideWhenUsed/>
    <w:qFormat/>
    <w:uiPriority w:val="99"/>
    <w:rPr>
      <w:rFonts w:hint="eastAsia" w:ascii="Times New Roman" w:hAnsi="Times New Roman"/>
      <w:b/>
      <w:sz w:val="28"/>
      <w:lang w:eastAsia="zh-CN"/>
    </w:rPr>
  </w:style>
  <w:style w:type="paragraph" w:customStyle="1" w:styleId="62">
    <w:name w:val="正文修改样式"/>
    <w:basedOn w:val="33"/>
    <w:qFormat/>
    <w:uiPriority w:val="0"/>
    <w:pPr>
      <w:spacing w:line="360" w:lineRule="auto"/>
      <w:ind w:firstLine="482" w:firstLineChars="200"/>
    </w:pPr>
    <w:rPr>
      <w:sz w:val="24"/>
    </w:rPr>
  </w:style>
  <w:style w:type="paragraph" w:customStyle="1" w:styleId="63">
    <w:name w:val="其他"/>
    <w:basedOn w:val="1"/>
    <w:link w:val="64"/>
    <w:unhideWhenUsed/>
    <w:qFormat/>
    <w:uiPriority w:val="99"/>
    <w:pPr>
      <w:shd w:val="clear" w:color="auto" w:fill="FFFFFF"/>
      <w:spacing w:line="437" w:lineRule="auto"/>
      <w:ind w:firstLine="400"/>
    </w:pPr>
    <w:rPr>
      <w:rFonts w:hint="eastAsia" w:ascii="黑体" w:eastAsia="黑体"/>
      <w:sz w:val="22"/>
      <w:lang w:val="zh-CN"/>
    </w:rPr>
  </w:style>
  <w:style w:type="character" w:customStyle="1" w:styleId="64">
    <w:name w:val="其他_"/>
    <w:basedOn w:val="41"/>
    <w:link w:val="63"/>
    <w:unhideWhenUsed/>
    <w:qFormat/>
    <w:uiPriority w:val="99"/>
    <w:rPr>
      <w:rFonts w:hint="eastAsia" w:ascii="黑体" w:eastAsia="黑体"/>
      <w:sz w:val="22"/>
      <w:lang w:val="zh-CN" w:eastAsia="zh-CN"/>
    </w:rPr>
  </w:style>
  <w:style w:type="character" w:customStyle="1" w:styleId="65">
    <w:name w:val="表头 Char Char Char Char Char"/>
    <w:link w:val="66"/>
    <w:qFormat/>
    <w:uiPriority w:val="0"/>
    <w:rPr>
      <w:b/>
      <w:kern w:val="24"/>
      <w:sz w:val="24"/>
    </w:rPr>
  </w:style>
  <w:style w:type="paragraph" w:customStyle="1" w:styleId="66">
    <w:name w:val="表头"/>
    <w:basedOn w:val="1"/>
    <w:next w:val="1"/>
    <w:link w:val="65"/>
    <w:qFormat/>
    <w:uiPriority w:val="0"/>
    <w:pPr>
      <w:snapToGrid w:val="0"/>
      <w:spacing w:before="120" w:after="120"/>
      <w:jc w:val="center"/>
    </w:pPr>
    <w:rPr>
      <w:rFonts w:ascii="Times New Roman" w:hAnsi="Times New Roman" w:eastAsia="宋体" w:cs="Times New Roman"/>
      <w:b/>
      <w:kern w:val="24"/>
      <w:sz w:val="24"/>
      <w:szCs w:val="20"/>
    </w:rPr>
  </w:style>
  <w:style w:type="character" w:customStyle="1" w:styleId="67">
    <w:name w:val="表格1 Char1"/>
    <w:link w:val="68"/>
    <w:qFormat/>
    <w:uiPriority w:val="0"/>
    <w:rPr>
      <w:sz w:val="21"/>
      <w:szCs w:val="21"/>
    </w:rPr>
  </w:style>
  <w:style w:type="paragraph" w:customStyle="1" w:styleId="68">
    <w:name w:val="表格1"/>
    <w:basedOn w:val="1"/>
    <w:link w:val="67"/>
    <w:qFormat/>
    <w:uiPriority w:val="0"/>
    <w:pPr>
      <w:adjustRightInd w:val="0"/>
      <w:snapToGrid w:val="0"/>
      <w:jc w:val="center"/>
      <w:textAlignment w:val="baseline"/>
    </w:pPr>
    <w:rPr>
      <w:rFonts w:ascii="Times New Roman" w:hAnsi="Times New Roman" w:eastAsia="宋体" w:cs="Times New Roman"/>
      <w:kern w:val="0"/>
      <w:szCs w:val="21"/>
    </w:rPr>
  </w:style>
  <w:style w:type="paragraph" w:customStyle="1" w:styleId="69">
    <w:name w:val="表格正文"/>
    <w:basedOn w:val="1"/>
    <w:next w:val="1"/>
    <w:qFormat/>
    <w:uiPriority w:val="0"/>
    <w:pPr>
      <w:adjustRightInd w:val="0"/>
      <w:spacing w:line="0" w:lineRule="atLeast"/>
      <w:textAlignment w:val="baseline"/>
    </w:pPr>
    <w:rPr>
      <w:rFonts w:ascii="Times New Roman" w:hAnsi="Times New Roman" w:eastAsia="宋体" w:cs="Times New Roman"/>
      <w:szCs w:val="24"/>
    </w:rPr>
  </w:style>
  <w:style w:type="paragraph" w:customStyle="1" w:styleId="70">
    <w:name w:val="1我的表格"/>
    <w:basedOn w:val="1"/>
    <w:qFormat/>
    <w:uiPriority w:val="0"/>
    <w:pPr>
      <w:spacing w:line="320" w:lineRule="exact"/>
      <w:jc w:val="center"/>
    </w:pPr>
    <w:rPr>
      <w:rFonts w:ascii="Times New Roman" w:hAnsi="Times New Roman" w:eastAsia="宋体" w:cs="Times New Roman"/>
      <w:color w:val="FF0000"/>
      <w:szCs w:val="24"/>
    </w:rPr>
  </w:style>
  <w:style w:type="character" w:customStyle="1" w:styleId="71">
    <w:name w:val="表格内容 Char"/>
    <w:link w:val="72"/>
    <w:qFormat/>
    <w:uiPriority w:val="0"/>
    <w:rPr>
      <w:rFonts w:ascii="楷体_GB2312" w:eastAsia="楷体_GB2312"/>
      <w:sz w:val="24"/>
    </w:rPr>
  </w:style>
  <w:style w:type="paragraph" w:customStyle="1" w:styleId="72">
    <w:name w:val="表格内容"/>
    <w:next w:val="1"/>
    <w:link w:val="71"/>
    <w:qFormat/>
    <w:uiPriority w:val="0"/>
    <w:pPr>
      <w:widowControl w:val="0"/>
      <w:adjustRightInd w:val="0"/>
      <w:spacing w:before="40" w:line="0" w:lineRule="atLeast"/>
      <w:jc w:val="center"/>
    </w:pPr>
    <w:rPr>
      <w:rFonts w:ascii="楷体_GB2312" w:hAnsi="Times New Roman" w:eastAsia="楷体_GB2312" w:cs="Times New Roman"/>
      <w:sz w:val="24"/>
      <w:lang w:val="en-US" w:eastAsia="zh-CN" w:bidi="ar-SA"/>
    </w:rPr>
  </w:style>
  <w:style w:type="character" w:customStyle="1" w:styleId="73">
    <w:name w:val="表格标题_"/>
    <w:basedOn w:val="41"/>
    <w:link w:val="74"/>
    <w:qFormat/>
    <w:uiPriority w:val="99"/>
    <w:rPr>
      <w:rFonts w:ascii="黑体" w:eastAsia="黑体" w:cs="黑体"/>
      <w:sz w:val="19"/>
      <w:szCs w:val="19"/>
      <w:shd w:val="clear" w:color="auto" w:fill="FFFFFF"/>
      <w:lang w:val="zh-CN"/>
    </w:rPr>
  </w:style>
  <w:style w:type="paragraph" w:customStyle="1" w:styleId="74">
    <w:name w:val="表格标题"/>
    <w:basedOn w:val="1"/>
    <w:link w:val="73"/>
    <w:qFormat/>
    <w:uiPriority w:val="99"/>
    <w:pPr>
      <w:shd w:val="clear" w:color="auto" w:fill="FFFFFF"/>
      <w:jc w:val="left"/>
    </w:pPr>
    <w:rPr>
      <w:rFonts w:ascii="黑体" w:hAnsi="Times New Roman" w:eastAsia="黑体" w:cs="黑体"/>
      <w:kern w:val="0"/>
      <w:sz w:val="19"/>
      <w:szCs w:val="19"/>
      <w:lang w:val="zh-CN"/>
    </w:rPr>
  </w:style>
  <w:style w:type="paragraph" w:customStyle="1" w:styleId="75">
    <w:name w:val="正文文本 (10)"/>
    <w:basedOn w:val="1"/>
    <w:link w:val="76"/>
    <w:unhideWhenUsed/>
    <w:qFormat/>
    <w:uiPriority w:val="99"/>
    <w:pPr>
      <w:shd w:val="clear" w:color="auto" w:fill="FFFFFF"/>
    </w:pPr>
    <w:rPr>
      <w:rFonts w:hint="eastAsia" w:ascii="Times New Roman" w:hAnsi="Times New Roman"/>
      <w:b/>
      <w:sz w:val="32"/>
    </w:rPr>
  </w:style>
  <w:style w:type="character" w:customStyle="1" w:styleId="76">
    <w:name w:val="正文文本 (10)_"/>
    <w:basedOn w:val="41"/>
    <w:link w:val="75"/>
    <w:unhideWhenUsed/>
    <w:qFormat/>
    <w:uiPriority w:val="99"/>
    <w:rPr>
      <w:rFonts w:hint="eastAsia" w:ascii="Times New Roman" w:hAnsi="Times New Roman"/>
      <w:b/>
      <w:sz w:val="32"/>
      <w:lang w:eastAsia="zh-CN"/>
    </w:rPr>
  </w:style>
  <w:style w:type="paragraph" w:customStyle="1" w:styleId="77">
    <w:name w:val="页眉或页脚"/>
    <w:basedOn w:val="1"/>
    <w:link w:val="78"/>
    <w:unhideWhenUsed/>
    <w:qFormat/>
    <w:uiPriority w:val="99"/>
    <w:pPr>
      <w:shd w:val="clear" w:color="auto" w:fill="FFFFFF"/>
    </w:pPr>
    <w:rPr>
      <w:rFonts w:hint="eastAsia" w:ascii="黑体" w:eastAsia="黑体"/>
      <w:sz w:val="18"/>
      <w:lang w:val="zh-CN"/>
    </w:rPr>
  </w:style>
  <w:style w:type="character" w:customStyle="1" w:styleId="78">
    <w:name w:val="页眉或页脚_"/>
    <w:basedOn w:val="41"/>
    <w:link w:val="77"/>
    <w:unhideWhenUsed/>
    <w:qFormat/>
    <w:uiPriority w:val="99"/>
    <w:rPr>
      <w:rFonts w:hint="eastAsia" w:ascii="黑体" w:eastAsia="黑体"/>
      <w:sz w:val="18"/>
      <w:lang w:val="zh-CN" w:eastAsia="zh-CN"/>
    </w:rPr>
  </w:style>
  <w:style w:type="paragraph" w:customStyle="1" w:styleId="79">
    <w:name w:val="Default"/>
    <w:basedOn w:val="80"/>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0">
    <w:name w:val="纯文本1"/>
    <w:basedOn w:val="1"/>
    <w:qFormat/>
    <w:uiPriority w:val="0"/>
    <w:pPr>
      <w:spacing w:line="240" w:lineRule="auto"/>
      <w:ind w:firstLine="0" w:firstLineChars="0"/>
    </w:pPr>
    <w:rPr>
      <w:rFonts w:ascii="宋体" w:hAnsi="Courier New" w:cs="Courier New"/>
      <w:sz w:val="21"/>
      <w:szCs w:val="21"/>
    </w:rPr>
  </w:style>
  <w:style w:type="paragraph" w:customStyle="1" w:styleId="81">
    <w:name w:val="样式 样式 首行缩进:  2 字符 + 首行缩进:  2 字符"/>
    <w:basedOn w:val="1"/>
    <w:next w:val="29"/>
    <w:qFormat/>
    <w:uiPriority w:val="0"/>
    <w:pPr>
      <w:snapToGrid w:val="0"/>
      <w:spacing w:line="360" w:lineRule="auto"/>
      <w:ind w:firstLine="560" w:firstLineChars="200"/>
    </w:pPr>
    <w:rPr>
      <w:spacing w:val="0"/>
      <w:sz w:val="28"/>
    </w:rPr>
  </w:style>
  <w:style w:type="paragraph" w:customStyle="1" w:styleId="82">
    <w:name w:val="批注文字1"/>
    <w:qFormat/>
    <w:uiPriority w:val="0"/>
    <w:pPr>
      <w:widowControl w:val="0"/>
    </w:pPr>
    <w:rPr>
      <w:rFonts w:ascii="Times New Roman" w:hAnsi="Times New Roman" w:eastAsia="Times New Roman" w:cs="Times New Roman"/>
      <w:color w:val="000000"/>
      <w:kern w:val="2"/>
      <w:sz w:val="21"/>
      <w:szCs w:val="24"/>
      <w:lang w:val="en-US" w:eastAsia="zh-CN" w:bidi="ar-SA"/>
    </w:rPr>
  </w:style>
  <w:style w:type="paragraph" w:styleId="83">
    <w:name w:val="List Paragraph"/>
    <w:basedOn w:val="1"/>
    <w:qFormat/>
    <w:uiPriority w:val="99"/>
    <w:pPr>
      <w:ind w:firstLine="420" w:firstLineChars="200"/>
    </w:pPr>
  </w:style>
  <w:style w:type="character" w:customStyle="1" w:styleId="84">
    <w:name w:val="日期 字符"/>
    <w:basedOn w:val="41"/>
    <w:link w:val="25"/>
    <w:semiHidden/>
    <w:qFormat/>
    <w:uiPriority w:val="99"/>
    <w:rPr>
      <w:rFonts w:asciiTheme="minorHAnsi" w:hAnsiTheme="minorHAnsi" w:eastAsiaTheme="minorEastAsia" w:cstheme="minorBidi"/>
      <w:kern w:val="2"/>
      <w:sz w:val="21"/>
      <w:szCs w:val="22"/>
    </w:rPr>
  </w:style>
  <w:style w:type="paragraph" w:customStyle="1" w:styleId="85">
    <w:name w:val="表格文字"/>
    <w:basedOn w:val="7"/>
    <w:qFormat/>
    <w:uiPriority w:val="0"/>
    <w:pPr>
      <w:adjustRightInd w:val="0"/>
      <w:snapToGrid w:val="0"/>
      <w:ind w:left="-76" w:leftChars="-33" w:hanging="17" w:hangingChars="8"/>
      <w:jc w:val="center"/>
    </w:pPr>
    <w:rPr>
      <w:rFonts w:ascii="宋体" w:hAnsi="宋体" w:eastAsia="宋体" w:cs="Times New Roman"/>
      <w:kern w:val="0"/>
      <w:szCs w:val="28"/>
    </w:rPr>
  </w:style>
  <w:style w:type="paragraph" w:customStyle="1" w:styleId="86">
    <w:name w:val="Table Paragraph"/>
    <w:basedOn w:val="1"/>
    <w:qFormat/>
    <w:uiPriority w:val="1"/>
  </w:style>
  <w:style w:type="paragraph" w:customStyle="1" w:styleId="87">
    <w:name w:val="标准正文"/>
    <w:basedOn w:val="1"/>
    <w:qFormat/>
    <w:uiPriority w:val="0"/>
    <w:pPr>
      <w:widowControl/>
      <w:spacing w:line="360" w:lineRule="auto"/>
      <w:ind w:firstLine="480" w:firstLineChars="200"/>
      <w:jc w:val="left"/>
    </w:pPr>
    <w:rPr>
      <w:rFonts w:ascii="Calibri" w:hAnsi="Calibri" w:eastAsia="宋体" w:cs="Times New Roman"/>
      <w:bCs/>
      <w:sz w:val="24"/>
      <w:szCs w:val="22"/>
      <w:u w:val="single"/>
    </w:rPr>
  </w:style>
  <w:style w:type="paragraph" w:customStyle="1" w:styleId="88">
    <w:name w:val="样式 0正文 + 首行缩进:  2 字符1"/>
    <w:basedOn w:val="1"/>
    <w:next w:val="36"/>
    <w:qFormat/>
    <w:uiPriority w:val="0"/>
    <w:pPr>
      <w:spacing w:line="360" w:lineRule="auto"/>
      <w:ind w:firstLine="200" w:firstLineChars="200"/>
    </w:pPr>
    <w:rPr>
      <w:sz w:val="28"/>
      <w:szCs w:val="28"/>
    </w:rPr>
  </w:style>
  <w:style w:type="paragraph" w:customStyle="1" w:styleId="89">
    <w:name w:val="Heading 2"/>
    <w:basedOn w:val="1"/>
    <w:qFormat/>
    <w:uiPriority w:val="1"/>
    <w:pPr>
      <w:ind w:left="134"/>
      <w:outlineLvl w:val="2"/>
    </w:pPr>
    <w:rPr>
      <w:rFonts w:ascii="黑体" w:hAnsi="黑体" w:eastAsia="黑体"/>
      <w:sz w:val="30"/>
      <w:szCs w:val="30"/>
    </w:rPr>
  </w:style>
  <w:style w:type="paragraph" w:customStyle="1" w:styleId="90">
    <w:name w:val="Heading 3"/>
    <w:basedOn w:val="1"/>
    <w:qFormat/>
    <w:uiPriority w:val="1"/>
    <w:pPr>
      <w:ind w:left="134"/>
      <w:outlineLvl w:val="3"/>
    </w:pPr>
    <w:rPr>
      <w:rFonts w:ascii="黑体" w:hAnsi="黑体" w:eastAsia="黑体"/>
      <w:sz w:val="28"/>
      <w:szCs w:val="28"/>
    </w:rPr>
  </w:style>
  <w:style w:type="character" w:customStyle="1" w:styleId="91">
    <w:name w:val="font11"/>
    <w:basedOn w:val="41"/>
    <w:qFormat/>
    <w:uiPriority w:val="0"/>
    <w:rPr>
      <w:rFonts w:hint="eastAsia" w:ascii="宋体" w:hAnsi="宋体" w:eastAsia="宋体" w:cs="宋体"/>
      <w:color w:val="000000"/>
      <w:sz w:val="21"/>
      <w:szCs w:val="21"/>
      <w:u w:val="none"/>
    </w:rPr>
  </w:style>
  <w:style w:type="character" w:customStyle="1" w:styleId="92">
    <w:name w:val="font01"/>
    <w:basedOn w:val="41"/>
    <w:qFormat/>
    <w:uiPriority w:val="0"/>
    <w:rPr>
      <w:rFonts w:ascii="Times New Roman" w:hAnsi="Times New Roman" w:cs="Times New Roman"/>
      <w:color w:val="000000"/>
      <w:sz w:val="21"/>
      <w:szCs w:val="21"/>
      <w:u w:val="none"/>
    </w:rPr>
  </w:style>
  <w:style w:type="paragraph" w:customStyle="1" w:styleId="93">
    <w:name w:val="Heading 5"/>
    <w:basedOn w:val="1"/>
    <w:qFormat/>
    <w:uiPriority w:val="1"/>
    <w:pPr>
      <w:spacing w:before="26"/>
      <w:ind w:left="617"/>
      <w:outlineLvl w:val="5"/>
    </w:pPr>
    <w:rPr>
      <w:rFonts w:ascii="宋体" w:hAnsi="宋体" w:eastAsia="宋体"/>
      <w:b/>
      <w:bCs/>
      <w:sz w:val="24"/>
      <w:szCs w:val="24"/>
    </w:rPr>
  </w:style>
  <w:style w:type="paragraph" w:customStyle="1" w:styleId="94">
    <w:name w:val=" Char Char Char Char Char Char Char Char Char Char Char Char Char Char Char Char Char Char Char Char Char Char"/>
    <w:basedOn w:val="1"/>
    <w:next w:val="1"/>
    <w:qFormat/>
    <w:uiPriority w:val="0"/>
    <w:pPr>
      <w:ind w:firstLine="200" w:firstLineChars="200"/>
    </w:pPr>
    <w:rPr>
      <w:rFonts w:ascii="宋体" w:hAnsi="宋体"/>
    </w:rPr>
  </w:style>
  <w:style w:type="paragraph" w:customStyle="1" w:styleId="95">
    <w:name w:val="样式 小四 行距: 固定值 24 磅 首行缩进:  1.5 字符"/>
    <w:basedOn w:val="1"/>
    <w:qFormat/>
    <w:uiPriority w:val="0"/>
    <w:pPr>
      <w:adjustRightInd w:val="0"/>
      <w:snapToGrid w:val="0"/>
      <w:spacing w:line="360" w:lineRule="auto"/>
      <w:ind w:firstLine="200" w:firstLineChars="200"/>
    </w:pPr>
    <w:rPr>
      <w:rFonts w:ascii="Times New Roman" w:hAnsi="Times New Roman" w:eastAsia="宋体"/>
      <w:kern w:val="0"/>
      <w:sz w:val="24"/>
    </w:rPr>
  </w:style>
  <w:style w:type="table" w:customStyle="1" w:styleId="96">
    <w:name w:val="Table Normal"/>
    <w:unhideWhenUsed/>
    <w:qFormat/>
    <w:uiPriority w:val="0"/>
    <w:tblPr>
      <w:tblCellMar>
        <w:top w:w="0" w:type="dxa"/>
        <w:left w:w="0" w:type="dxa"/>
        <w:bottom w:w="0" w:type="dxa"/>
        <w:right w:w="0" w:type="dxa"/>
      </w:tblCellMar>
    </w:tblPr>
  </w:style>
  <w:style w:type="character" w:customStyle="1" w:styleId="97">
    <w:name w:val="样式 小四"/>
    <w:qFormat/>
    <w:uiPriority w:val="0"/>
    <w:rPr>
      <w:rFonts w:ascii="Times New Roman" w:hAnsi="Times New Roman" w:eastAsia="宋体"/>
      <w:color w:val="000000"/>
      <w:kern w:val="2"/>
      <w:sz w:val="24"/>
      <w:szCs w:val="24"/>
      <w:lang w:val="en-US" w:eastAsia="zh-CN" w:bidi="ar-SA"/>
    </w:rPr>
  </w:style>
  <w:style w:type="paragraph" w:customStyle="1" w:styleId="98">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99">
    <w:name w:val="表文字"/>
    <w:basedOn w:val="1"/>
    <w:qFormat/>
    <w:uiPriority w:val="0"/>
    <w:pPr>
      <w:spacing w:line="240" w:lineRule="atLeast"/>
      <w:ind w:firstLine="0" w:firstLineChars="0"/>
      <w:jc w:val="center"/>
    </w:pPr>
    <w:rPr>
      <w:kern w:val="10"/>
      <w:szCs w:val="20"/>
    </w:rPr>
  </w:style>
  <w:style w:type="paragraph" w:customStyle="1" w:styleId="100">
    <w:name w:val="文字"/>
    <w:basedOn w:val="1"/>
    <w:qFormat/>
    <w:uiPriority w:val="0"/>
    <w:pPr>
      <w:widowControl/>
      <w:spacing w:after="156" w:afterLines="50" w:line="360" w:lineRule="auto"/>
      <w:ind w:firstLine="420"/>
    </w:pPr>
    <w:rPr>
      <w:sz w:val="24"/>
      <w:szCs w:val="24"/>
    </w:rPr>
  </w:style>
  <w:style w:type="paragraph" w:customStyle="1" w:styleId="101">
    <w:name w:val="正文1"/>
    <w:basedOn w:val="1"/>
    <w:qFormat/>
    <w:uiPriority w:val="0"/>
    <w:pPr>
      <w:spacing w:line="360" w:lineRule="auto"/>
      <w:ind w:firstLine="723" w:firstLineChars="200"/>
    </w:pPr>
    <w:rPr>
      <w:rFonts w:ascii="Times New Roman" w:hAnsi="Times New Roman"/>
      <w:kern w:val="0"/>
      <w:sz w:val="24"/>
      <w:szCs w:val="20"/>
    </w:rPr>
  </w:style>
  <w:style w:type="paragraph" w:customStyle="1" w:styleId="102">
    <w:name w:val="正文首行"/>
    <w:basedOn w:val="16"/>
    <w:qFormat/>
    <w:uiPriority w:val="0"/>
    <w:pPr>
      <w:keepNext w:val="0"/>
      <w:keepLines w:val="0"/>
      <w:widowControl w:val="0"/>
      <w:suppressLineNumbers w:val="0"/>
      <w:adjustRightInd w:val="0"/>
      <w:snapToGrid w:val="0"/>
      <w:spacing w:before="0" w:beforeAutospacing="0" w:after="0" w:afterAutospacing="0" w:line="440" w:lineRule="exact"/>
      <w:ind w:left="-50" w:leftChars="-50" w:right="0" w:firstLine="361" w:firstLineChars="200"/>
      <w:jc w:val="left"/>
    </w:pPr>
    <w:rPr>
      <w:rFonts w:hint="default" w:ascii="Times New Roman" w:hAnsi="Times New Roman" w:eastAsia="宋体" w:cs="Times New Roman"/>
      <w:kern w:val="2"/>
      <w:sz w:val="24"/>
      <w:szCs w:val="20"/>
      <w:lang w:val="en-US" w:eastAsia="zh-CN" w:bidi="ar"/>
    </w:rPr>
  </w:style>
  <w:style w:type="paragraph" w:customStyle="1" w:styleId="103">
    <w:name w:val="表标题"/>
    <w:basedOn w:val="1"/>
    <w:qFormat/>
    <w:uiPriority w:val="0"/>
    <w:pPr>
      <w:jc w:val="center"/>
    </w:pPr>
    <w:rPr>
      <w:rFonts w:ascii="Times New Roman" w:hAnsi="Times New Roman"/>
      <w:b/>
      <w:kern w:val="0"/>
      <w:sz w:val="20"/>
      <w:szCs w:val="20"/>
    </w:rPr>
  </w:style>
  <w:style w:type="paragraph" w:customStyle="1" w:styleId="104">
    <w:name w:val="正文（首行缩进两个字） + 首行缩进:  2 字符"/>
    <w:basedOn w:val="1"/>
    <w:qFormat/>
    <w:uiPriority w:val="0"/>
    <w:pPr>
      <w:widowControl/>
      <w:spacing w:line="440" w:lineRule="exact"/>
      <w:ind w:firstLine="200" w:firstLineChars="200"/>
      <w:jc w:val="left"/>
    </w:pPr>
    <w:rPr>
      <w:rFonts w:eastAsia="仿宋_GB2312" w:cs="宋体"/>
      <w:szCs w:val="20"/>
    </w:rPr>
  </w:style>
  <w:style w:type="paragraph" w:customStyle="1" w:styleId="105">
    <w:name w:val="1 表头"/>
    <w:basedOn w:val="1"/>
    <w:qFormat/>
    <w:uiPriority w:val="99"/>
    <w:pPr>
      <w:widowControl/>
      <w:spacing w:line="240" w:lineRule="auto"/>
      <w:ind w:firstLine="0" w:firstLineChars="0"/>
      <w:jc w:val="center"/>
    </w:pPr>
    <w:rPr>
      <w:b/>
      <w:kern w:val="0"/>
      <w:sz w:val="21"/>
      <w:szCs w:val="20"/>
    </w:rPr>
  </w:style>
  <w:style w:type="paragraph" w:customStyle="1" w:styleId="106">
    <w:name w:val="xdhb-0"/>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07">
    <w:name w:val="四级条标题"/>
    <w:basedOn w:val="108"/>
    <w:next w:val="112"/>
    <w:qFormat/>
    <w:uiPriority w:val="0"/>
    <w:pPr>
      <w:tabs>
        <w:tab w:val="left" w:pos="360"/>
        <w:tab w:val="left" w:pos="432"/>
        <w:tab w:val="left" w:pos="1260"/>
      </w:tabs>
      <w:outlineLvl w:val="5"/>
    </w:pPr>
    <w:rPr>
      <w:szCs w:val="20"/>
    </w:rPr>
  </w:style>
  <w:style w:type="paragraph" w:customStyle="1" w:styleId="108">
    <w:name w:val="三级条标题"/>
    <w:basedOn w:val="109"/>
    <w:next w:val="112"/>
    <w:qFormat/>
    <w:uiPriority w:val="0"/>
    <w:pPr>
      <w:numPr>
        <w:ilvl w:val="0"/>
        <w:numId w:val="0"/>
      </w:numPr>
      <w:tabs>
        <w:tab w:val="left" w:pos="360"/>
        <w:tab w:val="left" w:pos="432"/>
        <w:tab w:val="left" w:pos="1260"/>
      </w:tabs>
      <w:outlineLvl w:val="4"/>
    </w:pPr>
  </w:style>
  <w:style w:type="paragraph" w:customStyle="1" w:styleId="109">
    <w:name w:val="二级条标题"/>
    <w:basedOn w:val="110"/>
    <w:next w:val="112"/>
    <w:qFormat/>
    <w:uiPriority w:val="0"/>
    <w:pPr>
      <w:numPr>
        <w:ilvl w:val="3"/>
      </w:numPr>
      <w:tabs>
        <w:tab w:val="left" w:pos="360"/>
        <w:tab w:val="left" w:pos="432"/>
        <w:tab w:val="left" w:pos="1260"/>
      </w:tabs>
      <w:outlineLvl w:val="3"/>
    </w:pPr>
  </w:style>
  <w:style w:type="paragraph" w:customStyle="1" w:styleId="110">
    <w:name w:val="一级条标题"/>
    <w:basedOn w:val="111"/>
    <w:next w:val="112"/>
    <w:qFormat/>
    <w:uiPriority w:val="0"/>
    <w:pPr>
      <w:keepNext w:val="0"/>
      <w:keepLines w:val="0"/>
      <w:pageBreakBefore w:val="0"/>
      <w:widowControl/>
      <w:numPr>
        <w:ilvl w:val="0"/>
        <w:numId w:val="0"/>
      </w:numPr>
      <w:tabs>
        <w:tab w:val="left" w:pos="360"/>
        <w:tab w:val="left" w:pos="432"/>
      </w:tabs>
      <w:spacing w:before="0" w:after="0" w:line="240" w:lineRule="auto"/>
      <w:outlineLvl w:val="2"/>
    </w:pPr>
    <w:rPr>
      <w:rFonts w:ascii="黑体" w:eastAsia="黑体"/>
      <w:kern w:val="0"/>
      <w:sz w:val="21"/>
    </w:rPr>
  </w:style>
  <w:style w:type="paragraph" w:customStyle="1" w:styleId="111">
    <w:name w:val="章标题"/>
    <w:basedOn w:val="1"/>
    <w:next w:val="112"/>
    <w:qFormat/>
    <w:uiPriority w:val="0"/>
    <w:pPr>
      <w:widowControl/>
      <w:spacing w:before="158" w:after="153" w:line="323" w:lineRule="atLeast"/>
      <w:jc w:val="center"/>
      <w:textAlignment w:val="baseline"/>
    </w:pPr>
    <w:rPr>
      <w:rFonts w:ascii="Arial" w:eastAsia="黑体"/>
      <w:color w:val="000000"/>
      <w:kern w:val="0"/>
      <w:sz w:val="31"/>
      <w:szCs w:val="20"/>
    </w:rPr>
  </w:style>
  <w:style w:type="paragraph" w:customStyle="1" w:styleId="112">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113">
    <w:name w:val="xdhb-TB-Head"/>
    <w:basedOn w:val="1"/>
    <w:next w:val="106"/>
    <w:qFormat/>
    <w:uiPriority w:val="0"/>
    <w:pPr>
      <w:spacing w:line="360" w:lineRule="auto"/>
      <w:jc w:val="center"/>
    </w:pPr>
    <w:rPr>
      <w:rFonts w:eastAsia="黑体"/>
      <w:sz w:val="24"/>
    </w:rPr>
  </w:style>
  <w:style w:type="paragraph" w:customStyle="1" w:styleId="114">
    <w:name w:val="xdhb-TB"/>
    <w:qFormat/>
    <w:uiPriority w:val="0"/>
    <w:pPr>
      <w:jc w:val="center"/>
    </w:pPr>
    <w:rPr>
      <w:rFonts w:ascii="Times New Roman" w:hAnsi="Times New Roman" w:eastAsia="宋体" w:cs="Times New Roman"/>
      <w:kern w:val="2"/>
      <w:sz w:val="21"/>
      <w:szCs w:val="24"/>
      <w:lang w:val="en-US" w:eastAsia="zh-CN" w:bidi="ar-SA"/>
    </w:rPr>
  </w:style>
  <w:style w:type="table" w:customStyle="1" w:styleId="115">
    <w:name w:val="Table Normal1"/>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116">
    <w:name w:val="Char"/>
    <w:basedOn w:val="1"/>
    <w:qFormat/>
    <w:uiPriority w:val="0"/>
  </w:style>
  <w:style w:type="paragraph" w:customStyle="1" w:styleId="117">
    <w:name w:val="lh-表格文字-报告书"/>
    <w:qFormat/>
    <w:uiPriority w:val="0"/>
    <w:pPr>
      <w:jc w:val="center"/>
    </w:pPr>
    <w:rPr>
      <w:rFonts w:ascii="Times New Roman" w:hAnsi="Times New Roman" w:eastAsia="宋体" w:cstheme="minorBidi"/>
      <w:snapToGrid w:val="0"/>
      <w:kern w:val="0"/>
      <w:sz w:val="21"/>
      <w:szCs w:val="24"/>
      <w:lang w:val="en-US" w:eastAsia="zh-CN" w:bidi="ar-SA"/>
    </w:rPr>
  </w:style>
  <w:style w:type="character" w:customStyle="1" w:styleId="118">
    <w:name w:val="font31"/>
    <w:basedOn w:val="41"/>
    <w:qFormat/>
    <w:uiPriority w:val="0"/>
    <w:rPr>
      <w:rFonts w:hint="default" w:ascii="Times New Roman" w:hAnsi="Times New Roman" w:cs="Times New Roman"/>
      <w:color w:val="FF0000"/>
      <w:sz w:val="21"/>
      <w:szCs w:val="21"/>
      <w:u w:val="none"/>
      <w:vertAlign w:val="superscript"/>
    </w:rPr>
  </w:style>
  <w:style w:type="paragraph" w:customStyle="1" w:styleId="119">
    <w:name w:val="图表文字"/>
    <w:basedOn w:val="1"/>
    <w:next w:val="1"/>
    <w:qFormat/>
    <w:uiPriority w:val="0"/>
    <w:pPr>
      <w:adjustRightInd w:val="0"/>
      <w:snapToGrid w:val="0"/>
      <w:spacing w:line="240" w:lineRule="auto"/>
      <w:ind w:firstLine="0"/>
      <w:jc w:val="center"/>
    </w:pPr>
    <w:rPr>
      <w:rFonts w:ascii="Arial" w:hAnsi="Arial"/>
      <w:sz w:val="18"/>
      <w:szCs w:val="24"/>
    </w:rPr>
  </w:style>
  <w:style w:type="character" w:customStyle="1" w:styleId="120">
    <w:name w:val="font21"/>
    <w:basedOn w:val="41"/>
    <w:qFormat/>
    <w:uiPriority w:val="0"/>
    <w:rPr>
      <w:rFonts w:hint="default" w:ascii="Calibri" w:hAnsi="Calibri" w:cs="Calibri"/>
      <w:color w:val="000000"/>
      <w:sz w:val="22"/>
      <w:szCs w:val="22"/>
      <w:u w:val="none"/>
    </w:rPr>
  </w:style>
  <w:style w:type="paragraph" w:customStyle="1" w:styleId="121">
    <w:name w:val="7表格文字"/>
    <w:basedOn w:val="1"/>
    <w:qFormat/>
    <w:uiPriority w:val="0"/>
    <w:pPr>
      <w:jc w:val="center"/>
    </w:pPr>
    <w:rPr>
      <w:rFonts w:ascii="Times New Roman" w:hAnsi="Times New Roman" w:eastAsia="宋体" w:cs="Times New Roman"/>
      <w:szCs w:val="24"/>
    </w:rPr>
  </w:style>
  <w:style w:type="character" w:customStyle="1" w:styleId="122">
    <w:name w:val="font41"/>
    <w:basedOn w:val="41"/>
    <w:qFormat/>
    <w:uiPriority w:val="0"/>
    <w:rPr>
      <w:rFonts w:hint="default" w:ascii="Times New Roman" w:hAnsi="Times New Roman" w:cs="Times New Roman"/>
      <w:color w:val="000000"/>
      <w:sz w:val="21"/>
      <w:szCs w:val="21"/>
      <w:u w:val="none"/>
      <w:vertAlign w:val="superscript"/>
    </w:rPr>
  </w:style>
  <w:style w:type="paragraph" w:customStyle="1" w:styleId="123">
    <w:name w:val="列出段落1"/>
    <w:basedOn w:val="1"/>
    <w:qFormat/>
    <w:uiPriority w:val="34"/>
    <w:pPr>
      <w:ind w:firstLine="420"/>
    </w:pPr>
    <w:rPr>
      <w:rFonts w:cs="Cambria"/>
      <w:kern w:val="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32.png"/><Relationship Id="rId64" Type="http://schemas.openxmlformats.org/officeDocument/2006/relationships/image" Target="media/image31.png"/><Relationship Id="rId63" Type="http://schemas.openxmlformats.org/officeDocument/2006/relationships/image" Target="media/image30.png"/><Relationship Id="rId62" Type="http://schemas.openxmlformats.org/officeDocument/2006/relationships/image" Target="media/image29.jpeg"/><Relationship Id="rId61" Type="http://schemas.openxmlformats.org/officeDocument/2006/relationships/image" Target="media/image28.jpeg"/><Relationship Id="rId60" Type="http://schemas.openxmlformats.org/officeDocument/2006/relationships/image" Target="media/image27.jpeg"/><Relationship Id="rId6" Type="http://schemas.openxmlformats.org/officeDocument/2006/relationships/footer" Target="footer4.xml"/><Relationship Id="rId59" Type="http://schemas.openxmlformats.org/officeDocument/2006/relationships/image" Target="media/image26.png"/><Relationship Id="rId58" Type="http://schemas.openxmlformats.org/officeDocument/2006/relationships/image" Target="media/image25.wmf"/><Relationship Id="rId57" Type="http://schemas.openxmlformats.org/officeDocument/2006/relationships/oleObject" Target="embeddings/oleObject13.bin"/><Relationship Id="rId56" Type="http://schemas.openxmlformats.org/officeDocument/2006/relationships/image" Target="media/image24.wmf"/><Relationship Id="rId55" Type="http://schemas.openxmlformats.org/officeDocument/2006/relationships/image" Target="media/image23.wmf"/><Relationship Id="rId54" Type="http://schemas.openxmlformats.org/officeDocument/2006/relationships/oleObject" Target="embeddings/oleObject12.bin"/><Relationship Id="rId53" Type="http://schemas.openxmlformats.org/officeDocument/2006/relationships/image" Target="media/image22.jpeg"/><Relationship Id="rId52" Type="http://schemas.openxmlformats.org/officeDocument/2006/relationships/image" Target="media/image21.jpe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footer" Target="footer3.xml"/><Relationship Id="rId49" Type="http://schemas.openxmlformats.org/officeDocument/2006/relationships/image" Target="media/image18.wmf"/><Relationship Id="rId48" Type="http://schemas.openxmlformats.org/officeDocument/2006/relationships/oleObject" Target="embeddings/oleObject11.bin"/><Relationship Id="rId47" Type="http://schemas.openxmlformats.org/officeDocument/2006/relationships/image" Target="media/image17.wmf"/><Relationship Id="rId46" Type="http://schemas.openxmlformats.org/officeDocument/2006/relationships/oleObject" Target="embeddings/oleObject10.bin"/><Relationship Id="rId45" Type="http://schemas.openxmlformats.org/officeDocument/2006/relationships/image" Target="media/image16.wmf"/><Relationship Id="rId44" Type="http://schemas.openxmlformats.org/officeDocument/2006/relationships/oleObject" Target="embeddings/oleObject9.bin"/><Relationship Id="rId43" Type="http://schemas.openxmlformats.org/officeDocument/2006/relationships/image" Target="media/image15.wmf"/><Relationship Id="rId42" Type="http://schemas.openxmlformats.org/officeDocument/2006/relationships/oleObject" Target="embeddings/oleObject8.bin"/><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footer" Target="footer2.xml"/><Relationship Id="rId39" Type="http://schemas.openxmlformats.org/officeDocument/2006/relationships/image" Target="media/image12.png"/><Relationship Id="rId38" Type="http://schemas.openxmlformats.org/officeDocument/2006/relationships/image" Target="media/image11.wmf"/><Relationship Id="rId37" Type="http://schemas.openxmlformats.org/officeDocument/2006/relationships/oleObject" Target="embeddings/oleObject7.bin"/><Relationship Id="rId36" Type="http://schemas.openxmlformats.org/officeDocument/2006/relationships/image" Target="media/image10.emf"/><Relationship Id="rId35" Type="http://schemas.openxmlformats.org/officeDocument/2006/relationships/oleObject" Target="embeddings/oleObject6.bin"/><Relationship Id="rId34" Type="http://schemas.openxmlformats.org/officeDocument/2006/relationships/image" Target="media/image9.emf"/><Relationship Id="rId33" Type="http://schemas.openxmlformats.org/officeDocument/2006/relationships/oleObject" Target="embeddings/oleObject5.bin"/><Relationship Id="rId32" Type="http://schemas.openxmlformats.org/officeDocument/2006/relationships/image" Target="media/image8.emf"/><Relationship Id="rId31" Type="http://schemas.openxmlformats.org/officeDocument/2006/relationships/oleObject" Target="embeddings/oleObject4.bin"/><Relationship Id="rId30" Type="http://schemas.openxmlformats.org/officeDocument/2006/relationships/image" Target="media/image7.emf"/><Relationship Id="rId3" Type="http://schemas.openxmlformats.org/officeDocument/2006/relationships/footer" Target="footer1.xml"/><Relationship Id="rId29" Type="http://schemas.openxmlformats.org/officeDocument/2006/relationships/oleObject" Target="embeddings/oleObject3.bin"/><Relationship Id="rId28" Type="http://schemas.openxmlformats.org/officeDocument/2006/relationships/image" Target="media/image6.emf"/><Relationship Id="rId27" Type="http://schemas.openxmlformats.org/officeDocument/2006/relationships/oleObject" Target="embeddings/oleObject2.bin"/><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emf"/><Relationship Id="rId23" Type="http://schemas.openxmlformats.org/officeDocument/2006/relationships/oleObject" Target="embeddings/oleObject1.bin"/><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AC49AE-AF38-4D3B-876E-47AB2359E87C}">
  <ds:schemaRefs/>
</ds:datastoreItem>
</file>

<file path=docProps/app.xml><?xml version="1.0" encoding="utf-8"?>
<Properties xmlns="http://schemas.openxmlformats.org/officeDocument/2006/extended-properties" xmlns:vt="http://schemas.openxmlformats.org/officeDocument/2006/docPropsVTypes">
  <Template>Normal.dotm</Template>
  <Company>Company</Company>
  <Pages>274</Pages>
  <Words>177575</Words>
  <Characters>203319</Characters>
  <Lines>1</Lines>
  <Paragraphs>1</Paragraphs>
  <TotalTime>8</TotalTime>
  <ScaleCrop>false</ScaleCrop>
  <LinksUpToDate>false</LinksUpToDate>
  <CharactersWithSpaces>205173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2021-08-31T13:39:00Z</dcterms:created>
  <dc:creator>Lee</dc:creator>
  <cp:lastModifiedBy>闵</cp:lastModifiedBy>
  <cp:lastPrinted>2024-07-31T10:00:00Z</cp:lastPrinted>
  <dcterms:modified xsi:type="dcterms:W3CDTF">2024-10-11T02:48:02Z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A5D77BB52157467C8B27BB1860067D50_13</vt:lpwstr>
  </property>
</Properties>
</file>