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岳阳市机关事务管理局</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宋体" w:eastAsia="黑体" w:cs="黑体"/>
          <w:i w:val="0"/>
          <w:iCs w:val="0"/>
          <w:caps w:val="0"/>
          <w:color w:val="000000"/>
          <w:spacing w:val="0"/>
          <w:sz w:val="28"/>
          <w:szCs w:val="28"/>
          <w:shd w:val="clear" w:color="auto" w:fill="FFFFFF"/>
        </w:rPr>
        <w:t>岳阳市机关事务管理局部门概况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9"/>
        <w:keepNext w:val="0"/>
        <w:keepLines w:val="0"/>
        <w:widowControl/>
        <w:suppressLineNumbers w:val="0"/>
        <w:shd w:val="clear" w:color="auto" w:fill="FFFFFF"/>
        <w:spacing w:before="0" w:beforeAutospacing="0" w:after="0" w:afterAutospacing="0" w:line="27" w:lineRule="atLeast"/>
        <w:ind w:left="0" w:right="0" w:firstLine="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84"/>
          <w:szCs w:val="84"/>
          <w:shd w:val="clear" w:color="auto" w:fill="FFFFFF"/>
        </w:rPr>
        <w:t>岳阳市机关事务管理局</w:t>
      </w:r>
    </w:p>
    <w:p>
      <w:pPr>
        <w:pStyle w:val="9"/>
        <w:keepNext w:val="0"/>
        <w:keepLines w:val="0"/>
        <w:widowControl/>
        <w:suppressLineNumbers w:val="0"/>
        <w:shd w:val="clear" w:color="auto" w:fill="FFFFFF"/>
        <w:spacing w:before="0" w:beforeAutospacing="0" w:after="0" w:afterAutospacing="0" w:line="27" w:lineRule="atLeast"/>
        <w:ind w:left="0" w:right="0" w:firstLine="0"/>
        <w:jc w:val="center"/>
        <w:rPr>
          <w:rFonts w:hint="eastAsia" w:ascii="黑体" w:hAnsi="宋体" w:eastAsia="黑体" w:cs="黑体"/>
          <w:i w:val="0"/>
          <w:iCs w:val="0"/>
          <w:caps w:val="0"/>
          <w:color w:val="000000"/>
          <w:spacing w:val="0"/>
          <w:sz w:val="24"/>
          <w:szCs w:val="24"/>
        </w:rPr>
      </w:pPr>
      <w:r>
        <w:rPr>
          <w:rFonts w:hint="eastAsia" w:ascii="黑体" w:hAnsi="宋体" w:eastAsia="黑体" w:cs="黑体"/>
          <w:i w:val="0"/>
          <w:iCs w:val="0"/>
          <w:caps w:val="0"/>
          <w:color w:val="000000"/>
          <w:spacing w:val="0"/>
          <w:sz w:val="84"/>
          <w:szCs w:val="84"/>
          <w:shd w:val="clear" w:color="auto" w:fill="FFFFFF"/>
        </w:rPr>
        <w:t>部门概况</w:t>
      </w:r>
    </w:p>
    <w:p>
      <w:pPr>
        <w:pStyle w:val="8"/>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pStyle w:val="4"/>
        <w:ind w:left="0" w:leftChars="0" w:firstLine="0" w:firstLineChars="0"/>
        <w:rPr>
          <w:rFonts w:hint="eastAsia" w:ascii="方正小标宋_GBK" w:hAnsi="方正小标宋_GBK" w:eastAsia="方正小标宋_GBK" w:cs="方正小标宋_GBK"/>
          <w:sz w:val="84"/>
          <w:szCs w:val="84"/>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一)指导全市机关事务工作，负责市直机关事务的保障、管理和服务工作。组织拟订全市机关事务管理和后勤体制改革工作的具体政策、规章制度、标准并监督实施；负责指导市直机关后勤服务单位业务工作；会同有关部门协调解决机关后勤工作中的有关问题。</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二)对市直行政事业单位的房地产实施管理，制订相关管理制度并监督执行；负责市直行政事业单位办公用房集中统一管理，协助有关部门管理市直行政事业单位的行政建房计划和投资；根据授权承担市直行政事业单位行政办公用房及其他非经营性项目的集中统一建设职责；按规定管理市直行政事业单位办公用房维修，承办市直行政事业单位房屋维修、危旧房改造事务工作；负责市直行政事业单位行政用房、住宅建设土地使用权证的有关管理工作。指导全市党政机关事业单位办公用房管理和市直行政事业单位物业管理工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三)负责市直行政事业单位国有资产集中统一管理，承担配置计划审核、产权界定、清查登记、资产处置工作。负责市直行政事业单位公务用车的编制、配备、更新、处置以及预算内专项用于解决市领导和市直单位公务用车的经费管理工作，指导监督全市公务用车管理工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(四)统筹异地交流来岳任职市级领导干部住房建设、管理及相关服务工作；按规定管理市直单位职工住房补贴资金。</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(五)会同相关部门管理、指导、监督、检查全市党政机关事业单位国内公务接待工作。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六)统筹协调全市公共机构节能工作，会同有关部门制定推动全市公共机构节能的规划、规章制度并组织实施，负责公共机构节约能源管理工作，组织开展能耗统计、监测和评价考核、节能技术改造及专项资金管理工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(七)按规定指导并组织实施市直机关后勤员工培训工作。</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(八)完成市委、市政府交办的其他事项。</w:t>
      </w:r>
    </w:p>
    <w:p>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3" w:lineRule="atLeast"/>
        <w:ind w:left="0" w:right="0" w:firstLine="640" w:firstLineChars="200"/>
        <w:jc w:val="both"/>
        <w:textAlignment w:val="auto"/>
        <w:rPr>
          <w:rFonts w:hint="eastAsia" w:ascii="仿宋" w:hAnsi="仿宋" w:eastAsia="仿宋" w:cs="仿宋"/>
          <w:i w:val="0"/>
          <w:iCs w:val="0"/>
          <w:caps w:val="0"/>
          <w:color w:val="1E2022"/>
          <w:spacing w:val="0"/>
          <w:sz w:val="32"/>
          <w:szCs w:val="32"/>
          <w:shd w:val="clear" w:color="auto" w:fill="FFFFFF"/>
        </w:rPr>
      </w:pPr>
      <w:r>
        <w:rPr>
          <w:rFonts w:hint="eastAsia" w:ascii="仿宋" w:hAnsi="仿宋" w:eastAsia="仿宋" w:cs="仿宋"/>
          <w:i w:val="0"/>
          <w:iCs w:val="0"/>
          <w:caps w:val="0"/>
          <w:color w:val="1E2022"/>
          <w:spacing w:val="0"/>
          <w:sz w:val="32"/>
          <w:szCs w:val="32"/>
          <w:shd w:val="clear" w:color="auto" w:fill="FFFFFF"/>
        </w:rPr>
        <w:t>(九)与市财政局、市国资委在国有资产管理方面的职责分工。市财政局负责制定行政事业单位国有资产管理规章制度，并负责组织实施和监督检查。市机关事务管理局负责市直行政事业单位的国有资产管理，承担产权界定、清查登记、资产处置工作，制定市直行政事业单位国有资产管理具体制度和办法并组织实施，接受市财政部门的指导和监督检查。市直行政事业单位按规定负责所属事业单位及派出机构的国有资产管理。市级党政机关事业单位对外出租出借的经营性国有资产，由市机关事务管理局集中统一监管，承担产权界定、清查登记、资产处置等工作。市直党政机关事业单位利用国有资产举办的企业应按规定脱钩，其国有资产产权划转，由市政府授权市国资委履行出资人职责，进行集中统一监管。</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lang w:val="en-US" w:eastAsia="zh-CN"/>
        </w:rPr>
        <w:t xml:space="preserve"> </w:t>
      </w:r>
      <w:r>
        <w:rPr>
          <w:rFonts w:hint="eastAsia" w:ascii="仿宋" w:hAnsi="仿宋" w:eastAsia="仿宋" w:cs="仿宋"/>
          <w:i w:val="0"/>
          <w:iCs w:val="0"/>
          <w:caps w:val="0"/>
          <w:color w:val="1E2022"/>
          <w:spacing w:val="0"/>
          <w:sz w:val="32"/>
          <w:szCs w:val="32"/>
          <w:shd w:val="clear" w:color="auto" w:fill="FFFFFF"/>
        </w:rPr>
        <w:t>（一）内设机构设置。</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岳阳市机关事务管理局内设机构包括：办公室、资产管理科（公务用车管理科）、办公用房管理科（基建维修科）、公共机构节能管理科、后勤服务管理科、财务科、机关党委。</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下设事业单位包括：</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default" w:ascii="Times New Roman" w:hAnsi="Times New Roman" w:cs="Times New Roman"/>
          <w:i w:val="0"/>
          <w:iCs w:val="0"/>
          <w:caps w:val="0"/>
          <w:color w:val="1E2022"/>
          <w:spacing w:val="0"/>
          <w:sz w:val="32"/>
          <w:szCs w:val="32"/>
          <w:shd w:val="clear" w:color="auto" w:fill="FFFFFF"/>
        </w:rPr>
        <w:t>1</w:t>
      </w:r>
      <w:r>
        <w:rPr>
          <w:rFonts w:hint="eastAsia" w:ascii="仿宋" w:hAnsi="仿宋" w:eastAsia="仿宋" w:cs="仿宋"/>
          <w:i w:val="0"/>
          <w:iCs w:val="0"/>
          <w:caps w:val="0"/>
          <w:color w:val="1E2022"/>
          <w:spacing w:val="0"/>
          <w:sz w:val="32"/>
          <w:szCs w:val="32"/>
          <w:shd w:val="clear" w:color="auto" w:fill="FFFFFF"/>
        </w:rPr>
        <w:t>、市直行政事业单位资产管理事务中心</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default" w:ascii="Times New Roman" w:hAnsi="Times New Roman" w:cs="Times New Roman"/>
          <w:i w:val="0"/>
          <w:iCs w:val="0"/>
          <w:caps w:val="0"/>
          <w:color w:val="1E2022"/>
          <w:spacing w:val="0"/>
          <w:sz w:val="32"/>
          <w:szCs w:val="32"/>
          <w:shd w:val="clear" w:color="auto" w:fill="FFFFFF"/>
        </w:rPr>
        <w:t>2</w:t>
      </w:r>
      <w:r>
        <w:rPr>
          <w:rFonts w:hint="eastAsia" w:ascii="仿宋" w:hAnsi="仿宋" w:eastAsia="仿宋" w:cs="仿宋"/>
          <w:i w:val="0"/>
          <w:iCs w:val="0"/>
          <w:caps w:val="0"/>
          <w:color w:val="1E2022"/>
          <w:spacing w:val="0"/>
          <w:sz w:val="32"/>
          <w:szCs w:val="32"/>
          <w:shd w:val="clear" w:color="auto" w:fill="FFFFFF"/>
        </w:rPr>
        <w:t>、市直机关事业单位公务用车服务中心</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（二）决算单位构成。</w:t>
      </w:r>
    </w:p>
    <w:p>
      <w:pPr>
        <w:pStyle w:val="9"/>
        <w:keepNext w:val="0"/>
        <w:keepLines w:val="0"/>
        <w:widowControl/>
        <w:suppressLineNumbers w:val="0"/>
        <w:shd w:val="clear" w:color="auto" w:fill="FFFFFF"/>
        <w:spacing w:before="0" w:beforeAutospacing="0" w:after="0" w:afterAutospacing="0" w:line="23" w:lineRule="atLeast"/>
        <w:ind w:left="0" w:right="-226" w:firstLine="640"/>
        <w:jc w:val="both"/>
        <w:rPr>
          <w:rFonts w:hint="default" w:ascii="Calibri" w:hAnsi="Calibri" w:cs="Calibri"/>
          <w:i w:val="0"/>
          <w:iCs w:val="0"/>
          <w:caps w:val="0"/>
          <w:color w:val="1E2022"/>
          <w:spacing w:val="0"/>
          <w:sz w:val="24"/>
          <w:szCs w:val="24"/>
        </w:rPr>
      </w:pPr>
      <w:r>
        <w:rPr>
          <w:rFonts w:hint="eastAsia" w:ascii="仿宋" w:hAnsi="仿宋" w:eastAsia="仿宋" w:cs="仿宋"/>
          <w:i w:val="0"/>
          <w:iCs w:val="0"/>
          <w:caps w:val="0"/>
          <w:color w:val="1E2022"/>
          <w:spacing w:val="0"/>
          <w:sz w:val="32"/>
          <w:szCs w:val="32"/>
          <w:shd w:val="clear" w:color="auto" w:fill="FFFFFF"/>
        </w:rPr>
        <w:t>本单位</w:t>
      </w:r>
      <w:r>
        <w:rPr>
          <w:rFonts w:hint="default" w:ascii="Times New Roman" w:hAnsi="Times New Roman" w:cs="Times New Roman"/>
          <w:i w:val="0"/>
          <w:iCs w:val="0"/>
          <w:caps w:val="0"/>
          <w:color w:val="1E2022"/>
          <w:spacing w:val="0"/>
          <w:sz w:val="32"/>
          <w:szCs w:val="32"/>
          <w:shd w:val="clear" w:color="auto" w:fill="FFFFFF"/>
        </w:rPr>
        <w:t>20</w:t>
      </w:r>
      <w:r>
        <w:rPr>
          <w:rFonts w:hint="default" w:ascii="Times New Roman" w:hAnsi="Times New Roman" w:eastAsia="仿宋" w:cs="Times New Roman"/>
          <w:i w:val="0"/>
          <w:iCs w:val="0"/>
          <w:caps w:val="0"/>
          <w:color w:val="1E2022"/>
          <w:spacing w:val="0"/>
          <w:sz w:val="32"/>
          <w:szCs w:val="32"/>
          <w:shd w:val="clear" w:color="auto" w:fill="FFFFFF"/>
        </w:rPr>
        <w:t>2</w:t>
      </w:r>
      <w:r>
        <w:rPr>
          <w:rFonts w:hint="eastAsia" w:ascii="Times New Roman" w:hAnsi="Times New Roman" w:eastAsia="仿宋" w:cs="Times New Roman"/>
          <w:i w:val="0"/>
          <w:iCs w:val="0"/>
          <w:caps w:val="0"/>
          <w:color w:val="1E2022"/>
          <w:spacing w:val="0"/>
          <w:sz w:val="32"/>
          <w:szCs w:val="32"/>
          <w:shd w:val="clear" w:color="auto" w:fill="FFFFFF"/>
          <w:lang w:val="en-US" w:eastAsia="zh-CN"/>
        </w:rPr>
        <w:t>4</w:t>
      </w:r>
      <w:r>
        <w:rPr>
          <w:rFonts w:hint="eastAsia" w:ascii="仿宋" w:hAnsi="仿宋" w:eastAsia="仿宋" w:cs="仿宋"/>
          <w:i w:val="0"/>
          <w:iCs w:val="0"/>
          <w:caps w:val="0"/>
          <w:color w:val="1E2022"/>
          <w:spacing w:val="0"/>
          <w:sz w:val="32"/>
          <w:szCs w:val="32"/>
          <w:shd w:val="clear" w:color="auto" w:fill="FFFFFF"/>
        </w:rPr>
        <w:t>年部门决算汇总公开单位构成包括：</w:t>
      </w:r>
      <w:r>
        <w:rPr>
          <w:rFonts w:hint="eastAsia" w:ascii="仿宋" w:hAnsi="仿宋" w:eastAsia="仿宋" w:cs="仿宋"/>
          <w:i w:val="0"/>
          <w:iCs w:val="0"/>
          <w:caps w:val="0"/>
          <w:color w:val="1E2022"/>
          <w:spacing w:val="0"/>
          <w:sz w:val="32"/>
          <w:szCs w:val="32"/>
          <w:shd w:val="clear" w:color="auto" w:fill="FFFFFF"/>
          <w:lang w:eastAsia="zh-CN"/>
        </w:rPr>
        <w:t>岳阳市</w:t>
      </w:r>
      <w:r>
        <w:rPr>
          <w:rFonts w:hint="eastAsia" w:ascii="仿宋" w:hAnsi="仿宋" w:eastAsia="仿宋" w:cs="仿宋"/>
          <w:i w:val="0"/>
          <w:iCs w:val="0"/>
          <w:caps w:val="0"/>
          <w:color w:val="1E2022"/>
          <w:spacing w:val="0"/>
          <w:sz w:val="32"/>
          <w:szCs w:val="32"/>
          <w:shd w:val="clear" w:color="auto" w:fill="FFFFFF"/>
        </w:rPr>
        <w:t>机关事务管理局单位本级。本单位无独立核算的下属单位，</w:t>
      </w:r>
      <w:r>
        <w:rPr>
          <w:rFonts w:hint="default" w:ascii="Times New Roman" w:hAnsi="Times New Roman" w:eastAsia="仿宋" w:cs="Times New Roman"/>
          <w:i w:val="0"/>
          <w:iCs w:val="0"/>
          <w:caps w:val="0"/>
          <w:color w:val="1E2022"/>
          <w:spacing w:val="0"/>
          <w:sz w:val="32"/>
          <w:szCs w:val="32"/>
          <w:shd w:val="clear" w:color="auto" w:fill="FFFFFF"/>
        </w:rPr>
        <w:t>202</w:t>
      </w:r>
      <w:r>
        <w:rPr>
          <w:rFonts w:hint="eastAsia" w:ascii="Times New Roman" w:hAnsi="Times New Roman" w:eastAsia="仿宋" w:cs="Times New Roman"/>
          <w:i w:val="0"/>
          <w:iCs w:val="0"/>
          <w:caps w:val="0"/>
          <w:color w:val="1E2022"/>
          <w:spacing w:val="0"/>
          <w:sz w:val="32"/>
          <w:szCs w:val="32"/>
          <w:shd w:val="clear" w:color="auto" w:fill="FFFFFF"/>
          <w:lang w:val="en-US" w:eastAsia="zh-CN"/>
        </w:rPr>
        <w:t>4</w:t>
      </w:r>
      <w:r>
        <w:rPr>
          <w:rFonts w:hint="eastAsia" w:ascii="仿宋" w:hAnsi="仿宋" w:eastAsia="仿宋" w:cs="仿宋"/>
          <w:i w:val="0"/>
          <w:iCs w:val="0"/>
          <w:caps w:val="0"/>
          <w:color w:val="1E2022"/>
          <w:spacing w:val="0"/>
          <w:sz w:val="32"/>
          <w:szCs w:val="32"/>
          <w:shd w:val="clear" w:color="auto" w:fill="FFFFFF"/>
        </w:rPr>
        <w:t>年度部门决算汇总公开单位仅包括</w:t>
      </w:r>
      <w:r>
        <w:rPr>
          <w:rFonts w:hint="eastAsia" w:ascii="仿宋" w:hAnsi="仿宋" w:eastAsia="仿宋" w:cs="仿宋"/>
          <w:i w:val="0"/>
          <w:iCs w:val="0"/>
          <w:caps w:val="0"/>
          <w:color w:val="1E2022"/>
          <w:spacing w:val="0"/>
          <w:sz w:val="32"/>
          <w:szCs w:val="32"/>
          <w:shd w:val="clear" w:color="auto" w:fill="FFFFFF"/>
          <w:lang w:eastAsia="zh-CN"/>
        </w:rPr>
        <w:t>岳阳市</w:t>
      </w:r>
      <w:r>
        <w:rPr>
          <w:rFonts w:hint="eastAsia" w:ascii="仿宋" w:hAnsi="仿宋" w:eastAsia="仿宋" w:cs="仿宋"/>
          <w:i w:val="0"/>
          <w:iCs w:val="0"/>
          <w:caps w:val="0"/>
          <w:color w:val="1E2022"/>
          <w:spacing w:val="0"/>
          <w:sz w:val="32"/>
          <w:szCs w:val="32"/>
          <w:shd w:val="clear" w:color="auto" w:fill="FFFFFF"/>
        </w:rPr>
        <w:t>机关事务管理局单位本级。</w:t>
      </w:r>
    </w:p>
    <w:p>
      <w:pPr>
        <w:pStyle w:val="8"/>
        <w:rPr>
          <w:rFonts w:hint="eastAsia" w:eastAsiaTheme="minorEastAsia"/>
          <w:lang w:val="en-US" w:eastAsia="zh-CN"/>
        </w:rPr>
      </w:pPr>
    </w:p>
    <w:p>
      <w:pPr>
        <w:tabs>
          <w:tab w:val="left" w:pos="630"/>
          <w:tab w:val="left" w:pos="840"/>
        </w:tabs>
      </w:pPr>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8"/>
      </w:pPr>
    </w:p>
    <w:p>
      <w:pPr>
        <w:pStyle w:val="4"/>
      </w:pPr>
    </w:p>
    <w:p/>
    <w:p>
      <w:pPr>
        <w:pStyle w:val="15"/>
        <w:jc w:val="center"/>
        <w:rPr>
          <w:rFonts w:hint="eastAsia" w:ascii="方正小标宋_GBK" w:hAnsi="方正小标宋_GBK" w:eastAsia="方正小标宋_GBK" w:cs="方正小标宋_GBK"/>
          <w:sz w:val="84"/>
          <w:szCs w:val="84"/>
        </w:rPr>
      </w:pPr>
    </w:p>
    <w:p>
      <w:pPr>
        <w:pStyle w:val="4"/>
      </w:pPr>
    </w:p>
    <w:p/>
    <w:p>
      <w:pPr>
        <w:pStyle w:val="8"/>
      </w:pPr>
    </w:p>
    <w:p>
      <w:pPr>
        <w:pStyle w:val="4"/>
      </w:pPr>
    </w:p>
    <w:p/>
    <w:p>
      <w:pPr>
        <w:pStyle w:val="8"/>
      </w:pPr>
    </w:p>
    <w:p>
      <w:pPr>
        <w:pStyle w:val="4"/>
      </w:pPr>
    </w:p>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sectPr>
          <w:pgSz w:w="11906" w:h="16838"/>
          <w:pgMar w:top="720" w:right="720" w:bottom="720" w:left="720" w:header="851" w:footer="992" w:gutter="0"/>
          <w:cols w:space="425" w:num="1"/>
          <w:docGrid w:type="linesAndChars" w:linePitch="312" w:charSpace="0"/>
        </w:sectPr>
      </w:pP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w:t>
      </w:r>
      <w:r>
        <w:rPr>
          <w:rFonts w:hint="eastAsia" w:ascii="仿宋_GB2312" w:hAnsi="仿宋_GB2312" w:eastAsia="仿宋_GB2312" w:cs="仿宋_GB2312"/>
          <w:sz w:val="32"/>
          <w:szCs w:val="32"/>
          <w:lang w:eastAsia="zh-CN"/>
        </w:rPr>
        <w:t>分别为</w:t>
      </w:r>
      <w:r>
        <w:rPr>
          <w:rFonts w:hint="eastAsia" w:ascii="仿宋_GB2312" w:hAnsi="仿宋_GB2312" w:eastAsia="仿宋_GB2312" w:cs="仿宋_GB2312"/>
          <w:sz w:val="32"/>
          <w:szCs w:val="32"/>
          <w:lang w:val="en-US" w:eastAsia="zh-CN"/>
        </w:rPr>
        <w:t>5843.18</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2178.83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59.5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2024年度增加“三资”改革项目处置资产缴纳税费支出</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5843.18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5792.48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99.13</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0.87%</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5843.18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764.5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13.08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5078.68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86.92</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ascii="仿宋_GB2312" w:eastAsia="仿宋_GB2312" w:cs="仿宋_GB2312"/>
          <w:sz w:val="32"/>
          <w:szCs w:val="32"/>
          <w:highlight w:val="none"/>
          <w:lang w:val="en-US" w:eastAsia="zh-CN" w:bidi="ar"/>
        </w:rPr>
        <w:t>2024年度</w:t>
      </w:r>
      <w:r>
        <w:rPr>
          <w:rFonts w:hint="eastAsia" w:ascii="仿宋_GB2312" w:hAnsi="仿宋_GB2312" w:eastAsia="仿宋_GB2312" w:cs="仿宋_GB2312"/>
          <w:sz w:val="32"/>
          <w:highlight w:val="none"/>
          <w:lang w:val="en-US" w:eastAsia="zh-CN" w:bidi="ar"/>
        </w:rPr>
        <w:t>财政拨款收入</w:t>
      </w:r>
      <w:r>
        <w:rPr>
          <w:rFonts w:ascii="仿宋_GB2312" w:eastAsia="仿宋_GB2312" w:cs="仿宋_GB2312"/>
          <w:sz w:val="32"/>
          <w:szCs w:val="32"/>
          <w:highlight w:val="none"/>
          <w:lang w:val="en-US" w:eastAsia="zh-CN" w:bidi="ar"/>
        </w:rPr>
        <w:t>为</w:t>
      </w:r>
      <w:r>
        <w:rPr>
          <w:rFonts w:hint="eastAsia" w:ascii="仿宋_GB2312" w:hAnsi="仿宋_GB2312" w:eastAsia="仿宋_GB2312" w:cs="仿宋_GB2312"/>
          <w:sz w:val="32"/>
          <w:szCs w:val="32"/>
          <w:lang w:val="en-US" w:eastAsia="zh-CN"/>
        </w:rPr>
        <w:t>5792.48</w:t>
      </w:r>
      <w:r>
        <w:rPr>
          <w:rFonts w:ascii="仿宋_GB2312" w:eastAsia="仿宋_GB2312" w:cs="仿宋_GB2312"/>
          <w:sz w:val="32"/>
          <w:szCs w:val="32"/>
          <w:highlight w:val="none"/>
          <w:lang w:val="en-US" w:eastAsia="zh-CN" w:bidi="ar"/>
        </w:rPr>
        <w:t>万元</w:t>
      </w:r>
      <w:r>
        <w:rPr>
          <w:rFonts w:hint="eastAsia" w:asci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2187.63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60.7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2024年度增加“三资”改革项目处置资产缴纳税费支出</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yellow"/>
        </w:rPr>
      </w:pPr>
      <w:r>
        <w:rPr>
          <w:rFonts w:ascii="仿宋_GB2312" w:eastAsia="仿宋_GB2312" w:cs="仿宋_GB2312"/>
          <w:sz w:val="32"/>
          <w:szCs w:val="32"/>
          <w:highlight w:val="none"/>
          <w:lang w:val="en-US" w:eastAsia="zh-CN" w:bidi="ar"/>
        </w:rPr>
        <w:t>2024年度</w:t>
      </w:r>
      <w:r>
        <w:rPr>
          <w:rFonts w:hint="eastAsia" w:ascii="仿宋_GB2312" w:hAnsi="仿宋_GB2312" w:eastAsia="仿宋_GB2312" w:cs="仿宋_GB2312"/>
          <w:sz w:val="32"/>
          <w:highlight w:val="none"/>
          <w:lang w:val="en-US" w:eastAsia="zh-CN" w:bidi="ar"/>
        </w:rPr>
        <w:t>财政拨款收入</w:t>
      </w:r>
      <w:r>
        <w:rPr>
          <w:rFonts w:ascii="仿宋_GB2312" w:eastAsia="仿宋_GB2312" w:cs="仿宋_GB2312"/>
          <w:sz w:val="32"/>
          <w:szCs w:val="32"/>
          <w:highlight w:val="none"/>
          <w:lang w:val="en-US" w:eastAsia="zh-CN" w:bidi="ar"/>
        </w:rPr>
        <w:t>为</w:t>
      </w:r>
      <w:r>
        <w:rPr>
          <w:rFonts w:hint="eastAsia" w:ascii="仿宋_GB2312" w:hAnsi="仿宋_GB2312" w:eastAsia="仿宋_GB2312" w:cs="仿宋_GB2312"/>
          <w:sz w:val="32"/>
          <w:szCs w:val="32"/>
          <w:lang w:val="en-US" w:eastAsia="zh-CN"/>
        </w:rPr>
        <w:t>5792.48</w:t>
      </w:r>
      <w:r>
        <w:rPr>
          <w:rFonts w:ascii="仿宋_GB2312" w:eastAsia="仿宋_GB2312" w:cs="仿宋_GB2312"/>
          <w:sz w:val="32"/>
          <w:szCs w:val="32"/>
          <w:highlight w:val="none"/>
          <w:lang w:val="en-US" w:eastAsia="zh-CN" w:bidi="ar"/>
        </w:rPr>
        <w:t>万元</w:t>
      </w:r>
      <w:r>
        <w:rPr>
          <w:rFonts w:hint="eastAsia" w:asci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2187.63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60.7</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2024年度增加“三资”改革项目处置资产缴纳税费支出</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 w:cs="仿宋_GB2312"/>
          <w:sz w:val="32"/>
          <w:szCs w:val="32"/>
          <w:lang w:eastAsia="zh-CN"/>
        </w:rPr>
      </w:pPr>
      <w:r>
        <w:rPr>
          <w:rFonts w:ascii="仿宋_GB2312" w:eastAsia="仿宋_GB2312" w:cs="仿宋_GB2312"/>
          <w:sz w:val="32"/>
          <w:szCs w:val="32"/>
          <w:highlight w:val="none"/>
          <w:lang w:val="en-US" w:eastAsia="zh-CN" w:bidi="ar"/>
        </w:rPr>
        <w:t>2024年度</w:t>
      </w:r>
      <w:r>
        <w:rPr>
          <w:rFonts w:hint="eastAsia" w:ascii="仿宋_GB2312" w:hAnsi="仿宋_GB2312" w:eastAsia="仿宋_GB2312" w:cs="仿宋_GB2312"/>
          <w:sz w:val="32"/>
          <w:highlight w:val="none"/>
          <w:lang w:val="en-US" w:eastAsia="zh-CN" w:bidi="ar"/>
        </w:rPr>
        <w:t>财政拨款支出</w:t>
      </w:r>
      <w:r>
        <w:rPr>
          <w:rFonts w:ascii="仿宋_GB2312" w:eastAsia="仿宋_GB2312" w:cs="仿宋_GB2312"/>
          <w:sz w:val="32"/>
          <w:szCs w:val="32"/>
          <w:highlight w:val="none"/>
          <w:lang w:val="en-US" w:eastAsia="zh-CN" w:bidi="ar"/>
        </w:rPr>
        <w:t>为</w:t>
      </w:r>
      <w:r>
        <w:rPr>
          <w:rFonts w:hint="eastAsia" w:ascii="仿宋_GB2312" w:hAnsi="仿宋_GB2312" w:eastAsia="仿宋_GB2312" w:cs="仿宋_GB2312"/>
          <w:sz w:val="32"/>
          <w:szCs w:val="32"/>
          <w:lang w:val="en-US" w:eastAsia="zh-CN"/>
        </w:rPr>
        <w:t>5792.48</w:t>
      </w:r>
      <w:r>
        <w:rPr>
          <w:rFonts w:ascii="仿宋_GB2312" w:eastAsia="仿宋_GB2312" w:cs="仿宋_GB2312"/>
          <w:sz w:val="32"/>
          <w:szCs w:val="32"/>
          <w:highlight w:val="none"/>
          <w:lang w:val="en-US" w:eastAsia="zh-CN" w:bidi="ar"/>
        </w:rPr>
        <w:t>万元</w:t>
      </w:r>
      <w:r>
        <w:rPr>
          <w:rFonts w:hint="eastAsia" w:ascii="仿宋_GB2312" w:eastAsia="仿宋_GB2312" w:cs="仿宋_GB2312"/>
          <w:sz w:val="32"/>
          <w:szCs w:val="32"/>
          <w:highlight w:val="none"/>
          <w:lang w:val="en-US" w:eastAsia="zh-CN" w:bidi="ar"/>
        </w:rPr>
        <w:t>，</w:t>
      </w:r>
      <w:r>
        <w:rPr>
          <w:rFonts w:hint="eastAsia" w:ascii="仿宋_GB2312" w:hAnsi="仿宋_GB2312" w:eastAsia="仿宋_GB2312" w:cs="仿宋_GB2312"/>
          <w:sz w:val="32"/>
          <w:szCs w:val="32"/>
        </w:rPr>
        <w:t>主要用于以下方面：一般公共服务（类）支</w:t>
      </w:r>
      <w:r>
        <w:rPr>
          <w:rFonts w:hint="eastAsia" w:ascii="仿宋_GB2312" w:eastAsia="仿宋_GB2312" w:cs="仿宋_GB2312"/>
          <w:sz w:val="32"/>
          <w:szCs w:val="32"/>
          <w:highlight w:val="none"/>
          <w:lang w:val="en-US" w:eastAsia="zh-CN" w:bidi="ar"/>
        </w:rPr>
        <w:t>出3305.52万元，占57.07%；社会保障和就业（类）支出57.46万元，占0.99</w:t>
      </w:r>
      <w:r>
        <w:rPr>
          <w:rFonts w:hint="default" w:ascii="仿宋_GB2312" w:eastAsia="仿宋_GB2312" w:cs="仿宋_GB2312"/>
          <w:sz w:val="32"/>
          <w:szCs w:val="32"/>
          <w:highlight w:val="none"/>
          <w:lang w:val="en-US" w:eastAsia="zh-CN" w:bidi="ar"/>
        </w:rPr>
        <w:t>%;</w:t>
      </w:r>
      <w:r>
        <w:rPr>
          <w:rFonts w:hint="eastAsia" w:ascii="仿宋_GB2312" w:eastAsia="仿宋_GB2312" w:cs="仿宋_GB2312"/>
          <w:sz w:val="32"/>
          <w:szCs w:val="32"/>
          <w:highlight w:val="none"/>
          <w:lang w:val="en-US" w:eastAsia="zh-CN" w:bidi="ar"/>
        </w:rPr>
        <w:t>卫生健康（类）支出36.82万元，占0.64</w:t>
      </w:r>
      <w:r>
        <w:rPr>
          <w:rFonts w:hint="default" w:ascii="仿宋_GB2312" w:eastAsia="仿宋_GB2312" w:cs="仿宋_GB2312"/>
          <w:sz w:val="32"/>
          <w:szCs w:val="32"/>
          <w:highlight w:val="none"/>
          <w:lang w:val="en-US" w:eastAsia="zh-CN" w:bidi="ar"/>
        </w:rPr>
        <w:t>%;</w:t>
      </w:r>
      <w:r>
        <w:rPr>
          <w:rFonts w:hint="eastAsia" w:ascii="仿宋_GB2312" w:eastAsia="仿宋_GB2312" w:cs="仿宋_GB2312"/>
          <w:sz w:val="32"/>
          <w:szCs w:val="32"/>
          <w:highlight w:val="none"/>
          <w:lang w:val="en-US" w:eastAsia="zh-CN" w:bidi="ar"/>
        </w:rPr>
        <w:t>城乡社区支出2347.3万元，占40.52%</w:t>
      </w:r>
      <w:r>
        <w:rPr>
          <w:rFonts w:hint="default" w:ascii="仿宋_GB2312" w:eastAsia="仿宋_GB2312" w:cs="仿宋_GB2312"/>
          <w:sz w:val="32"/>
          <w:szCs w:val="32"/>
          <w:highlight w:val="none"/>
          <w:lang w:val="en-US" w:eastAsia="zh-CN" w:bidi="ar"/>
        </w:rPr>
        <w:t>;住房保障</w:t>
      </w:r>
      <w:r>
        <w:rPr>
          <w:rFonts w:hint="eastAsia" w:ascii="仿宋_GB2312" w:eastAsia="仿宋_GB2312" w:cs="仿宋_GB2312"/>
          <w:sz w:val="32"/>
          <w:szCs w:val="32"/>
          <w:highlight w:val="none"/>
          <w:lang w:val="en-US" w:eastAsia="zh-CN" w:bidi="ar"/>
        </w:rPr>
        <w:t>（类）</w:t>
      </w:r>
      <w:r>
        <w:rPr>
          <w:rFonts w:hint="default" w:ascii="仿宋_GB2312" w:eastAsia="仿宋_GB2312" w:cs="仿宋_GB2312"/>
          <w:sz w:val="32"/>
          <w:szCs w:val="32"/>
          <w:highlight w:val="none"/>
          <w:lang w:val="en-US" w:eastAsia="zh-CN" w:bidi="ar"/>
        </w:rPr>
        <w:t>支出</w:t>
      </w:r>
      <w:r>
        <w:rPr>
          <w:rFonts w:hint="eastAsia" w:ascii="仿宋_GB2312" w:eastAsia="仿宋_GB2312" w:cs="仿宋_GB2312"/>
          <w:sz w:val="32"/>
          <w:szCs w:val="32"/>
          <w:highlight w:val="none"/>
          <w:lang w:val="en-US" w:eastAsia="zh-CN" w:bidi="ar"/>
        </w:rPr>
        <w:t>45.37万元，占0.78</w:t>
      </w:r>
      <w:r>
        <w:rPr>
          <w:rFonts w:hint="default" w:ascii="仿宋_GB2312" w:eastAsia="仿宋_GB2312" w:cs="仿宋_GB2312"/>
          <w:sz w:val="32"/>
          <w:szCs w:val="32"/>
          <w:highlight w:val="none"/>
          <w:lang w:val="en-US" w:eastAsia="zh-CN" w:bidi="ar"/>
        </w:rPr>
        <w:t>%</w:t>
      </w:r>
      <w:r>
        <w:rPr>
          <w:rFonts w:hint="eastAsia" w:ascii="仿宋_GB2312" w:eastAsia="仿宋_GB2312" w:cs="仿宋_GB2312"/>
          <w:sz w:val="32"/>
          <w:szCs w:val="32"/>
          <w:highlight w:val="none"/>
          <w:lang w:val="en-US" w:eastAsia="zh-CN" w:bidi="ar"/>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1285.65</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5792.48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350.55</w:t>
      </w:r>
      <w:r>
        <w:rPr>
          <w:rFonts w:hint="eastAsia" w:ascii="仿宋_GB2312" w:hAnsi="仿宋_GB2312" w:eastAsia="仿宋_GB2312" w:cs="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1、一般公共服务（类）政府办公厅（室）及相关机构事务（款）行政运行（项）。</w:t>
      </w:r>
    </w:p>
    <w:p>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1131.29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1433.79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126.73</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：红盾小区维修加固工程、雪莲居消防安全整改工程等部分项目</w:t>
      </w:r>
      <w:r>
        <w:rPr>
          <w:rFonts w:hint="eastAsia" w:ascii="仿宋_GB2312" w:hAnsi="仿宋_GB2312" w:eastAsia="仿宋_GB2312" w:cs="仿宋_GB2312"/>
          <w:sz w:val="32"/>
          <w:szCs w:val="32"/>
          <w:lang w:val="en-US" w:eastAsia="zh-CN"/>
        </w:rPr>
        <w:t>未列入我单位2024年初预算，</w:t>
      </w:r>
      <w:r>
        <w:rPr>
          <w:rFonts w:ascii="仿宋_GB2312" w:hAnsi="仿宋_GB2312" w:eastAsia="仿宋_GB2312" w:cs="仿宋_GB2312"/>
          <w:color w:val="000000"/>
          <w:kern w:val="0"/>
          <w:sz w:val="32"/>
          <w:szCs w:val="32"/>
          <w:lang w:val="en-US" w:eastAsia="zh-CN" w:bidi="ar"/>
        </w:rPr>
        <w:t>中途追加项目经费</w:t>
      </w:r>
      <w:r>
        <w:rPr>
          <w:rFonts w:hint="eastAsia" w:ascii="仿宋_GB2312" w:hAnsi="仿宋_GB2312" w:eastAsia="仿宋_GB2312" w:cs="仿宋_GB2312"/>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2、一般公共服务（类）政府办公厅（室）及相关机构事务（款）一般行政管理事务（项）。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126.7</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val="en-US" w:eastAsia="zh-CN"/>
        </w:rPr>
        <w:t>预算下达时对科目进行了调整。</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一般公共服务（类）政府办公厅（室）及相关机构事务（款）其他政府办公厅（室）及相关机构事务支出（项）。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1745.03</w:t>
      </w:r>
      <w:r>
        <w:rPr>
          <w:rFonts w:hint="eastAsia" w:ascii="仿宋_GB2312" w:hAnsi="仿宋_GB2312" w:eastAsia="仿宋_GB2312" w:cs="仿宋_GB2312"/>
          <w:color w:val="000000" w:themeColor="text1"/>
          <w:sz w:val="32"/>
          <w:szCs w:val="32"/>
          <w14:textFill>
            <w14:solidFill>
              <w14:schemeClr w14:val="tx1"/>
            </w14:solidFill>
          </w14:textFill>
        </w:rPr>
        <w:t>万元，决算数大于年初预算数的主要原因是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年中追加了项目支出。</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4、社会保</w:t>
      </w:r>
      <w:r>
        <w:rPr>
          <w:rFonts w:hint="eastAsia" w:ascii="仿宋_GB2312" w:hAnsi="仿宋_GB2312" w:eastAsia="仿宋_GB2312" w:cs="仿宋_GB2312"/>
          <w:sz w:val="32"/>
          <w:szCs w:val="32"/>
          <w:lang w:val="en-US" w:eastAsia="zh-CN"/>
        </w:rPr>
        <w:t>障和就业支出</w:t>
      </w:r>
      <w:r>
        <w:rPr>
          <w:rFonts w:hint="eastAsia" w:ascii="仿宋_GB2312" w:hAnsi="仿宋_GB2312" w:eastAsia="仿宋_GB2312" w:cs="仿宋_GB2312"/>
          <w:sz w:val="32"/>
          <w:szCs w:val="32"/>
        </w:rPr>
        <w:t>（类）行政事业单位养老支出</w:t>
      </w:r>
      <w:r>
        <w:rPr>
          <w:rFonts w:hint="eastAsia" w:ascii="仿宋_GB2312" w:hAnsi="仿宋_GB2312" w:eastAsia="仿宋_GB2312" w:cs="仿宋_GB2312"/>
          <w:sz w:val="32"/>
          <w:szCs w:val="32"/>
          <w:lang w:eastAsia="zh-CN"/>
        </w:rPr>
        <w:t>（款） 机关事业单位基本养老保险缴费支出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年初预算为67.5万元，支出决算为52.88万元，完成年初预算的78.34%，决算数小于年初预算数的主要原因是： 2024年我单位有退休同志2名，该同志养老保险年初纳入我单位预算，导致我单位养老保险年末决算支出小于年初预算。</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5、社会保</w:t>
      </w:r>
      <w:r>
        <w:rPr>
          <w:rFonts w:hint="eastAsia" w:ascii="仿宋_GB2312" w:hAnsi="仿宋_GB2312" w:eastAsia="仿宋_GB2312" w:cs="仿宋_GB2312"/>
          <w:sz w:val="32"/>
          <w:szCs w:val="32"/>
          <w:lang w:val="en-US" w:eastAsia="zh-CN"/>
        </w:rPr>
        <w:t>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残疾人事业（款）其他残疾人事业支出（项）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年初预算为0万元，支出决算为4.58万元，</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按照规定缴纳残疾人保障金</w:t>
      </w:r>
      <w:r>
        <w:rPr>
          <w:rFonts w:hint="eastAsia" w:ascii="仿宋_GB2312" w:hAnsi="仿宋_GB2312" w:eastAsia="仿宋_GB2312" w:cs="仿宋_GB2312"/>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6、卫生健康支出（类）行政事业单位医疗（款） 行政单位医疗（项）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年初预算为41.49万元，支出决算为36.82万元，</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预算下达时对科目进行了调整</w:t>
      </w:r>
      <w:r>
        <w:rPr>
          <w:rFonts w:hint="eastAsia" w:ascii="仿宋_GB2312" w:hAnsi="仿宋_GB2312" w:eastAsia="仿宋_GB2312" w:cs="仿宋_GB2312"/>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7、住房保障支出（类）住房改革支出（款）住房公积金（项）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年初预算为45.37万元，支出决算为45.37万元，完成年初预算的100%，决算数等于年初预算数的主要原因是：我单位严格按预算执行决算。</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yellow"/>
        </w:rPr>
      </w:pPr>
      <w:r>
        <w:rPr>
          <w:rFonts w:hint="eastAsia" w:ascii="黑体" w:hAnsi="黑体" w:eastAsia="黑体" w:cs="黑体"/>
          <w:b w:val="0"/>
          <w:bCs/>
          <w:sz w:val="32"/>
          <w:szCs w:val="32"/>
          <w:highlight w:val="none"/>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713.8</w:t>
      </w:r>
      <w:r>
        <w:rPr>
          <w:rFonts w:hint="eastAsia" w:ascii="仿宋_GB2312" w:hAnsi="仿宋_GB2312" w:eastAsia="仿宋_GB2312" w:cs="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b/>
          <w:bCs/>
          <w:sz w:val="32"/>
          <w:szCs w:val="32"/>
          <w:lang w:val="en-US" w:eastAsia="zh-CN"/>
        </w:rPr>
        <w:t>558.59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78.26</w:t>
      </w:r>
      <w:r>
        <w:rPr>
          <w:rFonts w:hint="eastAsia" w:ascii="仿宋_GB2312" w:hAnsi="仿宋_GB2312" w:eastAsia="仿宋_GB2312" w:cs="仿宋_GB2312"/>
          <w:sz w:val="32"/>
          <w:szCs w:val="32"/>
        </w:rPr>
        <w:t>%,</w:t>
      </w:r>
      <w:r>
        <w:rPr>
          <w:rFonts w:hint="eastAsia" w:ascii="仿宋" w:hAnsi="仿宋" w:eastAsia="仿宋" w:cs="仿宋"/>
          <w:i w:val="0"/>
          <w:iCs w:val="0"/>
          <w:caps w:val="0"/>
          <w:color w:val="000000"/>
          <w:spacing w:val="0"/>
          <w:sz w:val="32"/>
          <w:szCs w:val="32"/>
          <w:shd w:val="clear" w:color="auto" w:fill="FFFFFF"/>
        </w:rPr>
        <w:t>主要包括主要包括基本工资、津贴补贴、奖金、伙食补助费、绩效工资、机关事业单位基本养老保险缴费、职业年金缴费、职工基本医疗保险缴费、公务员医疗补助缴费、其他社会保障缴费、住房公积金、医疗费、其他工资福利支出、离休费、退休费、生活补助、医疗费补助、奖励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宋体" w:eastAsia="黑体" w:cs="黑体"/>
          <w:i w:val="0"/>
          <w:iCs w:val="0"/>
          <w:caps w:val="0"/>
          <w:color w:val="000000"/>
          <w:spacing w:val="0"/>
          <w:sz w:val="24"/>
          <w:szCs w:val="24"/>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b/>
          <w:bCs/>
          <w:sz w:val="32"/>
          <w:szCs w:val="32"/>
          <w:lang w:val="en-US" w:eastAsia="zh-CN"/>
        </w:rPr>
        <w:t>155.21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21.74</w:t>
      </w:r>
      <w:r>
        <w:rPr>
          <w:rFonts w:hint="eastAsia" w:ascii="仿宋_GB2312" w:hAnsi="仿宋_GB2312" w:eastAsia="仿宋_GB2312" w:cs="仿宋_GB2312"/>
          <w:sz w:val="32"/>
          <w:szCs w:val="32"/>
        </w:rPr>
        <w:t>%，</w:t>
      </w:r>
      <w:r>
        <w:rPr>
          <w:rFonts w:hint="eastAsia" w:ascii="仿宋" w:hAnsi="仿宋" w:eastAsia="仿宋" w:cs="仿宋"/>
          <w:i w:val="0"/>
          <w:iCs w:val="0"/>
          <w:caps w:val="0"/>
          <w:color w:val="000000"/>
          <w:spacing w:val="0"/>
          <w:sz w:val="32"/>
          <w:szCs w:val="32"/>
          <w:shd w:val="clear" w:color="auto" w:fill="FFFFFF"/>
        </w:rPr>
        <w:t>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信息网络及软件购置更新、无形资产购置、其他资本性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bCs/>
          <w:i w:val="0"/>
          <w:iCs/>
          <w:color w:val="FF0000"/>
          <w:kern w:val="0"/>
          <w:sz w:val="36"/>
          <w:szCs w:val="36"/>
          <w:lang w:val="en-US" w:eastAsia="zh-CN" w:bidi="ar-SA"/>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2024年度政府性基金预算财政拨款收入2347.3万元，用于国有土地使用权出让收入安排的支出。年初结转和结余0万元；支出0万元，其中基本支出0万元，项目支出0万元；年末结转和结余0万元。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 w:hAnsi="仿宋" w:eastAsia="仿宋" w:cs="仿宋"/>
          <w:i w:val="0"/>
          <w:iCs w:val="0"/>
          <w:caps w:val="0"/>
          <w:color w:val="000000"/>
          <w:spacing w:val="0"/>
          <w:kern w:val="0"/>
          <w:sz w:val="32"/>
          <w:szCs w:val="32"/>
          <w:shd w:val="clear" w:color="auto" w:fill="FFFFFF"/>
          <w:lang w:val="en-US" w:eastAsia="zh-CN" w:bidi="ar-SA"/>
        </w:rPr>
      </w:pPr>
      <w:r>
        <w:rPr>
          <w:rFonts w:hint="eastAsia" w:ascii="仿宋" w:hAnsi="仿宋" w:eastAsia="仿宋" w:cs="仿宋"/>
          <w:i w:val="0"/>
          <w:iCs w:val="0"/>
          <w:caps w:val="0"/>
          <w:color w:val="000000"/>
          <w:spacing w:val="0"/>
          <w:kern w:val="0"/>
          <w:sz w:val="32"/>
          <w:szCs w:val="32"/>
          <w:shd w:val="clear" w:color="auto" w:fill="FFFFFF"/>
          <w:lang w:val="en-US" w:eastAsia="zh-CN" w:bidi="ar-SA"/>
        </w:rPr>
        <w:t>2024年度国有资本经营预算财政拨款收入0万元；年初结转和结余0万；支出0万元，其中：基本支出0万元，项目支出0万元；年末结转和结余0万元。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65.04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112.13</w:t>
      </w:r>
      <w:r>
        <w:rPr>
          <w:rFonts w:hint="eastAsia" w:ascii="仿宋_GB2312" w:hAnsi="仿宋_GB2312" w:eastAsia="仿宋_GB2312" w:cs="仿宋_GB2312"/>
          <w:sz w:val="32"/>
          <w:szCs w:val="32"/>
        </w:rPr>
        <w:t>%，决</w:t>
      </w:r>
      <w:r>
        <w:rPr>
          <w:rFonts w:hint="eastAsia" w:ascii="仿宋_GB2312" w:hAnsi="仿宋_GB2312" w:eastAsia="仿宋_GB2312" w:cs="仿宋_GB2312"/>
          <w:sz w:val="32"/>
          <w:szCs w:val="32"/>
          <w:highlight w:val="none"/>
        </w:rPr>
        <w:t>算数</w:t>
      </w:r>
      <w:r>
        <w:rPr>
          <w:rFonts w:hint="eastAsia" w:ascii="仿宋_GB2312" w:hAnsi="仿宋_GB2312" w:eastAsia="仿宋_GB2312" w:cs="仿宋_GB2312"/>
          <w:sz w:val="32"/>
          <w:szCs w:val="32"/>
          <w:highlight w:val="none"/>
          <w:lang w:eastAsia="zh-CN"/>
        </w:rPr>
        <w:t>大于</w:t>
      </w:r>
      <w:r>
        <w:rPr>
          <w:rFonts w:hint="eastAsia" w:ascii="仿宋_GB2312" w:hAnsi="仿宋_GB2312" w:eastAsia="仿宋_GB2312" w:cs="仿宋_GB2312"/>
          <w:sz w:val="32"/>
          <w:szCs w:val="32"/>
          <w:highlight w:val="none"/>
        </w:rPr>
        <w:t>预算数的主要</w:t>
      </w:r>
      <w:r>
        <w:rPr>
          <w:rFonts w:hint="eastAsia" w:ascii="仿宋_GB2312" w:hAnsi="仿宋_GB2312" w:eastAsia="仿宋_GB2312" w:cs="仿宋_GB2312"/>
          <w:sz w:val="32"/>
          <w:szCs w:val="32"/>
        </w:rPr>
        <w:t>原</w:t>
      </w:r>
      <w:r>
        <w:rPr>
          <w:rFonts w:hint="eastAsia" w:ascii="仿宋_GB2312" w:hAnsi="仿宋_GB2312" w:eastAsia="仿宋_GB2312" w:cs="仿宋_GB2312"/>
          <w:sz w:val="32"/>
          <w:szCs w:val="32"/>
          <w:lang w:val="en-US" w:eastAsia="zh-CN"/>
        </w:rPr>
        <w:t>因是部分科目进行了调整。与上年相比减少8.22万元，减少12.6%,减少的主要原因是2023年度已对部分公务用车进行了维修维护，2024年度减少了对部分公务用车的维修维护。其</w:t>
      </w:r>
      <w:r>
        <w:rPr>
          <w:rFonts w:hint="eastAsia" w:ascii="仿宋_GB2312" w:hAnsi="仿宋_GB2312" w:eastAsia="仿宋_GB2312" w:cs="仿宋_GB2312"/>
          <w:sz w:val="32"/>
          <w:szCs w:val="32"/>
        </w:rPr>
        <w:t>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公务接待费支出预算为4万元，支出决算为1.24万元，完成预算的17.81%，决算数小于预算数的主要原因是严格执行中央八项规定；与上年相比增加0.06万元，增加5.09%，增加的主要原因是2024年度进行公务用车及公务接待改革，部分省市州单位来我局调研学习；2024年度第四届口博会的召开增加公务接待费支出。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w:t>
      </w:r>
      <w:r>
        <w:rPr>
          <w:rFonts w:hint="eastAsia" w:ascii="仿宋_GB2312" w:hAnsi="仿宋_GB2312" w:eastAsia="仿宋_GB2312" w:cs="仿宋_GB2312"/>
          <w:color w:val="000000" w:themeColor="text1"/>
          <w:sz w:val="32"/>
          <w:szCs w:val="32"/>
          <w14:textFill>
            <w14:solidFill>
              <w14:schemeClr w14:val="tx1"/>
            </w14:solidFill>
          </w14:textFill>
        </w:rPr>
        <w:t>务用车购置费支出预算为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b w:val="0"/>
          <w:bCs/>
          <w:color w:val="000000" w:themeColor="text1"/>
          <w:kern w:val="0"/>
          <w:sz w:val="32"/>
          <w:szCs w:val="32"/>
          <w:lang w:val="en-US" w:eastAsia="zh-CN" w:bidi="ar-SA"/>
          <w14:textFill>
            <w14:solidFill>
              <w14:schemeClr w14:val="tx1"/>
            </w14:solidFill>
          </w14:textFill>
        </w:rPr>
        <w:t>决算数等于预算数，主要原因是我单位严格按预算执行决算。</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color w:val="000000" w:themeColor="text1"/>
          <w:sz w:val="32"/>
          <w:szCs w:val="32"/>
          <w14:textFill>
            <w14:solidFill>
              <w14:schemeClr w14:val="tx1"/>
            </w14:solidFill>
          </w14:textFill>
        </w:rPr>
        <w:t>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63.8</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于预算数的主要原因是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我单位严格按预算执行决算。</w:t>
      </w:r>
      <w:r>
        <w:rPr>
          <w:rFonts w:hint="eastAsia" w:ascii="仿宋_GB2312" w:hAnsi="仿宋_GB2312" w:eastAsia="仿宋_GB2312" w:cs="仿宋_GB2312"/>
          <w:color w:val="000000" w:themeColor="text1"/>
          <w:sz w:val="32"/>
          <w:szCs w:val="32"/>
          <w14:textFill>
            <w14:solidFill>
              <w14:schemeClr w14:val="tx1"/>
            </w14:solidFill>
          </w14:textFill>
        </w:rPr>
        <w:t>与上年相比</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14:textFill>
            <w14:solidFill>
              <w14:schemeClr w14:val="tx1"/>
            </w14:solidFill>
          </w14:textFill>
        </w:rPr>
        <w:t>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2023年度已对部分公务用车进行了维修维护，2024年度减少了对部分公务用车的维修维护</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%,因境）公出国（费支出决算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63.8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98.09</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790" w:leftChars="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1、因公出国（境）费支出决算为0万元，全年安排因公出国（境）团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组0个，累计0人次，我单位2024年度无因公出国（境）费支出。  </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kern w:val="0"/>
          <w:sz w:val="32"/>
          <w:szCs w:val="32"/>
          <w:lang w:val="en-US" w:eastAsia="zh-CN" w:bidi="ar-SA"/>
        </w:rPr>
        <w:t>、公务接待费支出决算为1.24万元，全年共接待来访团组8个、来宾73人次，主要是省局、娄底、怀化、张家界、山东泰安等机关事务管理局来我局调研及第四届口博会的召开发生的接待支出。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63.8</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公务用车购置费0万元，当年没有购置公务用车</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63.8</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我局二级机构公车中心的</w:t>
      </w:r>
      <w:r>
        <w:rPr>
          <w:rFonts w:hint="eastAsia" w:ascii="仿宋_GB2312" w:hAnsi="仿宋_GB2312" w:eastAsia="仿宋_GB2312" w:cs="仿宋_GB2312"/>
          <w:sz w:val="32"/>
          <w:szCs w:val="32"/>
          <w:lang w:val="en-US" w:eastAsia="zh-CN"/>
        </w:rPr>
        <w:t>25台公车保障全市公务出行产生的公务用车的维修保养费和油料费等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2024年度机关运行经费支出155.21万元，比上年决算数增加48.89万元，增加45.98%。主要原因是机关日常运行成本上升和各项业务工作开展的增加所导致的水费、天然气费、维修（护）费、劳务费、工会经费、委托业务费、其他商品和服务支出等开支上升。</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5"/>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2024年年度，会议费年初预算1万元，支出决算为3万元，完成年初预算的300%。用于召开全市机关事务工作会议，人数60人，内容为全市县市区机关事务工作相关会议；召开全市公务用车及公务接待培训会议。</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2万元，支出决算为2.18万元，完成年初预算的1.09%。用于开展全市公共机构节能培训、我单位2024年事业人员培训支出，人数230人，内容为全市公共机构节能能耗统计培训、204年事业人员培训费用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229.61</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万元、政府采购工程支出</w:t>
      </w:r>
      <w:r>
        <w:rPr>
          <w:rFonts w:hint="eastAsia" w:ascii="仿宋_GB2312" w:hAnsi="仿宋_GB2312" w:eastAsia="仿宋_GB2312" w:cs="仿宋_GB2312"/>
          <w:color w:val="auto"/>
          <w:sz w:val="32"/>
          <w:szCs w:val="32"/>
          <w:lang w:val="en-US" w:eastAsia="zh-CN"/>
        </w:rPr>
        <w:t>229.61</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229.61</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229.61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无法计算</w:t>
      </w:r>
      <w:r>
        <w:rPr>
          <w:rFonts w:hint="eastAsia" w:ascii="仿宋_GB2312" w:hAnsi="仿宋_GB2312" w:eastAsia="仿宋_GB2312" w:cs="仿宋_GB2312"/>
          <w:color w:val="auto"/>
          <w:sz w:val="32"/>
          <w:szCs w:val="32"/>
        </w:rPr>
        <w:t>货物采购授予中小企业合同金额占货物支出金额</w:t>
      </w:r>
      <w:r>
        <w:rPr>
          <w:rFonts w:hint="eastAsia" w:ascii="仿宋_GB2312" w:hAnsi="仿宋_GB2312" w:eastAsia="仿宋_GB2312" w:cs="仿宋_GB2312"/>
          <w:color w:val="auto"/>
          <w:sz w:val="32"/>
          <w:szCs w:val="32"/>
          <w:lang w:eastAsia="zh-CN"/>
        </w:rPr>
        <w:t>的比重</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，副部（省）级及以上领导用车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离退休干部服务用车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eastAsia="zh-CN"/>
        </w:rPr>
        <w:t>（不含车辆）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根据预算绩效管理要求，我们组织对2024年度整体支出和项目资金实施了全覆盖性的绩效评价，撰写了绩效自评报告。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5792.48万元，政府性基金预算支出0万元，国有资本经营预算支出0万元。从评价情况来看，整体支出绩效评价中，2024年整体支出5843.17万元，其中：基本支出764.49万元，项目支出5079万元，本单位整体支出绩效自评综合评分96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组织对一般公共预算项目支出全面开展绩效自评，项目5个，共涉及资金556.64万元，占一般公共预算项目支出总额的10.96%。组织对政府性基金预算项目支出开展绩效自评，项目1个，共涉及资金</w:t>
      </w:r>
      <w:r>
        <w:rPr>
          <w:rFonts w:hint="eastAsia" w:ascii="仿宋" w:hAnsi="仿宋" w:eastAsia="仿宋" w:cs="仿宋"/>
          <w:i w:val="0"/>
          <w:iCs w:val="0"/>
          <w:caps w:val="0"/>
          <w:color w:val="000000"/>
          <w:spacing w:val="0"/>
          <w:kern w:val="0"/>
          <w:sz w:val="32"/>
          <w:szCs w:val="32"/>
          <w:shd w:val="clear" w:color="auto" w:fill="FFFFFF"/>
          <w:lang w:val="en-US" w:eastAsia="zh-CN" w:bidi="ar-SA"/>
        </w:rPr>
        <w:t>2347.3</w:t>
      </w:r>
      <w:r>
        <w:rPr>
          <w:rFonts w:hint="eastAsia" w:ascii="仿宋_GB2312" w:hAnsi="仿宋_GB2312" w:eastAsia="仿宋_GB2312" w:cs="仿宋_GB2312"/>
          <w:b w:val="0"/>
          <w:bCs w:val="0"/>
          <w:color w:val="000000"/>
          <w:kern w:val="0"/>
          <w:sz w:val="32"/>
          <w:szCs w:val="32"/>
          <w:lang w:val="en-US" w:eastAsia="zh-CN" w:bidi="ar-SA"/>
        </w:rPr>
        <w:t>万元。组织对国有资本经营预算项目支出开展绩效自评，项目0个，共涉及资金0万元，无法计算占国有资本经营预算项目支出总额的比重。从评价情况来看，本单位整体支出绩效自评综合评分96分，评价结果等次为优秀。</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根据年初设定的绩效目标，绩效自评得分为100分。全年预算数为5792.48万元，执行数为5792.48万元，完成预算的100%。绩效目标完成情况：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202</w:t>
      </w:r>
      <w:r>
        <w:rPr>
          <w:rFonts w:hint="eastAsia" w:ascii="仿宋_GB2312" w:hAnsi="仿宋_GB2312" w:eastAsia="仿宋_GB2312" w:cs="仿宋_GB2312"/>
          <w:b w:val="0"/>
          <w:bCs w:val="0"/>
          <w:color w:val="000000"/>
          <w:kern w:val="0"/>
          <w:sz w:val="32"/>
          <w:szCs w:val="32"/>
          <w:lang w:val="en-US" w:eastAsia="zh-CN" w:bidi="ar-SA"/>
        </w:rPr>
        <w:t>4</w:t>
      </w:r>
      <w:r>
        <w:rPr>
          <w:rFonts w:hint="default" w:ascii="仿宋_GB2312" w:hAnsi="仿宋_GB2312" w:eastAsia="仿宋_GB2312" w:cs="仿宋_GB2312"/>
          <w:b w:val="0"/>
          <w:bCs w:val="0"/>
          <w:color w:val="000000"/>
          <w:kern w:val="0"/>
          <w:sz w:val="32"/>
          <w:szCs w:val="32"/>
          <w:lang w:val="en-US" w:eastAsia="zh-CN" w:bidi="ar-SA"/>
        </w:rPr>
        <w:t>年</w:t>
      </w:r>
      <w:r>
        <w:rPr>
          <w:rFonts w:hint="eastAsia" w:ascii="仿宋_GB2312" w:hAnsi="仿宋_GB2312" w:eastAsia="仿宋_GB2312" w:cs="仿宋_GB2312"/>
          <w:b w:val="0"/>
          <w:bCs w:val="0"/>
          <w:color w:val="000000"/>
          <w:kern w:val="0"/>
          <w:sz w:val="32"/>
          <w:szCs w:val="32"/>
          <w:lang w:val="en-US" w:eastAsia="zh-CN" w:bidi="ar-SA"/>
        </w:rPr>
        <w:t>度</w:t>
      </w:r>
      <w:r>
        <w:rPr>
          <w:rFonts w:hint="default" w:ascii="仿宋_GB2312" w:hAnsi="仿宋_GB2312" w:eastAsia="仿宋_GB2312" w:cs="仿宋_GB2312"/>
          <w:b w:val="0"/>
          <w:bCs w:val="0"/>
          <w:color w:val="000000"/>
          <w:kern w:val="0"/>
          <w:sz w:val="32"/>
          <w:szCs w:val="32"/>
          <w:lang w:val="en-US" w:eastAsia="zh-CN" w:bidi="ar-SA"/>
        </w:rPr>
        <w:t>整体支出绩效情况如下：</w:t>
      </w:r>
    </w:p>
    <w:p>
      <w:pPr>
        <w:pStyle w:val="21"/>
        <w:keepNext w:val="0"/>
        <w:keepLines w:val="0"/>
        <w:pageBreakBefore w:val="0"/>
        <w:widowControl w:val="0"/>
        <w:kinsoku/>
        <w:wordWrap/>
        <w:overflowPunct/>
        <w:topLinePunct w:val="0"/>
        <w:autoSpaceDE/>
        <w:autoSpaceDN/>
        <w:bidi w:val="0"/>
        <w:snapToGrid w:val="0"/>
        <w:spacing w:beforeAutospacing="0" w:line="560" w:lineRule="exact"/>
        <w:ind w:left="0"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Times New Roman" w:hAnsi="Times New Roman" w:eastAsia="楷体_GB2312" w:cs="Times New Roman"/>
          <w:b/>
          <w:bCs/>
          <w:color w:val="auto"/>
          <w:kern w:val="2"/>
          <w:sz w:val="32"/>
          <w:szCs w:val="32"/>
          <w:lang w:val="en-US" w:eastAsia="zh-CN" w:bidi="ar-SA"/>
        </w:rPr>
        <w:t>1、</w:t>
      </w:r>
      <w:r>
        <w:rPr>
          <w:rFonts w:hint="default" w:ascii="Times New Roman" w:hAnsi="Times New Roman" w:eastAsia="楷体_GB2312" w:cs="Times New Roman"/>
          <w:b/>
          <w:bCs/>
          <w:color w:val="auto"/>
          <w:kern w:val="2"/>
          <w:sz w:val="32"/>
          <w:szCs w:val="32"/>
          <w:lang w:val="en-US" w:eastAsia="zh-CN" w:bidi="ar-SA"/>
        </w:rPr>
        <w:t>坚持改革任务牵引，攻坚行动扎实推进。</w:t>
      </w:r>
      <w:r>
        <w:rPr>
          <w:rFonts w:hint="eastAsia" w:ascii="仿宋_GB2312" w:hAnsi="仿宋_GB2312" w:eastAsia="仿宋_GB2312" w:cs="仿宋_GB2312"/>
          <w:color w:val="000000"/>
          <w:spacing w:val="0"/>
          <w:kern w:val="0"/>
          <w:sz w:val="32"/>
          <w:szCs w:val="32"/>
          <w:lang w:val="en-US" w:eastAsia="zh-CN" w:bidi="ar"/>
        </w:rPr>
        <w:t>2024年度</w:t>
      </w:r>
      <w:r>
        <w:rPr>
          <w:rFonts w:hint="default" w:ascii="仿宋_GB2312" w:hAnsi="仿宋_GB2312" w:eastAsia="仿宋_GB2312" w:cs="仿宋_GB2312"/>
          <w:color w:val="000000"/>
          <w:spacing w:val="0"/>
          <w:kern w:val="0"/>
          <w:sz w:val="32"/>
          <w:szCs w:val="32"/>
          <w:lang w:val="en-US" w:eastAsia="zh-CN" w:bidi="ar"/>
        </w:rPr>
        <w:t>以目标为</w:t>
      </w:r>
      <w:r>
        <w:rPr>
          <w:rFonts w:hint="default" w:ascii="Times New Roman" w:hAnsi="Times New Roman" w:eastAsia="仿宋_GB2312" w:cs="Times New Roman"/>
          <w:color w:val="auto"/>
          <w:sz w:val="32"/>
          <w:szCs w:val="32"/>
        </w:rPr>
        <w:t>导向，不讲条件，坚决执行。</w:t>
      </w:r>
      <w:r>
        <w:rPr>
          <w:rFonts w:hint="default" w:ascii="Times New Roman" w:hAnsi="Times New Roman" w:eastAsia="仿宋_GB2312" w:cs="Times New Roman"/>
          <w:b/>
          <w:bCs/>
          <w:color w:val="auto"/>
          <w:sz w:val="32"/>
          <w:szCs w:val="32"/>
        </w:rPr>
        <w:t>一是千方百计推进资产盘活。</w:t>
      </w:r>
      <w:r>
        <w:rPr>
          <w:rFonts w:hint="default" w:ascii="Times New Roman" w:hAnsi="Times New Roman" w:eastAsia="仿宋_GB2312" w:cs="Times New Roman"/>
          <w:color w:val="auto"/>
          <w:spacing w:val="6"/>
          <w:sz w:val="32"/>
          <w:szCs w:val="32"/>
        </w:rPr>
        <w:t>在存量优质资产减少和市场环境低迷的双重压力下，</w:t>
      </w:r>
      <w:r>
        <w:rPr>
          <w:rFonts w:hint="default" w:ascii="Times New Roman" w:hAnsi="Times New Roman" w:eastAsia="仿宋_GB2312" w:cs="Times New Roman"/>
          <w:color w:val="auto"/>
          <w:sz w:val="32"/>
          <w:szCs w:val="32"/>
        </w:rPr>
        <w:t>深度</w:t>
      </w:r>
      <w:r>
        <w:rPr>
          <w:rFonts w:hint="default" w:ascii="仿宋_GB2312" w:hAnsi="仿宋_GB2312" w:eastAsia="仿宋_GB2312" w:cs="仿宋_GB2312"/>
          <w:color w:val="000000"/>
          <w:spacing w:val="0"/>
          <w:kern w:val="0"/>
          <w:sz w:val="32"/>
          <w:szCs w:val="32"/>
          <w:lang w:val="en-US" w:eastAsia="zh-CN" w:bidi="ar"/>
        </w:rPr>
        <w:t>挖掘国有资产利用价值，进一步优化办公用房资源配置，腾挪可处置资产，盘活闲置资产。2024年，共归集用于三资改革处置资产85宗，拍卖成交资产36宗，实现资产处置收入30859.66万元，报废资产处置收入615.96万元，经营性资产租金收入1342.73万元，全年共完成收入约3.28亿元，超出下达的2.8亿元“三资</w:t>
      </w:r>
      <w:r>
        <w:rPr>
          <w:rFonts w:hint="default" w:ascii="Times New Roman" w:hAnsi="Times New Roman" w:eastAsia="仿宋_GB2312" w:cs="Times New Roman"/>
          <w:color w:val="auto"/>
          <w:sz w:val="32"/>
          <w:szCs w:val="32"/>
        </w:rPr>
        <w:t>”改革任务。</w:t>
      </w:r>
      <w:r>
        <w:rPr>
          <w:rFonts w:hint="default" w:ascii="Times New Roman" w:hAnsi="Times New Roman" w:eastAsia="仿宋_GB2312" w:cs="Times New Roman"/>
          <w:b/>
          <w:bCs/>
          <w:color w:val="auto"/>
          <w:sz w:val="32"/>
          <w:szCs w:val="32"/>
        </w:rPr>
        <w:t>二是稳扎稳打推动“两项改革”。</w:t>
      </w:r>
      <w:r>
        <w:rPr>
          <w:rFonts w:hint="default" w:ascii="Times New Roman" w:hAnsi="Times New Roman" w:eastAsia="仿宋_GB2312" w:cs="Times New Roman"/>
          <w:color w:val="auto"/>
          <w:sz w:val="32"/>
          <w:szCs w:val="32"/>
        </w:rPr>
        <w:t>落实市委市政府指示要求，</w:t>
      </w:r>
      <w:r>
        <w:rPr>
          <w:rFonts w:hint="default" w:ascii="仿宋_GB2312" w:hAnsi="仿宋_GB2312" w:eastAsia="仿宋_GB2312" w:cs="仿宋_GB2312"/>
          <w:color w:val="000000"/>
          <w:spacing w:val="0"/>
          <w:kern w:val="0"/>
          <w:sz w:val="32"/>
          <w:szCs w:val="32"/>
          <w:lang w:val="en-US" w:eastAsia="zh-CN" w:bidi="ar"/>
        </w:rPr>
        <w:t>11月1日，组织召开市直行政事业单位集中采购和公务用车集中统一管理改革动员和培训会议，全面部署铺开两项改革工作。现已完成集采中心挂牌、集中采购目录制定和采购预算编制，为集采工作充实人力物力；完成公务用车集中停放点的选定和改造、公务用车资料汇总</w:t>
      </w:r>
      <w:r>
        <w:rPr>
          <w:rFonts w:hint="default" w:ascii="Times New Roman" w:hAnsi="Times New Roman" w:eastAsia="仿宋_GB2312" w:cs="Times New Roman"/>
          <w:color w:val="auto"/>
          <w:sz w:val="32"/>
          <w:szCs w:val="32"/>
        </w:rPr>
        <w:t>，正在开展车辆收缴和驾驶员招聘工作，为公车集中统一管理奠定基础。</w:t>
      </w:r>
      <w:r>
        <w:rPr>
          <w:rFonts w:hint="default" w:ascii="Times New Roman" w:hAnsi="Times New Roman" w:eastAsia="仿宋_GB2312" w:cs="Times New Roman"/>
          <w:b/>
          <w:bCs/>
          <w:color w:val="auto"/>
          <w:sz w:val="32"/>
          <w:szCs w:val="32"/>
        </w:rPr>
        <w:t>三是令行禁止落实“四个暂停”。</w:t>
      </w:r>
      <w:r>
        <w:rPr>
          <w:rFonts w:hint="default" w:ascii="Times New Roman" w:hAnsi="Times New Roman" w:eastAsia="仿宋_GB2312" w:cs="Times New Roman"/>
          <w:color w:val="auto"/>
          <w:sz w:val="32"/>
          <w:szCs w:val="32"/>
        </w:rPr>
        <w:t>自实施以来，从严从紧审批符合办公用房维修改造要求的项目</w:t>
      </w:r>
      <w:r>
        <w:rPr>
          <w:rFonts w:hint="default" w:ascii="仿宋_GB2312" w:hAnsi="仿宋_GB2312" w:eastAsia="仿宋_GB2312" w:cs="仿宋_GB2312"/>
          <w:color w:val="000000"/>
          <w:spacing w:val="0"/>
          <w:kern w:val="0"/>
          <w:sz w:val="32"/>
          <w:szCs w:val="32"/>
          <w:lang w:val="en-US" w:eastAsia="zh-CN" w:bidi="ar"/>
        </w:rPr>
        <w:t>27个，涉及维修面积约9万平方米，工程预算12391万元；市本级没有新增一般公务用车，上年同期审批车辆70多台，同比减少一般公务用车购置资金1200多万元。此外，仅审批特种专业技术用车45台，比上年同期减少116台，减少资金2100多万元；未审批新上一个信息化项目，各相关单位“紧”的思想逐渐树立。</w:t>
      </w:r>
    </w:p>
    <w:p>
      <w:pPr>
        <w:keepNext w:val="0"/>
        <w:keepLines w:val="0"/>
        <w:pageBreakBefore w:val="0"/>
        <w:widowControl w:val="0"/>
        <w:kinsoku/>
        <w:wordWrap/>
        <w:overflowPunct/>
        <w:topLinePunct w:val="0"/>
        <w:autoSpaceDE/>
        <w:autoSpaceDN/>
        <w:bidi w:val="0"/>
        <w:snapToGrid w:val="0"/>
        <w:spacing w:beforeAutospacing="0" w:line="560" w:lineRule="exact"/>
        <w:ind w:left="0" w:firstLine="640" w:firstLineChars="200"/>
        <w:textAlignment w:val="auto"/>
        <w:rPr>
          <w:rFonts w:hint="default" w:ascii="仿宋_GB2312" w:hAnsi="仿宋_GB2312" w:eastAsia="仿宋_GB2312" w:cs="仿宋_GB2312"/>
          <w:color w:val="000000"/>
          <w:spacing w:val="0"/>
          <w:kern w:val="0"/>
          <w:sz w:val="32"/>
          <w:szCs w:val="32"/>
          <w:lang w:val="en-US" w:eastAsia="zh-CN" w:bidi="ar"/>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rPr>
        <w:t>贯彻“一体两翼”思路，规范管理稳步向前。</w:t>
      </w:r>
      <w:r>
        <w:rPr>
          <w:rFonts w:hint="eastAsia" w:ascii="仿宋_GB2312" w:hAnsi="仿宋_GB2312" w:eastAsia="仿宋_GB2312" w:cs="仿宋_GB2312"/>
          <w:color w:val="000000"/>
          <w:spacing w:val="0"/>
          <w:kern w:val="0"/>
          <w:sz w:val="32"/>
          <w:szCs w:val="32"/>
          <w:lang w:val="en-US" w:eastAsia="zh-CN" w:bidi="ar"/>
        </w:rPr>
        <w:t>2024年度</w:t>
      </w:r>
      <w:r>
        <w:rPr>
          <w:rFonts w:hint="default" w:ascii="Times New Roman" w:hAnsi="Times New Roman" w:eastAsia="仿宋_GB2312" w:cs="Times New Roman"/>
          <w:color w:val="auto"/>
          <w:sz w:val="32"/>
          <w:szCs w:val="32"/>
        </w:rPr>
        <w:t>坚持集中统一管理，以标准化和信息化为支撑，推动机关事务管理规范化建设和高质量发展。</w:t>
      </w:r>
      <w:r>
        <w:rPr>
          <w:rFonts w:hint="default" w:ascii="Times New Roman" w:hAnsi="Times New Roman" w:eastAsia="仿宋_GB2312" w:cs="Times New Roman"/>
          <w:b/>
          <w:bCs/>
          <w:color w:val="auto"/>
          <w:sz w:val="32"/>
          <w:szCs w:val="32"/>
        </w:rPr>
        <w:t>一是房产权属更清晰。</w:t>
      </w:r>
      <w:r>
        <w:rPr>
          <w:rFonts w:hint="default" w:ascii="Times New Roman" w:hAnsi="Times New Roman" w:eastAsia="仿宋_GB2312" w:cs="Times New Roman"/>
          <w:color w:val="auto"/>
          <w:kern w:val="0"/>
          <w:sz w:val="32"/>
          <w:szCs w:val="32"/>
          <w:lang w:bidi="en-US"/>
        </w:rPr>
        <w:t>配合“三资”运作改革工作走深走实，在往年行政事业性国有资产权属登记管理的</w:t>
      </w:r>
      <w:r>
        <w:rPr>
          <w:rFonts w:hint="default" w:ascii="仿宋_GB2312" w:hAnsi="仿宋_GB2312" w:eastAsia="仿宋_GB2312" w:cs="仿宋_GB2312"/>
          <w:color w:val="000000"/>
          <w:spacing w:val="0"/>
          <w:kern w:val="0"/>
          <w:sz w:val="32"/>
          <w:szCs w:val="32"/>
          <w:lang w:val="en-US" w:eastAsia="zh-CN" w:bidi="ar"/>
        </w:rPr>
        <w:t>基础上，积极探索解决市直单位不动产权属登记历史遗留问题的新方法，代市“三资”办拟定了《市级行政事业单位不动产权属统一登记历史遗留问题处理工作指引》，搭建起解决不动产权属统一登记历史遗留问题处理的高速通道。持续推动市直党政机关事业单位及下属机构权属登记工作，已办理不动产权证327本，涉及院落165处，房屋257栋，登记土地面积178.6万平方米，房屋面积73.7万平方米，市直一级机关单位院落整体完成率已达95%。</w:t>
      </w:r>
      <w:r>
        <w:rPr>
          <w:rFonts w:hint="default" w:ascii="Times New Roman" w:hAnsi="Times New Roman" w:eastAsia="仿宋_GB2312" w:cs="Times New Roman"/>
          <w:b/>
          <w:bCs/>
          <w:color w:val="auto"/>
          <w:sz w:val="32"/>
          <w:szCs w:val="32"/>
        </w:rPr>
        <w:t>二是资产管理更精细。</w:t>
      </w:r>
      <w:r>
        <w:rPr>
          <w:rFonts w:hint="default" w:ascii="Times New Roman" w:hAnsi="Times New Roman" w:eastAsia="仿宋_GB2312" w:cs="Times New Roman"/>
          <w:color w:val="auto"/>
          <w:sz w:val="32"/>
          <w:szCs w:val="32"/>
        </w:rPr>
        <w:t>严格控制资产配置处置，严把审核关，算出精细账。</w:t>
      </w:r>
      <w:r>
        <w:rPr>
          <w:rFonts w:hint="default" w:ascii="Times New Roman" w:hAnsi="Times New Roman" w:eastAsia="仿宋_GB2312" w:cs="Times New Roman"/>
          <w:color w:val="auto"/>
          <w:sz w:val="32"/>
          <w:szCs w:val="32"/>
          <w:lang w:eastAsia="zh-CN"/>
        </w:rPr>
        <w:t>全</w:t>
      </w:r>
      <w:r>
        <w:rPr>
          <w:rFonts w:hint="default" w:ascii="Times New Roman" w:hAnsi="Times New Roman" w:eastAsia="仿宋_GB2312" w:cs="Times New Roman"/>
          <w:color w:val="auto"/>
          <w:sz w:val="32"/>
          <w:szCs w:val="32"/>
        </w:rPr>
        <w:t>年共</w:t>
      </w:r>
      <w:r>
        <w:rPr>
          <w:rFonts w:hint="default" w:ascii="仿宋_GB2312" w:hAnsi="仿宋_GB2312" w:eastAsia="仿宋_GB2312" w:cs="仿宋_GB2312"/>
          <w:color w:val="000000"/>
          <w:spacing w:val="0"/>
          <w:kern w:val="0"/>
          <w:sz w:val="32"/>
          <w:szCs w:val="32"/>
          <w:lang w:val="en-US" w:eastAsia="zh-CN" w:bidi="ar"/>
        </w:rPr>
        <w:t>审核市直单位资产配置356宗，批复同意314宗，涉及金额6.14亿元，其中核减金额1947.3万元；审核市直单位资产处置145宗，批复同意116宗，涉及金额8099.53万元。推进省级示范公物仓建设，开展市直单位国有资产清查，将低效、闲置资产纳入公物仓集中管理，统一调剂使用</w:t>
      </w:r>
      <w:r>
        <w:rPr>
          <w:rFonts w:hint="eastAsia" w:ascii="仿宋_GB2312" w:hAnsi="仿宋_GB2312" w:eastAsia="仿宋_GB2312" w:cs="仿宋_GB2312"/>
          <w:color w:val="000000"/>
          <w:spacing w:val="0"/>
          <w:kern w:val="0"/>
          <w:sz w:val="32"/>
          <w:szCs w:val="32"/>
          <w:lang w:val="en-US" w:eastAsia="zh-CN" w:bidi="ar"/>
        </w:rPr>
        <w:t>；通过市财政现有网络化管理平台建成虚拟公物仓，实现线上审批和调剂，确保</w:t>
      </w:r>
      <w:r>
        <w:rPr>
          <w:rFonts w:hint="default" w:ascii="仿宋_GB2312" w:hAnsi="仿宋_GB2312" w:eastAsia="仿宋_GB2312" w:cs="仿宋_GB2312"/>
          <w:color w:val="000000"/>
          <w:spacing w:val="0"/>
          <w:kern w:val="0"/>
          <w:sz w:val="32"/>
          <w:szCs w:val="32"/>
          <w:lang w:val="en-US" w:eastAsia="zh-CN" w:bidi="ar"/>
        </w:rPr>
        <w:t>公物仓规范化、标准化、科学化运行。公物仓运行以来，入仓资产11类4806件，出仓资产4431件，累计节约财政资金700多万元，向困难地区和中小学校捐赠非信创设备1159台，惠及师生近万人。全年共调剂资产</w:t>
      </w:r>
      <w:r>
        <w:rPr>
          <w:rFonts w:hint="eastAsia" w:ascii="仿宋_GB2312" w:hAnsi="仿宋_GB2312" w:eastAsia="仿宋_GB2312" w:cs="仿宋_GB2312"/>
          <w:color w:val="000000"/>
          <w:spacing w:val="0"/>
          <w:kern w:val="0"/>
          <w:sz w:val="32"/>
          <w:szCs w:val="32"/>
          <w:lang w:val="en-US" w:eastAsia="zh-CN" w:bidi="ar"/>
        </w:rPr>
        <w:t>274</w:t>
      </w:r>
      <w:r>
        <w:rPr>
          <w:rFonts w:hint="default" w:ascii="仿宋_GB2312" w:hAnsi="仿宋_GB2312" w:eastAsia="仿宋_GB2312" w:cs="仿宋_GB2312"/>
          <w:color w:val="000000"/>
          <w:spacing w:val="0"/>
          <w:kern w:val="0"/>
          <w:sz w:val="32"/>
          <w:szCs w:val="32"/>
          <w:lang w:val="en-US" w:eastAsia="zh-CN" w:bidi="ar"/>
        </w:rPr>
        <w:t>件，节约资金</w:t>
      </w:r>
      <w:r>
        <w:rPr>
          <w:rFonts w:hint="eastAsia" w:ascii="仿宋_GB2312" w:hAnsi="仿宋_GB2312" w:eastAsia="仿宋_GB2312" w:cs="仿宋_GB2312"/>
          <w:color w:val="000000"/>
          <w:spacing w:val="0"/>
          <w:kern w:val="0"/>
          <w:sz w:val="32"/>
          <w:szCs w:val="32"/>
          <w:lang w:val="en-US" w:eastAsia="zh-CN" w:bidi="ar"/>
        </w:rPr>
        <w:t>134</w:t>
      </w:r>
      <w:r>
        <w:rPr>
          <w:rFonts w:hint="default" w:ascii="仿宋_GB2312" w:hAnsi="仿宋_GB2312" w:eastAsia="仿宋_GB2312" w:cs="仿宋_GB2312"/>
          <w:color w:val="000000"/>
          <w:spacing w:val="0"/>
          <w:kern w:val="0"/>
          <w:sz w:val="32"/>
          <w:szCs w:val="32"/>
          <w:lang w:val="en-US" w:eastAsia="zh-CN" w:bidi="ar"/>
        </w:rPr>
        <w:t>万元，并</w:t>
      </w:r>
      <w:r>
        <w:rPr>
          <w:rFonts w:hint="default" w:ascii="Times New Roman" w:hAnsi="Times New Roman" w:eastAsia="仿宋_GB2312" w:cs="Times New Roman"/>
          <w:color w:val="auto"/>
          <w:kern w:val="0"/>
          <w:sz w:val="32"/>
          <w:szCs w:val="32"/>
          <w:lang w:bidi="en-US"/>
        </w:rPr>
        <w:t>将经验材料上报省局，争取创建优秀成绩。</w:t>
      </w:r>
      <w:r>
        <w:rPr>
          <w:rFonts w:hint="default" w:ascii="Times New Roman" w:hAnsi="Times New Roman" w:eastAsia="仿宋_GB2312" w:cs="Times New Roman"/>
          <w:b/>
          <w:bCs/>
          <w:color w:val="auto"/>
          <w:sz w:val="32"/>
          <w:szCs w:val="32"/>
        </w:rPr>
        <w:t>三是节能工作更扎实。</w:t>
      </w:r>
      <w:r>
        <w:rPr>
          <w:rFonts w:hint="default" w:ascii="Times New Roman" w:hAnsi="Times New Roman" w:eastAsia="仿宋_GB2312" w:cs="Times New Roman"/>
          <w:color w:val="auto"/>
          <w:sz w:val="32"/>
          <w:szCs w:val="32"/>
        </w:rPr>
        <w:t>深化节约型机关建设，年初将节约能源资源工</w:t>
      </w:r>
      <w:r>
        <w:rPr>
          <w:rFonts w:hint="default" w:ascii="仿宋_GB2312" w:hAnsi="仿宋_GB2312" w:eastAsia="仿宋_GB2312" w:cs="仿宋_GB2312"/>
          <w:color w:val="000000"/>
          <w:spacing w:val="0"/>
          <w:kern w:val="0"/>
          <w:sz w:val="32"/>
          <w:szCs w:val="32"/>
          <w:lang w:val="en-US" w:eastAsia="zh-CN" w:bidi="ar"/>
        </w:rPr>
        <w:t>作纳入“过紧日子”重要措施和各单位年度考核，并制定下发了《关于2024年岳阳市公共机构能源资源节约和生态环境保护工作安排的通知》，明确了全市公共机构2024年人均综合能耗与人均用水量下降1.5%的目标。在已创建544家节约型机关的基础上，继续申报创建101家节约型机关和4家国家级节约型机关示范单位，现已完成全部创建工作，等待上级部门验收。持续推动机关食堂反食品浪费、公共机构能源费用托管、公共机构垃圾分类等工作，广泛开展绿色低碳、节能攻坚宣传，积极营造浓厚的节约型机关创建氛围，扎实推动全市绿色低碳工作迈上新台阶。6月21日，正式启动市公共机构再生资源回收服务工作，引导我市再生资源从“废品买</w:t>
      </w:r>
      <w:r>
        <w:rPr>
          <w:rFonts w:hint="default" w:ascii="Times New Roman" w:hAnsi="Times New Roman" w:eastAsia="仿宋_GB2312" w:cs="Times New Roman"/>
          <w:color w:val="auto"/>
          <w:sz w:val="32"/>
          <w:szCs w:val="32"/>
        </w:rPr>
        <w:t>卖型”向“环境服务型”转型</w:t>
      </w:r>
      <w:r>
        <w:rPr>
          <w:rFonts w:hint="default" w:ascii="仿宋_GB2312" w:hAnsi="仿宋_GB2312" w:eastAsia="仿宋_GB2312" w:cs="仿宋_GB2312"/>
          <w:color w:val="000000"/>
          <w:spacing w:val="0"/>
          <w:kern w:val="0"/>
          <w:sz w:val="32"/>
          <w:szCs w:val="32"/>
          <w:lang w:val="en-US" w:eastAsia="zh-CN" w:bidi="ar"/>
        </w:rPr>
        <w:t>升级。6月28日，组织“岳分类岳美好”2024年岳阳市城市生活垃圾分类知识竞赛，在激烈角逐中绿色环保理念深入人心。9月6日，我局公共</w:t>
      </w:r>
      <w:r>
        <w:rPr>
          <w:rFonts w:hint="default" w:ascii="Times New Roman" w:hAnsi="Times New Roman" w:eastAsia="仿宋_GB2312" w:cs="Times New Roman"/>
          <w:color w:val="auto"/>
          <w:sz w:val="32"/>
          <w:szCs w:val="32"/>
        </w:rPr>
        <w:t>机构绿色低碳生活示范引领工作通过了市人大常委会的专项评议，获得评议组充分肯定。</w:t>
      </w:r>
      <w:r>
        <w:rPr>
          <w:rFonts w:hint="default" w:ascii="Times New Roman" w:hAnsi="Times New Roman" w:eastAsia="仿宋_GB2312" w:cs="Times New Roman"/>
          <w:b/>
          <w:bCs/>
          <w:color w:val="auto"/>
          <w:sz w:val="32"/>
          <w:szCs w:val="32"/>
        </w:rPr>
        <w:t>四是公车服务更规范。</w:t>
      </w:r>
      <w:r>
        <w:rPr>
          <w:rFonts w:hint="default" w:ascii="Times New Roman" w:hAnsi="Times New Roman" w:eastAsia="仿宋_GB2312" w:cs="Times New Roman"/>
          <w:color w:val="auto"/>
          <w:sz w:val="32"/>
          <w:szCs w:val="32"/>
        </w:rPr>
        <w:t>持续抓好驾驶员日常管理教育和公车维护保养，</w:t>
      </w:r>
      <w:r>
        <w:rPr>
          <w:rFonts w:hint="default" w:ascii="Times New Roman" w:hAnsi="Times New Roman" w:eastAsia="仿宋_GB2312" w:cs="Times New Roman"/>
          <w:color w:val="auto"/>
          <w:kern w:val="0"/>
          <w:sz w:val="32"/>
          <w:szCs w:val="32"/>
          <w:lang w:bidi="en-US"/>
        </w:rPr>
        <w:t>落实省“互联网+监督”系统试点工作，组</w:t>
      </w:r>
      <w:r>
        <w:rPr>
          <w:rFonts w:hint="default" w:ascii="仿宋_GB2312" w:hAnsi="仿宋_GB2312" w:eastAsia="仿宋_GB2312" w:cs="仿宋_GB2312"/>
          <w:color w:val="000000"/>
          <w:spacing w:val="0"/>
          <w:kern w:val="0"/>
          <w:sz w:val="32"/>
          <w:szCs w:val="32"/>
          <w:lang w:val="en-US" w:eastAsia="zh-CN" w:bidi="ar"/>
        </w:rPr>
        <w:t>织召开市直公务用车信息平台试点系列培训会，加快推进新系统全面使用运行，通过实时监督公车数据、精准分析用车行为，进一步规范公务用车管理。全年共完成车辆调度9655次，其中综合执法车辆调度2358次，为市直单位提供各项租车服务7297次，平台车辆安全行驶72万公里，始终安全无事故、无投诉，高效保障了各项活动和重大任务用车服务。防汛期间，面对决堤险情，我局严守岗位，安排人员24小时值班值守，调派车辆274次，做到人停车不停、换人不换车，有力保障此次抢险救灾任务。全国青少年“三大球”比赛完成车辆调派2050台次，赢得了省委和运动员一致好评。</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在绩效管理过程中，主要存在以下问题：一是财务人员人数过少，导致工作开展不够全面细致；二是组织学习预算绩效管理的次数少，学习形式单一。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下一步改进措施：</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1、增加财务人员，提高财务业务水平。</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b w:val="0"/>
          <w:bCs w:val="0"/>
          <w:color w:val="000000"/>
          <w:kern w:val="0"/>
          <w:sz w:val="32"/>
          <w:szCs w:val="32"/>
          <w:lang w:val="en-US" w:eastAsia="zh-CN" w:bidi="ar-SA"/>
        </w:rPr>
        <w:t>2、科学合理编制预算，严格执行预算。建议按照《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sectPr>
          <w:pgSz w:w="11906" w:h="16838"/>
          <w:pgMar w:top="720" w:right="720" w:bottom="720" w:left="720" w:header="851" w:footer="992" w:gutter="0"/>
          <w:cols w:space="425" w:num="1"/>
          <w:docGrid w:type="linesAndChars" w:linePitch="312" w:charSpace="0"/>
        </w:sectPr>
      </w:pPr>
      <w:r>
        <w:rPr>
          <w:rFonts w:hint="eastAsia" w:ascii="仿宋_GB2312" w:hAnsi="仿宋_GB2312" w:eastAsia="仿宋_GB2312" w:cs="仿宋_GB2312"/>
          <w:b w:val="0"/>
          <w:bCs w:val="0"/>
          <w:color w:val="000000"/>
          <w:kern w:val="0"/>
          <w:sz w:val="32"/>
          <w:szCs w:val="32"/>
          <w:lang w:val="en-US" w:eastAsia="zh-CN" w:bidi="ar-SA"/>
        </w:rPr>
        <w:t>预算绩效管理开展情况、绩效目标和绩效评价报告等，已在市政府部门财政预决算公开平台上向社会公开，详见附件。</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p>
    <w:p>
      <w:pPr>
        <w:pStyle w:val="15"/>
        <w:jc w:val="both"/>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0"/>
          <w:szCs w:val="70"/>
          <w:lang w:eastAsia="zh-CN"/>
        </w:rPr>
      </w:pPr>
      <w:bookmarkStart w:id="0" w:name="_GoBack"/>
      <w:bookmarkEnd w:id="0"/>
    </w:p>
    <w:p>
      <w:pPr>
        <w:pStyle w:val="15"/>
        <w:jc w:val="center"/>
        <w:rPr>
          <w:rFonts w:hint="eastAsia" w:ascii="方正小标宋_GBK" w:hAnsi="方正小标宋_GBK" w:eastAsia="方正小标宋_GBK" w:cs="方正小标宋_GBK"/>
          <w:sz w:val="70"/>
          <w:szCs w:val="70"/>
          <w:lang w:eastAsia="zh-CN"/>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5"/>
        <w:jc w:val="center"/>
        <w:rPr>
          <w:rFonts w:hint="eastAsia" w:ascii="方正小标宋_GBK" w:hAnsi="方正小标宋_GBK" w:eastAsia="方正小标宋_GBK" w:cs="方正小标宋_GBK"/>
          <w:color w:val="000000"/>
          <w:kern w:val="0"/>
          <w:sz w:val="70"/>
          <w:szCs w:val="70"/>
        </w:rPr>
        <w:sectPr>
          <w:pgSz w:w="11906" w:h="16838"/>
          <w:pgMar w:top="720" w:right="720" w:bottom="720" w:left="720" w:header="851" w:footer="992" w:gutter="0"/>
          <w:cols w:space="425" w:num="1"/>
          <w:docGrid w:type="linesAndChars" w:linePitch="312" w:charSpace="0"/>
        </w:sectPr>
      </w:pPr>
      <w:r>
        <w:rPr>
          <w:rFonts w:hint="eastAsia" w:ascii="方正小标宋_GBK" w:hAnsi="方正小标宋_GBK" w:eastAsia="方正小标宋_GBK" w:cs="方正小标宋_GBK"/>
          <w:color w:val="000000"/>
          <w:kern w:val="0"/>
          <w:sz w:val="70"/>
          <w:szCs w:val="70"/>
        </w:rPr>
        <w:t>名词解释</w:t>
      </w:r>
    </w:p>
    <w:p>
      <w:pPr>
        <w:pStyle w:val="8"/>
      </w:pP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财政拨款收入：</w:t>
      </w:r>
      <w:r>
        <w:rPr>
          <w:rFonts w:hint="eastAsia" w:ascii="仿宋" w:hAnsi="仿宋" w:eastAsia="仿宋" w:cs="仿宋"/>
          <w:i w:val="0"/>
          <w:iCs w:val="0"/>
          <w:caps w:val="0"/>
          <w:color w:val="000000"/>
          <w:spacing w:val="0"/>
          <w:sz w:val="32"/>
          <w:szCs w:val="32"/>
          <w:shd w:val="clear" w:color="auto" w:fill="FFFFFF"/>
        </w:rPr>
        <w:t>指本级财政当年拨付的资金。</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其他收入：</w:t>
      </w:r>
      <w:r>
        <w:rPr>
          <w:rFonts w:hint="eastAsia" w:ascii="仿宋" w:hAnsi="仿宋" w:eastAsia="仿宋" w:cs="仿宋"/>
          <w:i w:val="0"/>
          <w:iCs w:val="0"/>
          <w:caps w:val="0"/>
          <w:color w:val="000000"/>
          <w:spacing w:val="0"/>
          <w:sz w:val="32"/>
          <w:szCs w:val="32"/>
          <w:shd w:val="clear" w:color="auto" w:fill="FFFFFF"/>
        </w:rPr>
        <w:t>指除</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财政拨款收入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上级补助收入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事业收入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经营收入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附属单位上缴收入</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等以外的收入。</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上年结转和结余：</w:t>
      </w:r>
      <w:r>
        <w:rPr>
          <w:rFonts w:hint="eastAsia" w:ascii="仿宋" w:hAnsi="仿宋" w:eastAsia="仿宋" w:cs="仿宋"/>
          <w:i w:val="0"/>
          <w:iCs w:val="0"/>
          <w:caps w:val="0"/>
          <w:color w:val="000000"/>
          <w:spacing w:val="0"/>
          <w:sz w:val="32"/>
          <w:szCs w:val="32"/>
          <w:shd w:val="clear" w:color="auto" w:fill="FFFFFF"/>
        </w:rPr>
        <w:t>指以前年度尚未完成、结转到本年按有关规定继续使用的资金。</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一般公共服务支出（类）：</w:t>
      </w:r>
      <w:r>
        <w:rPr>
          <w:rFonts w:hint="eastAsia" w:ascii="仿宋" w:hAnsi="仿宋" w:eastAsia="仿宋" w:cs="仿宋"/>
          <w:i w:val="0"/>
          <w:iCs w:val="0"/>
          <w:caps w:val="0"/>
          <w:color w:val="000000"/>
          <w:spacing w:val="0"/>
          <w:sz w:val="32"/>
          <w:szCs w:val="32"/>
          <w:shd w:val="clear" w:color="auto" w:fill="FFFFFF"/>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社会保障和就业支出（类）：</w:t>
      </w:r>
      <w:r>
        <w:rPr>
          <w:rFonts w:hint="eastAsia" w:ascii="仿宋" w:hAnsi="仿宋" w:eastAsia="仿宋" w:cs="仿宋"/>
          <w:i w:val="0"/>
          <w:iCs w:val="0"/>
          <w:caps w:val="0"/>
          <w:color w:val="000000"/>
          <w:spacing w:val="0"/>
          <w:sz w:val="32"/>
          <w:szCs w:val="32"/>
          <w:shd w:val="clear" w:color="auto" w:fill="FFFFFF"/>
        </w:rPr>
        <w:t>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卫生健康支出（类）：</w:t>
      </w:r>
      <w:r>
        <w:rPr>
          <w:rFonts w:hint="eastAsia" w:ascii="仿宋" w:hAnsi="仿宋" w:eastAsia="仿宋" w:cs="仿宋"/>
          <w:i w:val="0"/>
          <w:iCs w:val="0"/>
          <w:caps w:val="0"/>
          <w:color w:val="000000"/>
          <w:spacing w:val="0"/>
          <w:sz w:val="32"/>
          <w:szCs w:val="32"/>
          <w:shd w:val="clear" w:color="auto" w:fill="FFFFFF"/>
        </w:rPr>
        <w:t>是指用于医疗卫生与计划生育方面的支出，包括保障机构正常运转、完成日常和特定的工作任务或事业发展目标的支出。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其他支出（类）：</w:t>
      </w:r>
      <w:r>
        <w:rPr>
          <w:rFonts w:hint="eastAsia" w:ascii="仿宋" w:hAnsi="仿宋" w:eastAsia="仿宋" w:cs="仿宋"/>
          <w:i w:val="0"/>
          <w:iCs w:val="0"/>
          <w:caps w:val="0"/>
          <w:color w:val="000000"/>
          <w:spacing w:val="0"/>
          <w:sz w:val="32"/>
          <w:szCs w:val="32"/>
          <w:shd w:val="clear" w:color="auto" w:fill="FFFFFF"/>
        </w:rPr>
        <w:t>是指用于反映除上述项目以外其他不能划分到具体功能科目中的支出项目，包括保障机构正常运转、完成日常和特定的工作任务或事业发展目标的支出。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基本支出：</w:t>
      </w:r>
      <w:r>
        <w:rPr>
          <w:rFonts w:hint="eastAsia" w:ascii="仿宋" w:hAnsi="仿宋" w:eastAsia="仿宋" w:cs="仿宋"/>
          <w:i w:val="0"/>
          <w:iCs w:val="0"/>
          <w:caps w:val="0"/>
          <w:color w:val="000000"/>
          <w:spacing w:val="0"/>
          <w:sz w:val="32"/>
          <w:szCs w:val="32"/>
          <w:shd w:val="clear" w:color="auto" w:fill="FFFFFF"/>
        </w:rPr>
        <w:t>指保障机构正常运转、完成支日常工作任务而发生的人员支出和公用支出。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项目支出：</w:t>
      </w:r>
      <w:r>
        <w:rPr>
          <w:rFonts w:hint="eastAsia" w:ascii="仿宋" w:hAnsi="仿宋" w:eastAsia="仿宋" w:cs="仿宋"/>
          <w:i w:val="0"/>
          <w:iCs w:val="0"/>
          <w:caps w:val="0"/>
          <w:color w:val="000000"/>
          <w:spacing w:val="0"/>
          <w:sz w:val="32"/>
          <w:szCs w:val="32"/>
          <w:shd w:val="clear" w:color="auto" w:fill="FFFFFF"/>
        </w:rPr>
        <w:t>指在基本支出之外为完成特定行政任务和事业发展目标所发生的支出。</w:t>
      </w:r>
    </w:p>
    <w:p>
      <w:pPr>
        <w:pStyle w:val="9"/>
        <w:keepNext w:val="0"/>
        <w:keepLines w:val="0"/>
        <w:widowControl/>
        <w:suppressLineNumbers w:val="0"/>
        <w:shd w:val="clear" w:color="auto" w:fill="FFFFFF"/>
        <w:spacing w:before="0" w:beforeAutospacing="0" w:after="100" w:afterAutospacing="0" w:line="22" w:lineRule="atLeast"/>
        <w:ind w:right="0" w:firstLine="640" w:firstLineChars="20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“三公”经费：</w:t>
      </w:r>
      <w:r>
        <w:rPr>
          <w:rFonts w:hint="eastAsia" w:ascii="仿宋" w:hAnsi="仿宋" w:eastAsia="仿宋" w:cs="仿宋"/>
          <w:i w:val="0"/>
          <w:iCs w:val="0"/>
          <w:caps w:val="0"/>
          <w:color w:val="000000"/>
          <w:spacing w:val="0"/>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政府采购：</w:t>
      </w:r>
      <w:r>
        <w:rPr>
          <w:rFonts w:hint="eastAsia" w:ascii="仿宋" w:hAnsi="仿宋" w:eastAsia="仿宋" w:cs="仿宋"/>
          <w:i w:val="0"/>
          <w:iCs w:val="0"/>
          <w:caps w:val="0"/>
          <w:color w:val="000000"/>
          <w:spacing w:val="0"/>
          <w:sz w:val="32"/>
          <w:szCs w:val="32"/>
          <w:shd w:val="clear" w:color="auto" w:fill="FFFFFF"/>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工资福利支出：</w:t>
      </w:r>
      <w:r>
        <w:rPr>
          <w:rFonts w:hint="eastAsia" w:ascii="仿宋" w:hAnsi="仿宋" w:eastAsia="仿宋" w:cs="仿宋"/>
          <w:i w:val="0"/>
          <w:iCs w:val="0"/>
          <w:caps w:val="0"/>
          <w:color w:val="000000"/>
          <w:spacing w:val="0"/>
          <w:sz w:val="32"/>
          <w:szCs w:val="32"/>
          <w:shd w:val="clear" w:color="auto" w:fill="FFFFFF"/>
        </w:rPr>
        <w:t>反映单位开支的在职职工和编制外长期聘用人员的各类劳动报酬，以及为上述人员缴纳的各项社会保险费等。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基本工资：</w:t>
      </w:r>
      <w:r>
        <w:rPr>
          <w:rFonts w:hint="eastAsia" w:ascii="仿宋" w:hAnsi="仿宋" w:eastAsia="仿宋" w:cs="仿宋"/>
          <w:i w:val="0"/>
          <w:iCs w:val="0"/>
          <w:caps w:val="0"/>
          <w:color w:val="000000"/>
          <w:spacing w:val="0"/>
          <w:sz w:val="32"/>
          <w:szCs w:val="32"/>
          <w:shd w:val="clear" w:color="auto" w:fill="FFFFFF"/>
        </w:rPr>
        <w:t>反映按规定发放的基本工资，包括公务员的职务工资、级别工资；机关工人的岗位工资、技术等级工资；事业单位工作人员的岗位工资、薪级工资；各类学校毕业生试用期</w:t>
      </w:r>
      <w:r>
        <w:rPr>
          <w:rFonts w:hint="default" w:ascii="Times New Roman" w:hAnsi="Times New Roman" w:cs="Times New Roman"/>
          <w:i w:val="0"/>
          <w:iCs w:val="0"/>
          <w:caps w:val="0"/>
          <w:color w:val="000000"/>
          <w:spacing w:val="0"/>
          <w:sz w:val="32"/>
          <w:szCs w:val="32"/>
          <w:shd w:val="clear" w:color="auto" w:fill="FFFFFF"/>
        </w:rPr>
        <w:t>(</w:t>
      </w:r>
      <w:r>
        <w:rPr>
          <w:rFonts w:hint="eastAsia" w:ascii="仿宋" w:hAnsi="仿宋" w:eastAsia="仿宋" w:cs="仿宋"/>
          <w:i w:val="0"/>
          <w:iCs w:val="0"/>
          <w:caps w:val="0"/>
          <w:color w:val="000000"/>
          <w:spacing w:val="0"/>
          <w:sz w:val="32"/>
          <w:szCs w:val="32"/>
          <w:shd w:val="clear" w:color="auto" w:fill="FFFFFF"/>
        </w:rPr>
        <w:t>见习期）工资、新参加工作工人学徒期、熟练期工资；军队（武警）军官、文职干部的职务（专业技术等级）工资、军衔（级别）工资、基础工资和军龄工资；军队士官的军衔等级工资、基础工资和军龄工资等。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津贴补贴：</w:t>
      </w:r>
      <w:r>
        <w:rPr>
          <w:rFonts w:hint="eastAsia" w:ascii="仿宋" w:hAnsi="仿宋" w:eastAsia="仿宋" w:cs="仿宋"/>
          <w:i w:val="0"/>
          <w:iCs w:val="0"/>
          <w:caps w:val="0"/>
          <w:color w:val="000000"/>
          <w:spacing w:val="0"/>
          <w:sz w:val="32"/>
          <w:szCs w:val="32"/>
          <w:shd w:val="clear" w:color="auto" w:fill="FFFFFF"/>
        </w:rPr>
        <w:t>反映经国家批准建立的机关事业单位艰苦边远地区津贴、机关工作人员地区附加津贴、机关工作人员岗位津贴、事业单位工作人员特殊岗位津贴补贴等。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奖金：</w:t>
      </w:r>
      <w:r>
        <w:rPr>
          <w:rFonts w:hint="eastAsia" w:ascii="仿宋" w:hAnsi="仿宋" w:eastAsia="仿宋" w:cs="仿宋"/>
          <w:i w:val="0"/>
          <w:iCs w:val="0"/>
          <w:caps w:val="0"/>
          <w:color w:val="000000"/>
          <w:spacing w:val="0"/>
          <w:sz w:val="32"/>
          <w:szCs w:val="32"/>
          <w:shd w:val="clear" w:color="auto" w:fill="FFFFFF"/>
        </w:rPr>
        <w:t>反映机关工作人员年终一次性奖金。</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伙食补助费：</w:t>
      </w:r>
      <w:r>
        <w:rPr>
          <w:rFonts w:hint="eastAsia" w:ascii="仿宋" w:hAnsi="仿宋" w:eastAsia="仿宋" w:cs="仿宋"/>
          <w:i w:val="0"/>
          <w:iCs w:val="0"/>
          <w:caps w:val="0"/>
          <w:color w:val="000000"/>
          <w:spacing w:val="0"/>
          <w:sz w:val="32"/>
          <w:szCs w:val="32"/>
          <w:shd w:val="clear" w:color="auto" w:fill="FFFFFF"/>
        </w:rPr>
        <w:t>反映单位发给职工的伙食补助费，如误餐补助等。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机关事业单位基本养老保险缴费：</w:t>
      </w:r>
      <w:r>
        <w:rPr>
          <w:rFonts w:hint="eastAsia" w:ascii="仿宋" w:hAnsi="仿宋" w:eastAsia="仿宋" w:cs="仿宋"/>
          <w:i w:val="0"/>
          <w:iCs w:val="0"/>
          <w:caps w:val="0"/>
          <w:color w:val="000000"/>
          <w:spacing w:val="0"/>
          <w:sz w:val="32"/>
          <w:szCs w:val="32"/>
          <w:shd w:val="clear" w:color="auto" w:fill="FFFFFF"/>
        </w:rPr>
        <w:t>反映机关事业单位缴纳的基本养老保险费。由单位代扣的工作人员基本养老保险缴费，不在此科目反映。</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职工基本医疗保险缴费：</w:t>
      </w:r>
      <w:r>
        <w:rPr>
          <w:rFonts w:hint="eastAsia" w:ascii="仿宋" w:hAnsi="仿宋" w:eastAsia="仿宋" w:cs="仿宋"/>
          <w:i w:val="0"/>
          <w:iCs w:val="0"/>
          <w:caps w:val="0"/>
          <w:color w:val="000000"/>
          <w:spacing w:val="0"/>
          <w:sz w:val="32"/>
          <w:szCs w:val="32"/>
          <w:shd w:val="clear" w:color="auto" w:fill="FFFFFF"/>
        </w:rPr>
        <w:t>反映单位为职工缴纳的基本医疗保险费。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其他社会保障缴费：</w:t>
      </w:r>
      <w:r>
        <w:rPr>
          <w:rFonts w:hint="eastAsia" w:ascii="仿宋" w:hAnsi="仿宋" w:eastAsia="仿宋" w:cs="仿宋"/>
          <w:i w:val="0"/>
          <w:iCs w:val="0"/>
          <w:caps w:val="0"/>
          <w:color w:val="000000"/>
          <w:spacing w:val="0"/>
          <w:sz w:val="32"/>
          <w:szCs w:val="32"/>
          <w:shd w:val="clear" w:color="auto" w:fill="FFFFFF"/>
        </w:rPr>
        <w:t>反映单位为职工缴纳的基本医疗、失业、工伤、生育等社会保险费，残疾人就业保障金，军队（含武警）为军人缴纳的伤亡、退役医疗等社会保险费。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住房公积金：</w:t>
      </w:r>
      <w:r>
        <w:rPr>
          <w:rFonts w:hint="eastAsia" w:ascii="仿宋" w:hAnsi="仿宋" w:eastAsia="仿宋" w:cs="仿宋"/>
          <w:i w:val="0"/>
          <w:iCs w:val="0"/>
          <w:caps w:val="0"/>
          <w:color w:val="000000"/>
          <w:spacing w:val="0"/>
          <w:sz w:val="32"/>
          <w:szCs w:val="32"/>
          <w:shd w:val="clear" w:color="auto" w:fill="FFFFFF"/>
        </w:rPr>
        <w:t>反映行政事业单位按人力资源和社会保障部、财政部规定的基本工资和津贴补贴以及规定比例为职工缴纳的住房公积金。</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医疗费：</w:t>
      </w:r>
      <w:r>
        <w:rPr>
          <w:rFonts w:hint="eastAsia" w:ascii="仿宋" w:hAnsi="仿宋" w:eastAsia="仿宋" w:cs="仿宋"/>
          <w:i w:val="0"/>
          <w:iCs w:val="0"/>
          <w:caps w:val="0"/>
          <w:color w:val="000000"/>
          <w:spacing w:val="0"/>
          <w:sz w:val="32"/>
          <w:szCs w:val="32"/>
          <w:shd w:val="clear" w:color="auto" w:fill="FFFFFF"/>
        </w:rPr>
        <w:t>反映未参加医疗保险单位的医疗经费和单位按规定为职工支出的其他医疗费用。</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其他工资福利支出：</w:t>
      </w:r>
      <w:r>
        <w:rPr>
          <w:rFonts w:hint="eastAsia" w:ascii="仿宋" w:hAnsi="仿宋" w:eastAsia="仿宋" w:cs="仿宋"/>
          <w:i w:val="0"/>
          <w:iCs w:val="0"/>
          <w:caps w:val="0"/>
          <w:color w:val="000000"/>
          <w:spacing w:val="0"/>
          <w:sz w:val="32"/>
          <w:szCs w:val="32"/>
          <w:shd w:val="clear" w:color="auto" w:fill="FFFFFF"/>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商品和服务支出：</w:t>
      </w:r>
      <w:r>
        <w:rPr>
          <w:rFonts w:hint="eastAsia" w:ascii="仿宋" w:hAnsi="仿宋" w:eastAsia="仿宋" w:cs="仿宋"/>
          <w:i w:val="0"/>
          <w:iCs w:val="0"/>
          <w:caps w:val="0"/>
          <w:color w:val="000000"/>
          <w:spacing w:val="0"/>
          <w:sz w:val="32"/>
          <w:szCs w:val="32"/>
          <w:shd w:val="clear" w:color="auto" w:fill="FFFFFF"/>
        </w:rPr>
        <w:t>反映单位购买商品和服务的支出（不包括用于购置固定资产的支出、战略性和应急储备支出）。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办公费：</w:t>
      </w:r>
      <w:r>
        <w:rPr>
          <w:rFonts w:hint="eastAsia" w:ascii="仿宋" w:hAnsi="仿宋" w:eastAsia="仿宋" w:cs="仿宋"/>
          <w:i w:val="0"/>
          <w:iCs w:val="0"/>
          <w:caps w:val="0"/>
          <w:color w:val="000000"/>
          <w:spacing w:val="0"/>
          <w:sz w:val="32"/>
          <w:szCs w:val="32"/>
          <w:shd w:val="clear" w:color="auto" w:fill="FFFFFF"/>
        </w:rPr>
        <w:t>反映单位购买按财务会计制度规定不符合固定资产确认标准的日常办公用品、书报杂志等支出。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印刷费：</w:t>
      </w:r>
      <w:r>
        <w:rPr>
          <w:rFonts w:hint="eastAsia" w:ascii="仿宋" w:hAnsi="仿宋" w:eastAsia="仿宋" w:cs="仿宋"/>
          <w:i w:val="0"/>
          <w:iCs w:val="0"/>
          <w:caps w:val="0"/>
          <w:color w:val="000000"/>
          <w:spacing w:val="0"/>
          <w:sz w:val="32"/>
          <w:szCs w:val="32"/>
          <w:shd w:val="clear" w:color="auto" w:fill="FFFFFF"/>
        </w:rPr>
        <w:t>反映单位的印刷费支出。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咨询费：</w:t>
      </w:r>
      <w:r>
        <w:rPr>
          <w:rFonts w:hint="eastAsia" w:ascii="仿宋" w:hAnsi="仿宋" w:eastAsia="仿宋" w:cs="仿宋"/>
          <w:i w:val="0"/>
          <w:iCs w:val="0"/>
          <w:caps w:val="0"/>
          <w:color w:val="000000"/>
          <w:spacing w:val="0"/>
          <w:sz w:val="32"/>
          <w:szCs w:val="32"/>
          <w:shd w:val="clear" w:color="auto" w:fill="FFFFFF"/>
        </w:rPr>
        <w:t>反映单位咨询方面的支出。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手续费：</w:t>
      </w:r>
      <w:r>
        <w:rPr>
          <w:rFonts w:hint="eastAsia" w:ascii="仿宋" w:hAnsi="仿宋" w:eastAsia="仿宋" w:cs="仿宋"/>
          <w:i w:val="0"/>
          <w:iCs w:val="0"/>
          <w:caps w:val="0"/>
          <w:color w:val="000000"/>
          <w:spacing w:val="0"/>
          <w:sz w:val="32"/>
          <w:szCs w:val="32"/>
          <w:shd w:val="clear" w:color="auto" w:fill="FFFFFF"/>
        </w:rPr>
        <w:t>反映单位支付的各类手续费支出。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水费：</w:t>
      </w:r>
      <w:r>
        <w:rPr>
          <w:rFonts w:hint="eastAsia" w:ascii="仿宋" w:hAnsi="仿宋" w:eastAsia="仿宋" w:cs="仿宋"/>
          <w:i w:val="0"/>
          <w:iCs w:val="0"/>
          <w:caps w:val="0"/>
          <w:color w:val="000000"/>
          <w:spacing w:val="0"/>
          <w:sz w:val="32"/>
          <w:szCs w:val="32"/>
          <w:shd w:val="clear" w:color="auto" w:fill="FFFFFF"/>
        </w:rPr>
        <w:t>反映单位支付的水费、污水处理费等支出。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电费：</w:t>
      </w:r>
      <w:r>
        <w:rPr>
          <w:rFonts w:hint="eastAsia" w:ascii="仿宋" w:hAnsi="仿宋" w:eastAsia="仿宋" w:cs="仿宋"/>
          <w:i w:val="0"/>
          <w:iCs w:val="0"/>
          <w:caps w:val="0"/>
          <w:color w:val="000000"/>
          <w:spacing w:val="0"/>
          <w:sz w:val="32"/>
          <w:szCs w:val="32"/>
          <w:shd w:val="clear" w:color="auto" w:fill="FFFFFF"/>
        </w:rPr>
        <w:t>反映单位的电费支出。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邮电费：</w:t>
      </w:r>
      <w:r>
        <w:rPr>
          <w:rFonts w:hint="eastAsia" w:ascii="仿宋" w:hAnsi="仿宋" w:eastAsia="仿宋" w:cs="仿宋"/>
          <w:i w:val="0"/>
          <w:iCs w:val="0"/>
          <w:caps w:val="0"/>
          <w:color w:val="000000"/>
          <w:spacing w:val="0"/>
          <w:sz w:val="32"/>
          <w:szCs w:val="32"/>
          <w:shd w:val="clear" w:color="auto" w:fill="FFFFFF"/>
        </w:rPr>
        <w:t>反映单位开支的信函、包裹、货物等物品的邮寄费及电话费、电报费、传真费、网络通讯费等。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物业管理费：</w:t>
      </w:r>
      <w:r>
        <w:rPr>
          <w:rFonts w:hint="eastAsia" w:ascii="仿宋" w:hAnsi="仿宋" w:eastAsia="仿宋" w:cs="仿宋"/>
          <w:i w:val="0"/>
          <w:iCs w:val="0"/>
          <w:caps w:val="0"/>
          <w:color w:val="000000"/>
          <w:spacing w:val="0"/>
          <w:sz w:val="32"/>
          <w:szCs w:val="32"/>
          <w:shd w:val="clear" w:color="auto" w:fill="FFFFFF"/>
        </w:rPr>
        <w:t>反映单位开支的办公用房以及未实行职工住宅物业服务改革的在职职工和离退休人员宿舍等的物业管理费，包括综合治理、绿化、卫生等方面的支出。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差旅费：</w:t>
      </w:r>
      <w:r>
        <w:rPr>
          <w:rFonts w:hint="eastAsia" w:ascii="仿宋" w:hAnsi="仿宋" w:eastAsia="仿宋" w:cs="仿宋"/>
          <w:i w:val="0"/>
          <w:iCs w:val="0"/>
          <w:caps w:val="0"/>
          <w:color w:val="000000"/>
          <w:spacing w:val="0"/>
          <w:sz w:val="32"/>
          <w:szCs w:val="32"/>
          <w:shd w:val="clear" w:color="auto" w:fill="FFFFFF"/>
        </w:rPr>
        <w:t>反映单位工作人员出差发生的城市间交通费、住宿费、伙食补贴费和市内交通费。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维修(护）费：</w:t>
      </w:r>
      <w:r>
        <w:rPr>
          <w:rFonts w:hint="eastAsia" w:ascii="仿宋" w:hAnsi="仿宋" w:eastAsia="仿宋" w:cs="仿宋"/>
          <w:i w:val="0"/>
          <w:iCs w:val="0"/>
          <w:caps w:val="0"/>
          <w:color w:val="000000"/>
          <w:spacing w:val="0"/>
          <w:sz w:val="32"/>
          <w:szCs w:val="32"/>
          <w:shd w:val="clear" w:color="auto" w:fill="FFFFFF"/>
        </w:rPr>
        <w:t>反映单位日常开支的固定资产（不包括车船等交通工具）修理和维护费用，网络信息系统运行与维护费用，以及按规定提取的修购基金。</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租赁费：</w:t>
      </w:r>
      <w:r>
        <w:rPr>
          <w:rFonts w:hint="eastAsia" w:ascii="仿宋" w:hAnsi="仿宋" w:eastAsia="仿宋" w:cs="仿宋"/>
          <w:i w:val="0"/>
          <w:iCs w:val="0"/>
          <w:caps w:val="0"/>
          <w:color w:val="000000"/>
          <w:spacing w:val="0"/>
          <w:sz w:val="32"/>
          <w:szCs w:val="32"/>
          <w:shd w:val="clear" w:color="auto" w:fill="FFFFFF"/>
        </w:rPr>
        <w:t>反映租赁办公用房、宿舍、专用通讯网以及其他设备等方面的费用。</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会议费：</w:t>
      </w:r>
      <w:r>
        <w:rPr>
          <w:rFonts w:hint="eastAsia" w:ascii="仿宋" w:hAnsi="仿宋" w:eastAsia="仿宋" w:cs="仿宋"/>
          <w:i w:val="0"/>
          <w:iCs w:val="0"/>
          <w:caps w:val="0"/>
          <w:color w:val="000000"/>
          <w:spacing w:val="0"/>
          <w:sz w:val="32"/>
          <w:szCs w:val="32"/>
          <w:shd w:val="clear" w:color="auto" w:fill="FFFFFF"/>
        </w:rPr>
        <w:t>反映会议中按规定开支的住宿费、伙食费、会议室租金、交通费、文件印刷费、医药费等。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培训费：</w:t>
      </w:r>
      <w:r>
        <w:rPr>
          <w:rFonts w:hint="eastAsia" w:ascii="仿宋" w:hAnsi="仿宋" w:eastAsia="仿宋" w:cs="仿宋"/>
          <w:i w:val="0"/>
          <w:iCs w:val="0"/>
          <w:caps w:val="0"/>
          <w:color w:val="000000"/>
          <w:spacing w:val="0"/>
          <w:sz w:val="32"/>
          <w:szCs w:val="32"/>
          <w:shd w:val="clear" w:color="auto" w:fill="FFFFFF"/>
        </w:rPr>
        <w:t>反映除因公出国（境）培训费以外的各类培训支出。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公务接待费：</w:t>
      </w:r>
      <w:r>
        <w:rPr>
          <w:rFonts w:hint="eastAsia" w:ascii="仿宋" w:hAnsi="仿宋" w:eastAsia="仿宋" w:cs="仿宋"/>
          <w:i w:val="0"/>
          <w:iCs w:val="0"/>
          <w:caps w:val="0"/>
          <w:color w:val="000000"/>
          <w:spacing w:val="0"/>
          <w:sz w:val="32"/>
          <w:szCs w:val="32"/>
          <w:shd w:val="clear" w:color="auto" w:fill="FFFFFF"/>
        </w:rPr>
        <w:t>反映单位按规定开支的各类公务接待（含外宾接待）费用。</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劳务费：</w:t>
      </w:r>
      <w:r>
        <w:rPr>
          <w:rFonts w:hint="eastAsia" w:ascii="仿宋" w:hAnsi="仿宋" w:eastAsia="仿宋" w:cs="仿宋"/>
          <w:i w:val="0"/>
          <w:iCs w:val="0"/>
          <w:caps w:val="0"/>
          <w:color w:val="000000"/>
          <w:spacing w:val="0"/>
          <w:sz w:val="32"/>
          <w:szCs w:val="32"/>
          <w:shd w:val="clear" w:color="auto" w:fill="FFFFFF"/>
        </w:rPr>
        <w:t>反映支付给单位和个人的劳务费用，如临时聘用人员、钟点工工资，稿费、翻译费，评审费等。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委托业务费：</w:t>
      </w:r>
      <w:r>
        <w:rPr>
          <w:rFonts w:hint="eastAsia" w:ascii="仿宋" w:hAnsi="仿宋" w:eastAsia="仿宋" w:cs="仿宋"/>
          <w:i w:val="0"/>
          <w:iCs w:val="0"/>
          <w:caps w:val="0"/>
          <w:color w:val="000000"/>
          <w:spacing w:val="0"/>
          <w:sz w:val="32"/>
          <w:szCs w:val="32"/>
          <w:shd w:val="clear" w:color="auto" w:fill="FFFFFF"/>
        </w:rPr>
        <w:t>反映因委托外单位办理业务而支付的委托业务费。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工会经费：</w:t>
      </w:r>
      <w:r>
        <w:rPr>
          <w:rFonts w:hint="eastAsia" w:ascii="仿宋" w:hAnsi="仿宋" w:eastAsia="仿宋" w:cs="仿宋"/>
          <w:i w:val="0"/>
          <w:iCs w:val="0"/>
          <w:caps w:val="0"/>
          <w:color w:val="000000"/>
          <w:spacing w:val="0"/>
          <w:sz w:val="32"/>
          <w:szCs w:val="32"/>
          <w:shd w:val="clear" w:color="auto" w:fill="FFFFFF"/>
        </w:rPr>
        <w:t>反映单位按规定提取的工会经费。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福利费：</w:t>
      </w:r>
      <w:r>
        <w:rPr>
          <w:rFonts w:hint="eastAsia" w:ascii="仿宋" w:hAnsi="仿宋" w:eastAsia="仿宋" w:cs="仿宋"/>
          <w:i w:val="0"/>
          <w:iCs w:val="0"/>
          <w:caps w:val="0"/>
          <w:color w:val="000000"/>
          <w:spacing w:val="0"/>
          <w:sz w:val="32"/>
          <w:szCs w:val="32"/>
          <w:shd w:val="clear" w:color="auto" w:fill="FFFFFF"/>
        </w:rPr>
        <w:t>反映单位按规定提取的福利费。</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公务用车运行维护费：</w:t>
      </w:r>
      <w:r>
        <w:rPr>
          <w:rFonts w:hint="eastAsia" w:ascii="仿宋" w:hAnsi="仿宋" w:eastAsia="仿宋" w:cs="仿宋"/>
          <w:i w:val="0"/>
          <w:iCs w:val="0"/>
          <w:caps w:val="0"/>
          <w:color w:val="000000"/>
          <w:spacing w:val="0"/>
          <w:sz w:val="32"/>
          <w:szCs w:val="32"/>
          <w:shd w:val="clear" w:color="auto" w:fill="FFFFFF"/>
        </w:rPr>
        <w:t>反映单位按规定保留的公务用车燃料费、维修费、过桥过路费、保险费、安全奖励费用等支出。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其他交通费用：</w:t>
      </w:r>
      <w:r>
        <w:rPr>
          <w:rFonts w:hint="eastAsia" w:ascii="仿宋" w:hAnsi="仿宋" w:eastAsia="仿宋" w:cs="仿宋"/>
          <w:i w:val="0"/>
          <w:iCs w:val="0"/>
          <w:caps w:val="0"/>
          <w:color w:val="000000"/>
          <w:spacing w:val="0"/>
          <w:sz w:val="32"/>
          <w:szCs w:val="32"/>
          <w:shd w:val="clear" w:color="auto" w:fill="FFFFFF"/>
        </w:rPr>
        <w:t>反映单位除公务用车运行维护费以外的其他交通费用。如公务交通补贴，租车费用、出租车费用，飞机、船舶等的燃料费、维修费、保险费等。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其他商品和服务支出：</w:t>
      </w:r>
      <w:r>
        <w:rPr>
          <w:rFonts w:hint="eastAsia" w:ascii="仿宋" w:hAnsi="仿宋" w:eastAsia="仿宋" w:cs="仿宋"/>
          <w:i w:val="0"/>
          <w:iCs w:val="0"/>
          <w:caps w:val="0"/>
          <w:color w:val="000000"/>
          <w:spacing w:val="0"/>
          <w:sz w:val="32"/>
          <w:szCs w:val="32"/>
          <w:shd w:val="clear" w:color="auto" w:fill="FFFFFF"/>
        </w:rPr>
        <w:t>反映上述科目未包括的日常公用支出。如行政赔偿费和诉讼费、国内组织的会员费、来访费、广告宣传、其他劳务费及离休人员特需费、公用经费等。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对个人和家庭的补助：</w:t>
      </w:r>
      <w:r>
        <w:rPr>
          <w:rFonts w:hint="eastAsia" w:ascii="仿宋" w:hAnsi="仿宋" w:eastAsia="仿宋" w:cs="仿宋"/>
          <w:i w:val="0"/>
          <w:iCs w:val="0"/>
          <w:caps w:val="0"/>
          <w:color w:val="000000"/>
          <w:spacing w:val="0"/>
          <w:sz w:val="32"/>
          <w:szCs w:val="32"/>
          <w:shd w:val="clear" w:color="auto" w:fill="FFFFFF"/>
        </w:rPr>
        <w:t>反映政府用于对个人和家庭的补助支出。</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退休费：</w:t>
      </w:r>
      <w:r>
        <w:rPr>
          <w:rFonts w:hint="eastAsia" w:ascii="仿宋" w:hAnsi="仿宋" w:eastAsia="仿宋" w:cs="仿宋"/>
          <w:i w:val="0"/>
          <w:iCs w:val="0"/>
          <w:caps w:val="0"/>
          <w:color w:val="000000"/>
          <w:spacing w:val="0"/>
          <w:sz w:val="32"/>
          <w:szCs w:val="32"/>
          <w:shd w:val="clear" w:color="auto" w:fill="FFFFFF"/>
        </w:rPr>
        <w:t>反映行政事业单位和军队移交政府安置的退休人员的退休费和其他补贴。</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抚恤金：</w:t>
      </w:r>
      <w:r>
        <w:rPr>
          <w:rFonts w:hint="eastAsia" w:ascii="仿宋" w:hAnsi="仿宋" w:eastAsia="仿宋" w:cs="仿宋"/>
          <w:i w:val="0"/>
          <w:iCs w:val="0"/>
          <w:caps w:val="0"/>
          <w:color w:val="000000"/>
          <w:spacing w:val="0"/>
          <w:sz w:val="32"/>
          <w:szCs w:val="32"/>
          <w:shd w:val="clear" w:color="auto" w:fill="FFFFFF"/>
        </w:rPr>
        <w:t>反映按规定开支的烈士遗属、牺牲病故人员遗属的一次性和定期抚恤金，伤残人员的抚恤金，离退休人员等其他人员的各项抚恤金。</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生活补助：</w:t>
      </w:r>
      <w:r>
        <w:rPr>
          <w:rFonts w:hint="eastAsia" w:ascii="仿宋" w:hAnsi="仿宋" w:eastAsia="仿宋" w:cs="仿宋"/>
          <w:i w:val="0"/>
          <w:iCs w:val="0"/>
          <w:caps w:val="0"/>
          <w:color w:val="000000"/>
          <w:spacing w:val="0"/>
          <w:sz w:val="32"/>
          <w:szCs w:val="32"/>
          <w:shd w:val="clear" w:color="auto" w:fill="FFFFFF"/>
        </w:rPr>
        <w:t>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救济费：</w:t>
      </w:r>
      <w:r>
        <w:rPr>
          <w:rFonts w:hint="eastAsia" w:ascii="仿宋" w:hAnsi="仿宋" w:eastAsia="仿宋" w:cs="仿宋"/>
          <w:i w:val="0"/>
          <w:iCs w:val="0"/>
          <w:caps w:val="0"/>
          <w:color w:val="000000"/>
          <w:spacing w:val="0"/>
          <w:sz w:val="32"/>
          <w:szCs w:val="32"/>
          <w:shd w:val="clear" w:color="auto" w:fill="FFFFFF"/>
        </w:rPr>
        <w:t>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奖励金：</w:t>
      </w:r>
      <w:r>
        <w:rPr>
          <w:rFonts w:hint="eastAsia" w:ascii="仿宋" w:hAnsi="仿宋" w:eastAsia="仿宋" w:cs="仿宋"/>
          <w:i w:val="0"/>
          <w:iCs w:val="0"/>
          <w:caps w:val="0"/>
          <w:color w:val="000000"/>
          <w:spacing w:val="0"/>
          <w:sz w:val="32"/>
          <w:szCs w:val="32"/>
          <w:shd w:val="clear" w:color="auto" w:fill="FFFFFF"/>
        </w:rPr>
        <w:t>反映政府各部门的奖励支出，如对个体私营经济的奖励、计划生育目标责任奖励、独生子女父母奖励等。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其他对个人和家庭的补助支出：</w:t>
      </w:r>
      <w:r>
        <w:rPr>
          <w:rFonts w:hint="eastAsia" w:ascii="仿宋" w:hAnsi="仿宋" w:eastAsia="仿宋" w:cs="仿宋"/>
          <w:i w:val="0"/>
          <w:iCs w:val="0"/>
          <w:caps w:val="0"/>
          <w:color w:val="000000"/>
          <w:spacing w:val="0"/>
          <w:sz w:val="32"/>
          <w:szCs w:val="32"/>
          <w:shd w:val="clear" w:color="auto" w:fill="FFFFFF"/>
        </w:rPr>
        <w:t>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pPr>
        <w:pStyle w:val="9"/>
        <w:keepNext w:val="0"/>
        <w:keepLines w:val="0"/>
        <w:widowControl/>
        <w:suppressLineNumbers w:val="0"/>
        <w:shd w:val="clear" w:color="auto" w:fill="FFFFFF"/>
        <w:spacing w:before="0" w:beforeAutospacing="0" w:after="100" w:afterAutospacing="0" w:line="22" w:lineRule="atLeast"/>
        <w:ind w:left="0" w:right="0" w:firstLine="640"/>
        <w:jc w:val="both"/>
        <w:rPr>
          <w:rFonts w:hint="default" w:ascii="Calibri" w:hAnsi="Calibri" w:cs="Calibri"/>
          <w:i w:val="0"/>
          <w:iCs w:val="0"/>
          <w:caps w:val="0"/>
          <w:color w:val="1E2022"/>
          <w:spacing w:val="0"/>
          <w:sz w:val="24"/>
          <w:szCs w:val="24"/>
        </w:rPr>
      </w:pPr>
      <w:r>
        <w:rPr>
          <w:rFonts w:hint="eastAsia" w:ascii="黑体" w:hAnsi="宋体" w:eastAsia="黑体" w:cs="黑体"/>
          <w:i w:val="0"/>
          <w:iCs w:val="0"/>
          <w:caps w:val="0"/>
          <w:color w:val="000000"/>
          <w:spacing w:val="0"/>
          <w:sz w:val="32"/>
          <w:szCs w:val="32"/>
          <w:shd w:val="clear" w:color="auto" w:fill="FFFFFF"/>
        </w:rPr>
        <w:t>办公设备购置：</w:t>
      </w:r>
      <w:r>
        <w:rPr>
          <w:rFonts w:hint="eastAsia" w:ascii="仿宋" w:hAnsi="仿宋" w:eastAsia="仿宋" w:cs="仿宋"/>
          <w:i w:val="0"/>
          <w:iCs w:val="0"/>
          <w:caps w:val="0"/>
          <w:color w:val="000000"/>
          <w:spacing w:val="0"/>
          <w:sz w:val="32"/>
          <w:szCs w:val="32"/>
          <w:shd w:val="clear" w:color="auto" w:fill="FFFFFF"/>
        </w:rPr>
        <w:t>反映用于购置并按财务会计制度规定纳入固定资产核算范围的办公家具和办公设备的支出，以及按规定提取的修购基金。</w:t>
      </w:r>
    </w:p>
    <w:p>
      <w:pPr>
        <w:pStyle w:val="4"/>
        <w:ind w:left="0" w:leftChars="0" w:firstLine="640" w:firstLineChars="200"/>
      </w:pPr>
      <w:r>
        <w:rPr>
          <w:rFonts w:hint="eastAsia" w:ascii="黑体" w:hAnsi="宋体" w:eastAsia="黑体" w:cs="黑体"/>
          <w:i w:val="0"/>
          <w:iCs w:val="0"/>
          <w:caps w:val="0"/>
          <w:color w:val="000000"/>
          <w:spacing w:val="0"/>
          <w:sz w:val="32"/>
          <w:szCs w:val="32"/>
          <w:shd w:val="clear" w:color="auto" w:fill="FFFFFF"/>
        </w:rPr>
        <w:t>机关运行经费：</w:t>
      </w:r>
      <w:r>
        <w:rPr>
          <w:rFonts w:hint="eastAsia" w:ascii="仿宋" w:hAnsi="仿宋" w:eastAsia="仿宋" w:cs="仿宋"/>
          <w:i w:val="0"/>
          <w:iCs w:val="0"/>
          <w:caps w:val="0"/>
          <w:color w:val="000000"/>
          <w:spacing w:val="0"/>
          <w:sz w:val="32"/>
          <w:szCs w:val="32"/>
          <w:shd w:val="clear" w:color="auto" w:fill="FFFFFF"/>
        </w:rPr>
        <w:t>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hint="default" w:ascii="Times New Roman" w:hAnsi="Times New Roman" w:cs="Times New Roman"/>
          <w:i w:val="0"/>
          <w:iCs w:val="0"/>
          <w:caps w:val="0"/>
          <w:color w:val="000000"/>
          <w:spacing w:val="0"/>
          <w:sz w:val="32"/>
          <w:szCs w:val="32"/>
          <w:shd w:val="clear" w:color="auto" w:fill="FFFFFF"/>
        </w:rPr>
        <w:t> </w:t>
      </w:r>
      <w:r>
        <w:rPr>
          <w:rFonts w:hint="eastAsia" w:ascii="仿宋" w:hAnsi="仿宋" w:eastAsia="仿宋" w:cs="仿宋"/>
          <w:i w:val="0"/>
          <w:iCs w:val="0"/>
          <w:caps w:val="0"/>
          <w:color w:val="000000"/>
          <w:spacing w:val="0"/>
          <w:sz w:val="32"/>
          <w:szCs w:val="32"/>
          <w:shd w:val="clear" w:color="auto" w:fill="FFFFFF"/>
        </w:rPr>
        <w:t>办公用房物业管理费、</w:t>
      </w:r>
      <w:r>
        <w:rPr>
          <w:rFonts w:hint="default" w:ascii="Times New Roman" w:hAnsi="Times New Roman" w:cs="Times New Roman"/>
          <w:i w:val="0"/>
          <w:iCs w:val="0"/>
          <w:caps w:val="0"/>
          <w:color w:val="000000"/>
          <w:spacing w:val="0"/>
          <w:sz w:val="32"/>
          <w:szCs w:val="32"/>
          <w:shd w:val="clear" w:color="auto" w:fill="FFFFFF"/>
        </w:rPr>
        <w:t> </w:t>
      </w:r>
      <w:r>
        <w:rPr>
          <w:rFonts w:hint="eastAsia" w:ascii="仿宋" w:hAnsi="仿宋" w:eastAsia="仿宋" w:cs="仿宋"/>
          <w:i w:val="0"/>
          <w:iCs w:val="0"/>
          <w:caps w:val="0"/>
          <w:color w:val="000000"/>
          <w:spacing w:val="0"/>
          <w:sz w:val="32"/>
          <w:szCs w:val="32"/>
          <w:shd w:val="clear" w:color="auto" w:fill="FFFFFF"/>
        </w:rPr>
        <w:t>公务用车运行维护费以及其他费用。</w:t>
      </w:r>
    </w:p>
    <w:p/>
    <w:p>
      <w:pPr>
        <w:pStyle w:val="8"/>
      </w:pPr>
    </w:p>
    <w:p>
      <w:pPr>
        <w:pStyle w:val="4"/>
      </w:pPr>
    </w:p>
    <w:p/>
    <w:p>
      <w:pPr>
        <w:pStyle w:val="8"/>
      </w:pPr>
    </w:p>
    <w:p>
      <w:pPr>
        <w:pStyle w:val="4"/>
      </w:pPr>
    </w:p>
    <w:p/>
    <w:p>
      <w:pPr>
        <w:pStyle w:val="8"/>
      </w:pPr>
    </w:p>
    <w:p>
      <w:pPr>
        <w:pStyle w:val="4"/>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both"/>
        <w:rPr>
          <w:rFonts w:hint="eastAsia" w:ascii="方正小标宋_GBK" w:hAnsi="方正小标宋_GBK" w:eastAsia="方正小标宋_GBK" w:cs="方正小标宋_GBK"/>
          <w:sz w:val="70"/>
          <w:szCs w:val="70"/>
          <w:lang w:eastAsia="zh-CN"/>
        </w:rPr>
      </w:pPr>
    </w:p>
    <w:p>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1、2024年度部门决算公开表格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2RiNmVjYWEzZWVjZjQ5ODA5NjIwNzIyM2IwYjcifQ=="/>
    <w:docVar w:name="KSO_WPS_MARK_KEY" w:val="3b5d5700-ab70-4078-a3f4-7dcbe21e48cb"/>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54DE8"/>
    <w:rsid w:val="0086638C"/>
    <w:rsid w:val="008A3E8D"/>
    <w:rsid w:val="009237C4"/>
    <w:rsid w:val="00944C48"/>
    <w:rsid w:val="00950252"/>
    <w:rsid w:val="00967F5D"/>
    <w:rsid w:val="009A0F95"/>
    <w:rsid w:val="009B3ADF"/>
    <w:rsid w:val="009B4D8E"/>
    <w:rsid w:val="009C3B52"/>
    <w:rsid w:val="009E6817"/>
    <w:rsid w:val="009E6E9A"/>
    <w:rsid w:val="00A01D2B"/>
    <w:rsid w:val="00A34398"/>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42E9E"/>
    <w:rsid w:val="00F74360"/>
    <w:rsid w:val="00F818A4"/>
    <w:rsid w:val="00FB462F"/>
    <w:rsid w:val="00FE16FA"/>
    <w:rsid w:val="00FE328A"/>
    <w:rsid w:val="00FE6269"/>
    <w:rsid w:val="00FF5CD6"/>
    <w:rsid w:val="01BD616A"/>
    <w:rsid w:val="01C070EF"/>
    <w:rsid w:val="01C247F0"/>
    <w:rsid w:val="01C32272"/>
    <w:rsid w:val="03067406"/>
    <w:rsid w:val="036D482C"/>
    <w:rsid w:val="03FD0897"/>
    <w:rsid w:val="044959AE"/>
    <w:rsid w:val="046E56D3"/>
    <w:rsid w:val="049D07A1"/>
    <w:rsid w:val="052C3508"/>
    <w:rsid w:val="052F448C"/>
    <w:rsid w:val="05606F49"/>
    <w:rsid w:val="059958AD"/>
    <w:rsid w:val="06C857E7"/>
    <w:rsid w:val="07024AB1"/>
    <w:rsid w:val="07BA06BE"/>
    <w:rsid w:val="07D14A60"/>
    <w:rsid w:val="07D76969"/>
    <w:rsid w:val="07F6721E"/>
    <w:rsid w:val="08C24A73"/>
    <w:rsid w:val="08E46EA7"/>
    <w:rsid w:val="0A922065"/>
    <w:rsid w:val="0B20514C"/>
    <w:rsid w:val="0B8D3582"/>
    <w:rsid w:val="0BA12222"/>
    <w:rsid w:val="0C38149C"/>
    <w:rsid w:val="0C992E66"/>
    <w:rsid w:val="0C996F37"/>
    <w:rsid w:val="0E224840"/>
    <w:rsid w:val="0E7D3C55"/>
    <w:rsid w:val="0F0415AF"/>
    <w:rsid w:val="0F772FF0"/>
    <w:rsid w:val="0FC10A69"/>
    <w:rsid w:val="0FD53E86"/>
    <w:rsid w:val="0FFF3DF7"/>
    <w:rsid w:val="101E557F"/>
    <w:rsid w:val="10352FA6"/>
    <w:rsid w:val="11146D91"/>
    <w:rsid w:val="11B40E99"/>
    <w:rsid w:val="12583BA5"/>
    <w:rsid w:val="12D77CF6"/>
    <w:rsid w:val="130B4CCD"/>
    <w:rsid w:val="13BA5B9C"/>
    <w:rsid w:val="144968D3"/>
    <w:rsid w:val="144E4536"/>
    <w:rsid w:val="169961A3"/>
    <w:rsid w:val="16BB4159"/>
    <w:rsid w:val="16FC29C4"/>
    <w:rsid w:val="170E6162"/>
    <w:rsid w:val="174817BF"/>
    <w:rsid w:val="17BFA811"/>
    <w:rsid w:val="17D73443"/>
    <w:rsid w:val="18154FDF"/>
    <w:rsid w:val="19044F98"/>
    <w:rsid w:val="19067AD5"/>
    <w:rsid w:val="19314B62"/>
    <w:rsid w:val="19420680"/>
    <w:rsid w:val="196C5C41"/>
    <w:rsid w:val="19A406CA"/>
    <w:rsid w:val="19C0314D"/>
    <w:rsid w:val="1AA36FC3"/>
    <w:rsid w:val="1AAF2DD5"/>
    <w:rsid w:val="1B155FFD"/>
    <w:rsid w:val="1B5238E3"/>
    <w:rsid w:val="1CD501DC"/>
    <w:rsid w:val="1D97DEFF"/>
    <w:rsid w:val="1DAF11C4"/>
    <w:rsid w:val="1DFF72E5"/>
    <w:rsid w:val="1E9C7B48"/>
    <w:rsid w:val="1EEF1B50"/>
    <w:rsid w:val="1EFC6F07"/>
    <w:rsid w:val="1F0527A6"/>
    <w:rsid w:val="1F1D5B17"/>
    <w:rsid w:val="1FD00E3E"/>
    <w:rsid w:val="201605FE"/>
    <w:rsid w:val="20C03FCA"/>
    <w:rsid w:val="216C1EE4"/>
    <w:rsid w:val="21D4060F"/>
    <w:rsid w:val="2223038E"/>
    <w:rsid w:val="223C6D39"/>
    <w:rsid w:val="22AB4DEF"/>
    <w:rsid w:val="22AC03C2"/>
    <w:rsid w:val="22F94B6E"/>
    <w:rsid w:val="234165E7"/>
    <w:rsid w:val="238060CC"/>
    <w:rsid w:val="23FB4C87"/>
    <w:rsid w:val="244B6A99"/>
    <w:rsid w:val="246918CD"/>
    <w:rsid w:val="24836BF3"/>
    <w:rsid w:val="25074C4E"/>
    <w:rsid w:val="25101CDA"/>
    <w:rsid w:val="254856B7"/>
    <w:rsid w:val="25DF4931"/>
    <w:rsid w:val="26754E25"/>
    <w:rsid w:val="26955359"/>
    <w:rsid w:val="27451C7A"/>
    <w:rsid w:val="27567996"/>
    <w:rsid w:val="295D00EB"/>
    <w:rsid w:val="2ACC37C5"/>
    <w:rsid w:val="2B143BB9"/>
    <w:rsid w:val="2B396377"/>
    <w:rsid w:val="2B43250A"/>
    <w:rsid w:val="2B4A6612"/>
    <w:rsid w:val="2B696EC7"/>
    <w:rsid w:val="2B7E35E9"/>
    <w:rsid w:val="2BD8717A"/>
    <w:rsid w:val="2C210873"/>
    <w:rsid w:val="2C784B05"/>
    <w:rsid w:val="2D0F4C79"/>
    <w:rsid w:val="2D6F5F97"/>
    <w:rsid w:val="2DDA5646"/>
    <w:rsid w:val="2E7B51CF"/>
    <w:rsid w:val="2E8D40A8"/>
    <w:rsid w:val="2EBC3A3B"/>
    <w:rsid w:val="2ED139E0"/>
    <w:rsid w:val="2ED67E68"/>
    <w:rsid w:val="2F005429"/>
    <w:rsid w:val="2F2730EA"/>
    <w:rsid w:val="2F4A23A5"/>
    <w:rsid w:val="2F6973D6"/>
    <w:rsid w:val="2FDF85B8"/>
    <w:rsid w:val="2FFFEE04"/>
    <w:rsid w:val="30503E51"/>
    <w:rsid w:val="306772F9"/>
    <w:rsid w:val="308A2D31"/>
    <w:rsid w:val="31B97BA0"/>
    <w:rsid w:val="31C55B00"/>
    <w:rsid w:val="31C95635"/>
    <w:rsid w:val="32F24425"/>
    <w:rsid w:val="332C7A82"/>
    <w:rsid w:val="34B51B07"/>
    <w:rsid w:val="34DF85B0"/>
    <w:rsid w:val="35B474AB"/>
    <w:rsid w:val="3618394C"/>
    <w:rsid w:val="36A77D38"/>
    <w:rsid w:val="36B62551"/>
    <w:rsid w:val="370621EB"/>
    <w:rsid w:val="3743343A"/>
    <w:rsid w:val="37620175"/>
    <w:rsid w:val="377D6A97"/>
    <w:rsid w:val="37824373"/>
    <w:rsid w:val="378F2234"/>
    <w:rsid w:val="37E312B6"/>
    <w:rsid w:val="38145D11"/>
    <w:rsid w:val="38AE268C"/>
    <w:rsid w:val="397D1A60"/>
    <w:rsid w:val="3A5307BE"/>
    <w:rsid w:val="3A7257F0"/>
    <w:rsid w:val="3A9F75B9"/>
    <w:rsid w:val="3AAD14C4"/>
    <w:rsid w:val="3AC5307C"/>
    <w:rsid w:val="3B8F36BC"/>
    <w:rsid w:val="3BBC450D"/>
    <w:rsid w:val="3BCD002B"/>
    <w:rsid w:val="3CB215A2"/>
    <w:rsid w:val="3CC86FC9"/>
    <w:rsid w:val="3D3A6003"/>
    <w:rsid w:val="3D6313C6"/>
    <w:rsid w:val="3E122463"/>
    <w:rsid w:val="3E9B6EC4"/>
    <w:rsid w:val="3F5E2485"/>
    <w:rsid w:val="3F8C7AD1"/>
    <w:rsid w:val="3F8E51D3"/>
    <w:rsid w:val="3FE783B1"/>
    <w:rsid w:val="3FEC0334"/>
    <w:rsid w:val="3FFFFE67"/>
    <w:rsid w:val="401818B4"/>
    <w:rsid w:val="407709D4"/>
    <w:rsid w:val="40826D65"/>
    <w:rsid w:val="4136428A"/>
    <w:rsid w:val="41666FD7"/>
    <w:rsid w:val="42721A93"/>
    <w:rsid w:val="42C4601A"/>
    <w:rsid w:val="42E377C8"/>
    <w:rsid w:val="43AE7E06"/>
    <w:rsid w:val="451C7473"/>
    <w:rsid w:val="46B46290"/>
    <w:rsid w:val="479D620D"/>
    <w:rsid w:val="47AA1CA0"/>
    <w:rsid w:val="48667E54"/>
    <w:rsid w:val="48870389"/>
    <w:rsid w:val="489B28AD"/>
    <w:rsid w:val="49154775"/>
    <w:rsid w:val="491FF225"/>
    <w:rsid w:val="49400E3C"/>
    <w:rsid w:val="49582C60"/>
    <w:rsid w:val="495C4EE9"/>
    <w:rsid w:val="49A800A8"/>
    <w:rsid w:val="4A8A42D6"/>
    <w:rsid w:val="4AD66954"/>
    <w:rsid w:val="4B2D7363"/>
    <w:rsid w:val="4BD92CFF"/>
    <w:rsid w:val="4C205671"/>
    <w:rsid w:val="4C480DB4"/>
    <w:rsid w:val="4C827C94"/>
    <w:rsid w:val="4D7C592E"/>
    <w:rsid w:val="4D8F494F"/>
    <w:rsid w:val="4DC40DEA"/>
    <w:rsid w:val="4E391564"/>
    <w:rsid w:val="4E563093"/>
    <w:rsid w:val="4E5A52AA"/>
    <w:rsid w:val="4F7534EA"/>
    <w:rsid w:val="4F93631E"/>
    <w:rsid w:val="4FBD16E0"/>
    <w:rsid w:val="4FDD9625"/>
    <w:rsid w:val="4FFD214C"/>
    <w:rsid w:val="505B24E3"/>
    <w:rsid w:val="50660874"/>
    <w:rsid w:val="50CD4DA0"/>
    <w:rsid w:val="510F580A"/>
    <w:rsid w:val="5117649A"/>
    <w:rsid w:val="51413A5A"/>
    <w:rsid w:val="51FB1F8F"/>
    <w:rsid w:val="521066B1"/>
    <w:rsid w:val="52D970DD"/>
    <w:rsid w:val="5352765A"/>
    <w:rsid w:val="54E164CF"/>
    <w:rsid w:val="5505540A"/>
    <w:rsid w:val="55062E8C"/>
    <w:rsid w:val="55FD59A2"/>
    <w:rsid w:val="560D5C3D"/>
    <w:rsid w:val="567355E1"/>
    <w:rsid w:val="573FA307"/>
    <w:rsid w:val="57545F54"/>
    <w:rsid w:val="5777D4F5"/>
    <w:rsid w:val="577FC4D2"/>
    <w:rsid w:val="58450D5F"/>
    <w:rsid w:val="58CC44BC"/>
    <w:rsid w:val="59810AE7"/>
    <w:rsid w:val="598A113A"/>
    <w:rsid w:val="59957788"/>
    <w:rsid w:val="59A96428"/>
    <w:rsid w:val="59AD702D"/>
    <w:rsid w:val="59DD8326"/>
    <w:rsid w:val="5A2B6347"/>
    <w:rsid w:val="5A5752C7"/>
    <w:rsid w:val="5A6545DD"/>
    <w:rsid w:val="5A766A76"/>
    <w:rsid w:val="5ABA3CE7"/>
    <w:rsid w:val="5AE738B1"/>
    <w:rsid w:val="5AF235BA"/>
    <w:rsid w:val="5BDF66E5"/>
    <w:rsid w:val="5BE302D1"/>
    <w:rsid w:val="5C9FF0FC"/>
    <w:rsid w:val="5DEF592A"/>
    <w:rsid w:val="5F677B93"/>
    <w:rsid w:val="5FC34763"/>
    <w:rsid w:val="5FC6BB1E"/>
    <w:rsid w:val="5FF720F1"/>
    <w:rsid w:val="607B63D6"/>
    <w:rsid w:val="60E115FE"/>
    <w:rsid w:val="61857F0D"/>
    <w:rsid w:val="618B7898"/>
    <w:rsid w:val="61AB6AC8"/>
    <w:rsid w:val="61D14789"/>
    <w:rsid w:val="6222328F"/>
    <w:rsid w:val="62444AC8"/>
    <w:rsid w:val="638A3B44"/>
    <w:rsid w:val="63C03FB5"/>
    <w:rsid w:val="63DF6A68"/>
    <w:rsid w:val="646856C7"/>
    <w:rsid w:val="647B46E8"/>
    <w:rsid w:val="64B0133E"/>
    <w:rsid w:val="651932EC"/>
    <w:rsid w:val="65E5173B"/>
    <w:rsid w:val="66E2035A"/>
    <w:rsid w:val="67057615"/>
    <w:rsid w:val="67487CFE"/>
    <w:rsid w:val="67896569"/>
    <w:rsid w:val="67FF5C0B"/>
    <w:rsid w:val="686A10DA"/>
    <w:rsid w:val="68BD6966"/>
    <w:rsid w:val="69147375"/>
    <w:rsid w:val="694B1A4D"/>
    <w:rsid w:val="699A504F"/>
    <w:rsid w:val="6A2A10BB"/>
    <w:rsid w:val="6A541EFF"/>
    <w:rsid w:val="6A9A0475"/>
    <w:rsid w:val="6AD846D7"/>
    <w:rsid w:val="6B1D51CB"/>
    <w:rsid w:val="6B6668C4"/>
    <w:rsid w:val="6BAA4A2F"/>
    <w:rsid w:val="6BEE421F"/>
    <w:rsid w:val="6BF2C9C7"/>
    <w:rsid w:val="6D1E5C16"/>
    <w:rsid w:val="6D503E66"/>
    <w:rsid w:val="6DE02450"/>
    <w:rsid w:val="6E40376F"/>
    <w:rsid w:val="6EFC0924"/>
    <w:rsid w:val="6F0A66BA"/>
    <w:rsid w:val="6F47651F"/>
    <w:rsid w:val="6F5EC783"/>
    <w:rsid w:val="6F784AF0"/>
    <w:rsid w:val="6FB74722"/>
    <w:rsid w:val="6FDA5A8E"/>
    <w:rsid w:val="6FEF8B7E"/>
    <w:rsid w:val="6FFF4587"/>
    <w:rsid w:val="70645DE9"/>
    <w:rsid w:val="7075590D"/>
    <w:rsid w:val="70B566F6"/>
    <w:rsid w:val="716C6225"/>
    <w:rsid w:val="71A6591B"/>
    <w:rsid w:val="725A00AC"/>
    <w:rsid w:val="732267F0"/>
    <w:rsid w:val="7375030D"/>
    <w:rsid w:val="737D59BA"/>
    <w:rsid w:val="737F32B1"/>
    <w:rsid w:val="7381208C"/>
    <w:rsid w:val="739F4EC0"/>
    <w:rsid w:val="73BF5637"/>
    <w:rsid w:val="748D12C5"/>
    <w:rsid w:val="751F6635"/>
    <w:rsid w:val="75801B52"/>
    <w:rsid w:val="75EF7C40"/>
    <w:rsid w:val="766024C5"/>
    <w:rsid w:val="7666464C"/>
    <w:rsid w:val="76B72ED4"/>
    <w:rsid w:val="77100FE4"/>
    <w:rsid w:val="77245A86"/>
    <w:rsid w:val="77649008"/>
    <w:rsid w:val="7779DAE7"/>
    <w:rsid w:val="777B6495"/>
    <w:rsid w:val="77C37683"/>
    <w:rsid w:val="78A06277"/>
    <w:rsid w:val="79FF515B"/>
    <w:rsid w:val="7A182EEE"/>
    <w:rsid w:val="7A8B129B"/>
    <w:rsid w:val="7A8C2B0C"/>
    <w:rsid w:val="7A931F2A"/>
    <w:rsid w:val="7AD718AD"/>
    <w:rsid w:val="7B700614"/>
    <w:rsid w:val="7BC5229C"/>
    <w:rsid w:val="7BD712BD"/>
    <w:rsid w:val="7BEA6C58"/>
    <w:rsid w:val="7BEB24E1"/>
    <w:rsid w:val="7BFF2591"/>
    <w:rsid w:val="7C6565A2"/>
    <w:rsid w:val="7CBD4A32"/>
    <w:rsid w:val="7D1F1254"/>
    <w:rsid w:val="7DCA16EC"/>
    <w:rsid w:val="7E633E69"/>
    <w:rsid w:val="7E646068"/>
    <w:rsid w:val="7E79600D"/>
    <w:rsid w:val="7E7B78BE"/>
    <w:rsid w:val="7E9E1962"/>
    <w:rsid w:val="7E9F11B4"/>
    <w:rsid w:val="7EAD081E"/>
    <w:rsid w:val="7F1A2313"/>
    <w:rsid w:val="7F37EC1E"/>
    <w:rsid w:val="7F7DCD9D"/>
    <w:rsid w:val="7F970A6F"/>
    <w:rsid w:val="7FB00142"/>
    <w:rsid w:val="7FC1FFF3"/>
    <w:rsid w:val="7FC69637"/>
    <w:rsid w:val="7FDF8620"/>
    <w:rsid w:val="7FFB242F"/>
    <w:rsid w:val="7FFDB408"/>
    <w:rsid w:val="7FFE4EEB"/>
    <w:rsid w:val="95FB2B98"/>
    <w:rsid w:val="9A639BC2"/>
    <w:rsid w:val="9FF7D786"/>
    <w:rsid w:val="ABBFB23D"/>
    <w:rsid w:val="ADEB6BC5"/>
    <w:rsid w:val="AEDFFB2D"/>
    <w:rsid w:val="B71CF745"/>
    <w:rsid w:val="BBED8192"/>
    <w:rsid w:val="BEEFE214"/>
    <w:rsid w:val="BF7E0217"/>
    <w:rsid w:val="BFEEEE6F"/>
    <w:rsid w:val="C3B4DA5A"/>
    <w:rsid w:val="CBFF70E0"/>
    <w:rsid w:val="CFEB87FC"/>
    <w:rsid w:val="CFF50B82"/>
    <w:rsid w:val="CFFA65F5"/>
    <w:rsid w:val="CFFFAD89"/>
    <w:rsid w:val="D7EB73A0"/>
    <w:rsid w:val="DB97F96D"/>
    <w:rsid w:val="DFBD506C"/>
    <w:rsid w:val="DFBF14F7"/>
    <w:rsid w:val="DFFE359E"/>
    <w:rsid w:val="DFFE4FFD"/>
    <w:rsid w:val="E6DDE65C"/>
    <w:rsid w:val="EB95D369"/>
    <w:rsid w:val="EBFFEFC7"/>
    <w:rsid w:val="EDB60753"/>
    <w:rsid w:val="EEABED75"/>
    <w:rsid w:val="F56FDF51"/>
    <w:rsid w:val="F6B69F17"/>
    <w:rsid w:val="F6FF6792"/>
    <w:rsid w:val="F77F1D61"/>
    <w:rsid w:val="F7BF40DE"/>
    <w:rsid w:val="F7FED3A9"/>
    <w:rsid w:val="F8AC8CC1"/>
    <w:rsid w:val="F8C9DB26"/>
    <w:rsid w:val="F97E8EAE"/>
    <w:rsid w:val="FB36E1A6"/>
    <w:rsid w:val="FB3BE134"/>
    <w:rsid w:val="FCBF5539"/>
    <w:rsid w:val="FCFF4275"/>
    <w:rsid w:val="FD6CAD2C"/>
    <w:rsid w:val="FD7FEEEA"/>
    <w:rsid w:val="FDCC810C"/>
    <w:rsid w:val="FDF55AF3"/>
    <w:rsid w:val="FDFCDBF3"/>
    <w:rsid w:val="FDFE4F63"/>
    <w:rsid w:val="FDFFB577"/>
    <w:rsid w:val="FEEA50FE"/>
    <w:rsid w:val="FEEF7474"/>
    <w:rsid w:val="FF7D47A9"/>
    <w:rsid w:val="FFCF21CB"/>
    <w:rsid w:val="FFED58FB"/>
    <w:rsid w:val="FFFF1C8B"/>
    <w:rsid w:val="FFFFD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pBdr>
        <w:bottom w:val="single" w:color="BDD6EE" w:sz="4" w:space="2"/>
      </w:pBdr>
      <w:spacing w:before="200" w:after="80"/>
      <w:outlineLvl w:val="3"/>
    </w:pPr>
    <w:rPr>
      <w:rFonts w:ascii="Calibri Light" w:hAnsi="Calibri Light"/>
      <w:i/>
      <w:iCs/>
      <w:color w:val="5B9BD5"/>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正文文字"/>
    <w:next w:val="1"/>
    <w:qFormat/>
    <w:uiPriority w:val="0"/>
    <w:pPr>
      <w:widowControl w:val="0"/>
      <w:spacing w:after="120" w:afterLines="0" w:afterAutospacing="0"/>
      <w:jc w:val="both"/>
    </w:pPr>
    <w:rPr>
      <w:rFonts w:ascii="Times New Roman" w:hAnsi="Times New Roman" w:eastAsia="仿宋" w:cs="Times New Roman"/>
      <w:kern w:val="2"/>
      <w:sz w:val="32"/>
      <w:lang w:val="en-US" w:eastAsia="zh-CN"/>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NOTE_Normal"/>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10151</Words>
  <Characters>10839</Characters>
  <Lines>63</Lines>
  <Paragraphs>18</Paragraphs>
  <TotalTime>64</TotalTime>
  <ScaleCrop>false</ScaleCrop>
  <LinksUpToDate>false</LinksUpToDate>
  <CharactersWithSpaces>10865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kylin</cp:lastModifiedBy>
  <cp:lastPrinted>2025-12-01T18:05:00Z</cp:lastPrinted>
  <dcterms:modified xsi:type="dcterms:W3CDTF">2025-12-02T09:08:27Z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6C5AE9A4717E45798BEE85C1680FED78_13</vt:lpwstr>
  </property>
</Properties>
</file>