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0C104">
      <w:pPr>
        <w:pStyle w:val="11"/>
        <w:numPr>
          <w:ilvl w:val="0"/>
          <w:numId w:val="0"/>
        </w:numPr>
        <w:ind w:leftChars="0"/>
        <w:jc w:val="center"/>
        <w:rPr>
          <w:rFonts w:hint="eastAsia" w:asciiTheme="minorEastAsia" w:hAnsiTheme="minorEastAsia" w:eastAsiaTheme="minorEastAsia" w:cstheme="minorEastAsia"/>
          <w:sz w:val="28"/>
          <w:szCs w:val="28"/>
          <w:lang w:val="en-US" w:eastAsia="zh-CN"/>
        </w:rPr>
        <w:sectPr>
          <w:headerReference r:id="rId5" w:type="default"/>
          <w:footerReference r:id="rId6" w:type="default"/>
          <w:type w:val="continuous"/>
          <w:pgSz w:w="23814" w:h="16840" w:orient="landscape"/>
          <w:pgMar w:top="1418" w:right="1134" w:bottom="2268" w:left="1985" w:header="851" w:footer="567" w:gutter="0"/>
          <w:pgNumType w:fmt="decimal"/>
          <w:cols w:space="425" w:num="1"/>
          <w:docGrid w:type="lines" w:linePitch="326" w:charSpace="0"/>
        </w:sectPr>
      </w:pPr>
      <w:r>
        <w:rPr>
          <w:rFonts w:hint="eastAsia" w:asciiTheme="minorEastAsia" w:hAnsiTheme="minorEastAsia" w:eastAsiaTheme="minorEastAsia" w:cstheme="minorEastAsia"/>
          <w:sz w:val="28"/>
          <w:szCs w:val="28"/>
        </w:rPr>
        <w:t>岳阳滨湖变电站线路配套电缆管廊项目</w:t>
      </w:r>
      <w:r>
        <w:rPr>
          <w:rFonts w:hint="eastAsia" w:asciiTheme="minorEastAsia" w:hAnsiTheme="minorEastAsia" w:eastAsiaTheme="minorEastAsia" w:cstheme="minorEastAsia"/>
          <w:sz w:val="28"/>
          <w:szCs w:val="28"/>
          <w:lang w:val="en-US" w:eastAsia="zh-CN"/>
        </w:rPr>
        <w:t>管线迁改及排水管道迁改设计说明</w:t>
      </w:r>
    </w:p>
    <w:p w14:paraId="5B619BBF">
      <w:pPr>
        <w:pStyle w:val="11"/>
        <w:numPr>
          <w:ilvl w:val="0"/>
          <w:numId w:val="1"/>
        </w:numPr>
        <w:ind w:left="0" w:leftChars="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管线迁改方案</w:t>
      </w:r>
    </w:p>
    <w:p w14:paraId="103822D9">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采用的施工规范、规程和工程验收标准</w:t>
      </w:r>
    </w:p>
    <w:p w14:paraId="2EA9E9CF">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《城市工程管线综合规划规范》（GB50289-2016）</w:t>
      </w:r>
    </w:p>
    <w:p w14:paraId="3A91A320">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《室外给水设计标准》（GB50013-2018）</w:t>
      </w:r>
    </w:p>
    <w:p w14:paraId="16E0911F">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《室外排水设计标准》（GB50014-2021）</w:t>
      </w:r>
    </w:p>
    <w:p w14:paraId="35B1B405">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《城镇燃气设计规范（2020年版）》（GB50028-2006）</w:t>
      </w:r>
    </w:p>
    <w:p w14:paraId="19C6494C">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《电力工程电缆设计标准》（GB50217-2018）</w:t>
      </w:r>
    </w:p>
    <w:p w14:paraId="3D74E7CA">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《通信管道与通道工程设计标准》（GB50373-2019）</w:t>
      </w:r>
    </w:p>
    <w:p w14:paraId="76219884">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《城市给水工程项目规范》（GB55026-2022）</w:t>
      </w:r>
    </w:p>
    <w:p w14:paraId="4FD9FE35">
      <w:pPr>
        <w:pStyle w:val="17"/>
        <w:ind w:left="480"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《城乡排水工程项目规范》(GB55027-2022)</w:t>
      </w:r>
    </w:p>
    <w:p w14:paraId="114F2DEE">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《城市排水工程规划规范》（GB50318-2017）</w:t>
      </w:r>
    </w:p>
    <w:p w14:paraId="1FBE4231">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《室外给水排水和燃气热力工程抗震设计规范》（GB50032-2003）</w:t>
      </w:r>
    </w:p>
    <w:p w14:paraId="6304545E">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《给水排水管道工程施工及验收规范》（GB50268-2008）</w:t>
      </w:r>
    </w:p>
    <w:p w14:paraId="5207558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《建筑与市政工程抗震通用规范》（GB55002-2021）</w:t>
      </w:r>
    </w:p>
    <w:p w14:paraId="27549E77">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《市政排水管道工程及附属设施》（06MS201）</w:t>
      </w:r>
    </w:p>
    <w:p w14:paraId="13B1702F">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《钢筋混凝土及砖砌排水检查井》（20S515）</w:t>
      </w:r>
    </w:p>
    <w:p w14:paraId="207A78A6">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《雨水口》（16S518）</w:t>
      </w:r>
    </w:p>
    <w:p w14:paraId="68E2CC6B">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《混凝土排水管道基础及接口》（23S516）</w:t>
      </w:r>
    </w:p>
    <w:p w14:paraId="77FBD0BB">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《混凝土和钢筋混凝土排水管》（GB/T 11836-2023）</w:t>
      </w:r>
    </w:p>
    <w:p w14:paraId="4D34258F">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《检查井盖》（GB/T 23858-2009)</w:t>
      </w:r>
    </w:p>
    <w:p w14:paraId="602A2D51">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《铸铁检查井盖》（CJ/T511-2017）</w:t>
      </w:r>
    </w:p>
    <w:p w14:paraId="75336F40">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《给水排水构筑物工程施工及验收规范》（GB 50141-2008）</w:t>
      </w:r>
    </w:p>
    <w:p w14:paraId="5BC7409D">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《危险性较大的分部分项工程安全管理规定》（建令【2018】37号）</w:t>
      </w:r>
    </w:p>
    <w:p w14:paraId="79118D4F">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《给水排水工程管道结构设计规范》（GB 50332-2002）</w:t>
      </w:r>
    </w:p>
    <w:p w14:paraId="43E9B7A8">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《给水排水工程构筑物结构设计规范》（GB 50069-2002）</w:t>
      </w:r>
    </w:p>
    <w:p w14:paraId="55F70861">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《埋地塑料排水管道工程技术规程》（CJJ 143-2010）</w:t>
      </w:r>
    </w:p>
    <w:p w14:paraId="58CBDD5C">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《S501-1~2：单层、双层井盖及踏步》（2015年合订本）</w:t>
      </w:r>
    </w:p>
    <w:p w14:paraId="689E1259">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《市政公用工程设计文件编制深度规定（2013年版）》（建质[2013]57号）</w:t>
      </w:r>
    </w:p>
    <w:p w14:paraId="49ADFE60">
      <w:pPr>
        <w:ind w:firstLine="56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国家其它相关规范、规定及行业标准</w:t>
      </w:r>
    </w:p>
    <w:p w14:paraId="4F27EB42">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工程范围及内容</w:t>
      </w:r>
    </w:p>
    <w:p w14:paraId="20B17463">
      <w:pPr>
        <w:ind w:firstLine="560"/>
        <w:rPr>
          <w:rFonts w:asciiTheme="minorEastAsia" w:hAnsiTheme="minorEastAsia" w:eastAsiaTheme="minorEastAsia" w:cstheme="minorEastAsia"/>
          <w:sz w:val="28"/>
          <w:szCs w:val="28"/>
        </w:rPr>
      </w:pPr>
      <w:bookmarkStart w:id="0" w:name="_Hlk535349003"/>
      <w:r>
        <w:rPr>
          <w:rFonts w:hint="eastAsia" w:asciiTheme="minorEastAsia" w:hAnsiTheme="minorEastAsia" w:eastAsiaTheme="minorEastAsia" w:cstheme="minorEastAsia"/>
          <w:sz w:val="28"/>
          <w:szCs w:val="28"/>
        </w:rPr>
        <w:t>本</w:t>
      </w:r>
      <w:r>
        <w:rPr>
          <w:rFonts w:hint="eastAsia" w:asciiTheme="minorEastAsia" w:hAnsiTheme="minorEastAsia" w:eastAsiaTheme="minorEastAsia" w:cstheme="minorEastAsia"/>
          <w:bCs/>
          <w:sz w:val="28"/>
          <w:szCs w:val="28"/>
        </w:rPr>
        <w:t>工程</w:t>
      </w:r>
      <w:r>
        <w:rPr>
          <w:rFonts w:hint="eastAsia" w:asciiTheme="minorEastAsia" w:hAnsiTheme="minorEastAsia" w:eastAsiaTheme="minorEastAsia" w:cstheme="minorEastAsia"/>
          <w:sz w:val="28"/>
          <w:szCs w:val="28"/>
        </w:rPr>
        <w:t>为岳阳滨湖变电站线路配套电缆管廊项目，电力管廊起于滨湖变电站，止于赶山路与尹家冲路交叉口。其中大约230米左右位于赶山路，本次管线迁改设计范围为电缆管廊施工影响范围内赶山路管线，本次设计仅提供管线路由，规格及具体位置详见各管线专业设计。</w:t>
      </w:r>
    </w:p>
    <w:bookmarkEnd w:id="0"/>
    <w:p w14:paraId="5429864F">
      <w:pPr>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管线迁改为电力管廊配套工程，主要对工程影响范围内现状管线进行迁改。本图仅对给水、排水、电力、通信、燃气、路灯等管线进行平面路由规划。具体规格、埋深、施工方式等内容由各管线进行专业设计</w:t>
      </w:r>
      <w:r>
        <w:rPr>
          <w:rFonts w:hint="eastAsia" w:asciiTheme="minorEastAsia" w:hAnsiTheme="minorEastAsia" w:eastAsiaTheme="minorEastAsia" w:cstheme="minorEastAsia"/>
          <w:bCs/>
          <w:sz w:val="28"/>
          <w:szCs w:val="28"/>
          <w:lang w:eastAsia="zh-CN"/>
        </w:rPr>
        <w:t>，</w:t>
      </w:r>
      <w:r>
        <w:rPr>
          <w:rFonts w:hint="eastAsia" w:asciiTheme="minorEastAsia" w:hAnsiTheme="minorEastAsia" w:eastAsiaTheme="minorEastAsia" w:cstheme="minorEastAsia"/>
          <w:bCs/>
          <w:sz w:val="28"/>
          <w:szCs w:val="28"/>
          <w:lang w:val="en-US" w:eastAsia="zh-CN"/>
        </w:rPr>
        <w:t>其中给水、燃气有相关管线主管部门实施</w:t>
      </w:r>
      <w:r>
        <w:rPr>
          <w:rFonts w:hint="eastAsia" w:asciiTheme="minorEastAsia" w:hAnsiTheme="minorEastAsia" w:eastAsiaTheme="minorEastAsia" w:cstheme="minorEastAsia"/>
          <w:bCs/>
          <w:sz w:val="28"/>
          <w:szCs w:val="28"/>
        </w:rPr>
        <w:t>。</w:t>
      </w:r>
    </w:p>
    <w:p w14:paraId="3BAB0270">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管线迁改</w:t>
      </w:r>
    </w:p>
    <w:p w14:paraId="0E05BE77">
      <w:pPr>
        <w:pStyle w:val="11"/>
        <w:numPr>
          <w:ilvl w:val="2"/>
          <w:numId w:val="2"/>
        </w:numPr>
        <w:ind w:left="709" w:leftChars="0" w:hanging="709"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管线迁改总体原则</w:t>
      </w:r>
    </w:p>
    <w:p w14:paraId="43724F1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（1）对走向、埋深等要求严格且不允许长时间截断的管线（如排水管），在有管位且满足规范、规划时，应尽可能一次性将管线永久迁改。</w:t>
      </w:r>
    </w:p>
    <w:p w14:paraId="4E2E4962">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主体工程施工期间，周边无管位时，可利用钢架桥等临时支护设施或新敷设临时管进行过渡，待主体工程实施完毕后按原样恢复。与主体结构发生碰撞的管线，必须异地永久迁建。</w:t>
      </w:r>
    </w:p>
    <w:p w14:paraId="50B307E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（2）与施工沟槽位置冲突但重要性、危险性较大的管线（如给水、燃气管等），在有管位且满足规范、规划时，尽可能对该部分管线进行异地迁建。</w:t>
      </w:r>
    </w:p>
    <w:p w14:paraId="7ECB34B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周边无管位且现状管与主体结构在空间上不矛盾冲突时，可通过架设临时管线桥、刚性支撑、管道保护等措施，进行施工期间的悬吊处理。与主体结构发生碰撞的管线，必须异地永久迁建。</w:t>
      </w:r>
    </w:p>
    <w:p w14:paraId="1609163C">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当有管位但该位置对管线维护、管理及城市美观不妥时，可采用临时迁建方案，待主体结构施工完毕再按原位置回迁。若迁改位置既可确保施工期间需要，同时也完全满足规划、规范、维护管理等方面需要时，则永久迁改该管线。</w:t>
      </w:r>
    </w:p>
    <w:p w14:paraId="0918EEA3">
      <w:pPr>
        <w:pStyle w:val="5"/>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对电力、通信、路灯、监控等涉电类管线，与主体结构不碰撞时，可通过架设临时管线桥、刚性支撑、管道保护等措施，进行施工期间的悬吊处理，待施工完毕后原状恢复。与主体结构发生碰撞的管线，必须异地永久迁建。</w:t>
      </w:r>
    </w:p>
    <w:p w14:paraId="67B0DFCC">
      <w:pPr>
        <w:pStyle w:val="5"/>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主体施工期间因围挡施工、交通疏解等原因需要拆除路灯杆线、交通信号杆线时，可根据实际需要确定临时杆件位置，主体工程施工后原位置恢复。</w:t>
      </w:r>
    </w:p>
    <w:p w14:paraId="123795BD">
      <w:pPr>
        <w:pStyle w:val="5"/>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（4）雨水口及其连接管可在工作井施工完毕后根据实际情况恢复或增设。</w:t>
      </w:r>
    </w:p>
    <w:p w14:paraId="26EF73B6">
      <w:pPr>
        <w:pStyle w:val="11"/>
        <w:numPr>
          <w:ilvl w:val="2"/>
          <w:numId w:val="2"/>
        </w:numPr>
        <w:ind w:left="709" w:leftChars="0" w:hanging="709"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现状管线概况</w:t>
      </w:r>
    </w:p>
    <w:p w14:paraId="07D5C126">
      <w:pPr>
        <w:pStyle w:val="5"/>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本项目施工支护围挡范围内的管线主要有DN500铸铁给水管，DN250PE中压燃气管，电力管1-24孔，DN600HDPE雨水管，DN400HDPE污水管，</w:t>
      </w:r>
    </w:p>
    <w:p w14:paraId="03EB2009">
      <w:pPr>
        <w:pStyle w:val="5"/>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上述现状管与工作井及其支护结构冲突时，均需对其进行迁改，具体详见管线迁改平面设计图。</w:t>
      </w:r>
    </w:p>
    <w:p w14:paraId="40FF492B">
      <w:pPr>
        <w:pStyle w:val="11"/>
        <w:numPr>
          <w:ilvl w:val="2"/>
          <w:numId w:val="2"/>
        </w:numPr>
        <w:ind w:left="709" w:leftChars="0" w:hanging="709"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管线迁改方案</w:t>
      </w:r>
    </w:p>
    <w:p w14:paraId="58C0DBE8">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根据现状管线物探资料，本次管线迁改的范围主要为：管廊施工范围，迁改管线均位于赶山路道路中心线南侧。</w:t>
      </w:r>
    </w:p>
    <w:p w14:paraId="7D1AB0B0">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迁改方案为：</w:t>
      </w:r>
    </w:p>
    <w:p w14:paraId="46421A3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污水管道由于标高与管廊冲突，全线改迁至机动车道下方；雨水管道除加油站对应位置外，均须迁改至机动车道下方；电力管道改迁范围为从加油站东侧至赶山路与尹家冲路交叉口，改迁</w:t>
      </w:r>
      <w:r>
        <w:rPr>
          <w:rFonts w:hint="eastAsia" w:asciiTheme="minorEastAsia" w:hAnsiTheme="minorEastAsia" w:eastAsiaTheme="minorEastAsia" w:cstheme="minorEastAsia"/>
          <w:sz w:val="28"/>
          <w:szCs w:val="28"/>
          <w:lang w:val="en-US" w:eastAsia="zh-CN"/>
        </w:rPr>
        <w:t>辅道及绿化带</w:t>
      </w:r>
      <w:r>
        <w:rPr>
          <w:rFonts w:hint="eastAsia" w:asciiTheme="minorEastAsia" w:hAnsiTheme="minorEastAsia" w:eastAsiaTheme="minorEastAsia" w:cstheme="minorEastAsia"/>
          <w:sz w:val="28"/>
          <w:szCs w:val="28"/>
        </w:rPr>
        <w:t>下方；燃气管道、给水管道改迁范围为公安局大门东侧至赶山路与尹家冲路交叉口，改迁至辅道机动车道下方。</w:t>
      </w:r>
    </w:p>
    <w:p w14:paraId="48651042">
      <w:pPr>
        <w:pStyle w:val="11"/>
        <w:numPr>
          <w:ilvl w:val="2"/>
          <w:numId w:val="2"/>
        </w:numPr>
        <w:ind w:left="709" w:leftChars="0" w:hanging="709"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注意事项</w:t>
      </w:r>
    </w:p>
    <w:p w14:paraId="1C2877F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（1）本工程给水、燃气（不含土建）管线迁改由各权属部门负责设计。</w:t>
      </w:r>
    </w:p>
    <w:p w14:paraId="27C3958B">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（2）管线迁改设计仅作管线迁改路由指导，各种类管线规格、长度、线位等内容由各管线权属部门负责施工图深化设计，若对管位有调整应以其</w:t>
      </w:r>
      <w:r>
        <w:rPr>
          <w:rFonts w:hint="eastAsia" w:asciiTheme="minorEastAsia" w:hAnsiTheme="minorEastAsia" w:eastAsiaTheme="minorEastAsia" w:cstheme="minorEastAsia"/>
          <w:sz w:val="28"/>
          <w:szCs w:val="28"/>
          <w:lang w:val="en-US" w:eastAsia="zh-CN"/>
        </w:rPr>
        <w:t>深化</w:t>
      </w:r>
      <w:r>
        <w:rPr>
          <w:rFonts w:hint="eastAsia" w:asciiTheme="minorEastAsia" w:hAnsiTheme="minorEastAsia" w:eastAsiaTheme="minorEastAsia" w:cstheme="minorEastAsia"/>
          <w:sz w:val="28"/>
          <w:szCs w:val="28"/>
        </w:rPr>
        <w:t>施工图设计文件为准。</w:t>
      </w:r>
    </w:p>
    <w:p w14:paraId="67B0F93D">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（3）各管线迁改施工图均应在主管部门审批合格且权属部门无异议后方可实施。</w:t>
      </w:r>
    </w:p>
    <w:p w14:paraId="3C2420CC">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（4）未尽事宜请严格按照有关规范、规定进行。</w:t>
      </w:r>
    </w:p>
    <w:p w14:paraId="76954C38">
      <w:pPr>
        <w:pStyle w:val="11"/>
        <w:numPr>
          <w:ilvl w:val="0"/>
          <w:numId w:val="2"/>
        </w:numPr>
        <w:ind w:left="425" w:leftChars="0" w:hanging="425"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排水工程</w:t>
      </w:r>
    </w:p>
    <w:p w14:paraId="37CD7CD6">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设计原则</w:t>
      </w:r>
    </w:p>
    <w:p w14:paraId="3070DC65">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（1）对受管廊施工及其他管线影响的排水管进行迁改；</w:t>
      </w:r>
    </w:p>
    <w:p w14:paraId="68EDAC35">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（2）迁改管道在维持原管规格及标高</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lang w:val="en-US" w:eastAsia="zh-CN"/>
        </w:rPr>
        <w:t>前提下</w:t>
      </w:r>
      <w:r>
        <w:rPr>
          <w:rFonts w:hint="eastAsia" w:asciiTheme="minorEastAsia" w:hAnsiTheme="minorEastAsia" w:eastAsiaTheme="minorEastAsia" w:cstheme="minorEastAsia"/>
          <w:sz w:val="28"/>
          <w:szCs w:val="28"/>
        </w:rPr>
        <w:t>，确保顺接；</w:t>
      </w:r>
    </w:p>
    <w:p w14:paraId="5441C20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（3）迁改管位不影响工程施工及完工后使用功能；</w:t>
      </w:r>
    </w:p>
    <w:p w14:paraId="615C3366">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（4）雨水口设置确保能满足路面雨水排放要求。</w:t>
      </w:r>
    </w:p>
    <w:p w14:paraId="6343F84B">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设计标准</w:t>
      </w:r>
    </w:p>
    <w:p w14:paraId="5B76280C">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（1）雨水工程设计标准</w:t>
      </w:r>
    </w:p>
    <w:p w14:paraId="46723BA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1）暴雨强度公式：采用岳阳市最新暴雨强度公式：</w:t>
      </w:r>
    </w:p>
    <w:p w14:paraId="1FB169CC">
      <w:pPr>
        <w:ind w:firstLine="480"/>
        <w:rPr>
          <w:rFonts w:asciiTheme="minorEastAsia" w:hAnsiTheme="minorEastAsia" w:eastAsiaTheme="minorEastAsia" w:cstheme="minorEastAsia"/>
          <w:sz w:val="28"/>
          <w:szCs w:val="28"/>
        </w:rPr>
      </w:pPr>
      <w:r>
        <w:drawing>
          <wp:inline distT="0" distB="0" distL="114300" distR="114300">
            <wp:extent cx="2600325" cy="685800"/>
            <wp:effectExtent l="0" t="0" r="9525"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a:stretch>
                      <a:fillRect/>
                    </a:stretch>
                  </pic:blipFill>
                  <pic:spPr>
                    <a:xfrm>
                      <a:off x="0" y="0"/>
                      <a:ext cx="2600325" cy="685800"/>
                    </a:xfrm>
                    <a:prstGeom prst="rect">
                      <a:avLst/>
                    </a:prstGeom>
                    <a:noFill/>
                    <a:ln>
                      <a:noFill/>
                    </a:ln>
                  </pic:spPr>
                </pic:pic>
              </a:graphicData>
            </a:graphic>
          </wp:inline>
        </w:drawing>
      </w:r>
    </w:p>
    <w:p w14:paraId="3FA660B1">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式中：q——设计暴雨强度（L/（s•hm2））；</w:t>
      </w:r>
    </w:p>
    <w:p w14:paraId="53A1546D">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P——设计重现期，P取3年；</w:t>
      </w:r>
    </w:p>
    <w:p w14:paraId="3AEF499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t——降雨历时（分钟），t=t1+t2；</w:t>
      </w:r>
    </w:p>
    <w:p w14:paraId="57DA0869">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t1——地面集水时间，取10min；</w:t>
      </w:r>
    </w:p>
    <w:p w14:paraId="69069D18">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t2——管内雨水流行时间。</w:t>
      </w:r>
    </w:p>
    <w:p w14:paraId="1D19B43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2）流量公式：</w:t>
      </w:r>
    </w:p>
    <w:p w14:paraId="2DE35D58">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Q=Ψ•F•q</w:t>
      </w:r>
    </w:p>
    <w:p w14:paraId="7DA9804E">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式中：Q——雨水管道设计流量（L/s）；</w:t>
      </w:r>
    </w:p>
    <w:p w14:paraId="7A7B6502">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q——设计暴雨强度（L/（s•hm2））；</w:t>
      </w:r>
    </w:p>
    <w:p w14:paraId="0E8CEA2E">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Ψ——综合径流系数，综合径流系数取0.65。</w:t>
      </w:r>
    </w:p>
    <w:p w14:paraId="4D7FC207">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3）流速公式：</w:t>
      </w:r>
    </w:p>
    <w:p w14:paraId="1707B074">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object>
          <v:shape id="_x0000_i1025" o:spt="75" type="#_x0000_t75" style="height:36.75pt;width:57.75pt;" o:ole="t" filled="f" o:preferrelative="t" stroked="f" coordsize="21600,21600">
            <v:path/>
            <v:fill on="f" focussize="0,0"/>
            <v:stroke on="f" joinstyle="miter"/>
            <v:imagedata r:id="rId10" o:title=""/>
            <o:lock v:ext="edit" aspectratio="t"/>
            <w10:wrap type="none"/>
            <w10:anchorlock/>
          </v:shape>
          <o:OLEObject Type="Embed" ProgID="Equation.KSEE3" ShapeID="_x0000_i1025" DrawAspect="Content" ObjectID="_1468075725" r:id="rId9">
            <o:LockedField>false</o:LockedField>
          </o:OLEObject>
        </w:object>
      </w:r>
    </w:p>
    <w:p w14:paraId="467E34E4">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式中：v——流速（管网最小流速取0.75m/s）；</w:t>
      </w:r>
    </w:p>
    <w:p w14:paraId="5E7719AB">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C——谢才系数，采用曼宁公式计算；</w:t>
      </w:r>
    </w:p>
    <w:p w14:paraId="68A1679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n——管壁粗糙系数；</w:t>
      </w:r>
    </w:p>
    <w:p w14:paraId="349D0C52">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R——水力半径（m）；</w:t>
      </w:r>
    </w:p>
    <w:p w14:paraId="2433B0E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I——水力坡度。</w:t>
      </w:r>
    </w:p>
    <w:p w14:paraId="70F78D5C">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污水工程设计标准</w:t>
      </w:r>
    </w:p>
    <w:p w14:paraId="465813BB">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1）流量公式：</w:t>
      </w:r>
    </w:p>
    <w:p w14:paraId="6FBDA11D">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Qdr=KQd+K’Qm+Qu</w:t>
      </w:r>
    </w:p>
    <w:p w14:paraId="17072B66">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式中：Qdr——旱季设计流量（L/s）；</w:t>
      </w:r>
    </w:p>
    <w:p w14:paraId="131354AB">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K——综合生活污水量变化系数；</w:t>
      </w:r>
    </w:p>
    <w:p w14:paraId="7584CFC2">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Qd——设计综合生活污水量（L/s）；</w:t>
      </w:r>
    </w:p>
    <w:p w14:paraId="2CE12427">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K’——工业废水量变化系数；</w:t>
      </w:r>
    </w:p>
    <w:p w14:paraId="565DB7B7">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Qm——设计工业废水量（L/s）；</w:t>
      </w:r>
    </w:p>
    <w:p w14:paraId="3E08700F">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Qu——入渗地下水量（L/s），按综合生活污水及工业废水总量的10%计。</w:t>
      </w:r>
    </w:p>
    <w:p w14:paraId="0F040411">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根据规划污水量指标采用人均综合污水量指标法计算，污水量标准采用450（L/人·d），人口数按100（人/ha），则综合生活污水折合面积比流量q1取0.52L/（s•ha）。</w:t>
      </w:r>
    </w:p>
    <w:p w14:paraId="2760CA0D">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2）流速公式：</w:t>
      </w:r>
    </w:p>
    <w:p w14:paraId="16CC9914">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object>
          <v:shape id="_x0000_i1026" o:spt="75" type="#_x0000_t75" style="height:36.75pt;width:57.75pt;" o:ole="t" filled="f" o:preferrelative="t" stroked="f" coordsize="21600,21600">
            <v:path/>
            <v:fill on="f" focussize="0,0"/>
            <v:stroke on="f" joinstyle="miter"/>
            <v:imagedata r:id="rId10" o:title=""/>
            <o:lock v:ext="edit" aspectratio="t"/>
            <w10:wrap type="none"/>
            <w10:anchorlock/>
          </v:shape>
          <o:OLEObject Type="Embed" ProgID="Equation.KSEE3" ShapeID="_x0000_i1026" DrawAspect="Content" ObjectID="_1468075726" r:id="rId11">
            <o:LockedField>false</o:LockedField>
          </o:OLEObject>
        </w:object>
      </w:r>
    </w:p>
    <w:p w14:paraId="5DF86530">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式中：v——流速（管网最小流速取0.6m/s）；</w:t>
      </w:r>
    </w:p>
    <w:p w14:paraId="49D04C1C">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C——谢才系数，采用曼宁公式计算；</w:t>
      </w:r>
    </w:p>
    <w:p w14:paraId="2016AFBB">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n——管壁粗糙系数；</w:t>
      </w:r>
    </w:p>
    <w:p w14:paraId="0D651B45">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R——水力半径（m）；</w:t>
      </w:r>
    </w:p>
    <w:p w14:paraId="190F36D7">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I——水力坡度。</w:t>
      </w:r>
    </w:p>
    <w:p w14:paraId="6213EFDF">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（3）排水工程为电缆管廊配套工程，仅对受影响排水管道进行迁改，故本次设计管径与现状管道管径保持一致。</w:t>
      </w:r>
    </w:p>
    <w:p w14:paraId="777A79C4">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排水方案</w:t>
      </w:r>
    </w:p>
    <w:p w14:paraId="77F2DD81">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污水：起于赶山路与尹家冲路交叉口，止于管廊起点西侧现状检查井，管径D400，埋深约4.5米。</w:t>
      </w:r>
    </w:p>
    <w:p w14:paraId="08173313">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雨水：改迁分为两段，其中起点段改迁目的是避让管廊转弯及支线施工，管径D600，埋深约2.3米，另外一段为加油站东侧至赶山路与尹家冲路交叉口，本段雨水管与管廊主体冲突，管径D600，埋深约2.3米。</w:t>
      </w:r>
    </w:p>
    <w:p w14:paraId="7FB087A4">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若因施工过程中造成其他原有排水管或附属构筑物破损，应按原规格原位恢复。</w:t>
      </w:r>
    </w:p>
    <w:p w14:paraId="45D398E3">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管材，接口形式，管道基础</w:t>
      </w:r>
    </w:p>
    <w:p w14:paraId="389BB674">
      <w:pPr>
        <w:numPr>
          <w:ilvl w:val="0"/>
          <w:numId w:val="3"/>
        </w:numPr>
        <w:ind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管材</w:t>
      </w:r>
    </w:p>
    <w:p w14:paraId="68ED4D13">
      <w:pPr>
        <w:ind w:firstLine="56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根据《城乡排水工程项目规范》（GB 55027-2022 ）</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排水工程所用的管材、管道附件、构 (配) 件和主要原材料等应符合国家现行相关标准的规定，产品进</w:t>
      </w:r>
      <w:r>
        <w:rPr>
          <w:rFonts w:hint="eastAsia" w:asciiTheme="minorEastAsia" w:hAnsiTheme="minorEastAsia" w:eastAsiaTheme="minorEastAsia" w:cstheme="minorEastAsia"/>
          <w:sz w:val="28"/>
          <w:szCs w:val="28"/>
          <w:highlight w:val="none"/>
          <w:lang w:val="en-US" w:eastAsia="zh-CN"/>
        </w:rPr>
        <w:t>入</w:t>
      </w:r>
      <w:r>
        <w:rPr>
          <w:rFonts w:hint="eastAsia" w:asciiTheme="minorEastAsia" w:hAnsiTheme="minorEastAsia" w:eastAsiaTheme="minorEastAsia" w:cstheme="minorEastAsia"/>
          <w:sz w:val="28"/>
          <w:szCs w:val="28"/>
          <w:highlight w:val="none"/>
        </w:rPr>
        <w:t>施工现场时应按国家有关规定进行验收，验收合格后方可使用</w:t>
      </w:r>
      <w:r>
        <w:rPr>
          <w:rFonts w:hint="eastAsia" w:asciiTheme="minorEastAsia" w:hAnsiTheme="minorEastAsia" w:eastAsiaTheme="minorEastAsia" w:cstheme="minorEastAsia"/>
          <w:sz w:val="28"/>
          <w:szCs w:val="28"/>
          <w:highlight w:val="none"/>
          <w:lang w:eastAsia="zh-CN"/>
        </w:rPr>
        <w:t>。排水工程主要构筑物的主体结构和地下干管，其结构设计工作年限不应低于 50 年，安全等级不应低于二级。</w:t>
      </w:r>
    </w:p>
    <w:p w14:paraId="61192A1A">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雨水主管、污水管道均采用聚乙烯缠绕结构壁管（B型），管材的技术性能应符合《埋地用聚乙烯（PE）结构壁管道系统 第2部分:聚乙烯缠绕结构壁管材》（GB/T 19472.2－2017）的规定。聚乙烯缠绕结构壁管（B型）管道环刚度采用1</w:t>
      </w:r>
      <w:r>
        <w:rPr>
          <w:rFonts w:hint="eastAsia" w:asciiTheme="minorEastAsia" w:hAnsiTheme="minorEastAsia" w:eastAsiaTheme="minorEastAsia" w:cstheme="minorEastAsia"/>
          <w:sz w:val="28"/>
          <w:szCs w:val="28"/>
          <w:highlight w:val="none"/>
          <w:lang w:val="en-US" w:eastAsia="zh-CN"/>
        </w:rPr>
        <w:t>2.5</w:t>
      </w:r>
      <w:r>
        <w:rPr>
          <w:rFonts w:hint="eastAsia" w:asciiTheme="minorEastAsia" w:hAnsiTheme="minorEastAsia" w:eastAsiaTheme="minorEastAsia" w:cstheme="minorEastAsia"/>
          <w:sz w:val="28"/>
          <w:szCs w:val="28"/>
          <w:highlight w:val="none"/>
        </w:rPr>
        <w:t>KN/m</w:t>
      </w:r>
      <w:r>
        <w:rPr>
          <w:rFonts w:hint="eastAsia" w:asciiTheme="minorEastAsia" w:hAnsiTheme="minorEastAsia" w:eastAsiaTheme="minorEastAsia" w:cstheme="minorEastAsia"/>
          <w:sz w:val="28"/>
          <w:szCs w:val="28"/>
          <w:highlight w:val="none"/>
          <w:vertAlign w:val="superscript"/>
        </w:rPr>
        <w:t>2</w:t>
      </w:r>
      <w:r>
        <w:rPr>
          <w:rFonts w:hint="eastAsia" w:asciiTheme="minorEastAsia" w:hAnsiTheme="minorEastAsia" w:eastAsiaTheme="minorEastAsia" w:cstheme="minorEastAsia"/>
          <w:sz w:val="28"/>
          <w:szCs w:val="28"/>
          <w:highlight w:val="none"/>
        </w:rPr>
        <w:t>。雨水口连接管采用二级钢筋混凝土承插管。</w:t>
      </w:r>
    </w:p>
    <w:p w14:paraId="6671F578">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聚乙烯缠绕结构壁管（B型）</w:t>
      </w:r>
      <w:r>
        <w:rPr>
          <w:rFonts w:hint="eastAsia" w:asciiTheme="minorEastAsia" w:hAnsiTheme="minorEastAsia" w:eastAsiaTheme="minorEastAsia" w:cstheme="minorEastAsia"/>
          <w:sz w:val="28"/>
          <w:szCs w:val="28"/>
          <w:highlight w:val="none"/>
          <w:lang w:val="en-US" w:eastAsia="zh-CN"/>
        </w:rPr>
        <w:t>采用橡胶圈承插接口，雨水口连接管</w:t>
      </w:r>
      <w:r>
        <w:rPr>
          <w:rFonts w:hint="eastAsia" w:asciiTheme="minorEastAsia" w:hAnsiTheme="minorEastAsia" w:eastAsiaTheme="minorEastAsia" w:cstheme="minorEastAsia"/>
          <w:sz w:val="28"/>
          <w:szCs w:val="28"/>
          <w:highlight w:val="none"/>
        </w:rPr>
        <w:t>采用橡胶圈承插口连接方式，插口顺水流方向，承口逆水流方向，由下游向上游依次安装。做法详见《埋地塑料排水管道工程技术规程》（CJJ 143-2010）。接口配件由管材供应商配套供应。</w:t>
      </w:r>
    </w:p>
    <w:p w14:paraId="4736F2A7">
      <w:pPr>
        <w:numPr>
          <w:ilvl w:val="0"/>
          <w:numId w:val="3"/>
        </w:numPr>
        <w:ind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管道基础及回填要求</w:t>
      </w:r>
    </w:p>
    <w:p w14:paraId="2BF1C025">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聚乙烯缠绕结构壁管（B型）采用180°中、粗砂基础，管底基础厚度</w:t>
      </w:r>
      <w:r>
        <w:rPr>
          <w:rFonts w:hint="eastAsia" w:asciiTheme="minorEastAsia" w:hAnsiTheme="minorEastAsia" w:eastAsiaTheme="minorEastAsia" w:cstheme="minorEastAsia"/>
          <w:sz w:val="28"/>
          <w:szCs w:val="28"/>
          <w:lang w:val="en-US" w:eastAsia="zh-CN"/>
        </w:rPr>
        <w:t>20</w:t>
      </w:r>
      <w:bookmarkStart w:id="1" w:name="_GoBack"/>
      <w:bookmarkEnd w:id="1"/>
      <w:r>
        <w:rPr>
          <w:rFonts w:hint="eastAsia" w:asciiTheme="minorEastAsia" w:hAnsiTheme="minorEastAsia" w:eastAsiaTheme="minorEastAsia" w:cstheme="minorEastAsia"/>
          <w:sz w:val="28"/>
          <w:szCs w:val="28"/>
        </w:rPr>
        <w:t>0mm，压实度≥90%。</w:t>
      </w:r>
    </w:p>
    <w:p w14:paraId="4E82207E">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雨水口连接管采用反开槽施工。雨水口连接管基础及沟槽回填做法按国标图集23S516第19页实施。</w:t>
      </w:r>
    </w:p>
    <w:p w14:paraId="1981C90E">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zh-CN"/>
        </w:rPr>
        <w:t>管道基础下部地基承载力特征值要求不小于100KPa，当地基土质较差时，采取换填碎石垫层等加固措施，使之达到设计要求的地基承载力后铺垫</w:t>
      </w:r>
      <w:r>
        <w:rPr>
          <w:rFonts w:hint="eastAsia" w:asciiTheme="minorEastAsia" w:hAnsiTheme="minorEastAsia" w:eastAsiaTheme="minorEastAsia" w:cstheme="minorEastAsia"/>
          <w:sz w:val="28"/>
          <w:szCs w:val="28"/>
        </w:rPr>
        <w:t>排水管道基础</w:t>
      </w:r>
      <w:r>
        <w:rPr>
          <w:rFonts w:hint="eastAsia" w:asciiTheme="minorEastAsia" w:hAnsiTheme="minorEastAsia" w:eastAsiaTheme="minorEastAsia" w:cstheme="minorEastAsia"/>
          <w:sz w:val="28"/>
          <w:szCs w:val="28"/>
          <w:lang w:val="zh-CN"/>
        </w:rPr>
        <w:t>。</w:t>
      </w:r>
      <w:r>
        <w:rPr>
          <w:rFonts w:hint="eastAsia" w:asciiTheme="minorEastAsia" w:hAnsiTheme="minorEastAsia" w:eastAsiaTheme="minorEastAsia" w:cstheme="minorEastAsia"/>
          <w:sz w:val="28"/>
          <w:szCs w:val="28"/>
        </w:rPr>
        <w:t>当管道顶与路面结构层底距离不满足0.5m回填厚度要求时，钢筋砼管道均采用C20混凝土包封，做法参照图集23S516第20页。</w:t>
      </w:r>
    </w:p>
    <w:p w14:paraId="3FD98E32">
      <w:pPr>
        <w:numPr>
          <w:ilvl w:val="0"/>
          <w:numId w:val="3"/>
        </w:numPr>
        <w:ind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管道与检查井连接</w:t>
      </w:r>
    </w:p>
    <w:p w14:paraId="1E155027">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管道与检查井连接均采用柔性连接，</w:t>
      </w:r>
      <w:r>
        <w:rPr>
          <w:rFonts w:hint="eastAsia" w:asciiTheme="minorEastAsia" w:hAnsiTheme="minorEastAsia" w:eastAsiaTheme="minorEastAsia" w:cstheme="minorEastAsia"/>
          <w:sz w:val="28"/>
          <w:szCs w:val="28"/>
          <w:lang w:val="zh-CN"/>
        </w:rPr>
        <w:t>聚乙烯缠绕结构壁管（B型）与钢筋混凝土检查井连接做法参见图集《埋地塑料排水管道施工》（04S520）59-60页，管道与检查井连接（五）。</w:t>
      </w:r>
    </w:p>
    <w:p w14:paraId="616B35F4">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排水构筑物</w:t>
      </w:r>
    </w:p>
    <w:p w14:paraId="16907095">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（1）检查井</w:t>
      </w:r>
    </w:p>
    <w:p w14:paraId="5144B1CE">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采用钢筋混凝土排水检查井，详见《钢筋混凝土及砖砌排水检查井》（20S515）。位于车行道下的检查井基础及井座须进行加强设计，检查井加固做法按照图集湘2015SZ101-2第115页施做。</w:t>
      </w:r>
    </w:p>
    <w:p w14:paraId="2E8E0D8E">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检查井基础应坐落在土质良好的原状土层上，地基承载力特征值不得小于100kPa，不能满足要求时须做地基处理。</w:t>
      </w:r>
    </w:p>
    <w:p w14:paraId="6FF28A1D">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（2）检查井盖</w:t>
      </w:r>
    </w:p>
    <w:p w14:paraId="09ABA0AC">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检查井井盖做法及要求详见《检查井盖》GB/T23858-2009。位于机动车道/非机动车道/停车坪的检查井采用重型球墨铸铁材料</w:t>
      </w:r>
      <w:r>
        <w:rPr>
          <w:rFonts w:hint="eastAsia" w:asciiTheme="minorEastAsia" w:hAnsiTheme="minorEastAsia" w:eastAsiaTheme="minorEastAsia" w:cstheme="minorEastAsia"/>
          <w:sz w:val="28"/>
          <w:szCs w:val="28"/>
          <w:lang w:val="en-US" w:eastAsia="zh-CN"/>
        </w:rPr>
        <w:t>五防</w:t>
      </w:r>
      <w:r>
        <w:rPr>
          <w:rFonts w:hint="eastAsia" w:asciiTheme="minorEastAsia" w:hAnsiTheme="minorEastAsia" w:eastAsiaTheme="minorEastAsia" w:cstheme="minorEastAsia"/>
          <w:sz w:val="28"/>
          <w:szCs w:val="28"/>
        </w:rPr>
        <w:t>井盖，</w:t>
      </w:r>
      <w:r>
        <w:rPr>
          <w:rFonts w:hint="eastAsia" w:asciiTheme="minorEastAsia" w:hAnsiTheme="minorEastAsia" w:eastAsiaTheme="minorEastAsia" w:cstheme="minorEastAsia"/>
          <w:sz w:val="28"/>
          <w:szCs w:val="28"/>
          <w:lang w:val="en-US" w:eastAsia="zh-CN"/>
        </w:rPr>
        <w:t>检查井井盖及井座</w:t>
      </w:r>
      <w:r>
        <w:rPr>
          <w:rFonts w:hint="eastAsia" w:asciiTheme="minorEastAsia" w:hAnsiTheme="minorEastAsia" w:eastAsiaTheme="minorEastAsia" w:cstheme="minorEastAsia"/>
          <w:sz w:val="28"/>
          <w:szCs w:val="28"/>
        </w:rPr>
        <w:t>承载力等级不低于D400，具备防盗、防坠落、防滑、防位移、防噪声等多功能；其余位置（人行道）检查井采用轻型球墨铸铁</w:t>
      </w:r>
      <w:r>
        <w:rPr>
          <w:rFonts w:hint="eastAsia" w:asciiTheme="minorEastAsia" w:hAnsiTheme="minorEastAsia" w:eastAsiaTheme="minorEastAsia" w:cstheme="minorEastAsia"/>
          <w:sz w:val="28"/>
          <w:szCs w:val="28"/>
          <w:lang w:val="en-US" w:eastAsia="zh-CN"/>
        </w:rPr>
        <w:t>五防</w:t>
      </w:r>
      <w:r>
        <w:rPr>
          <w:rFonts w:hint="eastAsia" w:asciiTheme="minorEastAsia" w:hAnsiTheme="minorEastAsia" w:eastAsiaTheme="minorEastAsia" w:cstheme="minorEastAsia"/>
          <w:sz w:val="28"/>
          <w:szCs w:val="28"/>
        </w:rPr>
        <w:t>井盖，</w:t>
      </w:r>
      <w:r>
        <w:rPr>
          <w:rFonts w:hint="eastAsia" w:asciiTheme="minorEastAsia" w:hAnsiTheme="minorEastAsia" w:eastAsiaTheme="minorEastAsia" w:cstheme="minorEastAsia"/>
          <w:sz w:val="28"/>
          <w:szCs w:val="28"/>
          <w:lang w:val="en-US" w:eastAsia="zh-CN"/>
        </w:rPr>
        <w:t>检查井井盖及井座</w:t>
      </w:r>
      <w:r>
        <w:rPr>
          <w:rFonts w:hint="eastAsia" w:asciiTheme="minorEastAsia" w:hAnsiTheme="minorEastAsia" w:eastAsiaTheme="minorEastAsia" w:cstheme="minorEastAsia"/>
          <w:sz w:val="28"/>
          <w:szCs w:val="28"/>
        </w:rPr>
        <w:t>承载力等级应不低于C250，具备防盗、防坠落、防滑、防位移、防噪声等多功能。产品质量应符合《检查井盖》（GB/T 23858-2009)、《铸铁检查井盖》（CJ/T511-2017）相关要求。井盖均需要设置通风孔，以利于扩散井内气体；位于机动车道检查井井盖开启方向与行车方向相反。雨水系统的井盖上必须注明“雨水”、污水系统的井盖上必须注明“污水”字样，严禁混用井盖。</w:t>
      </w:r>
    </w:p>
    <w:p w14:paraId="14766340">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机动车道、人行道下检查井盖高程应与路面高程一致，砌筑检查井时，井口可暂不做灰，待道路施工时，将井口与四周路面接顺。</w:t>
      </w:r>
    </w:p>
    <w:p w14:paraId="02319CC5">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井内均增设防坠网，防坠网承重≥200kg，具有较大的过水能力，可依据建设单位及管养部门要求选用。检查井踏步采用球墨铸铁材质（QT500-7），尺寸及安装分别详见</w:t>
      </w:r>
      <w:r>
        <w:rPr>
          <w:rFonts w:hint="eastAsia" w:asciiTheme="minorEastAsia" w:hAnsiTheme="minorEastAsia" w:eastAsiaTheme="minorEastAsia" w:cstheme="minorEastAsia"/>
          <w:sz w:val="28"/>
          <w:szCs w:val="28"/>
          <w:lang w:val="en-US" w:eastAsia="zh-CN"/>
        </w:rPr>
        <w:t>20S515</w:t>
      </w:r>
      <w:r>
        <w:rPr>
          <w:rFonts w:hint="eastAsia" w:asciiTheme="minorEastAsia" w:hAnsiTheme="minorEastAsia" w:eastAsiaTheme="minorEastAsia" w:cstheme="minorEastAsia"/>
          <w:sz w:val="28"/>
          <w:szCs w:val="28"/>
        </w:rPr>
        <w:t>，第</w:t>
      </w:r>
      <w:r>
        <w:rPr>
          <w:rFonts w:hint="eastAsia" w:asciiTheme="minorEastAsia" w:hAnsiTheme="minorEastAsia" w:eastAsiaTheme="minorEastAsia" w:cstheme="minorEastAsia"/>
          <w:sz w:val="28"/>
          <w:szCs w:val="28"/>
          <w:lang w:val="en-US" w:eastAsia="zh-CN"/>
        </w:rPr>
        <w:t>334</w:t>
      </w:r>
      <w:r>
        <w:rPr>
          <w:rFonts w:hint="eastAsia" w:asciiTheme="minorEastAsia" w:hAnsiTheme="minorEastAsia" w:eastAsiaTheme="minorEastAsia" w:cstheme="minorEastAsia"/>
          <w:sz w:val="28"/>
          <w:szCs w:val="28"/>
        </w:rPr>
        <w:t>页。</w:t>
      </w:r>
    </w:p>
    <w:p w14:paraId="6C2FDB89">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（3）雨水口</w:t>
      </w:r>
    </w:p>
    <w:p w14:paraId="4B6D8972">
      <w:pPr>
        <w:ind w:firstLine="5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w:t>
      </w:r>
      <w:r>
        <w:rPr>
          <w:rFonts w:hint="eastAsia" w:asciiTheme="minorEastAsia" w:hAnsiTheme="minorEastAsia" w:eastAsiaTheme="minorEastAsia" w:cstheme="minorEastAsia"/>
          <w:sz w:val="28"/>
          <w:szCs w:val="28"/>
          <w:lang w:val="en-US" w:eastAsia="zh-CN"/>
        </w:rPr>
        <w:t>混凝土模块</w:t>
      </w:r>
      <w:r>
        <w:rPr>
          <w:rFonts w:hint="eastAsia" w:asciiTheme="minorEastAsia" w:hAnsiTheme="minorEastAsia" w:eastAsiaTheme="minorEastAsia" w:cstheme="minorEastAsia"/>
          <w:sz w:val="28"/>
          <w:szCs w:val="28"/>
        </w:rPr>
        <w:t>偏沟式双箅雨水口，雨水口连接管采用</w:t>
      </w:r>
      <w:r>
        <w:rPr>
          <w:rFonts w:hint="eastAsia" w:asciiTheme="minorEastAsia" w:hAnsiTheme="minorEastAsia" w:eastAsiaTheme="minorEastAsia" w:cstheme="minorEastAsia"/>
          <w:sz w:val="28"/>
          <w:szCs w:val="28"/>
          <w:highlight w:val="none"/>
        </w:rPr>
        <w:t>DN300</w:t>
      </w:r>
      <w:r>
        <w:rPr>
          <w:rFonts w:hint="eastAsia"/>
          <w:color w:val="000000"/>
          <w:highlight w:val="none"/>
          <w:lang w:val="en-US" w:eastAsia="zh-CN"/>
        </w:rPr>
        <w:t>二级钢筋混凝土承插管，</w:t>
      </w:r>
      <w:r>
        <w:rPr>
          <w:rFonts w:hint="eastAsia" w:asciiTheme="minorEastAsia" w:hAnsiTheme="minorEastAsia" w:eastAsiaTheme="minorEastAsia" w:cstheme="minorEastAsia"/>
          <w:sz w:val="28"/>
          <w:szCs w:val="28"/>
          <w:highlight w:val="none"/>
          <w:lang w:val="en-US" w:eastAsia="zh-CN"/>
        </w:rPr>
        <w:t>承插连接</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C20素混凝土回填，</w:t>
      </w:r>
      <w:r>
        <w:rPr>
          <w:rFonts w:hint="eastAsia" w:asciiTheme="minorEastAsia" w:hAnsiTheme="minorEastAsia" w:eastAsiaTheme="minorEastAsia" w:cstheme="minorEastAsia"/>
          <w:sz w:val="28"/>
          <w:szCs w:val="28"/>
          <w:highlight w:val="none"/>
        </w:rPr>
        <w:t>雨水口连接管基础及沟槽回填做法按国标图集23S516第19页实施。</w:t>
      </w:r>
      <w:r>
        <w:rPr>
          <w:rFonts w:hint="eastAsia" w:asciiTheme="minorEastAsia" w:hAnsiTheme="minorEastAsia" w:eastAsiaTheme="minorEastAsia" w:cstheme="minorEastAsia"/>
          <w:sz w:val="28"/>
          <w:szCs w:val="28"/>
          <w:highlight w:val="none"/>
          <w:lang w:val="en-US" w:eastAsia="zh-CN"/>
        </w:rPr>
        <w:t>雨水口连接管</w:t>
      </w:r>
      <w:r>
        <w:rPr>
          <w:rFonts w:hint="eastAsia" w:asciiTheme="minorEastAsia" w:hAnsiTheme="minorEastAsia" w:eastAsiaTheme="minorEastAsia" w:cstheme="minorEastAsia"/>
          <w:sz w:val="28"/>
          <w:szCs w:val="28"/>
        </w:rPr>
        <w:t>收水支管坡度为1%，坡向检查井。可根据实际情况，适当调整本次设计雨水口至相对位置低点，以保证收水效果。</w:t>
      </w:r>
      <w:r>
        <w:rPr>
          <w:rFonts w:hint="eastAsia" w:asciiTheme="minorEastAsia" w:hAnsiTheme="minorEastAsia" w:eastAsiaTheme="minorEastAsia" w:cstheme="minorEastAsia"/>
          <w:sz w:val="28"/>
          <w:szCs w:val="28"/>
          <w:highlight w:val="none"/>
        </w:rPr>
        <w:t>雨水口做法详见</w:t>
      </w:r>
      <w:r>
        <w:rPr>
          <w:rFonts w:hint="eastAsia" w:asciiTheme="minorEastAsia" w:hAnsiTheme="minorEastAsia" w:eastAsiaTheme="minorEastAsia" w:cstheme="minorEastAsia"/>
          <w:sz w:val="28"/>
          <w:szCs w:val="28"/>
          <w:highlight w:val="none"/>
          <w:lang w:val="en-US" w:eastAsia="zh-CN"/>
        </w:rPr>
        <w:t>16S518，第3</w:t>
      </w:r>
      <w:r>
        <w:rPr>
          <w:rFonts w:hint="eastAsia" w:asciiTheme="minorEastAsia" w:hAnsiTheme="minorEastAsia" w:eastAsiaTheme="minorEastAsia" w:cstheme="minorEastAsia"/>
          <w:sz w:val="28"/>
          <w:szCs w:val="28"/>
          <w:lang w:val="en-US" w:eastAsia="zh-CN"/>
        </w:rPr>
        <w:t>5页，</w:t>
      </w:r>
      <w:r>
        <w:rPr>
          <w:rFonts w:hint="eastAsia" w:asciiTheme="minorEastAsia" w:hAnsiTheme="minorEastAsia" w:eastAsiaTheme="minorEastAsia" w:cstheme="minorEastAsia"/>
          <w:sz w:val="28"/>
          <w:szCs w:val="28"/>
        </w:rPr>
        <w:t>雨水箅子及底座采用防沉降球墨铸铁材质，承载力D400。缘石坡道上下坡处不应设置雨水箅子。无障碍通道上有井盖、箅子时，井盖、箅子孔洞的宽度或直径不应大于13mm，条状孔洞应垂直于通行方向。</w:t>
      </w:r>
    </w:p>
    <w:p w14:paraId="0E76EC23">
      <w:pPr>
        <w:pStyle w:val="11"/>
        <w:numPr>
          <w:ilvl w:val="1"/>
          <w:numId w:val="2"/>
        </w:numPr>
        <w:ind w:left="567" w:leftChars="0" w:hanging="567" w:firstLineChars="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管道开槽</w:t>
      </w:r>
    </w:p>
    <w:p w14:paraId="48608D54">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本工程3米以下基坑支护结构安全等级为三级，3米以上基坑支护结构安全等级为二级，设计使用期限为一年。管道施工前应整平场地并进行管线迁改后再进行基槽开挖，若有开挖范围内存在不可改移管线及建构筑物，施工期间要对其进行保护。</w:t>
      </w:r>
    </w:p>
    <w:p w14:paraId="43A2732E">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施工单位可依据地质报告及本工程设计管线位置、土质及现场地形条件，按《给水排水管道工程施工及验收规范》（GB 50268-2008）确定管道开槽方式。</w:t>
      </w:r>
    </w:p>
    <w:p w14:paraId="782F92FE">
      <w:pPr>
        <w:numPr>
          <w:ilvl w:val="0"/>
          <w:numId w:val="4"/>
        </w:numPr>
        <w:ind w:firstLine="56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rPr>
        <w:t>本工程</w:t>
      </w:r>
      <w:r>
        <w:rPr>
          <w:rFonts w:hint="eastAsia" w:asciiTheme="minorEastAsia" w:hAnsiTheme="minorEastAsia" w:eastAsiaTheme="minorEastAsia" w:cstheme="minorEastAsia"/>
          <w:sz w:val="28"/>
          <w:szCs w:val="28"/>
          <w:highlight w:val="none"/>
          <w:lang w:val="en-US" w:eastAsia="zh-CN"/>
        </w:rPr>
        <w:t>排水主管与管廊共沟开挖，具体做法见结构设计说明及图纸。</w:t>
      </w:r>
    </w:p>
    <w:p w14:paraId="5BE80B06">
      <w:pPr>
        <w:numPr>
          <w:ilvl w:val="0"/>
          <w:numId w:val="4"/>
        </w:num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本工程支管</w:t>
      </w:r>
      <w:r>
        <w:rPr>
          <w:rFonts w:hint="eastAsia" w:asciiTheme="minorEastAsia" w:hAnsiTheme="minorEastAsia" w:eastAsiaTheme="minorEastAsia" w:cstheme="minorEastAsia"/>
          <w:sz w:val="28"/>
          <w:szCs w:val="28"/>
          <w:highlight w:val="none"/>
        </w:rPr>
        <w:t>埋深基本较浅，对于管道挖深小于2m的，采用单级放坡开挖的施工开挖方式，边坡坡率不大于1:1；挖深2~3m的，采用4m长槽28a槽钢支护开挖，距离桩顶0.5m处设置一道HW400×400钢支撑，间距6m。</w:t>
      </w:r>
    </w:p>
    <w:p w14:paraId="4F4F8150">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本项目超过3m的深基坑支护方式设计如下：</w:t>
      </w:r>
    </w:p>
    <w:p w14:paraId="0B55036B">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基坑深度在3～5m时，采用PU400x125钢板桩支护，桩长采用9m，距离桩顶0.5m处设置一道HW400×400钢支撑，间距6m，施工期间加强对基坑监测，一旦发现变形过大应及时调整施工方案；</w:t>
      </w:r>
    </w:p>
    <w:p w14:paraId="4906ED26">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基坑开挖深度为自然地面标高至管道沟槽底标高之差。如遇现场土层与勘察报告不符或施工范围超越施工红线等情况，及时联系设计人员。</w:t>
      </w:r>
    </w:p>
    <w:p w14:paraId="62FCF09B">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施工开槽时，槽底禁止扰动，尽量保持原状土，使用机械挖土时，为了防止机械超挖而扰动原状土，在设计槽底高程以上应留30cm以上土层采用人工清底，勿用机械开挖，不允许超挖。沟槽弃土应随出随清理，均匀堆放在距沟槽上口边线10米以外，堆土高度一般不宜超过1.5米，尽快清运，以免堆土翻落沟槽中造成人员伤亡。沟槽开挖过程中及成槽后，槽顶应避免出现震动荷载，成槽后应尽快完成铺设基础和管道等工作，避免长时间晾槽。</w:t>
      </w:r>
    </w:p>
    <w:p w14:paraId="2AC3369A">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rPr>
        <w:t>）基坑开挖前应编制施工期间人员安全应急预案，以防止基坑边坡垮塌造成人员伤亡。</w:t>
      </w:r>
    </w:p>
    <w:p w14:paraId="0435200A">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）基坑开挖期间应严格控制周边荷载。</w:t>
      </w:r>
    </w:p>
    <w:p w14:paraId="64A93F69">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）钢板桩应在基坑回填完成且碾压夯实后，分次、分段、间隔拔出，拔出后及时回填桩孔。</w:t>
      </w:r>
    </w:p>
    <w:p w14:paraId="206E60CA">
      <w:pPr>
        <w:pStyle w:val="11"/>
        <w:numPr>
          <w:ilvl w:val="1"/>
          <w:numId w:val="2"/>
        </w:numPr>
        <w:ind w:left="567" w:leftChars="0" w:hanging="567" w:firstLineChars="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地基处理</w:t>
      </w:r>
    </w:p>
    <w:p w14:paraId="46AC2FBD">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开挖后进行承载力检测，若承载力特征值大于等于100kPa可不进行处理，小于100kPa时基槽进行地基处理。</w:t>
      </w:r>
    </w:p>
    <w:p w14:paraId="70370A5F">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地基处理方法：排水管基础槽底采用碎石进行换填，厚度根据现场承载力试验确定，但不应小于600mm。</w:t>
      </w:r>
    </w:p>
    <w:p w14:paraId="330CD325">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为减小地基不均匀沉降对管道影响，增加管道的纵向刚度，开槽埋管的管道采用200mm厚中粗砂基础。</w:t>
      </w:r>
    </w:p>
    <w:p w14:paraId="375CC83F">
      <w:pPr>
        <w:ind w:firstLine="56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需基础处理时，建议先在局部小范围内开展基础处理试验段，确保该处理方式试验达标后再对较大范围的沟槽进行基础处理。</w:t>
      </w:r>
    </w:p>
    <w:p w14:paraId="5B472B67">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沟槽回填</w:t>
      </w:r>
    </w:p>
    <w:p w14:paraId="0EB0111B">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（1）管道管底基础至管顶以上50cm范围内采用中粗砂回填，管顶50cm以外范围按照道路工程要求回填，沟槽回填材料和密实度等要求按《给水排水管道工程施工及验收规范》（GB50268-2008）执行。</w:t>
      </w:r>
    </w:p>
    <w:p w14:paraId="38B0D66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（2）检查井周回填：检查井四周回填土夯实度不得小于同一位置的道路压实度，井周</w:t>
      </w: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m范围内无法压实部位可按图集检查井井圈加强大样图回填。</w:t>
      </w:r>
    </w:p>
    <w:p w14:paraId="5FE25275">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（3）管道回填部位及压实度要求详见沟槽回填大样图。</w:t>
      </w:r>
    </w:p>
    <w:p w14:paraId="6AE27F0C">
      <w:pPr>
        <w:pStyle w:val="11"/>
        <w:numPr>
          <w:ilvl w:val="1"/>
          <w:numId w:val="2"/>
        </w:numPr>
        <w:ind w:left="567" w:leftChars="0" w:hanging="567"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抗震</w:t>
      </w:r>
    </w:p>
    <w:p w14:paraId="66CAE2BC">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工程所在场地抗震设防烈度为7度，雨水管根据《混凝土排水管道基础及接口》23S516进行设计，混凝土管接口采用柔性接口，要求混凝土管道接口允许轴向拉、压变位不小于10mm。部分管道基础为混凝土基础时，每隔10m在管道接口同位置处对混凝土基础进行割缝分离处理。本工程管道结构均能满足《室外给水排水和燃气热力工程抗震设计规范》（GB50032-2003）及《建筑与市政工程抗震通用规范》GB55002-2021等关于管道抗震设计的相关要求。</w:t>
      </w:r>
    </w:p>
    <w:p w14:paraId="3EC07FFE">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同时，凡是本工程所设计或引用图集内容，均应满足如下要求：</w:t>
      </w:r>
    </w:p>
    <w:p w14:paraId="2EF14FFF">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（1）地下或半地下砌体结构，砖砌体强度等级不应低于MU15，块石砌体强度等级不应低于MU20，混凝土普通砖强度等级为MU20，砌筑砂浆应采用水泥砂浆，强度等级为M10。</w:t>
      </w:r>
    </w:p>
    <w:p w14:paraId="24BC35C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（2）地下管道的混凝土强度等级不应低于C25；构造柱、芯柱、圈梁及其他各类构建的混凝土强度等级不应低于C25。钢筋型号HPB235调整为HPB300，HRB335调整为HRB400。</w:t>
      </w:r>
    </w:p>
    <w:p w14:paraId="73FEC564">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（3）有压管道管材应具有较好的延性或沿线设置柔性连接措施。</w:t>
      </w:r>
    </w:p>
    <w:p w14:paraId="33940DF6">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（4）管道与构筑物或固定设备连接时，应采用柔性连接构造。</w:t>
      </w:r>
    </w:p>
    <w:p w14:paraId="65DA1706">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（5）管道穿过建（构）筑物的墙体或基础时，应符合下列要求：</w:t>
      </w:r>
    </w:p>
    <w:p w14:paraId="4BB917A0">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a.在穿管的墙体或基础上应设置套管，穿管与套管间的间隙应用柔性防腐、防水材料密封；</w:t>
      </w:r>
    </w:p>
    <w:p w14:paraId="358E0B1A">
      <w:pPr>
        <w:ind w:firstLine="56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b.当穿越的管道与墙体或基础为嵌固时，应在穿越的管道上就近设置柔性连接。</w:t>
      </w:r>
    </w:p>
    <w:p w14:paraId="7C27DD57">
      <w:pPr>
        <w:pStyle w:val="11"/>
        <w:numPr>
          <w:ilvl w:val="1"/>
          <w:numId w:val="2"/>
        </w:numPr>
        <w:ind w:left="567" w:leftChars="0" w:hanging="567" w:firstLineChars="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注意事项</w:t>
      </w:r>
    </w:p>
    <w:p w14:paraId="699844F1">
      <w:pPr>
        <w:pageBreakBefore w:val="0"/>
        <w:numPr>
          <w:ilvl w:val="0"/>
          <w:numId w:val="5"/>
        </w:numPr>
        <w:kinsoku/>
        <w:wordWrap/>
        <w:overflowPunct/>
        <w:topLinePunct w:val="0"/>
        <w:autoSpaceDE/>
        <w:autoSpaceDN/>
        <w:bidi w:val="0"/>
        <w:spacing w:line="360" w:lineRule="auto"/>
        <w:ind w:firstLine="560" w:firstLineChars="200"/>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管线实施过程中应注意施工时序，建议在完成新管道敷设后再将现状管道接入新建管道，主管及管廊完成后再实施与管廊相交的支管，如有困难，应采取相应的合适的临时处理措施，确保管线功能不中断。</w:t>
      </w:r>
    </w:p>
    <w:p w14:paraId="573A19AD">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单位进场后，应逐一查明工程场区周边状况，重视施工过程对周边环境可能造成的人员、物体破坏的安全影响，对跨越重要建（构）筑物设施、线路（如航道、铁路）等施工方案需报主管部门审批后方可实施。</w:t>
      </w:r>
    </w:p>
    <w:p w14:paraId="6AF7DE88">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单位应根据施工安全、技术标准(规范)，并结合工程场地地方性安全生产施工经验与相关规定、施工作业内容、设计文件要求等，提出本工程的安全风险源，制定有针对性的施工安全专项方案及作业指导书，在组织架构、施工方案、工艺流程、监管机制、应急预案等方面，提出相应措施及管理细则，交监理及有关安监部门审批备案，经批准后方可施工，并在实施中切实遵照执行。</w:t>
      </w:r>
    </w:p>
    <w:p w14:paraId="4220FBB2">
      <w:pPr>
        <w:pageBreakBefore w:val="0"/>
        <w:numPr>
          <w:ilvl w:val="0"/>
          <w:numId w:val="5"/>
        </w:numPr>
        <w:kinsoku/>
        <w:wordWrap/>
        <w:overflowPunct/>
        <w:topLinePunct w:val="0"/>
        <w:autoSpaceDE/>
        <w:autoSpaceDN/>
        <w:bidi w:val="0"/>
        <w:spacing w:line="360" w:lineRule="auto"/>
        <w:ind w:firstLine="562" w:firstLineChars="200"/>
        <w:rPr>
          <w:rFonts w:hint="eastAsia" w:ascii="宋体" w:hAnsi="宋体" w:eastAsia="宋体" w:cs="宋体"/>
          <w:b/>
          <w:color w:val="auto"/>
          <w:sz w:val="28"/>
          <w:szCs w:val="28"/>
          <w:highlight w:val="none"/>
        </w:rPr>
      </w:pPr>
      <w:r>
        <w:rPr>
          <w:rFonts w:hint="eastAsia" w:ascii="宋体" w:hAnsi="宋体" w:eastAsia="宋体" w:cs="宋体"/>
          <w:b/>
          <w:bCs/>
          <w:color w:val="auto"/>
          <w:kern w:val="0"/>
          <w:sz w:val="28"/>
          <w:szCs w:val="28"/>
          <w:highlight w:val="none"/>
        </w:rPr>
        <w:t>施工前应采用先探后挖方式探明施工场地范围内管线埋深和走向，防止施工时破坏管线，</w:t>
      </w:r>
      <w:r>
        <w:rPr>
          <w:rFonts w:hint="eastAsia" w:ascii="宋体" w:hAnsi="宋体" w:eastAsia="宋体" w:cs="宋体"/>
          <w:b/>
          <w:color w:val="auto"/>
          <w:sz w:val="28"/>
          <w:szCs w:val="28"/>
          <w:highlight w:val="none"/>
        </w:rPr>
        <w:t>如遇高压电塔、高压走廊、地下电缆、光纤缆线、供水管、雨污水管（涵）、燃气管等，应及时与甲方联系，协同产权单位共同商定处理的方法。临时可采用撑、包、吊、顶等措施加以保护，</w:t>
      </w:r>
      <w:r>
        <w:rPr>
          <w:rFonts w:hint="eastAsia" w:ascii="宋体" w:hAnsi="宋体" w:eastAsia="宋体" w:cs="宋体"/>
          <w:b/>
          <w:bCs/>
          <w:color w:val="auto"/>
          <w:kern w:val="0"/>
          <w:sz w:val="28"/>
          <w:szCs w:val="28"/>
          <w:highlight w:val="none"/>
        </w:rPr>
        <w:t>严禁野蛮、暴力施工</w:t>
      </w:r>
      <w:r>
        <w:rPr>
          <w:rFonts w:hint="eastAsia" w:ascii="宋体" w:hAnsi="宋体" w:eastAsia="宋体" w:cs="宋体"/>
          <w:b/>
          <w:color w:val="auto"/>
          <w:sz w:val="28"/>
          <w:szCs w:val="28"/>
          <w:highlight w:val="none"/>
        </w:rPr>
        <w:t>。若遇未知隐藏物或文物，应及时通知有关单位加以处理。</w:t>
      </w:r>
    </w:p>
    <w:p w14:paraId="0664B1E9">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凡对地下土层进行开槽、钻孔、地基处理等工序前，需对管道深度范围进行人工探挖，确认无地下管线和地下建（构）筑物后方可施工。</w:t>
      </w:r>
    </w:p>
    <w:p w14:paraId="6009EDBE">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非控制井位检查井位置可根据实际情况，在上下游各2米范围内进行适当调整，管道坡度接顺。</w:t>
      </w:r>
    </w:p>
    <w:p w14:paraId="77F27167">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雨水口位置应根据路面坡度以及道路开口情况适当调整，确保雨水口设置在道路最低点。</w:t>
      </w:r>
    </w:p>
    <w:p w14:paraId="2AF58563">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管道与检查井及收水井的连接处灌浆要饱满，防止渗漏。</w:t>
      </w:r>
    </w:p>
    <w:p w14:paraId="280B024E">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施工前应按建设方统一安排进行工程施工操作，并做好自身的施工组织设计，方可开槽施工。</w:t>
      </w:r>
    </w:p>
    <w:p w14:paraId="49642DEC">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施工前要排除各类明水，要在排除明水三天以后，方可开槽施工。施工前要做好应急预案。</w:t>
      </w:r>
    </w:p>
    <w:p w14:paraId="23428A6E">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井内作业、管道内作业、通风不良的场地作业，必须在进人之前检查井内是否存在有毒、有害气体，必须确保通风充分、作业环境安全的条件下，施工人员才能进入场地施工。</w:t>
      </w:r>
    </w:p>
    <w:p w14:paraId="4AC573AE">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管道装卸及堆放时，必须设置防止管道滚动的定位块；在管槽内下管时，所用索具要牢固，管槽内不得有人。</w:t>
      </w:r>
    </w:p>
    <w:p w14:paraId="13F3AC43">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雨季施工时，应尽可能缩短开槽长度，且快成槽、快回填，并采取防止泡槽措施。此外，还应采取措施，防止管材上浮。厂家应派专人现场指导安装，并严禁野蛮施工。若管道安装完毕，发生管材上浮，应进行管内底高程的复测和外观检测，如发现位移、漂浮、拔口等现象，应及时返工处理。</w:t>
      </w:r>
    </w:p>
    <w:p w14:paraId="062435D9">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冬季施工时不允许在冻结土壤上砌筑基础。冬季沟槽回填，其冻土体积不得超过回填土料体积的15%，且土块的直径不得大于10cm。</w:t>
      </w:r>
    </w:p>
    <w:p w14:paraId="36327F74">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部分现未发现的地下构筑物的拆迁工程量在施工时核定计算。</w:t>
      </w:r>
    </w:p>
    <w:p w14:paraId="4A5052C4">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施工应严格照相关规范和验收标准进行，遇到特殊情况请及时与设计单位联系解决。</w:t>
      </w:r>
    </w:p>
    <w:p w14:paraId="068409F0">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工程所用管材、管件及所有材料进场必须有供货方提供的产品合格证和检验(测试)证明。</w:t>
      </w:r>
    </w:p>
    <w:p w14:paraId="4E9FB578">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雨、污水管道交叉时，应使管道的接口避开相交处。</w:t>
      </w:r>
    </w:p>
    <w:p w14:paraId="255C5288">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施工前做好安全培训，提高安全意识，严防浅坑亡人的事故发生。</w:t>
      </w:r>
    </w:p>
    <w:p w14:paraId="61D6F73B">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施工前应复核预埋支管及检查井与现状建构筑物、基坑等距离是否满足安全距离要求，如不满足，联系设计单位解决。</w:t>
      </w:r>
    </w:p>
    <w:p w14:paraId="04D237FF">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给水管道竣工验收前应进行水压试验。生活饮用水管道运行前应冲洗、消毒，经检验水质合格后，方可并网通水投入运行。</w:t>
      </w:r>
      <w:r>
        <w:rPr>
          <w:rFonts w:hint="eastAsia" w:ascii="宋体" w:hAnsi="宋体" w:cs="宋体"/>
          <w:color w:val="auto"/>
          <w:sz w:val="28"/>
          <w:szCs w:val="28"/>
          <w:highlight w:val="none"/>
          <w:lang w:val="en-US" w:eastAsia="zh-CN"/>
        </w:rPr>
        <w:t>做法参照</w:t>
      </w:r>
      <w:r>
        <w:rPr>
          <w:rFonts w:hint="eastAsia" w:ascii="宋体" w:hAnsi="宋体" w:eastAsia="宋体" w:cs="宋体"/>
          <w:color w:val="auto"/>
          <w:sz w:val="28"/>
          <w:szCs w:val="28"/>
          <w:highlight w:val="none"/>
        </w:rPr>
        <w:t>《给水排水构筑物工程施工及验收规范》（GB 50141-2008）</w:t>
      </w:r>
      <w:r>
        <w:rPr>
          <w:rFonts w:hint="eastAsia" w:ascii="宋体" w:hAnsi="宋体" w:cs="宋体"/>
          <w:color w:val="auto"/>
          <w:sz w:val="28"/>
          <w:szCs w:val="28"/>
          <w:highlight w:val="none"/>
          <w:lang w:val="en-US" w:eastAsia="zh-CN"/>
        </w:rPr>
        <w:t>9.2、9.5节。</w:t>
      </w:r>
    </w:p>
    <w:p w14:paraId="39BC2B9D">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污水管道及其附属构筑物应经严密性试验合格后方可投入运行。</w:t>
      </w:r>
      <w:r>
        <w:rPr>
          <w:rFonts w:hint="eastAsia" w:ascii="宋体" w:hAnsi="宋体" w:cs="宋体"/>
          <w:color w:val="auto"/>
          <w:sz w:val="28"/>
          <w:szCs w:val="28"/>
          <w:highlight w:val="none"/>
          <w:lang w:val="en-US" w:eastAsia="zh-CN"/>
        </w:rPr>
        <w:t>做法参照</w:t>
      </w:r>
      <w:r>
        <w:rPr>
          <w:rFonts w:hint="eastAsia" w:ascii="宋体" w:hAnsi="宋体" w:eastAsia="宋体" w:cs="宋体"/>
          <w:color w:val="auto"/>
          <w:sz w:val="28"/>
          <w:szCs w:val="28"/>
          <w:highlight w:val="none"/>
        </w:rPr>
        <w:t>《给水排水构筑物工程施工及验收规范》（GB 50141-2008）</w:t>
      </w:r>
      <w:r>
        <w:rPr>
          <w:rFonts w:hint="eastAsia" w:ascii="宋体" w:hAnsi="宋体" w:cs="宋体"/>
          <w:color w:val="auto"/>
          <w:sz w:val="28"/>
          <w:szCs w:val="28"/>
          <w:highlight w:val="none"/>
          <w:lang w:val="en-US" w:eastAsia="zh-CN"/>
        </w:rPr>
        <w:t>9.3、9.4节。</w:t>
      </w:r>
    </w:p>
    <w:p w14:paraId="4958BDFA">
      <w:pPr>
        <w:pageBreakBefore w:val="0"/>
        <w:numPr>
          <w:ilvl w:val="0"/>
          <w:numId w:val="5"/>
        </w:numPr>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其它未尽事宜均按国家现行规范、规程及标准的有关规定执行。</w:t>
      </w:r>
    </w:p>
    <w:p w14:paraId="5DA2D90C">
      <w:pPr>
        <w:pStyle w:val="11"/>
        <w:numPr>
          <w:ilvl w:val="1"/>
          <w:numId w:val="2"/>
        </w:numPr>
        <w:ind w:left="567" w:leftChars="0" w:hanging="567" w:firstLineChars="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施工验收标准</w:t>
      </w:r>
    </w:p>
    <w:p w14:paraId="4B6D9A85">
      <w:pPr>
        <w:pageBreakBefore w:val="0"/>
        <w:kinsoku/>
        <w:wordWrap/>
        <w:overflowPunct/>
        <w:topLinePunct w:val="0"/>
        <w:autoSpaceDE/>
        <w:autoSpaceDN/>
        <w:bidi w:val="0"/>
        <w:spacing w:line="360" w:lineRule="auto"/>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施工验收标准按中华人民共和国国家标准《给水排水管道工程施工及验收规范》（GB 50268-2008）、《给水排水构筑物工程施工及验收规范》（GB 50141-2008）、《砌体结构工程施工质量验收规范》（GB 50203-2011）中的有关规定执行。遇到特殊情况请及时与设计单位联系解决。</w:t>
      </w:r>
    </w:p>
    <w:p w14:paraId="46CDAF24">
      <w:pPr>
        <w:pStyle w:val="11"/>
        <w:numPr>
          <w:ilvl w:val="1"/>
          <w:numId w:val="2"/>
        </w:numPr>
        <w:ind w:left="567" w:leftChars="0" w:hanging="567" w:firstLineChars="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特别说明</w:t>
      </w:r>
    </w:p>
    <w:p w14:paraId="5BC4D536">
      <w:pPr>
        <w:pageBreakBefore w:val="0"/>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本工程应做好施工组织，按照先深后浅、先主管后支管顺序进行施工，并做好临时供电、供气、供水等措施，若遇到管线交叉，按照压力避让重力、支管避让主管原则进行处理；当各管线主管道交叉且雨污水上方无法通过时，按照由上至下雨水、污水、通信、电力、热力、给水、中水原则进行处理。</w:t>
      </w:r>
    </w:p>
    <w:p w14:paraId="2934705B">
      <w:pPr>
        <w:pageBreakBefore w:val="0"/>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2、本工程</w:t>
      </w:r>
      <w:r>
        <w:rPr>
          <w:rFonts w:hint="eastAsia" w:ascii="宋体" w:hAnsi="宋体" w:cs="宋体"/>
          <w:color w:val="auto"/>
          <w:sz w:val="28"/>
          <w:szCs w:val="28"/>
          <w:highlight w:val="none"/>
          <w:lang w:val="en-US" w:eastAsia="zh-CN"/>
        </w:rPr>
        <w:t>雨污水管道上下游均为现状管线</w:t>
      </w:r>
      <w:r>
        <w:rPr>
          <w:rFonts w:hint="eastAsia" w:ascii="宋体" w:hAnsi="宋体" w:eastAsia="宋体" w:cs="宋体"/>
          <w:color w:val="auto"/>
          <w:sz w:val="28"/>
          <w:szCs w:val="28"/>
          <w:highlight w:val="none"/>
        </w:rPr>
        <w:t>，施工前均需进行高程复测，务必保证高程顺接，否则应立即联系设计单位。</w:t>
      </w:r>
    </w:p>
    <w:p w14:paraId="5BC71093">
      <w:pPr>
        <w:pageBreakBefore w:val="0"/>
        <w:kinsoku/>
        <w:wordWrap/>
        <w:overflowPunct/>
        <w:topLinePunct w:val="0"/>
        <w:autoSpaceDE/>
        <w:autoSpaceDN/>
        <w:bidi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3、建议施工前，提前与给水、电力、通讯、燃气、热力等产权单位结合，现场指认各个管线位置，必要时提前做好迁改设计。</w:t>
      </w:r>
    </w:p>
    <w:p w14:paraId="71C2A457">
      <w:pPr>
        <w:rPr>
          <w:rFonts w:asciiTheme="minorEastAsia" w:hAnsiTheme="minorEastAsia" w:eastAsiaTheme="minorEastAsia" w:cstheme="minorEastAsia"/>
          <w:sz w:val="28"/>
          <w:szCs w:val="28"/>
        </w:rPr>
      </w:pPr>
    </w:p>
    <w:sectPr>
      <w:type w:val="continuous"/>
      <w:pgSz w:w="23814" w:h="16840" w:orient="landscape"/>
      <w:pgMar w:top="1418" w:right="1134" w:bottom="2268" w:left="1985" w:header="851" w:footer="567" w:gutter="0"/>
      <w:pgNumType w:fmt="decimal"/>
      <w:cols w:equalWidth="0" w:num="2">
        <w:col w:w="10135" w:space="425"/>
        <w:col w:w="10135"/>
      </w:cols>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13DCF">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37D75">
    <w:pPr>
      <w:pStyle w:val="10"/>
      <w:ind w:firstLine="360"/>
    </w:pPr>
    <w:r>
      <w:rPr>
        <w:sz w:val="18"/>
      </w:rPr>
      <mc:AlternateContent>
        <mc:Choice Requires="wps">
          <w:drawing>
            <wp:anchor distT="0" distB="0" distL="114300" distR="114300" simplePos="0" relativeHeight="251661312" behindDoc="0" locked="0" layoutInCell="1" allowOverlap="1">
              <wp:simplePos x="0" y="0"/>
              <wp:positionH relativeFrom="column">
                <wp:posOffset>12672695</wp:posOffset>
              </wp:positionH>
              <wp:positionV relativeFrom="paragraph">
                <wp:posOffset>-224790</wp:posOffset>
              </wp:positionV>
              <wp:extent cx="581025" cy="269240"/>
              <wp:effectExtent l="0" t="0" r="0" b="0"/>
              <wp:wrapNone/>
              <wp:docPr id="4" name="文本框 4"/>
              <wp:cNvGraphicFramePr/>
              <a:graphic xmlns:a="http://schemas.openxmlformats.org/drawingml/2006/main">
                <a:graphicData uri="http://schemas.microsoft.com/office/word/2010/wordprocessingShape">
                  <wps:wsp>
                    <wps:cNvSpPr txBox="1"/>
                    <wps:spPr>
                      <a:xfrm>
                        <a:off x="14157960" y="356870"/>
                        <a:ext cx="581025" cy="2692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D665C">
                          <w:pPr>
                            <w:keepNext w:val="0"/>
                            <w:keepLines w:val="0"/>
                            <w:pageBreakBefore w:val="0"/>
                            <w:widowControl w:val="0"/>
                            <w:kinsoku/>
                            <w:wordWrap/>
                            <w:overflowPunct/>
                            <w:topLinePunct w:val="0"/>
                            <w:bidi w:val="0"/>
                            <w:adjustRightInd/>
                            <w:snapToGrid/>
                            <w:spacing w:line="240" w:lineRule="auto"/>
                            <w:textAlignment w:val="auto"/>
                            <w:rPr>
                              <w:rFonts w:hint="default" w:eastAsia="宋体"/>
                              <w:sz w:val="20"/>
                              <w:szCs w:val="20"/>
                              <w:lang w:val="en-US" w:eastAsia="zh-CN"/>
                            </w:rPr>
                          </w:pPr>
                          <w:r>
                            <w:rPr>
                              <w:rFonts w:hint="eastAsia"/>
                              <w:sz w:val="20"/>
                              <w:szCs w:val="20"/>
                              <w:lang w:val="en-US" w:eastAsia="zh-CN"/>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7.85pt;margin-top:-17.7pt;height:21.2pt;width:45.75pt;z-index:251661312;mso-width-relative:page;mso-height-relative:page;" filled="f" stroked="f" coordsize="21600,21600" o:gfxdata="UEsDBAoAAAAAAIdO4kAAAAAAAAAAAAAAAAAEAAAAZHJzL1BLAwQUAAAACACHTuJAxCGUlNwAAAAL&#10;AQAADwAAAGRycy9kb3ducmV2LnhtbE2Py07DMBBF90j8gzVI7Fq7gZA0xKlQpAoJ0UVLN+wmsZtE&#10;2OMQuw/4eswKlldzdO+ZcnWxhp305AdHEhZzAUxT69RAnYT923qWA/MBSaFxpCV8aQ+r6vqqxEK5&#10;M231aRc6FkvIFyihD2EsOPdtry36uRs1xdvBTRZDjFPH1YTnWG4NT4R44BYHigs9jrrudfuxO1oJ&#10;L/V6g9smsfm3qZ9fD0/j5/49lfL2ZiEegQV9CX8w/OpHdaiiU+OOpDwzMS+XaRZZCbO79B5YRBKR&#10;ZwmwRkImgFcl//9D9QNQSwMEFAAAAAgAh07iQL7prNhHAgAAcQQAAA4AAABkcnMvZTJvRG9jLnht&#10;bK1UzY7TMBC+I/EOlu80bbf/aroqWxUhVexKBXF2HaeJZHuM7TYpDwBvwIkLd55rn4Oxk3arhcMe&#10;uDhjz/gbf9/MZH5bK0mOwroSdEp7nS4lQnPISr1P6aeP6zcTSpxnOmMStEjpSTh6u3j9al6ZmehD&#10;ATITliCIdrPKpLTw3sySxPFCKOY6YIRGZw5WMY9bu08yyypEVzLpd7ujpAKbGQtcOIenq8ZJW0T7&#10;EkDI85KLFfCDEto3qFZI5pGSK0rj6CK+Ns8F9/d57oQnMqXI1McVk6C9C2uymLPZ3jJTlLx9AnvJ&#10;E55xUqzUmPQCtWKekYMt/4JSJbfgIPcdDippiERFkEWv+0ybbcGMiFxQamcuorv/B8s/HB8sKbOU&#10;DijRTGHBH398f/z5+/HXNzII8lTGzTBqazDO12+hxqY5nzs8DKzr3KrwRT4k+Ae94Xg6Qo1PKb0Z&#10;jibjVmhRe8IxYDjpdftDSjj6+6NpfxD9yROQsc6/E6BIMFJqsY5RXnbcOI+PwtBzSMirYV1KGWsp&#10;NalSOroZduOFiwdvSI0XA53m2cHy9a5uOe4gOyFFC02POMPXJSbfMOcfmMWmQDo4Nv4el1wCJoHW&#10;oqQA+/Vf5yEea4VeSipsspS6LwdmBSXyvcYqTnsDpE583AyG4z5u7LVnd+3RB3UH2Mc9HFDDoxni&#10;vTybuQX1GadrGbKii2mOuVPqz+adb1ofp5OL5TIGYR8a5jd6a3iAbuRcHjzkZVQ6yNRo06qHnRgL&#10;0E5NaPXrfYx6+lMs/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EIZSU3AAAAAsBAAAPAAAAAAAA&#10;AAEAIAAAACIAAABkcnMvZG93bnJldi54bWxQSwECFAAUAAAACACHTuJAvums2EcCAABxBAAADgAA&#10;AAAAAAABACAAAAArAQAAZHJzL2Uyb0RvYy54bWxQSwUGAAAAAAYABgBZAQAA5AUAAAAA&#10;">
              <v:fill on="f" focussize="0,0"/>
              <v:stroke on="f" weight="0.5pt"/>
              <v:imagedata o:title=""/>
              <o:lock v:ext="edit" aspectratio="f"/>
              <v:textbox>
                <w:txbxContent>
                  <w:p w14:paraId="56FD665C">
                    <w:pPr>
                      <w:keepNext w:val="0"/>
                      <w:keepLines w:val="0"/>
                      <w:pageBreakBefore w:val="0"/>
                      <w:widowControl w:val="0"/>
                      <w:kinsoku/>
                      <w:wordWrap/>
                      <w:overflowPunct/>
                      <w:topLinePunct w:val="0"/>
                      <w:bidi w:val="0"/>
                      <w:adjustRightInd/>
                      <w:snapToGrid/>
                      <w:spacing w:line="240" w:lineRule="auto"/>
                      <w:textAlignment w:val="auto"/>
                      <w:rPr>
                        <w:rFonts w:hint="default" w:eastAsia="宋体"/>
                        <w:sz w:val="20"/>
                        <w:szCs w:val="20"/>
                        <w:lang w:val="en-US" w:eastAsia="zh-CN"/>
                      </w:rPr>
                    </w:pPr>
                    <w:r>
                      <w:rPr>
                        <w:rFonts w:hint="eastAsia"/>
                        <w:sz w:val="20"/>
                        <w:szCs w:val="20"/>
                        <w:lang w:val="en-US" w:eastAsia="zh-CN"/>
                      </w:rPr>
                      <w:t>9</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posOffset>11877040</wp:posOffset>
              </wp:positionH>
              <wp:positionV relativeFrom="paragraph">
                <wp:posOffset>-173990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E17BA1">
                          <w:pPr>
                            <w:pStyle w:val="10"/>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935.2pt;margin-top:-13.7pt;height:144pt;width:144pt;mso-position-horizontal-relative:margin;mso-wrap-style:none;z-index:251660288;mso-width-relative:page;mso-height-relative:page;" filled="f" stroked="f" coordsize="21600,21600" o:gfxdata="UEsDBAoAAAAAAIdO4kAAAAAAAAAAAAAAAAAEAAAAZHJzL1BLAwQUAAAACACHTuJAR3nMm9gAAAAN&#10;AQAADwAAAGRycy9kb3ducmV2LnhtbE2PwU7DMBBE70j8g7VI3Fo7oaRRGqcSFeGIRMOBoxsvSUps&#10;R7abhr9nOcFtRjuafVPuFzOyGX0YnJWQrAUwtK3Tg+0kvDf1KgcWorJajc6ihG8MsK9ub0pVaHe1&#10;bzgfY8eoxIZCSehjnArOQ9ujUWHtJrR0+3TeqEjWd1x7daVyM/JUiIwbNVj60KsJDz22X8eLkXCo&#10;m8bPGPz4gS/1w/n1aYPPi5T3d4nYAYu4xL8w/OITOlTEdHIXqwMbyedbsaGshFW6JUGRNHnMSZ1I&#10;ZSIDXpX8/4rqB1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d5zJvYAAAADQEAAA8AAAAAAAAAAQAgAAAAIgAAAGRycy9kb3ducmV2Lnht&#10;bFBLAQIUABQAAAAIAIdO4kDhgNOOMgIAAGEEAAAOAAAAAAAAAAEAIAAAACcBAABkcnMvZTJvRG9j&#10;LnhtbFBLBQYAAAAABgAGAFkBAADLBQAAAAA=&#10;">
              <v:fill on="f" focussize="0,0"/>
              <v:stroke on="f" weight="0.5pt"/>
              <v:imagedata o:title=""/>
              <o:lock v:ext="edit" aspectratio="f"/>
              <v:textbox inset="0mm,0mm,0mm,0mm" style="mso-fit-shape-to-text:t;">
                <w:txbxContent>
                  <w:p w14:paraId="58E17BA1">
                    <w:pPr>
                      <w:pStyle w:val="10"/>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v:textbox>
            </v:shape>
          </w:pict>
        </mc:Fallback>
      </mc:AlternateContent>
    </w:r>
    <w:r>
      <w:drawing>
        <wp:anchor distT="0" distB="0" distL="114300" distR="114300" simplePos="0" relativeHeight="251659264" behindDoc="1" locked="0" layoutInCell="1" allowOverlap="1">
          <wp:simplePos x="0" y="0"/>
          <wp:positionH relativeFrom="column">
            <wp:posOffset>-1367790</wp:posOffset>
          </wp:positionH>
          <wp:positionV relativeFrom="paragraph">
            <wp:posOffset>-647065</wp:posOffset>
          </wp:positionV>
          <wp:extent cx="15308580" cy="10911205"/>
          <wp:effectExtent l="0" t="0" r="0" b="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
                  <a:stretch>
                    <a:fillRect/>
                  </a:stretch>
                </pic:blipFill>
                <pic:spPr>
                  <a:xfrm>
                    <a:off x="0" y="0"/>
                    <a:ext cx="15308580" cy="1091120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9FF766"/>
    <w:multiLevelType w:val="singleLevel"/>
    <w:tmpl w:val="CF9FF766"/>
    <w:lvl w:ilvl="0" w:tentative="0">
      <w:start w:val="1"/>
      <w:numFmt w:val="decimal"/>
      <w:suff w:val="nothing"/>
      <w:lvlText w:val="（%1）"/>
      <w:lvlJc w:val="left"/>
    </w:lvl>
  </w:abstractNum>
  <w:abstractNum w:abstractNumId="1">
    <w:nsid w:val="E0F4761D"/>
    <w:multiLevelType w:val="singleLevel"/>
    <w:tmpl w:val="E0F4761D"/>
    <w:lvl w:ilvl="0" w:tentative="0">
      <w:start w:val="1"/>
      <w:numFmt w:val="decimal"/>
      <w:lvlText w:val="(%1)"/>
      <w:lvlJc w:val="left"/>
      <w:pPr>
        <w:ind w:left="425" w:hanging="425"/>
      </w:pPr>
      <w:rPr>
        <w:rFonts w:hint="default"/>
      </w:rPr>
    </w:lvl>
  </w:abstractNum>
  <w:abstractNum w:abstractNumId="2">
    <w:nsid w:val="0483CB9A"/>
    <w:multiLevelType w:val="multilevel"/>
    <w:tmpl w:val="0483CB9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D6E1DDA"/>
    <w:multiLevelType w:val="multilevel"/>
    <w:tmpl w:val="2D6E1DDA"/>
    <w:lvl w:ilvl="0" w:tentative="0">
      <w:start w:val="1"/>
      <w:numFmt w:val="decimal"/>
      <w:lvlText w:val="%1."/>
      <w:lvlJc w:val="left"/>
      <w:pPr>
        <w:tabs>
          <w:tab w:val="left" w:pos="312"/>
        </w:tabs>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
    <w:nsid w:val="6165424A"/>
    <w:multiLevelType w:val="multilevel"/>
    <w:tmpl w:val="6165424A"/>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360C"/>
    <w:rsid w:val="001275F8"/>
    <w:rsid w:val="00172A27"/>
    <w:rsid w:val="0017384F"/>
    <w:rsid w:val="006D07AB"/>
    <w:rsid w:val="007D07C5"/>
    <w:rsid w:val="00FB1D2B"/>
    <w:rsid w:val="00FD5355"/>
    <w:rsid w:val="010D3606"/>
    <w:rsid w:val="01BF1C52"/>
    <w:rsid w:val="01FF3E0E"/>
    <w:rsid w:val="02D84F35"/>
    <w:rsid w:val="02DD1EC1"/>
    <w:rsid w:val="02E04876"/>
    <w:rsid w:val="02FF1F31"/>
    <w:rsid w:val="03023B8C"/>
    <w:rsid w:val="03AB1AB7"/>
    <w:rsid w:val="05A171BB"/>
    <w:rsid w:val="05AF4461"/>
    <w:rsid w:val="067A0941"/>
    <w:rsid w:val="096B1DCC"/>
    <w:rsid w:val="09B71830"/>
    <w:rsid w:val="0B1A15C4"/>
    <w:rsid w:val="0B945CE9"/>
    <w:rsid w:val="0C7C5378"/>
    <w:rsid w:val="0DA22F18"/>
    <w:rsid w:val="0E333B76"/>
    <w:rsid w:val="0E354DE8"/>
    <w:rsid w:val="0F007D0C"/>
    <w:rsid w:val="0F983549"/>
    <w:rsid w:val="0FC712CB"/>
    <w:rsid w:val="0FCA7A32"/>
    <w:rsid w:val="107A268A"/>
    <w:rsid w:val="115A6F2F"/>
    <w:rsid w:val="11BA33C0"/>
    <w:rsid w:val="11C54924"/>
    <w:rsid w:val="12385AB8"/>
    <w:rsid w:val="12393BF6"/>
    <w:rsid w:val="124B096A"/>
    <w:rsid w:val="1253728F"/>
    <w:rsid w:val="12F17910"/>
    <w:rsid w:val="144D0A74"/>
    <w:rsid w:val="155C5DBA"/>
    <w:rsid w:val="15FA60AD"/>
    <w:rsid w:val="161E1C3C"/>
    <w:rsid w:val="178B4EC3"/>
    <w:rsid w:val="17AF4A47"/>
    <w:rsid w:val="17F41DE1"/>
    <w:rsid w:val="18D913FE"/>
    <w:rsid w:val="1A913887"/>
    <w:rsid w:val="1BE702A2"/>
    <w:rsid w:val="1DBD2003"/>
    <w:rsid w:val="1E5A58D5"/>
    <w:rsid w:val="1E5B2D86"/>
    <w:rsid w:val="1F0C5D31"/>
    <w:rsid w:val="1F6F188B"/>
    <w:rsid w:val="202D64FF"/>
    <w:rsid w:val="21AB09D0"/>
    <w:rsid w:val="21D97013"/>
    <w:rsid w:val="228576AB"/>
    <w:rsid w:val="249B5F5A"/>
    <w:rsid w:val="25040F1F"/>
    <w:rsid w:val="253D7698"/>
    <w:rsid w:val="25DA7FED"/>
    <w:rsid w:val="26574B8F"/>
    <w:rsid w:val="27B02078"/>
    <w:rsid w:val="2884245F"/>
    <w:rsid w:val="298B2F57"/>
    <w:rsid w:val="2AEE0883"/>
    <w:rsid w:val="2BB57408"/>
    <w:rsid w:val="2C0873C1"/>
    <w:rsid w:val="2C98033D"/>
    <w:rsid w:val="2CE9231C"/>
    <w:rsid w:val="2E2A538B"/>
    <w:rsid w:val="2F5C62BC"/>
    <w:rsid w:val="305D200D"/>
    <w:rsid w:val="306B3413"/>
    <w:rsid w:val="3078101E"/>
    <w:rsid w:val="30C52614"/>
    <w:rsid w:val="31245069"/>
    <w:rsid w:val="314B22C5"/>
    <w:rsid w:val="31807980"/>
    <w:rsid w:val="31BE3706"/>
    <w:rsid w:val="325B78F0"/>
    <w:rsid w:val="35AF39A9"/>
    <w:rsid w:val="36A74617"/>
    <w:rsid w:val="370E2BAF"/>
    <w:rsid w:val="37565BFF"/>
    <w:rsid w:val="3803393B"/>
    <w:rsid w:val="3AD000D6"/>
    <w:rsid w:val="3B991AEE"/>
    <w:rsid w:val="3D807F3A"/>
    <w:rsid w:val="3DAF2EF0"/>
    <w:rsid w:val="3DCD46AA"/>
    <w:rsid w:val="3E384B6C"/>
    <w:rsid w:val="3E573A4F"/>
    <w:rsid w:val="3FFD7967"/>
    <w:rsid w:val="403204B1"/>
    <w:rsid w:val="40A67C82"/>
    <w:rsid w:val="40FC283A"/>
    <w:rsid w:val="4166486B"/>
    <w:rsid w:val="419E3E1F"/>
    <w:rsid w:val="42A44197"/>
    <w:rsid w:val="42C76EB6"/>
    <w:rsid w:val="43BA1DB2"/>
    <w:rsid w:val="45BD6C7B"/>
    <w:rsid w:val="462C367E"/>
    <w:rsid w:val="463E5898"/>
    <w:rsid w:val="465E41AD"/>
    <w:rsid w:val="46AB42BB"/>
    <w:rsid w:val="49BE5EB2"/>
    <w:rsid w:val="4A8A5723"/>
    <w:rsid w:val="4AE04E2A"/>
    <w:rsid w:val="4AFC71C7"/>
    <w:rsid w:val="4B370C22"/>
    <w:rsid w:val="4BBE5647"/>
    <w:rsid w:val="4BC319EB"/>
    <w:rsid w:val="4D382F23"/>
    <w:rsid w:val="4D58124A"/>
    <w:rsid w:val="4FA54A6A"/>
    <w:rsid w:val="50200A78"/>
    <w:rsid w:val="50207E18"/>
    <w:rsid w:val="50452D45"/>
    <w:rsid w:val="516438A7"/>
    <w:rsid w:val="518C3063"/>
    <w:rsid w:val="524A4F99"/>
    <w:rsid w:val="525759B0"/>
    <w:rsid w:val="52C94FE7"/>
    <w:rsid w:val="53137726"/>
    <w:rsid w:val="5351650A"/>
    <w:rsid w:val="53B33EE5"/>
    <w:rsid w:val="55562EFC"/>
    <w:rsid w:val="55B964FE"/>
    <w:rsid w:val="56B95DAF"/>
    <w:rsid w:val="58C43C62"/>
    <w:rsid w:val="595224AB"/>
    <w:rsid w:val="595D15A0"/>
    <w:rsid w:val="5972383F"/>
    <w:rsid w:val="5AB13A89"/>
    <w:rsid w:val="5B6A799A"/>
    <w:rsid w:val="5E1840D3"/>
    <w:rsid w:val="5FA032C7"/>
    <w:rsid w:val="5FA66F41"/>
    <w:rsid w:val="60472DD6"/>
    <w:rsid w:val="613C5843"/>
    <w:rsid w:val="61AC027B"/>
    <w:rsid w:val="62C721AD"/>
    <w:rsid w:val="631F5BC9"/>
    <w:rsid w:val="63851E81"/>
    <w:rsid w:val="65F7460F"/>
    <w:rsid w:val="68651134"/>
    <w:rsid w:val="6B46400B"/>
    <w:rsid w:val="6C1B08A7"/>
    <w:rsid w:val="6CFF3132"/>
    <w:rsid w:val="6D524D9F"/>
    <w:rsid w:val="6ED623EC"/>
    <w:rsid w:val="6F5A2EA2"/>
    <w:rsid w:val="6FAC3B76"/>
    <w:rsid w:val="71263EAB"/>
    <w:rsid w:val="728D658B"/>
    <w:rsid w:val="72FF43CF"/>
    <w:rsid w:val="73623DD2"/>
    <w:rsid w:val="73942C2C"/>
    <w:rsid w:val="742B1AD0"/>
    <w:rsid w:val="74304A6F"/>
    <w:rsid w:val="74DA6EB5"/>
    <w:rsid w:val="75AD2AC8"/>
    <w:rsid w:val="75B72BFA"/>
    <w:rsid w:val="779E3B3F"/>
    <w:rsid w:val="77E147AE"/>
    <w:rsid w:val="78095656"/>
    <w:rsid w:val="782E7938"/>
    <w:rsid w:val="7DE065E4"/>
    <w:rsid w:val="7E932991"/>
    <w:rsid w:val="7F894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imes New Roman" w:hAnsi="Times New Roman" w:eastAsia="宋体" w:cs="Times New Roman"/>
      <w:kern w:val="2"/>
      <w:sz w:val="24"/>
      <w:lang w:val="en-US" w:eastAsia="zh-CN" w:bidi="ar-SA"/>
    </w:rPr>
  </w:style>
  <w:style w:type="paragraph" w:styleId="2">
    <w:name w:val="heading 1"/>
    <w:basedOn w:val="1"/>
    <w:next w:val="1"/>
    <w:link w:val="20"/>
    <w:qFormat/>
    <w:uiPriority w:val="0"/>
    <w:pPr>
      <w:keepNext/>
      <w:keepLines/>
      <w:spacing w:before="340" w:after="330" w:line="578" w:lineRule="auto"/>
      <w:ind w:firstLine="0" w:firstLineChars="0"/>
      <w:jc w:val="both"/>
      <w:outlineLvl w:val="0"/>
    </w:pPr>
    <w:rPr>
      <w:b/>
      <w:bCs/>
      <w:kern w:val="44"/>
      <w:sz w:val="44"/>
      <w:szCs w:val="44"/>
    </w:rPr>
  </w:style>
  <w:style w:type="paragraph" w:styleId="3">
    <w:name w:val="heading 2"/>
    <w:basedOn w:val="1"/>
    <w:next w:val="1"/>
    <w:qFormat/>
    <w:uiPriority w:val="0"/>
    <w:pPr>
      <w:keepNext/>
      <w:keepLines/>
      <w:ind w:firstLine="0" w:firstLineChars="0"/>
      <w:outlineLvl w:val="1"/>
    </w:pPr>
    <w:rPr>
      <w:b/>
    </w:rPr>
  </w:style>
  <w:style w:type="paragraph" w:styleId="4">
    <w:name w:val="heading 3"/>
    <w:basedOn w:val="1"/>
    <w:next w:val="5"/>
    <w:qFormat/>
    <w:uiPriority w:val="0"/>
    <w:pPr>
      <w:keepNext/>
      <w:keepLines/>
      <w:adjustRightInd w:val="0"/>
      <w:ind w:firstLine="0" w:firstLineChars="0"/>
      <w:textAlignment w:val="baseline"/>
      <w:outlineLvl w:val="2"/>
    </w:pPr>
    <w:rPr>
      <w:b/>
      <w:bCs/>
      <w:szCs w:val="28"/>
    </w:rPr>
  </w:style>
  <w:style w:type="paragraph" w:styleId="6">
    <w:name w:val="heading 4"/>
    <w:basedOn w:val="1"/>
    <w:next w:val="5"/>
    <w:qFormat/>
    <w:uiPriority w:val="0"/>
    <w:pPr>
      <w:keepNext/>
      <w:keepLines/>
      <w:spacing w:line="360" w:lineRule="auto"/>
      <w:outlineLvl w:val="3"/>
    </w:pPr>
    <w:rPr>
      <w:rFonts w:ascii="Arial" w:hAnsi="Arial" w:eastAsia="黑体"/>
      <w:b/>
      <w:sz w:val="28"/>
      <w:szCs w:val="20"/>
      <w:lang w:val="zh-CN"/>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宋体" w:hAnsi="Courier New"/>
      <w:sz w:val="21"/>
    </w:rPr>
  </w:style>
  <w:style w:type="paragraph" w:styleId="7">
    <w:name w:val="Body Text"/>
    <w:basedOn w:val="1"/>
    <w:qFormat/>
    <w:uiPriority w:val="0"/>
    <w:pPr>
      <w:spacing w:after="120"/>
    </w:pPr>
    <w:rPr>
      <w:rFonts w:ascii="Times New Roman" w:hAnsi="Times New Roman"/>
      <w:szCs w:val="20"/>
      <w:lang w:val="zh-CN"/>
    </w:rPr>
  </w:style>
  <w:style w:type="paragraph" w:styleId="8">
    <w:name w:val="Plain Text"/>
    <w:basedOn w:val="1"/>
    <w:link w:val="24"/>
    <w:qFormat/>
    <w:uiPriority w:val="0"/>
    <w:pPr>
      <w:spacing w:line="240" w:lineRule="auto"/>
      <w:ind w:firstLine="0" w:firstLineChars="0"/>
      <w:jc w:val="both"/>
    </w:pPr>
    <w:rPr>
      <w:rFonts w:ascii="宋体" w:hAnsi="Courier New"/>
      <w:sz w:val="21"/>
      <w:szCs w:val="21"/>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tabs>
        <w:tab w:val="center" w:pos="4153"/>
        <w:tab w:val="right" w:pos="8306"/>
      </w:tabs>
      <w:snapToGrid w:val="0"/>
      <w:jc w:val="center"/>
    </w:pPr>
    <w:rPr>
      <w:sz w:val="18"/>
      <w:szCs w:val="18"/>
    </w:rPr>
  </w:style>
  <w:style w:type="paragraph" w:styleId="11">
    <w:name w:val="Title"/>
    <w:basedOn w:val="1"/>
    <w:qFormat/>
    <w:uiPriority w:val="0"/>
    <w:pPr>
      <w:ind w:firstLine="0" w:firstLineChars="0"/>
      <w:outlineLvl w:val="0"/>
    </w:pPr>
    <w:rPr>
      <w:b/>
      <w:bCs/>
      <w:kern w:val="0"/>
      <w:sz w:val="30"/>
      <w:szCs w:val="32"/>
    </w:rPr>
  </w:style>
  <w:style w:type="paragraph" w:styleId="12">
    <w:name w:val="Body Text First Indent"/>
    <w:basedOn w:val="7"/>
    <w:qFormat/>
    <w:uiPriority w:val="0"/>
    <w:pPr>
      <w:ind w:firstLine="420" w:firstLineChars="100"/>
    </w:pPr>
  </w:style>
  <w:style w:type="character" w:styleId="15">
    <w:name w:val="page number"/>
    <w:basedOn w:val="14"/>
    <w:qFormat/>
    <w:uiPriority w:val="0"/>
  </w:style>
  <w:style w:type="character" w:styleId="16">
    <w:name w:val="Emphasis"/>
    <w:basedOn w:val="14"/>
    <w:qFormat/>
    <w:uiPriority w:val="0"/>
    <w:rPr>
      <w:rFonts w:ascii="Times New Roman" w:hAnsi="Times New Roman" w:eastAsia="华文仿宋"/>
      <w:iCs/>
      <w:sz w:val="18"/>
    </w:rPr>
  </w:style>
  <w:style w:type="paragraph" w:customStyle="1" w:styleId="17">
    <w:name w:val="列出段落1"/>
    <w:basedOn w:val="1"/>
    <w:autoRedefine/>
    <w:qFormat/>
    <w:uiPriority w:val="34"/>
    <w:pPr>
      <w:ind w:firstLine="420"/>
    </w:pPr>
    <w:rPr>
      <w:szCs w:val="24"/>
    </w:rPr>
  </w:style>
  <w:style w:type="paragraph" w:customStyle="1" w:styleId="18">
    <w:name w:val="TJ市政页码"/>
    <w:basedOn w:val="1"/>
    <w:autoRedefine/>
    <w:qFormat/>
    <w:uiPriority w:val="0"/>
    <w:pPr>
      <w:ind w:firstLine="50" w:firstLineChars="50"/>
      <w:jc w:val="center"/>
    </w:pPr>
    <w:rPr>
      <w:snapToGrid w:val="0"/>
      <w:kern w:val="0"/>
      <w:sz w:val="28"/>
    </w:rPr>
  </w:style>
  <w:style w:type="paragraph" w:customStyle="1" w:styleId="19">
    <w:name w:val="初步设计正文"/>
    <w:basedOn w:val="1"/>
    <w:qFormat/>
    <w:uiPriority w:val="0"/>
    <w:pPr>
      <w:adjustRightInd w:val="0"/>
      <w:spacing w:line="100" w:lineRule="atLeast"/>
      <w:ind w:right="168" w:rightChars="168" w:firstLine="315" w:firstLineChars="150"/>
    </w:pPr>
    <w:rPr>
      <w:rFonts w:ascii="宋体" w:hAnsi="宋体"/>
      <w:szCs w:val="21"/>
    </w:rPr>
  </w:style>
  <w:style w:type="character" w:customStyle="1" w:styleId="20">
    <w:name w:val="标题 1 Char"/>
    <w:basedOn w:val="14"/>
    <w:link w:val="2"/>
    <w:qFormat/>
    <w:uiPriority w:val="0"/>
    <w:rPr>
      <w:rFonts w:ascii="Times New Roman" w:hAnsi="Times New Roman" w:eastAsia="宋体" w:cs="Times New Roman"/>
      <w:b/>
      <w:bCs/>
      <w:kern w:val="44"/>
      <w:sz w:val="44"/>
      <w:szCs w:val="44"/>
    </w:rPr>
  </w:style>
  <w:style w:type="character" w:customStyle="1" w:styleId="21">
    <w:name w:val="正文文本 (2)_"/>
    <w:link w:val="22"/>
    <w:qFormat/>
    <w:uiPriority w:val="99"/>
    <w:rPr>
      <w:rFonts w:ascii="MingLiU" w:eastAsia="MingLiU" w:cs="MingLiU"/>
      <w:spacing w:val="10"/>
      <w:sz w:val="22"/>
      <w:shd w:val="clear" w:color="auto" w:fill="FFFFFF"/>
    </w:rPr>
  </w:style>
  <w:style w:type="paragraph" w:customStyle="1" w:styleId="22">
    <w:name w:val="正文文本 (2)1"/>
    <w:basedOn w:val="1"/>
    <w:link w:val="21"/>
    <w:qFormat/>
    <w:uiPriority w:val="99"/>
    <w:pPr>
      <w:shd w:val="clear" w:color="auto" w:fill="FFFFFF"/>
      <w:spacing w:after="240" w:line="240" w:lineRule="atLeast"/>
      <w:ind w:hanging="560" w:firstLineChars="0"/>
      <w:jc w:val="distribute"/>
    </w:pPr>
    <w:rPr>
      <w:rFonts w:ascii="MingLiU" w:eastAsia="MingLiU" w:cs="MingLiU" w:hAnsiTheme="minorHAnsi"/>
      <w:spacing w:val="10"/>
      <w:kern w:val="0"/>
      <w:sz w:val="22"/>
    </w:rPr>
  </w:style>
  <w:style w:type="paragraph" w:styleId="23">
    <w:name w:val="List Paragraph"/>
    <w:basedOn w:val="1"/>
    <w:qFormat/>
    <w:uiPriority w:val="99"/>
    <w:pPr>
      <w:ind w:firstLine="420"/>
    </w:pPr>
  </w:style>
  <w:style w:type="character" w:customStyle="1" w:styleId="24">
    <w:name w:val="纯文本 Char"/>
    <w:basedOn w:val="14"/>
    <w:link w:val="8"/>
    <w:qFormat/>
    <w:uiPriority w:val="0"/>
    <w:rPr>
      <w:rFonts w:ascii="宋体" w:hAnsi="Courier New" w:eastAsia="宋体" w:cs="Times New Roman"/>
      <w:kern w:val="2"/>
      <w:sz w:val="21"/>
      <w:szCs w:val="21"/>
    </w:rPr>
  </w:style>
  <w:style w:type="paragraph" w:customStyle="1" w:styleId="25">
    <w:name w:val="_Style 83"/>
    <w:basedOn w:val="7"/>
    <w:next w:val="12"/>
    <w:qFormat/>
    <w:uiPriority w:val="0"/>
    <w:pPr>
      <w:ind w:firstLine="420" w:firstLineChars="100"/>
    </w:pPr>
    <w:rPr>
      <w:kern w:val="0"/>
      <w:sz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7469</Words>
  <Characters>8243</Characters>
  <Lines>49</Lines>
  <Paragraphs>14</Paragraphs>
  <TotalTime>24</TotalTime>
  <ScaleCrop>false</ScaleCrop>
  <LinksUpToDate>false</LinksUpToDate>
  <CharactersWithSpaces>8266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2024-10-21T11:19:00Z</dcterms:created>
  <dc:creator>Administrator</dc:creator>
  <cp:lastModifiedBy>你看起来很好吃</cp:lastModifiedBy>
  <cp:lastPrinted>2025-04-22T02:06:21Z</cp:lastPrinted>
  <dcterms:modified xsi:type="dcterms:W3CDTF">2025-04-22T02:06:44Z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0FE0129BDC77485A80F132C9C1BFD8AF_12</vt:lpwstr>
  </property>
  <property fmtid="{D5CDD505-2E9C-101B-9397-08002B2CF9AE}" pid="4" name="KSOTemplateDocerSaveRecord">
    <vt:lpwstr>eyJoZGlkIjoiZjFkNjMxZmE0NDZlMTE5MjQ4ZDZlMTEwODBiNTk4MTciLCJ1c2VySWQiOiIzMjUwNjM0NTEifQ==</vt:lpwstr>
  </property>
</Properties>
</file>