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2 -->
  <w:body>
    <w:tbl>
      <w:tblPr>
        <w:tblStyle w:val="TableNormal"/>
        <w:tblW w:w="5000" w:type="pc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方正小标宋_GBK" w:eastAsia="方正小标宋_GBK" w:hAnsi="宋体" w:cs="宋体" w:hint="eastAsia"/>
                <w:color w:val="auto"/>
                <w:kern w:val="0"/>
                <w:sz w:val="40"/>
                <w:szCs w:val="40"/>
              </w:rPr>
            </w:pPr>
            <w:r>
              <w:rPr>
                <w:rFonts w:ascii="方正小标宋_GBK" w:eastAsia="方正小标宋_GBK" w:hAnsi="宋体" w:cs="宋体" w:hint="eastAsia"/>
                <w:color w:val="auto"/>
                <w:kern w:val="0"/>
                <w:sz w:val="40"/>
                <w:szCs w:val="40"/>
              </w:rPr>
              <w:t>岳阳市</w:t>
            </w:r>
            <w:r>
              <w:rPr>
                <w:rFonts w:ascii="方正小标宋_GBK" w:eastAsia="方正小标宋_GBK" w:hAnsi="宋体" w:cs="宋体" w:hint="eastAsia"/>
                <w:color w:val="auto"/>
                <w:kern w:val="0"/>
                <w:sz w:val="40"/>
                <w:szCs w:val="40"/>
                <w:lang w:eastAsia="zh-CN"/>
              </w:rPr>
              <w:t>全民健身指导服务中心</w:t>
            </w:r>
            <w:r>
              <w:rPr>
                <w:rFonts w:ascii="方正小标宋_GBK" w:eastAsia="方正小标宋_GBK" w:hAnsi="宋体" w:cs="宋体" w:hint="eastAsia"/>
                <w:color w:val="auto"/>
                <w:kern w:val="0"/>
                <w:sz w:val="40"/>
                <w:szCs w:val="40"/>
              </w:rPr>
              <w:t>2022年度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方正小标宋_GBK" w:eastAsia="方正小标宋_GBK" w:hAnsi="宋体" w:cs="宋体"/>
                <w:color w:val="auto"/>
                <w:kern w:val="0"/>
                <w:sz w:val="40"/>
                <w:szCs w:val="40"/>
              </w:rPr>
            </w:pPr>
            <w:r>
              <w:rPr>
                <w:rFonts w:ascii="方正小标宋_GBK" w:eastAsia="方正小标宋_GBK" w:hAnsi="宋体" w:cs="宋体" w:hint="eastAsia"/>
                <w:color w:val="auto"/>
                <w:kern w:val="0"/>
                <w:sz w:val="40"/>
                <w:szCs w:val="40"/>
              </w:rPr>
              <w:t>单位预算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黑体" w:eastAsia="黑体" w:hAnsi="黑体" w:cs="宋体"/>
                <w:color w:val="auto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color w:val="auto"/>
                <w:kern w:val="0"/>
                <w:sz w:val="36"/>
                <w:szCs w:val="36"/>
              </w:rPr>
              <w:t>目录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eastAsia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</w:rPr>
              <w:t>第一部分  2022年单位预算说明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eastAsia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</w:rPr>
              <w:t>第二部分  2022年单位预算公开表格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</w:trPr>
        <w:tc>
          <w:tcPr>
            <w:tcW w:w="50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</w:rPr>
              <w:t>1、收支总表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</w:rPr>
              <w:t>2、收入总表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</w:rPr>
              <w:t>3、支出总表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</w:rPr>
              <w:t>4、支出预算分类汇总表（按政府预算经济分类）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</w:rPr>
              <w:t>5、支出预算分类汇总表（按部门预算经济分类）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</w:rPr>
              <w:t>6、财政拨款收支总表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</w:rPr>
              <w:t>7、一般公共预算支出表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</w:rPr>
              <w:t>8、一般公共预算基本支出表-人员经费（工资福利支出）（按政府预算经济分类）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</w:rPr>
              <w:t>9、一般公共预算基本支出表-人员经费（工资福利支出）（按部门预算经济分类）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</w:rPr>
              <w:t>10、一般公共预算基本支出表-人员经费（对个人和家庭的补助）（按政府预算经济分类）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</w:rPr>
              <w:t>11、一般公共预算基本支出表-人员经费（对个人和家庭的补助）（按部门预算经济分类）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</w:rPr>
              <w:t>12、</w:t>
            </w:r>
            <w:r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</w:rPr>
              <w:t>一般公共预算基本支出表-公用经费（商品和服务支出）</w:t>
            </w:r>
            <w:r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</w:rPr>
              <w:t>（按政府预算经济分类）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</w:rPr>
              <w:t>13、</w:t>
            </w:r>
            <w:r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</w:rPr>
              <w:t>一般公共预算基本支出表-公用经费（商品和服务支出）</w:t>
            </w:r>
            <w:r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</w:rPr>
              <w:t>（按部门预算经济分类）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</w:rPr>
              <w:t>14、一般公共预算“三公”经费支出表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</w:rPr>
              <w:t>15、政府性基金预算支出表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</w:rPr>
              <w:t>16、政府性基金预算支出分类汇总表（按政府预算经济分类）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</w:rPr>
              <w:t>17、政府性基金预算支出分类汇总表（按部门预算经济分类）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</w:rPr>
              <w:t>18、国有资本经营预算支出表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</w:rPr>
              <w:t>19、财政专户管理资金预算支出表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</w:rPr>
              <w:t>20、专项资金预算汇总表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</w:rPr>
              <w:t>21、项目支出绩效目标表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  <w:lang w:eastAsia="zh-CN"/>
              </w:rPr>
              <w:t>22、整体支出绩效目标表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  <w:lang w:eastAsia="zh-CN"/>
              </w:rPr>
              <w:t>23、</w:t>
            </w:r>
            <w:r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  <w:lang w:eastAsia="zh-CN"/>
              </w:rPr>
              <w:t>一般公共预算基本支出表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eastAsia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</w:rPr>
              <w:t>注：以上单位预算公开报表中，空表表示本单位无相关收支情况。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</w:trPr>
        <w:tc>
          <w:tcPr>
            <w:tcW w:w="50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eastAsia="仿宋_GB2312" w:hAnsi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黑体" w:eastAsia="黑体" w:hAnsi="黑体" w:cs="宋体"/>
                <w:color w:val="auto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color w:val="auto"/>
                <w:kern w:val="0"/>
                <w:sz w:val="36"/>
                <w:szCs w:val="36"/>
              </w:rPr>
              <w:t>第一部分  2022年单位预算说明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auto"/>
                <w:kern w:val="0"/>
                <w:sz w:val="28"/>
                <w:szCs w:val="28"/>
              </w:rPr>
              <w:t>一、单位基本概况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</w:rPr>
              <w:t>（一）职能职责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</w:rPr>
              <w:t>1、负责拟定全市全民健身工作规措施并组织实施的行政辅助工作</w:t>
            </w:r>
            <w:r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</w:rPr>
              <w:t>2、负责全民健身政策、法规宣传以及体育健身科普知识普及等工作</w:t>
            </w:r>
            <w:r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</w:rPr>
              <w:t>3、协调、督促、指导全市公共体育场馆设施按要求开展全民健身活动，实施免费或低收费开放。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</w:rPr>
              <w:t>4、负责全市国民体质检测服务工作并建立国民体质检测数据库</w:t>
            </w:r>
            <w:r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</w:rPr>
              <w:t>5、负责全市社会体育指导员管理服务工作，并建立人员档案数据库，规范其从业行为。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</w:rPr>
              <w:t>6、负责为体育产业开发提供指导服务；负责市本级体育彩票发行的日常事务性工作。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</w:rPr>
              <w:t>（二）机构设置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</w:rPr>
              <w:t>设4个内设机构：1、综合部2、健身活动部3、国民体质监测部4、场馆运营部</w:t>
            </w:r>
            <w:r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auto"/>
                <w:kern w:val="0"/>
                <w:sz w:val="28"/>
                <w:szCs w:val="28"/>
              </w:rPr>
              <w:t>二、单位预算单位构成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</w:rPr>
              <w:t>本单位预算仅含本级预算</w:t>
            </w:r>
            <w:r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eastAsia="仿宋_GB2312" w:hAnsi="仿宋_GB2312" w:cs="仿宋_GB2312" w:hint="eastAsia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auto"/>
                <w:kern w:val="0"/>
                <w:sz w:val="28"/>
                <w:szCs w:val="28"/>
              </w:rPr>
              <w:t>三、单位收支总体情况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</w:rPr>
              <w:t>（一）收入预算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</w:rPr>
              <w:t>包括一般公共预算、政府性基金、国有资本经营预算等财政拨款收入，以及经营收入、事业收入等单位资金。2022年本单位收入预算336.95万元，其中，一般公共预算拨款336.95万元，政府性基金预算拨款0万元，所以公开的附件15-17（政府性基金预算）为空,国有资本经营预算拨款0万元，所以公开的附表18（国有资本经营预算）为空,财政专户管理资金0万元，所以公开的附表19表（财政专户管理资金预算）为空，上级补助收入0万元，事业单位经营收入0万元，上年结转结余0万元。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  <w:lang w:eastAsia="zh-CN"/>
              </w:rPr>
              <w:t>因本单位为</w:t>
            </w:r>
            <w:r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  <w:lang w:val="en-US" w:eastAsia="zh-CN"/>
              </w:rPr>
              <w:t>2022年新整合的单位，无上年预算数，无法比对上年数据</w:t>
            </w:r>
            <w:r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auto"/>
                <w:kern w:val="0"/>
                <w:sz w:val="28"/>
                <w:szCs w:val="28"/>
              </w:rPr>
              <w:t>（二）支出预算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</w:rPr>
              <w:t>2022年本单位支出预算336.95万元，其中，文化旅游体育与传媒支出290.75万元，占比86.29%，社会保障和就业支出20.88万元，占比6.20%，卫生健康支出9.66万元，占比2.87%，住房保障支出15.66万元，占比4.65%。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  <w:lang w:eastAsia="zh-CN"/>
              </w:rPr>
              <w:t>因本单位为</w:t>
            </w:r>
            <w:r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  <w:lang w:val="en-US" w:eastAsia="zh-CN"/>
              </w:rPr>
              <w:t>2022年新整合的单位，无上年预算数，无法比对上年数据</w:t>
            </w:r>
            <w:r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  <w:lang w:eastAsia="zh-CN"/>
              </w:rPr>
              <w:t>2022年预算公开文档第三大点（对应表3）、第四大点（对应表7）中的金额和百分比，由于预算编制时金额明细到了“分”，而公开表格显示和公开文档取数只到“百元”，可能导致0.01的尾数差异。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  <w:t>四、一般公共预算拨款支出预算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</w:rPr>
              <w:t>2022年本单位一般公共预算拨款支出预算336.95万元，其中，文化旅游体育与传媒支出290.75万元，占比86.29%，社会保障和就业支出20.88万元，占比6.20%，卫生健康支出9.66万元，占比2.87%，住房保障支出15.66万元，占比4.65%。具体安排情况如下：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</w:rPr>
              <w:t>（一）基本支出：2022年基本支出年初预算数为201.55万元（数据来源见表7），是指为保障单位机构正常运转、完成日常工作任务而发生的各项支出，包括用于基本工资、津贴补贴等人员经费以及办公费、印刷费、水电费、差旅费等日常公用经费。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</w:rPr>
              <w:t>（二）项目支出：2022年项目支出年初预算数为135.4万元（数据来源见表20），是指单位为完成特定行政工作任务或事业发展目标而发生的支出，包括有关业务工作经费、运行维护经费等。其中：工会福利9万元，主要用于</w:t>
            </w:r>
            <w:r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  <w:lang w:eastAsia="zh-CN"/>
              </w:rPr>
              <w:t>工会会员全年福利；</w:t>
            </w:r>
            <w:r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</w:rPr>
              <w:t>伙食补助12万元，主要用于</w:t>
            </w:r>
            <w:r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  <w:lang w:eastAsia="zh-CN"/>
              </w:rPr>
              <w:t>单位职工食堂补贴；</w:t>
            </w:r>
            <w:r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</w:rPr>
              <w:t>物业补贴10.8万元，主要用于</w:t>
            </w:r>
            <w:r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  <w:lang w:eastAsia="zh-CN"/>
              </w:rPr>
              <w:t>单位职工物业费用补贴；</w:t>
            </w:r>
            <w:r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</w:rPr>
              <w:t>综合绩效和平安岳阳建设奖60万元，主要用于</w:t>
            </w:r>
            <w:r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  <w:lang w:eastAsia="zh-CN"/>
              </w:rPr>
              <w:t>单位职工年底绩效奖金；</w:t>
            </w:r>
            <w:r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</w:rPr>
              <w:t>非税收入返还43.6万元，主要用于</w:t>
            </w:r>
            <w:r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  <w:lang w:eastAsia="zh-CN"/>
              </w:rPr>
              <w:t>弥补本单位公用经费缺口</w:t>
            </w:r>
            <w:r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</w:rPr>
              <w:t>。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auto"/>
                <w:kern w:val="0"/>
                <w:sz w:val="28"/>
                <w:szCs w:val="28"/>
              </w:rPr>
              <w:t>五、政府性基金预算支出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</w:rPr>
              <w:t>2022年度本单位无政府性基金安排的支出，所以公开的附件15-17（政府性基金预算）为空。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auto"/>
                <w:kern w:val="0"/>
                <w:sz w:val="28"/>
                <w:szCs w:val="28"/>
              </w:rPr>
              <w:t>六、其他重要事项的情况说明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</w:rPr>
              <w:t>（一）机关运行经费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</w:rPr>
              <w:t>2022年本单位的机关运行经费21.81万元</w:t>
            </w:r>
            <w:r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  <w:lang w:eastAsia="zh-CN"/>
              </w:rPr>
              <w:t>因本单位为</w:t>
            </w:r>
            <w:r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  <w:lang w:val="en-US" w:eastAsia="zh-CN"/>
              </w:rPr>
              <w:t>2022年新整合的单位，无上年预算数，无法比对上年数据</w:t>
            </w:r>
            <w:r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</w:rPr>
              <w:t>（二）“三公”经费预算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</w:rPr>
              <w:t>2022年本单位“三公”经费预算数0万元，其中，公务接待费0万元，因公出国（境）费0万元，公务用车购置及运行费0万元（其中，公务用车购置费0万元，公务用车运行费0万元）。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  <w:lang w:eastAsia="zh-CN"/>
              </w:rPr>
              <w:t>因本单位为</w:t>
            </w:r>
            <w:r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  <w:lang w:val="en-US" w:eastAsia="zh-CN"/>
              </w:rPr>
              <w:t>2022年新整合的单位，无上年预算数，无法比对上年数据</w:t>
            </w:r>
            <w:r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</w:rPr>
              <w:t>（三）一般性支出情况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</w:rPr>
              <w:t>2022年度本单位未计划安排会议、培训，未计划举办节庆、晚会、论坛、赛事活动。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</w:rPr>
              <w:t>（四）政府采购情况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</w:rPr>
              <w:t>本单位2022年未安排政府采购预算</w:t>
            </w:r>
            <w:r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</w:rPr>
              <w:t>（五）国有资产占有使用及新增资产配置情况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</w:rPr>
              <w:t>截至上年底，本单位共有车辆0辆，其中领导干部用车0辆，一般公务用车0辆，其他用车0辆。单位价值50万元以上通用设备0台，单位价值100万元以上专用设备0台。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</w:rPr>
              <w:t>2022年度本单位未计划处置或新增车辆、设备等</w:t>
            </w:r>
            <w:r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</w:rPr>
              <w:t>（六）预算绩效目标说明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</w:rPr>
              <w:t>本单位所有支出实行绩效目标管理。纳入2022年部门整体支出绩效目标的金额为336.95万元，其中，基本支出201.55万元，项目支出135.4万元，详见文尾附表中单位预算公开表格的表21-22。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auto"/>
                <w:kern w:val="0"/>
                <w:sz w:val="28"/>
                <w:szCs w:val="28"/>
              </w:rPr>
              <w:t>七、名词解释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</w:rPr>
      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0"/>
                <w:sz w:val="28"/>
                <w:szCs w:val="28"/>
              </w:rPr>
              <w:t>2、“三公”经费：纳入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黑体" w:eastAsia="黑体" w:hAnsi="黑体" w:cs="宋体"/>
                <w:color w:val="auto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color w:val="auto"/>
                <w:kern w:val="0"/>
                <w:sz w:val="36"/>
                <w:szCs w:val="36"/>
              </w:rPr>
              <w:t>第二部分  2022年单位预算公开表格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</w:rPr>
              <w:t>1、收支总表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</w:rPr>
              <w:t>2、收入总表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</w:rPr>
              <w:t>3、支出总表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</w:rPr>
              <w:t>4、支出预算分类汇总表（按政府预算经济分类）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</w:rPr>
              <w:t>5、支出预算分类汇总表（按部门预算经济分类）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</w:rPr>
              <w:t>6、财政拨款收支总表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</w:rPr>
              <w:t>7、一般公共预算支出表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</w:rPr>
              <w:t>8、一般公共预算基本支出表-人员经费（工资福利支出）（按政府预算经济分类）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</w:rPr>
              <w:t>9、一般公共预算基本支出表-人员经费（工资福利支出）（按部门预算经济分类）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</w:rPr>
              <w:t>10、一般公共预算基本支出表-人员经费（对个人和家庭的补助）（按政府预算经济分类）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</w:rPr>
              <w:t>11、一般公共预算基本支出表-人员经费（对个人和家庭的补助）（按部门预算经济分类）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</w:rPr>
              <w:t>12、</w:t>
            </w:r>
            <w:r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</w:rPr>
              <w:t>一般公共预算基本支出表-公用经费（商品和服务支出）</w:t>
            </w:r>
            <w:r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</w:rPr>
              <w:t>（按政府预算经济分类）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</w:rPr>
              <w:t>13、</w:t>
            </w:r>
            <w:r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</w:rPr>
              <w:t>一般公共预算基本支出表-公用经费（商品和服务支出）</w:t>
            </w:r>
            <w:r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</w:rPr>
              <w:t>（按部门预算经济分类）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</w:rPr>
              <w:t>14、一般公共预算“三公”经费支出表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</w:rPr>
              <w:t>15、政府性基金预算支出表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</w:rPr>
              <w:t>16、政府性基金预算支出分类汇总表（按政府预算经济分类）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</w:rPr>
              <w:t>17、政府性基金预算支出分类汇总表（按部门预算经济分类）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</w:rPr>
              <w:t>18、国有资本经营预算支出表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</w:rPr>
              <w:t>19、财政专户管理资金预算支出表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</w:rPr>
              <w:t>20、专项资金预算汇总表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</w:rPr>
              <w:t>21、项目支出绩效目标表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  <w:lang w:eastAsia="zh-CN"/>
              </w:rPr>
              <w:t>22、整体支出绩效目标表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  <w:lang w:eastAsia="zh-CN"/>
              </w:rPr>
              <w:t>23、</w:t>
            </w:r>
            <w:r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  <w:lang w:eastAsia="zh-CN"/>
              </w:rPr>
              <w:t>一般公共预算基本支出表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eastAsia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8"/>
                <w:szCs w:val="28"/>
              </w:rPr>
              <w:t>注：以上单位预算公开报表中，空表表示本单位无相关收支情况。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D9"/>
    <w:rsid w:val="00040008"/>
    <w:rsid w:val="00731AD9"/>
    <w:rsid w:val="008151D7"/>
    <w:rsid w:val="0A1804D5"/>
    <w:rsid w:val="6992503C"/>
    <w:rsid w:val="79871AFC"/>
  </w:rsids>
  <w:docVars>
    <w:docVar w:name="commondata" w:val="eyJoZGlkIjoiMTNlOWFiOGQzMjcxY2RmMDUyZDNmYjdkODM4YTUxNjc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 w:qFormat="1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 w:qFormat="1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Char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DefaultParagraphFont"/>
    <w:link w:val="Header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3041</Words>
  <Characters>3280</Characters>
  <Application>Microsoft Office Word</Application>
  <DocSecurity>0</DocSecurity>
  <Lines>24</Lines>
  <Paragraphs>6</Paragraphs>
  <ScaleCrop>false</ScaleCrop>
  <Company>微软中国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周雨</cp:lastModifiedBy>
  <cp:revision>2</cp:revision>
  <dcterms:created xsi:type="dcterms:W3CDTF">2023-06-05T02:49:00Z</dcterms:created>
  <dcterms:modified xsi:type="dcterms:W3CDTF">2023-09-21T09:24:40Z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273B26DB98424A10A86B61583B4650B0_12</vt:lpwstr>
  </property>
  <property fmtid="{D5CDD505-2E9C-101B-9397-08002B2CF9AE}" pid="3" name="KSOProductBuildVer">
    <vt:lpwstr>2052-11.8.6.11825</vt:lpwstr>
  </property>
</Properties>
</file>