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left"/>
        <w:rPr>
          <w:rFonts w:hint="eastAsia" w:ascii="Times New Roman" w:hAnsi="Times New Roman" w:eastAsia="黑体" w:cs="Times New Roman"/>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3</w:t>
      </w:r>
    </w:p>
    <w:p>
      <w:pPr>
        <w:widowControl/>
        <w:spacing w:line="600" w:lineRule="exact"/>
        <w:jc w:val="center"/>
        <w:rPr>
          <w:rFonts w:hint="eastAsia"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202</w:t>
      </w:r>
      <w:r>
        <w:rPr>
          <w:rFonts w:hint="eastAsia" w:ascii="方正小标宋简体" w:hAnsi="方正小标宋简体" w:eastAsia="方正小标宋简体" w:cs="方正小标宋简体"/>
          <w:color w:val="000000"/>
          <w:sz w:val="36"/>
          <w:szCs w:val="36"/>
          <w:lang w:val="en-US" w:eastAsia="zh-CN"/>
        </w:rPr>
        <w:t>3</w:t>
      </w:r>
      <w:r>
        <w:rPr>
          <w:rFonts w:hint="eastAsia" w:ascii="方正小标宋简体" w:hAnsi="方正小标宋简体" w:eastAsia="方正小标宋简体" w:cs="方正小标宋简体"/>
          <w:color w:val="000000"/>
          <w:sz w:val="36"/>
          <w:szCs w:val="36"/>
        </w:rPr>
        <w:t>年度项目支出绩效自评表</w:t>
      </w:r>
    </w:p>
    <w:tbl>
      <w:tblPr>
        <w:tblStyle w:val="4"/>
        <w:tblW w:w="9851" w:type="dxa"/>
        <w:jc w:val="center"/>
        <w:tblLayout w:type="autofit"/>
        <w:tblCellMar>
          <w:top w:w="0" w:type="dxa"/>
          <w:left w:w="108" w:type="dxa"/>
          <w:bottom w:w="0" w:type="dxa"/>
          <w:right w:w="108" w:type="dxa"/>
        </w:tblCellMar>
      </w:tblPr>
      <w:tblGrid>
        <w:gridCol w:w="1080"/>
        <w:gridCol w:w="1080"/>
        <w:gridCol w:w="1080"/>
        <w:gridCol w:w="1224"/>
        <w:gridCol w:w="1134"/>
        <w:gridCol w:w="1134"/>
        <w:gridCol w:w="828"/>
        <w:gridCol w:w="750"/>
        <w:gridCol w:w="1541"/>
      </w:tblGrid>
      <w:tr>
        <w:tblPrEx>
          <w:tblCellMar>
            <w:top w:w="0" w:type="dxa"/>
            <w:left w:w="108" w:type="dxa"/>
            <w:bottom w:w="0" w:type="dxa"/>
            <w:right w:w="108" w:type="dxa"/>
          </w:tblCellMar>
        </w:tblPrEx>
        <w:trP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项目支</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出名称</w:t>
            </w:r>
          </w:p>
        </w:tc>
        <w:tc>
          <w:tcPr>
            <w:tcW w:w="8771" w:type="dxa"/>
            <w:gridSpan w:val="8"/>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电子口岸运营　</w:t>
            </w:r>
          </w:p>
        </w:tc>
      </w:tr>
      <w:tr>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主管部门</w:t>
            </w:r>
          </w:p>
        </w:tc>
        <w:tc>
          <w:tcPr>
            <w:tcW w:w="4518"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eastAsia="zh-CN"/>
              </w:rPr>
              <w:t>岳阳市人民政府口岸管理办公室</w:t>
            </w:r>
          </w:p>
        </w:tc>
        <w:tc>
          <w:tcPr>
            <w:tcW w:w="1134" w:type="dxa"/>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eastAsia="zh-CN"/>
              </w:rPr>
              <w:t>岳阳市人民政府口岸管理办公室</w:t>
            </w:r>
          </w:p>
        </w:tc>
      </w:tr>
      <w:tr>
        <w:tblPrEx>
          <w:tblCellMar>
            <w:top w:w="0" w:type="dxa"/>
            <w:left w:w="108" w:type="dxa"/>
            <w:bottom w:w="0" w:type="dxa"/>
            <w:right w:w="108" w:type="dxa"/>
          </w:tblCellMar>
        </w:tblPrEx>
        <w:trPr>
          <w:trHeight w:val="90" w:hRule="atLeast"/>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项目资金</w:t>
            </w:r>
            <w:r>
              <w:rPr>
                <w:rFonts w:hint="eastAsia" w:ascii="仿宋_GB2312" w:hAnsi="仿宋_GB2312" w:eastAsia="仿宋_GB2312" w:cs="仿宋_GB2312"/>
                <w:color w:val="000000"/>
                <w:sz w:val="20"/>
                <w:szCs w:val="20"/>
              </w:rPr>
              <w:br w:type="textWrapping"/>
            </w:r>
            <w:r>
              <w:rPr>
                <w:rFonts w:hint="eastAsia" w:ascii="仿宋_GB2312" w:hAnsi="仿宋_GB2312" w:eastAsia="仿宋_GB2312" w:cs="仿宋_GB2312"/>
                <w:color w:val="000000"/>
                <w:sz w:val="20"/>
                <w:szCs w:val="20"/>
              </w:rPr>
              <w:t>（万元）</w:t>
            </w: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年初</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全年</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预算数</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全年</w:t>
            </w:r>
          </w:p>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执行数</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分值</w:t>
            </w:r>
          </w:p>
        </w:tc>
        <w:tc>
          <w:tcPr>
            <w:tcW w:w="75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执行率</w:t>
            </w:r>
          </w:p>
        </w:tc>
        <w:tc>
          <w:tcPr>
            <w:tcW w:w="154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得分</w:t>
            </w:r>
          </w:p>
        </w:tc>
      </w:tr>
      <w:tr>
        <w:tblPrEx>
          <w:tblCellMar>
            <w:top w:w="0" w:type="dxa"/>
            <w:left w:w="108" w:type="dxa"/>
            <w:bottom w:w="0" w:type="dxa"/>
            <w:right w:w="108" w:type="dxa"/>
          </w:tblCellMar>
        </w:tblPrEx>
        <w:trPr>
          <w:trHeight w:val="90" w:hRule="atLeast"/>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年度资金总额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5.41</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5.41</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10</w:t>
            </w:r>
          </w:p>
        </w:tc>
        <w:tc>
          <w:tcPr>
            <w:tcW w:w="75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90.8%</w:t>
            </w:r>
          </w:p>
        </w:tc>
        <w:tc>
          <w:tcPr>
            <w:tcW w:w="154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其中：当年财政拨款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75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54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上年结转资金　</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5.41</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5.41</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75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54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2160" w:type="dxa"/>
            <w:gridSpan w:val="2"/>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ind w:firstLine="600" w:firstLineChars="300"/>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其他资金</w:t>
            </w:r>
          </w:p>
        </w:tc>
        <w:tc>
          <w:tcPr>
            <w:tcW w:w="122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82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75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54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年度总体目标</w:t>
            </w:r>
          </w:p>
        </w:tc>
        <w:tc>
          <w:tcPr>
            <w:tcW w:w="4518"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实际完成情况　</w:t>
            </w:r>
          </w:p>
        </w:tc>
      </w:tr>
      <w:tr>
        <w:tblPrEx>
          <w:tblCellMar>
            <w:top w:w="0" w:type="dxa"/>
            <w:left w:w="108" w:type="dxa"/>
            <w:bottom w:w="0" w:type="dxa"/>
            <w:right w:w="108" w:type="dxa"/>
          </w:tblCellMar>
        </w:tblPrEx>
        <w:trPr>
          <w:trHeight w:val="3260" w:hRule="atLeast"/>
          <w:jc w:val="center"/>
        </w:trPr>
        <w:tc>
          <w:tcPr>
            <w:tcW w:w="1080" w:type="dxa"/>
            <w:vMerge w:val="continue"/>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4518" w:type="dxa"/>
            <w:gridSpan w:val="4"/>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科学选择大数据、物联网、人工智能、云计算等新一代信息技术应用，补齐口岸平台信息化短板，提高口岸通关效率。　</w:t>
            </w:r>
          </w:p>
        </w:tc>
        <w:tc>
          <w:tcPr>
            <w:tcW w:w="4253" w:type="dxa"/>
            <w:gridSpan w:val="4"/>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完成了岳阳电子口岸改版，充分利用云计算、大数据、人工智能等先进技术，提升岳阳智慧口岸建设水平。电子提箱系统将提箱业务办理由线下单证盖章模式升级为全线上模式，单票业务办理时间由原来的几个小时缩短至约10分钟，电子提箱系统入驻外贸企业63家，完成业务6万票；智能卡口实现集卡过闸，由原来人工查验、人工放行升级为系统数据自动采集、自动查验、自动放行，放行时间由原来的120s/车缩短至30s/车；同时，启用通关时效评估，对每天城陵矶口岸进出口集装箱进行实时跟踪，为发展口岸经济提供良好的数据分析。</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eastAsia="zh-CN"/>
              </w:rPr>
            </w:pPr>
          </w:p>
        </w:tc>
      </w:tr>
      <w:tr>
        <w:tblPrEx>
          <w:tblCellMar>
            <w:top w:w="0" w:type="dxa"/>
            <w:left w:w="108" w:type="dxa"/>
            <w:bottom w:w="0" w:type="dxa"/>
            <w:right w:w="108" w:type="dxa"/>
          </w:tblCellMar>
        </w:tblPrEx>
        <w:trPr>
          <w:jc w:val="center"/>
        </w:trPr>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绩</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一级指标</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二级指标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三级指标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年度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指标值</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实际</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完成值</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分值</w:t>
            </w:r>
          </w:p>
        </w:tc>
        <w:tc>
          <w:tcPr>
            <w:tcW w:w="7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得分</w:t>
            </w:r>
          </w:p>
        </w:tc>
        <w:tc>
          <w:tcPr>
            <w:tcW w:w="15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both"/>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偏差原因分析及改进措施</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产出指标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(50分)</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数量指标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集装箱吞吐量</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100万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120.16万</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15</w:t>
            </w:r>
          </w:p>
        </w:tc>
        <w:tc>
          <w:tcPr>
            <w:tcW w:w="7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15</w:t>
            </w:r>
          </w:p>
        </w:tc>
        <w:tc>
          <w:tcPr>
            <w:tcW w:w="15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质量指标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城陵矶口岸集装箱吞吐量逐年增长</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19.02%</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15</w:t>
            </w:r>
          </w:p>
        </w:tc>
        <w:tc>
          <w:tcPr>
            <w:tcW w:w="7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15</w:t>
            </w:r>
          </w:p>
        </w:tc>
        <w:tc>
          <w:tcPr>
            <w:tcW w:w="15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时效指标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年内完成目标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2023年12月31日前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2023年12月31日前</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7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15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成本指标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预算内经费</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小于等于35.41万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5.41万</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7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7</w:t>
            </w:r>
          </w:p>
        </w:tc>
        <w:tc>
          <w:tcPr>
            <w:tcW w:w="15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lang w:eastAsia="zh-CN"/>
              </w:rPr>
              <w:t>当年经费未下达</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对社会发展可能造成的负面影响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7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15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效益指标</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（30分）</w:t>
            </w:r>
          </w:p>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经济效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提高通关效率，促进经济发展</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有效保障</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有效保障</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7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10</w:t>
            </w:r>
          </w:p>
        </w:tc>
        <w:tc>
          <w:tcPr>
            <w:tcW w:w="15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社会效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保障岳阳电子口岸正常运行</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有效保障</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有效保障</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7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10</w:t>
            </w:r>
          </w:p>
        </w:tc>
        <w:tc>
          <w:tcPr>
            <w:tcW w:w="15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1190"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生态效</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对自然生态环境造成的负面影响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无负面影响</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无负面影响</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5</w:t>
            </w:r>
          </w:p>
        </w:tc>
        <w:tc>
          <w:tcPr>
            <w:tcW w:w="7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5</w:t>
            </w:r>
          </w:p>
        </w:tc>
        <w:tc>
          <w:tcPr>
            <w:tcW w:w="15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1035"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保障提高通关效率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有效增长</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有效增长</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7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w:t>
            </w:r>
          </w:p>
        </w:tc>
        <w:tc>
          <w:tcPr>
            <w:tcW w:w="15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trHeight w:val="935" w:hRule="atLeast"/>
          <w:jc w:val="center"/>
        </w:trPr>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满意度</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指标</w:t>
            </w:r>
          </w:p>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（10分）</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服务对象满意度指标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受益对象满意度</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大于等于95%</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大于等于95%</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7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10</w:t>
            </w:r>
          </w:p>
        </w:tc>
        <w:tc>
          <w:tcPr>
            <w:tcW w:w="15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lang w:eastAsia="zh-CN"/>
              </w:rPr>
            </w:pPr>
            <w:r>
              <w:rPr>
                <w:rFonts w:hint="eastAsia" w:ascii="仿宋_GB2312" w:hAnsi="仿宋_GB2312" w:eastAsia="仿宋_GB2312" w:cs="仿宋_GB2312"/>
                <w:color w:val="000000"/>
                <w:sz w:val="20"/>
                <w:szCs w:val="20"/>
              </w:rPr>
              <w:t>　</w:t>
            </w:r>
          </w:p>
        </w:tc>
      </w:tr>
      <w:tr>
        <w:tblPrEx>
          <w:tblCellMar>
            <w:top w:w="0" w:type="dxa"/>
            <w:left w:w="108" w:type="dxa"/>
            <w:bottom w:w="0" w:type="dxa"/>
            <w:right w:w="108" w:type="dxa"/>
          </w:tblCellMar>
        </w:tblPrEx>
        <w:trPr>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总分</w:t>
            </w:r>
          </w:p>
        </w:tc>
        <w:tc>
          <w:tcPr>
            <w:tcW w:w="82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100</w:t>
            </w:r>
          </w:p>
        </w:tc>
        <w:tc>
          <w:tcPr>
            <w:tcW w:w="750"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color w:val="000000"/>
                <w:sz w:val="20"/>
                <w:szCs w:val="20"/>
                <w:lang w:val="en-US" w:eastAsia="zh-CN"/>
              </w:rPr>
              <w:t>97</w:t>
            </w:r>
          </w:p>
        </w:tc>
        <w:tc>
          <w:tcPr>
            <w:tcW w:w="154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r>
    </w:tbl>
    <w:p>
      <w:pPr>
        <w:rPr>
          <w:rFonts w:hint="default" w:ascii="Times New Roman" w:hAnsi="Times New Roman" w:eastAsia="仿宋_GB2312" w:cs="Times New Roman"/>
          <w:sz w:val="18"/>
          <w:szCs w:val="18"/>
        </w:rPr>
      </w:pPr>
    </w:p>
    <w:p>
      <w:pPr>
        <w:rPr>
          <w:rFonts w:hint="default" w:ascii="Times New Roman" w:hAnsi="Times New Roman" w:eastAsia="仿宋_GB2312" w:cs="Times New Roman"/>
          <w:szCs w:val="21"/>
        </w:rPr>
      </w:pPr>
      <w:r>
        <w:rPr>
          <w:rFonts w:hint="default" w:ascii="Times New Roman" w:hAnsi="Times New Roman" w:eastAsia="仿宋_GB2312" w:cs="Times New Roman"/>
          <w:sz w:val="18"/>
          <w:szCs w:val="18"/>
        </w:rPr>
        <w:t>备注：一个一级项目支出一张表。</w:t>
      </w:r>
      <w:r>
        <w:rPr>
          <w:rFonts w:hint="eastAsia" w:ascii="Times New Roman" w:hAnsi="Times New Roman" w:eastAsia="仿宋_GB2312" w:cs="Times New Roman"/>
          <w:sz w:val="18"/>
          <w:szCs w:val="18"/>
          <w:lang w:eastAsia="zh-CN"/>
        </w:rPr>
        <w:t>如，</w:t>
      </w:r>
      <w:r>
        <w:rPr>
          <w:rFonts w:hint="default" w:ascii="Times New Roman" w:hAnsi="Times New Roman" w:eastAsia="仿宋_GB2312" w:cs="Times New Roman"/>
          <w:sz w:val="18"/>
          <w:szCs w:val="18"/>
        </w:rPr>
        <w:t>业务工作经费</w:t>
      </w:r>
      <w:r>
        <w:rPr>
          <w:rFonts w:hint="eastAsia" w:ascii="Times New Roman" w:hAnsi="Times New Roman" w:eastAsia="仿宋_GB2312" w:cs="Times New Roman"/>
          <w:sz w:val="18"/>
          <w:szCs w:val="18"/>
          <w:lang w:eastAsia="zh-CN"/>
        </w:rPr>
        <w:t>，</w:t>
      </w:r>
      <w:r>
        <w:rPr>
          <w:rFonts w:hint="default" w:ascii="Times New Roman" w:hAnsi="Times New Roman" w:eastAsia="仿宋_GB2312" w:cs="Times New Roman"/>
          <w:sz w:val="18"/>
          <w:szCs w:val="18"/>
        </w:rPr>
        <w:t>运行维护经费</w:t>
      </w:r>
      <w:r>
        <w:rPr>
          <w:rFonts w:hint="eastAsia" w:ascii="Times New Roman" w:hAnsi="Times New Roman" w:eastAsia="仿宋_GB2312" w:cs="Times New Roman"/>
          <w:sz w:val="18"/>
          <w:szCs w:val="18"/>
          <w:lang w:eastAsia="zh-CN"/>
        </w:rPr>
        <w:t>，其他事业发展类资金…各一张表。</w:t>
      </w:r>
    </w:p>
    <w:p>
      <w:pPr>
        <w:widowControl/>
        <w:spacing w:line="600" w:lineRule="exact"/>
        <w:jc w:val="left"/>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填表人：</w:t>
      </w:r>
      <w:r>
        <w:rPr>
          <w:rFonts w:hint="eastAsia" w:ascii="Times New Roman" w:hAnsi="Times New Roman" w:eastAsia="仿宋_GB2312" w:cs="Times New Roman"/>
          <w:sz w:val="22"/>
          <w:szCs w:val="22"/>
          <w:lang w:eastAsia="zh-CN"/>
        </w:rPr>
        <w:t>邓颖</w:t>
      </w:r>
      <w:r>
        <w:rPr>
          <w:rFonts w:hint="default" w:ascii="Times New Roman" w:hAnsi="Times New Roman" w:eastAsia="仿宋_GB2312" w:cs="Times New Roman"/>
          <w:sz w:val="22"/>
          <w:szCs w:val="22"/>
        </w:rPr>
        <w:t xml:space="preserve"> </w:t>
      </w:r>
      <w:r>
        <w:rPr>
          <w:rFonts w:hint="eastAsia" w:ascii="Times New Roman" w:hAnsi="Times New Roman" w:eastAsia="仿宋_GB2312" w:cs="Times New Roman"/>
          <w:sz w:val="22"/>
          <w:szCs w:val="22"/>
          <w:lang w:val="en-US" w:eastAsia="zh-CN"/>
        </w:rPr>
        <w:t xml:space="preserve"> </w:t>
      </w:r>
      <w:r>
        <w:rPr>
          <w:rFonts w:hint="default" w:ascii="Times New Roman" w:hAnsi="Times New Roman" w:eastAsia="仿宋_GB2312" w:cs="Times New Roman"/>
          <w:sz w:val="22"/>
          <w:szCs w:val="22"/>
        </w:rPr>
        <w:t xml:space="preserve"> 填报日期：</w:t>
      </w:r>
      <w:r>
        <w:rPr>
          <w:rFonts w:hint="eastAsia" w:ascii="Times New Roman" w:hAnsi="Times New Roman" w:eastAsia="仿宋_GB2312" w:cs="Times New Roman"/>
          <w:sz w:val="22"/>
          <w:szCs w:val="22"/>
          <w:lang w:val="en-US" w:eastAsia="zh-CN"/>
        </w:rPr>
        <w:t>2024年6月20日</w:t>
      </w:r>
      <w:r>
        <w:rPr>
          <w:rFonts w:hint="default" w:ascii="Times New Roman" w:hAnsi="Times New Roman" w:eastAsia="仿宋_GB2312" w:cs="Times New Roman"/>
          <w:sz w:val="22"/>
          <w:szCs w:val="22"/>
        </w:rPr>
        <w:t xml:space="preserve">  联系电话：</w:t>
      </w:r>
      <w:r>
        <w:rPr>
          <w:rFonts w:hint="eastAsia" w:ascii="Times New Roman" w:hAnsi="Times New Roman" w:eastAsia="仿宋_GB2312" w:cs="Times New Roman"/>
          <w:sz w:val="22"/>
          <w:szCs w:val="22"/>
          <w:lang w:val="en-US" w:eastAsia="zh-CN"/>
        </w:rPr>
        <w:t>8880167</w:t>
      </w:r>
      <w:r>
        <w:rPr>
          <w:rFonts w:hint="default" w:ascii="Times New Roman" w:hAnsi="Times New Roman" w:eastAsia="仿宋_GB2312" w:cs="Times New Roman"/>
          <w:sz w:val="22"/>
          <w:szCs w:val="22"/>
        </w:rPr>
        <w:t xml:space="preserve">   单位负责人签字：</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F55A95"/>
    <w:rsid w:val="66F55A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 w:hAnsi="仿宋" w:eastAsia="宋体" w:cs="Times New Roman"/>
      <w:kern w:val="0"/>
      <w:sz w:val="28"/>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spacing w:before="100" w:beforeAutospacing="1" w:after="0"/>
      <w:ind w:firstLine="420" w:firstLineChars="200"/>
    </w:pPr>
  </w:style>
  <w:style w:type="paragraph" w:styleId="3">
    <w:name w:val="Body Text Indent"/>
    <w:basedOn w:val="1"/>
    <w:unhideWhenUsed/>
    <w:qFormat/>
    <w:uiPriority w:val="99"/>
    <w:pPr>
      <w:spacing w:after="120"/>
      <w:ind w:left="420" w:left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2024-06-25T02:37:00Z</dcterms:created>
  <dc:creator>Administrator</dc:creator>
  <cp:lastModifiedBy>Administrator</cp:lastModifiedBy>
  <dcterms:modified xsi:type="dcterms:W3CDTF">2024-06-25T02:37:36Z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B356FD43EF794F8FBC9281897BEADC93</vt:lpwstr>
  </property>
</Properties>
</file>